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2"/>
        <w:ind w:left="0" w:right="114"/>
        <w:jc w:val="right"/>
      </w:pPr>
      <w:r>
        <w:rPr/>
        <w:drawing>
          <wp:anchor distT="0" distB="0" distL="0" distR="0" allowOverlap="1" layoutInCell="1" locked="0" behindDoc="0" simplePos="0" relativeHeight="15732224">
            <wp:simplePos x="0" y="0"/>
            <wp:positionH relativeFrom="page">
              <wp:posOffset>5962650</wp:posOffset>
            </wp:positionH>
            <wp:positionV relativeFrom="paragraph">
              <wp:posOffset>221996</wp:posOffset>
            </wp:positionV>
            <wp:extent cx="719454" cy="719454"/>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19454" cy="719454"/>
                    </a:xfrm>
                    <a:prstGeom prst="rect">
                      <a:avLst/>
                    </a:prstGeom>
                  </pic:spPr>
                </pic:pic>
              </a:graphicData>
            </a:graphic>
          </wp:anchor>
        </w:drawing>
      </w:r>
      <w:r>
        <w:rPr>
          <w:spacing w:val="-2"/>
        </w:rPr>
        <w:t>泰康人寿[2020</w:t>
      </w:r>
      <w:r>
        <w:rPr>
          <w:spacing w:val="-10"/>
        </w:rPr>
        <w:t>]疾病保险 </w:t>
      </w:r>
      <w:r>
        <w:rPr>
          <w:spacing w:val="-2"/>
        </w:rPr>
        <w:t>080</w:t>
      </w:r>
      <w:r>
        <w:rPr>
          <w:spacing w:val="-29"/>
        </w:rPr>
        <w:t> 号</w:t>
      </w:r>
    </w:p>
    <w:p>
      <w:pPr>
        <w:pStyle w:val="BodyText"/>
        <w:ind w:left="0"/>
        <w:rPr>
          <w:sz w:val="20"/>
        </w:rPr>
      </w:pPr>
    </w:p>
    <w:p>
      <w:pPr>
        <w:spacing w:after="0"/>
        <w:rPr>
          <w:sz w:val="20"/>
        </w:rPr>
        <w:sectPr>
          <w:footerReference w:type="default" r:id="rId5"/>
          <w:type w:val="continuous"/>
          <w:pgSz w:w="11910" w:h="16840"/>
          <w:pgMar w:footer="574" w:header="0" w:top="380" w:bottom="760" w:left="720" w:right="340"/>
          <w:pgNumType w:start="1"/>
        </w:sectPr>
      </w:pPr>
    </w:p>
    <w:p>
      <w:pPr>
        <w:spacing w:line="254" w:lineRule="auto" w:before="167"/>
        <w:ind w:left="4592" w:right="0" w:hanging="2120"/>
        <w:jc w:val="left"/>
        <w:rPr>
          <w:rFonts w:ascii="微软雅黑" w:eastAsia="微软雅黑"/>
          <w:b/>
          <w:sz w:val="32"/>
        </w:rPr>
      </w:pPr>
      <w:r>
        <w:rPr>
          <w:rFonts w:ascii="微软雅黑" w:eastAsia="微软雅黑"/>
          <w:b/>
          <w:sz w:val="32"/>
        </w:rPr>
        <w:t>泰康</w:t>
      </w:r>
      <w:r>
        <w:rPr>
          <w:rFonts w:ascii="微软雅黑" w:eastAsia="微软雅黑"/>
          <w:b/>
          <w:sz w:val="32"/>
        </w:rPr>
        <w:t>乐</w:t>
      </w:r>
      <w:r>
        <w:rPr>
          <w:rFonts w:ascii="微软雅黑" w:eastAsia="微软雅黑"/>
          <w:b/>
          <w:sz w:val="32"/>
        </w:rPr>
        <w:t>康</w:t>
      </w:r>
      <w:r>
        <w:rPr>
          <w:rFonts w:ascii="微软雅黑" w:eastAsia="微软雅黑"/>
          <w:b/>
          <w:spacing w:val="-12"/>
          <w:sz w:val="32"/>
        </w:rPr>
        <w:t>宝 </w:t>
      </w:r>
      <w:r>
        <w:rPr>
          <w:rFonts w:ascii="微软雅黑" w:eastAsia="微软雅黑"/>
          <w:b/>
          <w:sz w:val="32"/>
        </w:rPr>
        <w:t>B</w:t>
      </w:r>
      <w:r>
        <w:rPr>
          <w:rFonts w:ascii="微软雅黑" w:eastAsia="微软雅黑"/>
          <w:b/>
          <w:spacing w:val="-5"/>
          <w:sz w:val="32"/>
        </w:rPr>
        <w:t> 款终身重大疾</w:t>
      </w:r>
      <w:r>
        <w:rPr>
          <w:rFonts w:ascii="微软雅黑" w:eastAsia="微软雅黑"/>
          <w:b/>
          <w:sz w:val="32"/>
        </w:rPr>
        <w:t>病</w:t>
      </w:r>
      <w:r>
        <w:rPr>
          <w:rFonts w:ascii="微软雅黑" w:eastAsia="微软雅黑"/>
          <w:b/>
          <w:sz w:val="32"/>
        </w:rPr>
        <w:t>保</w:t>
      </w:r>
      <w:r>
        <w:rPr>
          <w:rFonts w:ascii="微软雅黑" w:eastAsia="微软雅黑"/>
          <w:b/>
          <w:sz w:val="32"/>
        </w:rPr>
        <w:t>险条款</w:t>
      </w:r>
      <w:r>
        <w:rPr>
          <w:rFonts w:ascii="微软雅黑" w:eastAsia="微软雅黑"/>
          <w:b/>
          <w:spacing w:val="-4"/>
          <w:sz w:val="32"/>
        </w:rPr>
        <w:t>阅读指引</w:t>
      </w:r>
    </w:p>
    <w:p>
      <w:pPr>
        <w:spacing w:line="240" w:lineRule="auto" w:before="0"/>
        <w:rPr>
          <w:rFonts w:ascii="微软雅黑"/>
          <w:b/>
          <w:sz w:val="20"/>
        </w:rPr>
      </w:pPr>
      <w:r>
        <w:rPr/>
        <w:br w:type="column"/>
      </w:r>
      <w:r>
        <w:rPr>
          <w:rFonts w:ascii="微软雅黑"/>
          <w:b/>
          <w:sz w:val="20"/>
        </w:rPr>
      </w:r>
    </w:p>
    <w:p>
      <w:pPr>
        <w:pStyle w:val="BodyText"/>
        <w:ind w:left="0"/>
        <w:rPr>
          <w:rFonts w:ascii="微软雅黑"/>
          <w:b/>
          <w:sz w:val="20"/>
        </w:rPr>
      </w:pPr>
    </w:p>
    <w:p>
      <w:pPr>
        <w:pStyle w:val="BodyText"/>
        <w:spacing w:before="6"/>
        <w:ind w:left="0"/>
        <w:rPr>
          <w:rFonts w:ascii="微软雅黑"/>
          <w:b/>
          <w:sz w:val="17"/>
        </w:rPr>
      </w:pPr>
    </w:p>
    <w:p>
      <w:pPr>
        <w:pStyle w:val="BodyText"/>
        <w:ind w:left="163"/>
      </w:pPr>
      <w:r>
        <w:rPr>
          <w:spacing w:val="-3"/>
        </w:rPr>
        <w:t>请扫描以查询验证条款</w:t>
      </w:r>
    </w:p>
    <w:p>
      <w:pPr>
        <w:spacing w:after="0"/>
        <w:sectPr>
          <w:type w:val="continuous"/>
          <w:pgSz w:w="11910" w:h="16840"/>
          <w:pgMar w:header="0" w:footer="574" w:top="380" w:bottom="760" w:left="720" w:right="340"/>
          <w:cols w:num="2" w:equalWidth="0">
            <w:col w:w="7994" w:space="40"/>
            <w:col w:w="2816"/>
          </w:cols>
        </w:sectPr>
      </w:pPr>
    </w:p>
    <w:p>
      <w:pPr>
        <w:pStyle w:val="BodyText"/>
        <w:spacing w:after="1"/>
        <w:ind w:left="0"/>
        <w:rPr>
          <w:sz w:val="16"/>
        </w:rPr>
      </w:pPr>
    </w:p>
    <w:p>
      <w:pPr>
        <w:pStyle w:val="BodyText"/>
        <w:spacing w:line="242" w:lineRule="auto" w:before="79"/>
        <w:ind w:left="521" w:right="923"/>
      </w:pPr>
      <w:r>
        <w:rPr/>
        <w:drawing>
          <wp:anchor distT="0" distB="0" distL="0" distR="0" allowOverlap="1" layoutInCell="1" locked="0" behindDoc="1" simplePos="0" relativeHeight="485839360">
            <wp:simplePos x="0" y="0"/>
            <wp:positionH relativeFrom="page">
              <wp:posOffset>743584</wp:posOffset>
            </wp:positionH>
            <wp:positionV relativeFrom="paragraph">
              <wp:posOffset>-298704</wp:posOffset>
            </wp:positionV>
            <wp:extent cx="6203949" cy="29845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203949" cy="298450"/>
                    </a:xfrm>
                    <a:prstGeom prst="rect">
                      <a:avLst/>
                    </a:prstGeom>
                  </pic:spPr>
                </pic:pic>
              </a:graphicData>
            </a:graphic>
          </wp:anchor>
        </w:drawing>
      </w:r>
      <w:r>
        <w:rPr/>
        <w:pict>
          <v:shape style="position:absolute;margin-left:58.549999pt;margin-top:-23.52pt;width:488.5pt;height:23.5pt;mso-position-horizontal-relative:page;mso-position-vertical-relative:paragraph;z-index:-17476608" type="#_x0000_t202" id="docshape2" filled="false" stroked="false">
            <v:textbox inset="0,0,0,0">
              <w:txbxContent>
                <w:p>
                  <w:pPr>
                    <w:spacing w:line="470" w:lineRule="exact" w:before="0"/>
                    <w:ind w:left="106" w:right="0" w:firstLine="0"/>
                    <w:jc w:val="left"/>
                    <w:rPr>
                      <w:rFonts w:ascii="微软雅黑" w:eastAsia="微软雅黑"/>
                      <w:b/>
                      <w:sz w:val="28"/>
                    </w:rPr>
                  </w:pPr>
                  <w:r>
                    <w:rPr>
                      <w:rFonts w:ascii="微软雅黑" w:eastAsia="微软雅黑"/>
                      <w:b/>
                      <w:sz w:val="28"/>
                    </w:rPr>
                    <w:t>1</w:t>
                  </w:r>
                  <w:r>
                    <w:rPr>
                      <w:rFonts w:ascii="微软雅黑" w:eastAsia="微软雅黑"/>
                      <w:b/>
                      <w:spacing w:val="5"/>
                      <w:sz w:val="28"/>
                    </w:rPr>
                    <w:t> 我们的保障</w:t>
                  </w:r>
                </w:p>
              </w:txbxContent>
            </v:textbox>
            <w10:wrap type="none"/>
          </v:shape>
        </w:pict>
      </w:r>
      <w:r>
        <w:rPr>
          <w:spacing w:val="-7"/>
        </w:rPr>
        <w:t>泰康乐康宝 </w:t>
      </w:r>
      <w:r>
        <w:rPr/>
        <w:t>B</w:t>
      </w:r>
      <w:r>
        <w:rPr>
          <w:spacing w:val="-7"/>
        </w:rPr>
        <w:t> 款终身重大疾病保险</w:t>
      </w:r>
      <w:r>
        <w:rPr/>
        <w:t>（</w:t>
      </w:r>
      <w:r>
        <w:rPr>
          <w:spacing w:val="-5"/>
        </w:rPr>
        <w:t>以下简称“乐康宝 </w:t>
      </w:r>
      <w:r>
        <w:rPr/>
        <w:t>B</w:t>
      </w:r>
      <w:r>
        <w:rPr>
          <w:spacing w:val="-51"/>
        </w:rPr>
        <w:t> 款”</w:t>
      </w:r>
      <w:r>
        <w:rPr/>
        <w:t>）产品提供轻度疾病、轻度疾病豁免、重</w:t>
      </w:r>
      <w:r>
        <w:rPr>
          <w:spacing w:val="-2"/>
        </w:rPr>
        <w:t>疾及身故保障。</w:t>
      </w:r>
    </w:p>
    <w:p>
      <w:pPr>
        <w:pStyle w:val="BodyText"/>
        <w:spacing w:before="11"/>
        <w:ind w:left="0"/>
        <w:rPr>
          <w:sz w:val="11"/>
        </w:rPr>
      </w:pPr>
      <w:r>
        <w:rPr/>
        <w:drawing>
          <wp:anchor distT="0" distB="0" distL="0" distR="0" allowOverlap="1" layoutInCell="1" locked="0" behindDoc="1" simplePos="0" relativeHeight="485836800">
            <wp:simplePos x="0" y="0"/>
            <wp:positionH relativeFrom="page">
              <wp:posOffset>746759</wp:posOffset>
            </wp:positionH>
            <wp:positionV relativeFrom="paragraph">
              <wp:posOffset>112073</wp:posOffset>
            </wp:positionV>
            <wp:extent cx="6201410" cy="29845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201410" cy="298450"/>
                    </a:xfrm>
                    <a:prstGeom prst="rect">
                      <a:avLst/>
                    </a:prstGeom>
                  </pic:spPr>
                </pic:pic>
              </a:graphicData>
            </a:graphic>
          </wp:anchor>
        </w:drawing>
      </w:r>
      <w:r>
        <w:rPr/>
        <w:pict>
          <v:shape style="position:absolute;margin-left:58.799999pt;margin-top:8.824688pt;width:488.3pt;height:23.5pt;mso-position-horizontal-relative:page;mso-position-vertical-relative:paragraph;z-index:-15728128;mso-wrap-distance-left:0;mso-wrap-distance-right:0" type="#_x0000_t202" id="docshape3" filled="false" stroked="false">
            <v:textbox inset="0,0,0,0">
              <w:txbxContent>
                <w:p>
                  <w:pPr>
                    <w:spacing w:line="470" w:lineRule="exact" w:before="0"/>
                    <w:ind w:left="113" w:right="0" w:firstLine="0"/>
                    <w:jc w:val="left"/>
                    <w:rPr>
                      <w:rFonts w:ascii="微软雅黑" w:eastAsia="微软雅黑"/>
                      <w:b/>
                      <w:sz w:val="28"/>
                    </w:rPr>
                  </w:pPr>
                  <w:r>
                    <w:rPr>
                      <w:rFonts w:ascii="微软雅黑" w:eastAsia="微软雅黑"/>
                      <w:b/>
                      <w:sz w:val="28"/>
                    </w:rPr>
                    <w:t>2</w:t>
                  </w:r>
                  <w:r>
                    <w:rPr>
                      <w:rFonts w:ascii="微软雅黑" w:eastAsia="微软雅黑"/>
                      <w:b/>
                      <w:spacing w:val="6"/>
                      <w:sz w:val="28"/>
                    </w:rPr>
                    <w:t> 名词解释</w:t>
                  </w:r>
                </w:p>
              </w:txbxContent>
            </v:textbox>
            <w10:wrap type="topAndBottom"/>
          </v:shape>
        </w:pict>
      </w:r>
    </w:p>
    <w:p>
      <w:pPr>
        <w:pStyle w:val="ListParagraph"/>
        <w:numPr>
          <w:ilvl w:val="0"/>
          <w:numId w:val="1"/>
        </w:numPr>
        <w:tabs>
          <w:tab w:pos="919" w:val="left" w:leader="none"/>
          <w:tab w:pos="920" w:val="left" w:leader="none"/>
        </w:tabs>
        <w:spacing w:line="240" w:lineRule="auto" w:before="104" w:after="0"/>
        <w:ind w:left="919" w:right="0" w:hanging="399"/>
        <w:jc w:val="left"/>
        <w:rPr>
          <w:sz w:val="21"/>
        </w:rPr>
      </w:pPr>
      <w:r>
        <w:rPr>
          <w:spacing w:val="-3"/>
          <w:sz w:val="21"/>
        </w:rPr>
        <w:t>投保人：购买保险并交纳保险费的人</w:t>
      </w:r>
    </w:p>
    <w:p>
      <w:pPr>
        <w:pStyle w:val="ListParagraph"/>
        <w:numPr>
          <w:ilvl w:val="0"/>
          <w:numId w:val="1"/>
        </w:numPr>
        <w:tabs>
          <w:tab w:pos="919" w:val="left" w:leader="none"/>
          <w:tab w:pos="920" w:val="left" w:leader="none"/>
        </w:tabs>
        <w:spacing w:line="240" w:lineRule="auto" w:before="194" w:after="0"/>
        <w:ind w:left="919" w:right="0" w:hanging="399"/>
        <w:jc w:val="left"/>
        <w:rPr>
          <w:sz w:val="21"/>
        </w:rPr>
      </w:pPr>
      <w:r>
        <w:rPr>
          <w:spacing w:val="-3"/>
          <w:sz w:val="21"/>
        </w:rPr>
        <w:t>被保险人：受保险合同保障的人</w:t>
      </w:r>
    </w:p>
    <w:p>
      <w:pPr>
        <w:pStyle w:val="ListParagraph"/>
        <w:numPr>
          <w:ilvl w:val="0"/>
          <w:numId w:val="1"/>
        </w:numPr>
        <w:tabs>
          <w:tab w:pos="919" w:val="left" w:leader="none"/>
          <w:tab w:pos="920" w:val="left" w:leader="none"/>
        </w:tabs>
        <w:spacing w:line="240" w:lineRule="auto" w:before="173" w:after="0"/>
        <w:ind w:left="919" w:right="0" w:hanging="399"/>
        <w:jc w:val="left"/>
        <w:rPr>
          <w:sz w:val="21"/>
        </w:rPr>
      </w:pPr>
      <w:r>
        <w:rPr>
          <w:spacing w:val="-3"/>
          <w:sz w:val="21"/>
        </w:rPr>
        <w:t>受益人：发生保险事故后领取保险金的人</w:t>
      </w:r>
    </w:p>
    <w:p>
      <w:pPr>
        <w:pStyle w:val="BodyText"/>
        <w:spacing w:before="2"/>
        <w:ind w:left="0"/>
        <w:rPr>
          <w:sz w:val="14"/>
        </w:rPr>
      </w:pPr>
      <w:r>
        <w:rPr/>
        <w:drawing>
          <wp:anchor distT="0" distB="0" distL="0" distR="0" allowOverlap="1" layoutInCell="1" locked="0" behindDoc="1" simplePos="0" relativeHeight="485837824">
            <wp:simplePos x="0" y="0"/>
            <wp:positionH relativeFrom="page">
              <wp:posOffset>739140</wp:posOffset>
            </wp:positionH>
            <wp:positionV relativeFrom="paragraph">
              <wp:posOffset>130690</wp:posOffset>
            </wp:positionV>
            <wp:extent cx="6206490" cy="298450"/>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206490" cy="298450"/>
                    </a:xfrm>
                    <a:prstGeom prst="rect">
                      <a:avLst/>
                    </a:prstGeom>
                  </pic:spPr>
                </pic:pic>
              </a:graphicData>
            </a:graphic>
          </wp:anchor>
        </w:drawing>
      </w:r>
      <w:r>
        <w:rPr/>
        <w:pict>
          <v:shape style="position:absolute;margin-left:58.200001pt;margin-top:10.290625pt;width:488.7pt;height:23.5pt;mso-position-horizontal-relative:page;mso-position-vertical-relative:paragraph;z-index:-15727104;mso-wrap-distance-left:0;mso-wrap-distance-right:0" type="#_x0000_t202" id="docshape4" filled="false" stroked="false">
            <v:textbox inset="0,0,0,0">
              <w:txbxContent>
                <w:p>
                  <w:pPr>
                    <w:spacing w:line="470" w:lineRule="exact" w:before="0"/>
                    <w:ind w:left="125" w:right="0" w:firstLine="0"/>
                    <w:jc w:val="left"/>
                    <w:rPr>
                      <w:rFonts w:ascii="微软雅黑" w:eastAsia="微软雅黑"/>
                      <w:b/>
                      <w:sz w:val="28"/>
                    </w:rPr>
                  </w:pPr>
                  <w:r>
                    <w:rPr>
                      <w:rFonts w:ascii="微软雅黑" w:eastAsia="微软雅黑"/>
                      <w:b/>
                      <w:sz w:val="28"/>
                    </w:rPr>
                    <w:t>3</w:t>
                  </w:r>
                  <w:r>
                    <w:rPr>
                      <w:rFonts w:ascii="微软雅黑" w:eastAsia="微软雅黑"/>
                      <w:b/>
                      <w:spacing w:val="6"/>
                      <w:sz w:val="28"/>
                    </w:rPr>
                    <w:t> 案例说明</w:t>
                  </w:r>
                </w:p>
              </w:txbxContent>
            </v:textbox>
            <w10:wrap type="topAndBottom"/>
          </v:shape>
        </w:pict>
      </w:r>
    </w:p>
    <w:p>
      <w:pPr>
        <w:pStyle w:val="BodyText"/>
        <w:spacing w:line="244" w:lineRule="auto" w:before="116"/>
        <w:ind w:left="521" w:right="928"/>
      </w:pPr>
      <w:r>
        <w:rPr>
          <w:spacing w:val="-4"/>
        </w:rPr>
        <w:t>例：泰女士为丈夫康先生（30</w:t>
      </w:r>
      <w:r>
        <w:rPr>
          <w:spacing w:val="-22"/>
        </w:rPr>
        <w:t> 岁</w:t>
      </w:r>
      <w:r>
        <w:rPr>
          <w:spacing w:val="-4"/>
        </w:rPr>
        <w:t>）</w:t>
      </w:r>
      <w:r>
        <w:rPr>
          <w:spacing w:val="-10"/>
        </w:rPr>
        <w:t>投保乐康宝 </w:t>
      </w:r>
      <w:r>
        <w:rPr>
          <w:spacing w:val="-4"/>
        </w:rPr>
        <w:t>B</w:t>
      </w:r>
      <w:r>
        <w:rPr>
          <w:spacing w:val="-10"/>
        </w:rPr>
        <w:t> 款，泰女士为投保人，康先生为被保险人及疾病保险金</w:t>
      </w:r>
      <w:r>
        <w:rPr>
          <w:spacing w:val="-2"/>
        </w:rPr>
        <w:t>受益人，指定儿子小康为身故保险金受益人。</w:t>
      </w:r>
    </w:p>
    <w:p>
      <w:pPr>
        <w:pStyle w:val="ListParagraph"/>
        <w:numPr>
          <w:ilvl w:val="0"/>
          <w:numId w:val="1"/>
        </w:numPr>
        <w:tabs>
          <w:tab w:pos="919" w:val="left" w:leader="none"/>
          <w:tab w:pos="920" w:val="left" w:leader="none"/>
        </w:tabs>
        <w:spacing w:line="240" w:lineRule="auto" w:before="135" w:after="0"/>
        <w:ind w:left="919" w:right="0" w:hanging="399"/>
        <w:jc w:val="left"/>
        <w:rPr>
          <w:sz w:val="21"/>
        </w:rPr>
      </w:pPr>
      <w:r>
        <w:rPr>
          <w:spacing w:val="-2"/>
          <w:sz w:val="21"/>
        </w:rPr>
        <w:t>基本保险金额：20</w:t>
      </w:r>
      <w:r>
        <w:rPr>
          <w:spacing w:val="-22"/>
          <w:sz w:val="21"/>
        </w:rPr>
        <w:t> 万元</w:t>
      </w:r>
    </w:p>
    <w:p>
      <w:pPr>
        <w:pStyle w:val="ListParagraph"/>
        <w:numPr>
          <w:ilvl w:val="0"/>
          <w:numId w:val="1"/>
        </w:numPr>
        <w:tabs>
          <w:tab w:pos="919" w:val="left" w:leader="none"/>
          <w:tab w:pos="920" w:val="left" w:leader="none"/>
        </w:tabs>
        <w:spacing w:line="240" w:lineRule="auto" w:before="173" w:after="0"/>
        <w:ind w:left="919" w:right="0" w:hanging="399"/>
        <w:jc w:val="left"/>
        <w:rPr>
          <w:sz w:val="21"/>
        </w:rPr>
      </w:pPr>
      <w:r>
        <w:rPr>
          <w:spacing w:val="-4"/>
          <w:sz w:val="21"/>
        </w:rPr>
        <w:t>保险期间：终身</w:t>
      </w:r>
    </w:p>
    <w:p>
      <w:pPr>
        <w:pStyle w:val="ListParagraph"/>
        <w:numPr>
          <w:ilvl w:val="0"/>
          <w:numId w:val="1"/>
        </w:numPr>
        <w:tabs>
          <w:tab w:pos="919" w:val="left" w:leader="none"/>
          <w:tab w:pos="920" w:val="left" w:leader="none"/>
        </w:tabs>
        <w:spacing w:line="240" w:lineRule="auto" w:before="172" w:after="0"/>
        <w:ind w:left="919" w:right="0" w:hanging="399"/>
        <w:jc w:val="left"/>
        <w:rPr>
          <w:sz w:val="21"/>
        </w:rPr>
      </w:pPr>
      <w:r>
        <w:rPr>
          <w:spacing w:val="-2"/>
          <w:sz w:val="21"/>
        </w:rPr>
        <w:t>交费期间：20</w:t>
      </w:r>
      <w:r>
        <w:rPr>
          <w:spacing w:val="-30"/>
          <w:sz w:val="21"/>
        </w:rPr>
        <w:t> 年</w:t>
      </w:r>
    </w:p>
    <w:p>
      <w:pPr>
        <w:pStyle w:val="ListParagraph"/>
        <w:numPr>
          <w:ilvl w:val="0"/>
          <w:numId w:val="1"/>
        </w:numPr>
        <w:tabs>
          <w:tab w:pos="919" w:val="left" w:leader="none"/>
          <w:tab w:pos="920" w:val="left" w:leader="none"/>
        </w:tabs>
        <w:spacing w:line="240" w:lineRule="auto" w:before="173" w:after="0"/>
        <w:ind w:left="919" w:right="0" w:hanging="399"/>
        <w:jc w:val="left"/>
        <w:rPr>
          <w:sz w:val="21"/>
        </w:rPr>
      </w:pPr>
      <w:r>
        <w:rPr>
          <w:spacing w:val="-2"/>
          <w:sz w:val="21"/>
        </w:rPr>
        <w:t>年交保费：5,780</w:t>
      </w:r>
      <w:r>
        <w:rPr>
          <w:spacing w:val="-28"/>
          <w:sz w:val="21"/>
        </w:rPr>
        <w:t> 元</w:t>
      </w:r>
    </w:p>
    <w:p>
      <w:pPr>
        <w:spacing w:before="105"/>
        <w:ind w:left="521" w:right="0" w:firstLine="0"/>
        <w:jc w:val="left"/>
        <w:rPr>
          <w:sz w:val="21"/>
        </w:rPr>
      </w:pPr>
      <w:r>
        <w:rPr>
          <w:rFonts w:ascii="微软雅黑" w:eastAsia="微软雅黑"/>
          <w:b/>
          <w:w w:val="95"/>
          <w:sz w:val="21"/>
        </w:rPr>
        <w:t>等</w:t>
      </w:r>
      <w:r>
        <w:rPr>
          <w:rFonts w:ascii="微软雅黑" w:eastAsia="微软雅黑"/>
          <w:b/>
          <w:w w:val="95"/>
          <w:sz w:val="21"/>
        </w:rPr>
        <w:t>待</w:t>
      </w:r>
      <w:r>
        <w:rPr>
          <w:rFonts w:ascii="微软雅黑" w:eastAsia="微软雅黑"/>
          <w:b/>
          <w:w w:val="95"/>
          <w:sz w:val="21"/>
        </w:rPr>
        <w:t>期</w:t>
      </w:r>
      <w:r>
        <w:rPr>
          <w:rFonts w:ascii="微软雅黑" w:eastAsia="微软雅黑"/>
          <w:b/>
          <w:w w:val="95"/>
          <w:position w:val="11"/>
          <w:sz w:val="11"/>
        </w:rPr>
        <w:t>1</w:t>
      </w:r>
      <w:r>
        <w:rPr>
          <w:rFonts w:ascii="微软雅黑" w:eastAsia="微软雅黑"/>
          <w:b/>
          <w:w w:val="95"/>
          <w:sz w:val="21"/>
        </w:rPr>
        <w:t>后</w:t>
      </w:r>
      <w:r>
        <w:rPr>
          <w:rFonts w:ascii="微软雅黑" w:eastAsia="微软雅黑"/>
          <w:b/>
          <w:w w:val="95"/>
          <w:sz w:val="21"/>
        </w:rPr>
        <w:t>康</w:t>
      </w:r>
      <w:r>
        <w:rPr>
          <w:rFonts w:ascii="微软雅黑" w:eastAsia="微软雅黑"/>
          <w:b/>
          <w:w w:val="95"/>
          <w:sz w:val="21"/>
        </w:rPr>
        <w:t>先</w:t>
      </w:r>
      <w:r>
        <w:rPr>
          <w:rFonts w:ascii="微软雅黑" w:eastAsia="微软雅黑"/>
          <w:b/>
          <w:w w:val="95"/>
          <w:sz w:val="21"/>
        </w:rPr>
        <w:t>生</w:t>
      </w:r>
      <w:r>
        <w:rPr>
          <w:rFonts w:ascii="微软雅黑" w:eastAsia="微软雅黑"/>
          <w:b/>
          <w:w w:val="95"/>
          <w:sz w:val="21"/>
        </w:rPr>
        <w:t>享</w:t>
      </w:r>
      <w:r>
        <w:rPr>
          <w:rFonts w:ascii="微软雅黑" w:eastAsia="微软雅黑"/>
          <w:b/>
          <w:w w:val="95"/>
          <w:sz w:val="21"/>
        </w:rPr>
        <w:t>有的保</w:t>
      </w:r>
      <w:r>
        <w:rPr>
          <w:rFonts w:ascii="微软雅黑" w:eastAsia="微软雅黑"/>
          <w:b/>
          <w:w w:val="95"/>
          <w:sz w:val="21"/>
        </w:rPr>
        <w:t>障</w:t>
      </w:r>
      <w:r>
        <w:rPr>
          <w:rFonts w:ascii="微软雅黑" w:eastAsia="微软雅黑"/>
          <w:b/>
          <w:w w:val="95"/>
          <w:sz w:val="21"/>
        </w:rPr>
        <w:t>如</w:t>
      </w:r>
      <w:r>
        <w:rPr>
          <w:rFonts w:ascii="微软雅黑" w:eastAsia="微软雅黑"/>
          <w:b/>
          <w:w w:val="95"/>
          <w:sz w:val="21"/>
        </w:rPr>
        <w:t>下</w:t>
      </w:r>
      <w:r>
        <w:rPr>
          <w:spacing w:val="-10"/>
          <w:w w:val="95"/>
          <w:sz w:val="21"/>
        </w:rPr>
        <w:t>：</w:t>
      </w:r>
    </w:p>
    <w:p>
      <w:pPr>
        <w:pStyle w:val="BodyText"/>
        <w:spacing w:before="6"/>
        <w:ind w:left="0"/>
        <w:rPr>
          <w:sz w:val="11"/>
        </w:rPr>
      </w:pPr>
    </w:p>
    <w:tbl>
      <w:tblPr>
        <w:tblW w:w="0" w:type="auto"/>
        <w:jc w:val="left"/>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96"/>
        <w:gridCol w:w="2211"/>
        <w:gridCol w:w="5060"/>
      </w:tblGrid>
      <w:tr>
        <w:trPr>
          <w:trHeight w:val="431" w:hRule="atLeast"/>
        </w:trPr>
        <w:tc>
          <w:tcPr>
            <w:tcW w:w="2196" w:type="dxa"/>
            <w:tcBorders>
              <w:left w:val="nil"/>
            </w:tcBorders>
            <w:shd w:val="clear" w:color="auto" w:fill="D9D9D9"/>
          </w:tcPr>
          <w:p>
            <w:pPr>
              <w:pStyle w:val="TableParagraph"/>
              <w:spacing w:before="80"/>
              <w:ind w:left="144" w:right="143"/>
              <w:jc w:val="center"/>
              <w:rPr>
                <w:sz w:val="21"/>
              </w:rPr>
            </w:pPr>
            <w:r>
              <w:rPr>
                <w:spacing w:val="-4"/>
                <w:sz w:val="21"/>
              </w:rPr>
              <w:t>保障内容</w:t>
            </w:r>
          </w:p>
        </w:tc>
        <w:tc>
          <w:tcPr>
            <w:tcW w:w="2211" w:type="dxa"/>
            <w:shd w:val="clear" w:color="auto" w:fill="D9D9D9"/>
          </w:tcPr>
          <w:p>
            <w:pPr>
              <w:pStyle w:val="TableParagraph"/>
              <w:spacing w:before="80"/>
              <w:ind w:left="100" w:right="99"/>
              <w:jc w:val="center"/>
              <w:rPr>
                <w:sz w:val="21"/>
              </w:rPr>
            </w:pPr>
            <w:r>
              <w:rPr>
                <w:spacing w:val="-4"/>
                <w:sz w:val="21"/>
              </w:rPr>
              <w:t>保障金额</w:t>
            </w:r>
          </w:p>
        </w:tc>
        <w:tc>
          <w:tcPr>
            <w:tcW w:w="5060" w:type="dxa"/>
            <w:tcBorders>
              <w:right w:val="nil"/>
            </w:tcBorders>
            <w:shd w:val="clear" w:color="auto" w:fill="D9D9D9"/>
          </w:tcPr>
          <w:p>
            <w:pPr>
              <w:pStyle w:val="TableParagraph"/>
              <w:spacing w:before="13"/>
              <w:ind w:left="2061" w:right="2064"/>
              <w:jc w:val="center"/>
              <w:rPr>
                <w:rFonts w:ascii="微软雅黑" w:eastAsia="微软雅黑"/>
                <w:b/>
                <w:sz w:val="11"/>
              </w:rPr>
            </w:pPr>
            <w:r>
              <w:rPr>
                <w:rFonts w:ascii="微软雅黑" w:eastAsia="微软雅黑"/>
                <w:b/>
                <w:spacing w:val="-2"/>
                <w:sz w:val="21"/>
              </w:rPr>
              <w:t>给付条件</w:t>
            </w:r>
            <w:r>
              <w:rPr>
                <w:rFonts w:ascii="微软雅黑" w:eastAsia="微软雅黑"/>
                <w:b/>
                <w:spacing w:val="-10"/>
                <w:position w:val="11"/>
                <w:sz w:val="11"/>
              </w:rPr>
              <w:t>2</w:t>
            </w:r>
          </w:p>
        </w:tc>
      </w:tr>
      <w:tr>
        <w:trPr>
          <w:trHeight w:val="1014" w:hRule="atLeast"/>
        </w:trPr>
        <w:tc>
          <w:tcPr>
            <w:tcW w:w="2196" w:type="dxa"/>
            <w:tcBorders>
              <w:left w:val="nil"/>
            </w:tcBorders>
          </w:tcPr>
          <w:p>
            <w:pPr>
              <w:pStyle w:val="TableParagraph"/>
              <w:spacing w:before="1"/>
              <w:rPr>
                <w:sz w:val="29"/>
              </w:rPr>
            </w:pPr>
          </w:p>
          <w:p>
            <w:pPr>
              <w:pStyle w:val="TableParagraph"/>
              <w:spacing w:before="0"/>
              <w:ind w:left="144" w:right="141"/>
              <w:jc w:val="center"/>
              <w:rPr>
                <w:sz w:val="21"/>
              </w:rPr>
            </w:pPr>
            <w:r>
              <w:rPr>
                <w:spacing w:val="-4"/>
                <w:sz w:val="21"/>
              </w:rPr>
              <w:t>轻度疾病保险金</w:t>
            </w:r>
          </w:p>
        </w:tc>
        <w:tc>
          <w:tcPr>
            <w:tcW w:w="2211" w:type="dxa"/>
          </w:tcPr>
          <w:p>
            <w:pPr>
              <w:pStyle w:val="TableParagraph"/>
              <w:spacing w:before="5"/>
              <w:rPr>
                <w:sz w:val="18"/>
              </w:rPr>
            </w:pPr>
          </w:p>
          <w:p>
            <w:pPr>
              <w:pStyle w:val="TableParagraph"/>
              <w:spacing w:before="0"/>
              <w:ind w:left="100" w:right="99"/>
              <w:jc w:val="center"/>
              <w:rPr>
                <w:sz w:val="21"/>
              </w:rPr>
            </w:pPr>
            <w:r>
              <w:rPr>
                <w:spacing w:val="-2"/>
                <w:sz w:val="21"/>
              </w:rPr>
              <w:t>4</w:t>
            </w:r>
            <w:r>
              <w:rPr>
                <w:spacing w:val="-14"/>
                <w:sz w:val="21"/>
              </w:rPr>
              <w:t> 万元/次</w:t>
            </w:r>
          </w:p>
          <w:p>
            <w:pPr>
              <w:pStyle w:val="TableParagraph"/>
              <w:spacing w:before="3"/>
              <w:ind w:left="100" w:right="97"/>
              <w:jc w:val="center"/>
              <w:rPr>
                <w:sz w:val="21"/>
              </w:rPr>
            </w:pPr>
            <w:r>
              <w:rPr>
                <w:position w:val="1"/>
                <w:sz w:val="21"/>
              </w:rPr>
              <w:t>（20</w:t>
            </w:r>
            <w:r>
              <w:rPr>
                <w:spacing w:val="-4"/>
                <w:position w:val="1"/>
                <w:sz w:val="21"/>
              </w:rPr>
              <w:t> 万元</w:t>
            </w:r>
            <w:r>
              <w:rPr>
                <w:rFonts w:ascii="Symbol" w:hAnsi="Symbol" w:eastAsia="Symbol"/>
                <w:sz w:val="18"/>
              </w:rPr>
              <w:t></w:t>
            </w:r>
            <w:r>
              <w:rPr>
                <w:rFonts w:ascii="Times New Roman" w:hAnsi="Times New Roman" w:eastAsia="Times New Roman"/>
                <w:spacing w:val="2"/>
                <w:sz w:val="18"/>
              </w:rPr>
              <w:t> </w:t>
            </w:r>
            <w:r>
              <w:rPr>
                <w:spacing w:val="-4"/>
                <w:position w:val="1"/>
                <w:sz w:val="21"/>
              </w:rPr>
              <w:t>20</w:t>
            </w:r>
            <w:r>
              <w:rPr>
                <w:spacing w:val="-4"/>
                <w:position w:val="1"/>
                <w:sz w:val="18"/>
              </w:rPr>
              <w:t>％</w:t>
            </w:r>
            <w:r>
              <w:rPr>
                <w:spacing w:val="-4"/>
                <w:position w:val="1"/>
                <w:sz w:val="21"/>
              </w:rPr>
              <w:t>）</w:t>
            </w:r>
          </w:p>
        </w:tc>
        <w:tc>
          <w:tcPr>
            <w:tcW w:w="5060" w:type="dxa"/>
            <w:tcBorders>
              <w:right w:val="nil"/>
            </w:tcBorders>
          </w:tcPr>
          <w:p>
            <w:pPr>
              <w:pStyle w:val="TableParagraph"/>
              <w:spacing w:before="99"/>
              <w:ind w:left="103"/>
              <w:rPr>
                <w:sz w:val="21"/>
              </w:rPr>
            </w:pPr>
            <w:r>
              <w:rPr>
                <w:spacing w:val="-7"/>
                <w:sz w:val="21"/>
              </w:rPr>
              <w:t>康先生发生合同约定的 </w:t>
            </w:r>
            <w:r>
              <w:rPr>
                <w:spacing w:val="-2"/>
                <w:sz w:val="21"/>
              </w:rPr>
              <w:t>60</w:t>
            </w:r>
            <w:r>
              <w:rPr>
                <w:spacing w:val="-10"/>
                <w:sz w:val="21"/>
              </w:rPr>
              <w:t> 种轻度疾病之一</w:t>
            </w:r>
          </w:p>
          <w:p>
            <w:pPr>
              <w:pStyle w:val="TableParagraph"/>
              <w:spacing w:line="242" w:lineRule="auto" w:before="5"/>
              <w:ind w:left="103" w:right="100"/>
              <w:rPr>
                <w:sz w:val="21"/>
              </w:rPr>
            </w:pPr>
            <w:r>
              <w:rPr>
                <w:spacing w:val="-2"/>
                <w:sz w:val="21"/>
              </w:rPr>
              <w:t>每种轻度疾病仅给付一次，不同种轻度疾病累计给付</w:t>
            </w:r>
            <w:r>
              <w:rPr>
                <w:spacing w:val="-4"/>
                <w:sz w:val="21"/>
              </w:rPr>
              <w:t>最多五次</w:t>
            </w:r>
          </w:p>
        </w:tc>
      </w:tr>
      <w:tr>
        <w:trPr>
          <w:trHeight w:val="640" w:hRule="atLeast"/>
        </w:trPr>
        <w:tc>
          <w:tcPr>
            <w:tcW w:w="2196" w:type="dxa"/>
            <w:tcBorders>
              <w:left w:val="nil"/>
            </w:tcBorders>
          </w:tcPr>
          <w:p>
            <w:pPr>
              <w:pStyle w:val="TableParagraph"/>
              <w:spacing w:before="6"/>
              <w:rPr>
                <w:sz w:val="14"/>
              </w:rPr>
            </w:pPr>
          </w:p>
          <w:p>
            <w:pPr>
              <w:pStyle w:val="TableParagraph"/>
              <w:spacing w:before="0"/>
              <w:ind w:left="144" w:right="141"/>
              <w:jc w:val="center"/>
              <w:rPr>
                <w:sz w:val="21"/>
              </w:rPr>
            </w:pPr>
            <w:r>
              <w:rPr>
                <w:spacing w:val="-4"/>
                <w:sz w:val="21"/>
              </w:rPr>
              <w:t>重大疾病保险金</w:t>
            </w:r>
          </w:p>
        </w:tc>
        <w:tc>
          <w:tcPr>
            <w:tcW w:w="2211" w:type="dxa"/>
          </w:tcPr>
          <w:p>
            <w:pPr>
              <w:pStyle w:val="TableParagraph"/>
              <w:spacing w:before="6"/>
              <w:rPr>
                <w:sz w:val="14"/>
              </w:rPr>
            </w:pPr>
          </w:p>
          <w:p>
            <w:pPr>
              <w:pStyle w:val="TableParagraph"/>
              <w:spacing w:before="0"/>
              <w:ind w:left="100" w:right="100"/>
              <w:jc w:val="center"/>
              <w:rPr>
                <w:sz w:val="21"/>
              </w:rPr>
            </w:pPr>
            <w:r>
              <w:rPr>
                <w:spacing w:val="-2"/>
                <w:sz w:val="21"/>
              </w:rPr>
              <w:t>20</w:t>
            </w:r>
            <w:r>
              <w:rPr>
                <w:spacing w:val="-22"/>
                <w:sz w:val="21"/>
              </w:rPr>
              <w:t> 万元</w:t>
            </w:r>
          </w:p>
        </w:tc>
        <w:tc>
          <w:tcPr>
            <w:tcW w:w="5060" w:type="dxa"/>
            <w:tcBorders>
              <w:right w:val="nil"/>
            </w:tcBorders>
          </w:tcPr>
          <w:p>
            <w:pPr>
              <w:pStyle w:val="TableParagraph"/>
              <w:spacing w:before="6"/>
              <w:rPr>
                <w:sz w:val="14"/>
              </w:rPr>
            </w:pPr>
          </w:p>
          <w:p>
            <w:pPr>
              <w:pStyle w:val="TableParagraph"/>
              <w:spacing w:before="0"/>
              <w:ind w:left="103"/>
              <w:rPr>
                <w:sz w:val="21"/>
              </w:rPr>
            </w:pPr>
            <w:r>
              <w:rPr>
                <w:spacing w:val="-7"/>
                <w:sz w:val="21"/>
              </w:rPr>
              <w:t>康先生发生合同约定的 </w:t>
            </w:r>
            <w:r>
              <w:rPr>
                <w:spacing w:val="-2"/>
                <w:sz w:val="21"/>
              </w:rPr>
              <w:t>120</w:t>
            </w:r>
            <w:r>
              <w:rPr>
                <w:spacing w:val="-10"/>
                <w:sz w:val="21"/>
              </w:rPr>
              <w:t> 种重大疾病之一</w:t>
            </w:r>
          </w:p>
        </w:tc>
      </w:tr>
      <w:tr>
        <w:trPr>
          <w:trHeight w:val="640" w:hRule="atLeast"/>
        </w:trPr>
        <w:tc>
          <w:tcPr>
            <w:tcW w:w="2196" w:type="dxa"/>
            <w:tcBorders>
              <w:left w:val="nil"/>
            </w:tcBorders>
          </w:tcPr>
          <w:p>
            <w:pPr>
              <w:pStyle w:val="TableParagraph"/>
              <w:spacing w:before="6"/>
              <w:rPr>
                <w:sz w:val="14"/>
              </w:rPr>
            </w:pPr>
          </w:p>
          <w:p>
            <w:pPr>
              <w:pStyle w:val="TableParagraph"/>
              <w:spacing w:before="0"/>
              <w:ind w:left="144" w:right="143"/>
              <w:jc w:val="center"/>
              <w:rPr>
                <w:sz w:val="21"/>
              </w:rPr>
            </w:pPr>
            <w:r>
              <w:rPr>
                <w:spacing w:val="-4"/>
                <w:sz w:val="21"/>
              </w:rPr>
              <w:t>身故保险金</w:t>
            </w:r>
          </w:p>
        </w:tc>
        <w:tc>
          <w:tcPr>
            <w:tcW w:w="2211" w:type="dxa"/>
          </w:tcPr>
          <w:p>
            <w:pPr>
              <w:pStyle w:val="TableParagraph"/>
              <w:spacing w:before="6"/>
              <w:rPr>
                <w:sz w:val="14"/>
              </w:rPr>
            </w:pPr>
          </w:p>
          <w:p>
            <w:pPr>
              <w:pStyle w:val="TableParagraph"/>
              <w:spacing w:before="0"/>
              <w:ind w:left="100" w:right="100"/>
              <w:jc w:val="center"/>
              <w:rPr>
                <w:sz w:val="21"/>
              </w:rPr>
            </w:pPr>
            <w:r>
              <w:rPr>
                <w:spacing w:val="-2"/>
                <w:sz w:val="21"/>
              </w:rPr>
              <w:t>20</w:t>
            </w:r>
            <w:r>
              <w:rPr>
                <w:spacing w:val="-22"/>
                <w:sz w:val="21"/>
              </w:rPr>
              <w:t> 万元</w:t>
            </w:r>
          </w:p>
        </w:tc>
        <w:tc>
          <w:tcPr>
            <w:tcW w:w="5060" w:type="dxa"/>
            <w:tcBorders>
              <w:right w:val="nil"/>
            </w:tcBorders>
          </w:tcPr>
          <w:p>
            <w:pPr>
              <w:pStyle w:val="TableParagraph"/>
              <w:spacing w:before="6"/>
              <w:rPr>
                <w:sz w:val="14"/>
              </w:rPr>
            </w:pPr>
          </w:p>
          <w:p>
            <w:pPr>
              <w:pStyle w:val="TableParagraph"/>
              <w:spacing w:before="0"/>
              <w:ind w:left="103"/>
              <w:rPr>
                <w:sz w:val="21"/>
              </w:rPr>
            </w:pPr>
            <w:r>
              <w:rPr>
                <w:spacing w:val="-4"/>
                <w:sz w:val="21"/>
              </w:rPr>
              <w:t>康先生身故</w:t>
            </w:r>
          </w:p>
        </w:tc>
      </w:tr>
      <w:tr>
        <w:trPr>
          <w:trHeight w:val="640" w:hRule="atLeast"/>
        </w:trPr>
        <w:tc>
          <w:tcPr>
            <w:tcW w:w="2196" w:type="dxa"/>
            <w:tcBorders>
              <w:left w:val="nil"/>
            </w:tcBorders>
          </w:tcPr>
          <w:p>
            <w:pPr>
              <w:pStyle w:val="TableParagraph"/>
              <w:spacing w:before="6"/>
              <w:rPr>
                <w:sz w:val="14"/>
              </w:rPr>
            </w:pPr>
          </w:p>
          <w:p>
            <w:pPr>
              <w:pStyle w:val="TableParagraph"/>
              <w:spacing w:before="0"/>
              <w:ind w:left="144" w:right="143"/>
              <w:jc w:val="center"/>
              <w:rPr>
                <w:sz w:val="21"/>
              </w:rPr>
            </w:pPr>
            <w:r>
              <w:rPr>
                <w:spacing w:val="-3"/>
                <w:sz w:val="21"/>
              </w:rPr>
              <w:t>轻度疾病豁免保险费</w:t>
            </w:r>
          </w:p>
        </w:tc>
        <w:tc>
          <w:tcPr>
            <w:tcW w:w="2211" w:type="dxa"/>
          </w:tcPr>
          <w:p>
            <w:pPr>
              <w:pStyle w:val="TableParagraph"/>
              <w:spacing w:before="6"/>
              <w:rPr>
                <w:sz w:val="14"/>
              </w:rPr>
            </w:pPr>
          </w:p>
          <w:p>
            <w:pPr>
              <w:pStyle w:val="TableParagraph"/>
              <w:spacing w:before="0"/>
              <w:ind w:left="100" w:right="198"/>
              <w:jc w:val="center"/>
              <w:rPr>
                <w:sz w:val="21"/>
              </w:rPr>
            </w:pPr>
            <w:r>
              <w:rPr>
                <w:spacing w:val="-3"/>
                <w:sz w:val="21"/>
              </w:rPr>
              <w:t>本合同无需继续交费</w:t>
            </w:r>
          </w:p>
        </w:tc>
        <w:tc>
          <w:tcPr>
            <w:tcW w:w="5060" w:type="dxa"/>
            <w:tcBorders>
              <w:right w:val="nil"/>
            </w:tcBorders>
          </w:tcPr>
          <w:p>
            <w:pPr>
              <w:pStyle w:val="TableParagraph"/>
              <w:spacing w:before="6"/>
              <w:rPr>
                <w:sz w:val="14"/>
              </w:rPr>
            </w:pPr>
          </w:p>
          <w:p>
            <w:pPr>
              <w:pStyle w:val="TableParagraph"/>
              <w:spacing w:before="0"/>
              <w:ind w:left="103"/>
              <w:rPr>
                <w:sz w:val="21"/>
              </w:rPr>
            </w:pPr>
            <w:r>
              <w:rPr>
                <w:spacing w:val="-7"/>
                <w:sz w:val="21"/>
              </w:rPr>
              <w:t>康先生发生合同约定的 </w:t>
            </w:r>
            <w:r>
              <w:rPr>
                <w:spacing w:val="-2"/>
                <w:sz w:val="21"/>
              </w:rPr>
              <w:t>60</w:t>
            </w:r>
            <w:r>
              <w:rPr>
                <w:spacing w:val="-10"/>
                <w:sz w:val="21"/>
              </w:rPr>
              <w:t> 种轻度疾病之一</w:t>
            </w:r>
          </w:p>
        </w:tc>
      </w:tr>
    </w:tbl>
    <w:p>
      <w:pPr>
        <w:spacing w:before="124"/>
        <w:ind w:left="521" w:right="0" w:firstLine="0"/>
        <w:jc w:val="left"/>
        <w:rPr>
          <w:rFonts w:ascii="微软雅黑" w:eastAsia="微软雅黑"/>
          <w:b/>
          <w:sz w:val="21"/>
        </w:rPr>
      </w:pPr>
      <w:r>
        <w:rPr>
          <w:rFonts w:ascii="微软雅黑" w:eastAsia="微软雅黑"/>
          <w:b/>
          <w:spacing w:val="-3"/>
          <w:sz w:val="21"/>
        </w:rPr>
        <w:t>上述重大疾病保险金和身故保险金给付其中一项后，本合同终止。</w:t>
      </w:r>
    </w:p>
    <w:p>
      <w:pPr>
        <w:spacing w:before="179"/>
        <w:ind w:left="521" w:right="0" w:firstLine="0"/>
        <w:jc w:val="left"/>
        <w:rPr>
          <w:rFonts w:ascii="微软雅黑" w:eastAsia="微软雅黑"/>
          <w:b/>
          <w:sz w:val="21"/>
        </w:rPr>
      </w:pPr>
      <w:r>
        <w:rPr>
          <w:rFonts w:ascii="微软雅黑" w:eastAsia="微软雅黑"/>
          <w:b/>
          <w:spacing w:val="-3"/>
          <w:sz w:val="21"/>
        </w:rPr>
        <w:t>以上举例仅供您更好地理解产品之用，您所购买产品的具体保险责任及责任免除情形在保险合同中载明。</w:t>
      </w: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spacing w:before="1"/>
        <w:ind w:left="0"/>
        <w:rPr>
          <w:rFonts w:ascii="微软雅黑"/>
          <w:b/>
          <w:sz w:val="10"/>
        </w:rPr>
      </w:pPr>
      <w:r>
        <w:rPr/>
        <w:drawing>
          <wp:anchor distT="0" distB="0" distL="0" distR="0" allowOverlap="1" layoutInCell="1" locked="0" behindDoc="0" simplePos="0" relativeHeight="4">
            <wp:simplePos x="0" y="0"/>
            <wp:positionH relativeFrom="page">
              <wp:posOffset>719327</wp:posOffset>
            </wp:positionH>
            <wp:positionV relativeFrom="paragraph">
              <wp:posOffset>133345</wp:posOffset>
            </wp:positionV>
            <wp:extent cx="1829434"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1829434" cy="6096"/>
                    </a:xfrm>
                    <a:prstGeom prst="rect">
                      <a:avLst/>
                    </a:prstGeom>
                  </pic:spPr>
                </pic:pic>
              </a:graphicData>
            </a:graphic>
          </wp:anchor>
        </w:drawing>
      </w:r>
    </w:p>
    <w:p>
      <w:pPr>
        <w:spacing w:line="282" w:lineRule="exact" w:before="36"/>
        <w:ind w:left="412" w:right="0" w:firstLine="0"/>
        <w:jc w:val="left"/>
        <w:rPr>
          <w:sz w:val="18"/>
        </w:rPr>
      </w:pPr>
      <w:r>
        <w:rPr>
          <w:position w:val="9"/>
          <w:sz w:val="9"/>
        </w:rPr>
        <w:t>1</w:t>
      </w:r>
      <w:r>
        <w:rPr>
          <w:rFonts w:ascii="Microsoft JhengHei" w:hAnsi="Microsoft JhengHei" w:eastAsia="Microsoft JhengHei"/>
          <w:b/>
          <w:sz w:val="18"/>
        </w:rPr>
        <w:t>等待期</w:t>
      </w:r>
      <w:r>
        <w:rPr>
          <w:spacing w:val="-8"/>
          <w:sz w:val="18"/>
        </w:rPr>
        <w:t>指本产品有 </w:t>
      </w:r>
      <w:r>
        <w:rPr>
          <w:sz w:val="18"/>
        </w:rPr>
        <w:t>180</w:t>
      </w:r>
      <w:r>
        <w:rPr>
          <w:spacing w:val="-7"/>
          <w:sz w:val="18"/>
        </w:rPr>
        <w:t> 天的等待期，具体请见“</w:t>
      </w:r>
      <w:r>
        <w:rPr>
          <w:sz w:val="18"/>
        </w:rPr>
        <w:t>1.3</w:t>
      </w:r>
      <w:r>
        <w:rPr>
          <w:spacing w:val="-41"/>
          <w:sz w:val="18"/>
        </w:rPr>
        <w:t> 等待期”。</w:t>
      </w:r>
    </w:p>
    <w:p>
      <w:pPr>
        <w:spacing w:line="282" w:lineRule="exact" w:before="0"/>
        <w:ind w:left="412" w:right="0" w:firstLine="0"/>
        <w:jc w:val="left"/>
        <w:rPr>
          <w:sz w:val="18"/>
        </w:rPr>
      </w:pPr>
      <w:r>
        <w:rPr>
          <w:position w:val="9"/>
          <w:sz w:val="9"/>
        </w:rPr>
        <w:t>2</w:t>
      </w:r>
      <w:r>
        <w:rPr>
          <w:rFonts w:ascii="Microsoft JhengHei" w:hAnsi="Microsoft JhengHei" w:eastAsia="Microsoft JhengHei"/>
          <w:b/>
          <w:sz w:val="18"/>
        </w:rPr>
        <w:t>给付条件</w:t>
      </w:r>
      <w:r>
        <w:rPr>
          <w:sz w:val="18"/>
        </w:rPr>
        <w:t>具体请见“1.4</w:t>
      </w:r>
      <w:r>
        <w:rPr>
          <w:spacing w:val="-22"/>
          <w:sz w:val="18"/>
        </w:rPr>
        <w:t> 保险责任”。</w:t>
      </w:r>
    </w:p>
    <w:p>
      <w:pPr>
        <w:spacing w:after="0" w:line="282" w:lineRule="exact"/>
        <w:jc w:val="left"/>
        <w:rPr>
          <w:sz w:val="18"/>
        </w:rPr>
        <w:sectPr>
          <w:type w:val="continuous"/>
          <w:pgSz w:w="11910" w:h="16840"/>
          <w:pgMar w:header="0" w:footer="574" w:top="380" w:bottom="760" w:left="720" w:right="340"/>
        </w:sectPr>
      </w:pPr>
    </w:p>
    <w:p>
      <w:pPr>
        <w:spacing w:line="564" w:lineRule="exact" w:before="0"/>
        <w:ind w:left="801" w:right="1179" w:firstLine="0"/>
        <w:jc w:val="center"/>
        <w:rPr>
          <w:rFonts w:ascii="微软雅黑" w:eastAsia="微软雅黑"/>
          <w:b/>
          <w:sz w:val="32"/>
        </w:rPr>
      </w:pPr>
      <w:r>
        <w:rPr/>
        <w:drawing>
          <wp:anchor distT="0" distB="0" distL="0" distR="0" allowOverlap="1" layoutInCell="1" locked="0" behindDoc="1" simplePos="0" relativeHeight="485840896">
            <wp:simplePos x="0" y="0"/>
            <wp:positionH relativeFrom="page">
              <wp:posOffset>2856610</wp:posOffset>
            </wp:positionH>
            <wp:positionV relativeFrom="paragraph">
              <wp:posOffset>776477</wp:posOffset>
            </wp:positionV>
            <wp:extent cx="6095" cy="4102989"/>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6095" cy="4102989"/>
                    </a:xfrm>
                    <a:prstGeom prst="rect">
                      <a:avLst/>
                    </a:prstGeom>
                  </pic:spPr>
                </pic:pic>
              </a:graphicData>
            </a:graphic>
          </wp:anchor>
        </w:drawing>
      </w:r>
      <w:r>
        <w:rPr>
          <w:rFonts w:ascii="微软雅黑" w:eastAsia="微软雅黑"/>
          <w:b/>
          <w:spacing w:val="-3"/>
          <w:w w:val="95"/>
          <w:sz w:val="32"/>
        </w:rPr>
        <w:t>条款目录</w:t>
      </w:r>
    </w:p>
    <w:p>
      <w:pPr>
        <w:pStyle w:val="BodyText"/>
        <w:ind w:left="0"/>
        <w:rPr>
          <w:rFonts w:ascii="微软雅黑"/>
          <w:b/>
          <w:sz w:val="20"/>
        </w:rPr>
      </w:pPr>
    </w:p>
    <w:p>
      <w:pPr>
        <w:pStyle w:val="BodyText"/>
        <w:spacing w:before="16"/>
        <w:ind w:left="0"/>
        <w:rPr>
          <w:rFonts w:ascii="微软雅黑"/>
          <w:b/>
          <w:sz w:val="11"/>
        </w:rPr>
      </w:pPr>
    </w:p>
    <w:p>
      <w:pPr>
        <w:spacing w:after="0"/>
        <w:rPr>
          <w:rFonts w:ascii="微软雅黑"/>
          <w:sz w:val="11"/>
        </w:rPr>
        <w:sectPr>
          <w:pgSz w:w="11910" w:h="16840"/>
          <w:pgMar w:header="0" w:footer="574" w:top="1140" w:bottom="760" w:left="720" w:right="340"/>
        </w:sectPr>
      </w:pPr>
    </w:p>
    <w:p>
      <w:pPr>
        <w:pStyle w:val="ListParagraph"/>
        <w:numPr>
          <w:ilvl w:val="1"/>
          <w:numId w:val="1"/>
        </w:numPr>
        <w:tabs>
          <w:tab w:pos="788" w:val="left" w:leader="none"/>
        </w:tabs>
        <w:spacing w:line="240" w:lineRule="auto" w:before="5" w:after="0"/>
        <w:ind w:left="787" w:right="0" w:hanging="159"/>
        <w:jc w:val="left"/>
        <w:rPr>
          <w:rFonts w:ascii="微软雅黑" w:eastAsia="微软雅黑"/>
          <w:b/>
          <w:sz w:val="21"/>
        </w:rPr>
      </w:pPr>
      <w:r>
        <w:rPr>
          <w:rFonts w:ascii="微软雅黑" w:eastAsia="微软雅黑"/>
          <w:b/>
          <w:spacing w:val="-3"/>
          <w:sz w:val="21"/>
        </w:rPr>
        <w:t>我们保多久、保什么</w:t>
      </w:r>
    </w:p>
    <w:p>
      <w:pPr>
        <w:spacing w:before="5"/>
        <w:ind w:left="742" w:right="0" w:firstLine="0"/>
        <w:jc w:val="left"/>
        <w:rPr>
          <w:rFonts w:ascii="微软雅黑" w:eastAsia="微软雅黑"/>
          <w:b/>
          <w:sz w:val="21"/>
        </w:rPr>
      </w:pPr>
      <w:r>
        <w:rPr/>
        <w:br w:type="column"/>
      </w:r>
      <w:r>
        <w:rPr>
          <w:rFonts w:ascii="微软雅黑" w:eastAsia="微软雅黑"/>
          <w:b/>
          <w:w w:val="95"/>
          <w:sz w:val="21"/>
        </w:rPr>
        <w:t>5</w:t>
      </w:r>
      <w:r>
        <w:rPr>
          <w:rFonts w:ascii="微软雅黑" w:eastAsia="微软雅黑"/>
          <w:b/>
          <w:spacing w:val="3"/>
          <w:sz w:val="21"/>
        </w:rPr>
        <w:t> </w:t>
      </w:r>
      <w:r>
        <w:rPr>
          <w:rFonts w:ascii="微软雅黑" w:eastAsia="微软雅黑"/>
          <w:b/>
          <w:w w:val="95"/>
          <w:sz w:val="21"/>
        </w:rPr>
        <w:t>如</w:t>
      </w:r>
      <w:r>
        <w:rPr>
          <w:rFonts w:ascii="微软雅黑" w:eastAsia="微软雅黑"/>
          <w:b/>
          <w:w w:val="95"/>
          <w:sz w:val="21"/>
        </w:rPr>
        <w:t>何</w:t>
      </w:r>
      <w:r>
        <w:rPr>
          <w:rFonts w:ascii="微软雅黑" w:eastAsia="微软雅黑"/>
          <w:b/>
          <w:w w:val="95"/>
          <w:sz w:val="21"/>
        </w:rPr>
        <w:t>退</w:t>
      </w:r>
      <w:r>
        <w:rPr>
          <w:rFonts w:ascii="微软雅黑" w:eastAsia="微软雅黑"/>
          <w:b/>
          <w:spacing w:val="-10"/>
          <w:w w:val="95"/>
          <w:sz w:val="21"/>
        </w:rPr>
        <w:t>保</w:t>
      </w:r>
    </w:p>
    <w:p>
      <w:pPr>
        <w:spacing w:before="5"/>
        <w:ind w:left="742" w:right="0" w:firstLine="0"/>
        <w:jc w:val="left"/>
        <w:rPr>
          <w:rFonts w:ascii="微软雅黑" w:eastAsia="微软雅黑"/>
          <w:b/>
          <w:sz w:val="21"/>
        </w:rPr>
      </w:pPr>
      <w:r>
        <w:rPr/>
        <w:br w:type="column"/>
      </w:r>
      <w:r>
        <w:rPr>
          <w:rFonts w:ascii="微软雅黑" w:eastAsia="微软雅黑"/>
          <w:b/>
          <w:spacing w:val="1"/>
          <w:sz w:val="21"/>
        </w:rPr>
        <w:t>附件一 轻度疾病定义</w:t>
      </w:r>
    </w:p>
    <w:p>
      <w:pPr>
        <w:spacing w:after="0"/>
        <w:jc w:val="left"/>
        <w:rPr>
          <w:rFonts w:ascii="微软雅黑" w:eastAsia="微软雅黑"/>
          <w:sz w:val="21"/>
        </w:rPr>
        <w:sectPr>
          <w:type w:val="continuous"/>
          <w:pgSz w:w="11910" w:h="16840"/>
          <w:pgMar w:header="0" w:footer="574" w:top="380" w:bottom="760" w:left="720" w:right="340"/>
          <w:cols w:num="3" w:equalWidth="0">
            <w:col w:w="2729" w:space="420"/>
            <w:col w:w="1786" w:space="1767"/>
            <w:col w:w="4148"/>
          </w:cols>
        </w:sectPr>
      </w:pPr>
    </w:p>
    <w:p>
      <w:pPr>
        <w:pStyle w:val="BodyText"/>
        <w:spacing w:before="13"/>
        <w:ind w:left="0"/>
        <w:rPr>
          <w:rFonts w:ascii="微软雅黑"/>
          <w:b/>
          <w:sz w:val="9"/>
        </w:rPr>
      </w:pPr>
    </w:p>
    <w:tbl>
      <w:tblPr>
        <w:tblW w:w="0" w:type="auto"/>
        <w:jc w:val="left"/>
        <w:tblInd w:w="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574"/>
        <w:gridCol w:w="3104"/>
      </w:tblGrid>
      <w:tr>
        <w:trPr>
          <w:trHeight w:val="275" w:hRule="atLeast"/>
        </w:trPr>
        <w:tc>
          <w:tcPr>
            <w:tcW w:w="420" w:type="dxa"/>
          </w:tcPr>
          <w:p>
            <w:pPr>
              <w:pStyle w:val="TableParagraph"/>
              <w:spacing w:line="241" w:lineRule="exact" w:before="0"/>
              <w:ind w:left="39" w:right="40"/>
              <w:jc w:val="center"/>
              <w:rPr>
                <w:sz w:val="21"/>
              </w:rPr>
            </w:pPr>
            <w:r>
              <w:rPr>
                <w:spacing w:val="-5"/>
                <w:sz w:val="21"/>
              </w:rPr>
              <w:t>1.1</w:t>
            </w:r>
          </w:p>
        </w:tc>
        <w:tc>
          <w:tcPr>
            <w:tcW w:w="2574" w:type="dxa"/>
          </w:tcPr>
          <w:p>
            <w:pPr>
              <w:pStyle w:val="TableParagraph"/>
              <w:spacing w:line="241" w:lineRule="exact" w:before="0"/>
              <w:ind w:left="52"/>
              <w:rPr>
                <w:sz w:val="21"/>
              </w:rPr>
            </w:pPr>
            <w:r>
              <w:rPr>
                <w:spacing w:val="-4"/>
                <w:sz w:val="21"/>
              </w:rPr>
              <w:t>保险期间</w:t>
            </w:r>
          </w:p>
        </w:tc>
        <w:tc>
          <w:tcPr>
            <w:tcW w:w="3104" w:type="dxa"/>
          </w:tcPr>
          <w:p>
            <w:pPr>
              <w:pStyle w:val="TableParagraph"/>
              <w:spacing w:line="241" w:lineRule="exact" w:before="0"/>
              <w:ind w:left="318"/>
              <w:rPr>
                <w:sz w:val="21"/>
              </w:rPr>
            </w:pPr>
            <w:r>
              <w:rPr>
                <w:sz w:val="21"/>
              </w:rPr>
              <w:t>5.1</w:t>
            </w:r>
            <w:r>
              <w:rPr>
                <w:spacing w:val="-4"/>
                <w:sz w:val="21"/>
              </w:rPr>
              <w:t> 犹豫期</w:t>
            </w:r>
          </w:p>
        </w:tc>
      </w:tr>
      <w:tr>
        <w:trPr>
          <w:trHeight w:val="339" w:hRule="atLeast"/>
        </w:trPr>
        <w:tc>
          <w:tcPr>
            <w:tcW w:w="420" w:type="dxa"/>
          </w:tcPr>
          <w:p>
            <w:pPr>
              <w:pStyle w:val="TableParagraph"/>
              <w:spacing w:before="36"/>
              <w:ind w:left="39" w:right="40"/>
              <w:jc w:val="center"/>
              <w:rPr>
                <w:sz w:val="21"/>
              </w:rPr>
            </w:pPr>
            <w:r>
              <w:rPr>
                <w:spacing w:val="-5"/>
                <w:sz w:val="21"/>
              </w:rPr>
              <w:t>1.2</w:t>
            </w:r>
          </w:p>
        </w:tc>
        <w:tc>
          <w:tcPr>
            <w:tcW w:w="2574" w:type="dxa"/>
          </w:tcPr>
          <w:p>
            <w:pPr>
              <w:pStyle w:val="TableParagraph"/>
              <w:spacing w:before="36"/>
              <w:ind w:left="52"/>
              <w:rPr>
                <w:sz w:val="21"/>
              </w:rPr>
            </w:pPr>
            <w:r>
              <w:rPr>
                <w:spacing w:val="-4"/>
                <w:sz w:val="21"/>
              </w:rPr>
              <w:t>基本保险金额</w:t>
            </w:r>
          </w:p>
        </w:tc>
        <w:tc>
          <w:tcPr>
            <w:tcW w:w="3104" w:type="dxa"/>
          </w:tcPr>
          <w:p>
            <w:pPr>
              <w:pStyle w:val="TableParagraph"/>
              <w:spacing w:before="36"/>
              <w:ind w:left="318"/>
              <w:rPr>
                <w:sz w:val="21"/>
              </w:rPr>
            </w:pPr>
            <w:r>
              <w:rPr>
                <w:sz w:val="21"/>
              </w:rPr>
              <w:t>5.2</w:t>
            </w:r>
            <w:r>
              <w:rPr>
                <w:spacing w:val="-5"/>
                <w:sz w:val="21"/>
              </w:rPr>
              <w:t> 您解除合同的手续及风险</w:t>
            </w:r>
          </w:p>
        </w:tc>
      </w:tr>
      <w:tr>
        <w:trPr>
          <w:trHeight w:val="339" w:hRule="atLeast"/>
        </w:trPr>
        <w:tc>
          <w:tcPr>
            <w:tcW w:w="420" w:type="dxa"/>
          </w:tcPr>
          <w:p>
            <w:pPr>
              <w:pStyle w:val="TableParagraph"/>
              <w:spacing w:before="35"/>
              <w:ind w:left="39" w:right="40"/>
              <w:jc w:val="center"/>
              <w:rPr>
                <w:sz w:val="21"/>
              </w:rPr>
            </w:pPr>
            <w:r>
              <w:rPr>
                <w:spacing w:val="-5"/>
                <w:sz w:val="21"/>
              </w:rPr>
              <w:t>1.3</w:t>
            </w:r>
          </w:p>
        </w:tc>
        <w:tc>
          <w:tcPr>
            <w:tcW w:w="2574" w:type="dxa"/>
          </w:tcPr>
          <w:p>
            <w:pPr>
              <w:pStyle w:val="TableParagraph"/>
              <w:spacing w:before="35"/>
              <w:ind w:left="52"/>
              <w:rPr>
                <w:sz w:val="21"/>
              </w:rPr>
            </w:pPr>
            <w:r>
              <w:rPr>
                <w:spacing w:val="-5"/>
                <w:sz w:val="21"/>
              </w:rPr>
              <w:t>等待期</w:t>
            </w:r>
          </w:p>
        </w:tc>
        <w:tc>
          <w:tcPr>
            <w:tcW w:w="3104" w:type="dxa"/>
          </w:tcPr>
          <w:p>
            <w:pPr>
              <w:pStyle w:val="TableParagraph"/>
              <w:spacing w:before="0"/>
              <w:rPr>
                <w:rFonts w:ascii="Times New Roman"/>
                <w:sz w:val="20"/>
              </w:rPr>
            </w:pPr>
          </w:p>
        </w:tc>
      </w:tr>
      <w:tr>
        <w:trPr>
          <w:trHeight w:val="340" w:hRule="atLeast"/>
        </w:trPr>
        <w:tc>
          <w:tcPr>
            <w:tcW w:w="420" w:type="dxa"/>
          </w:tcPr>
          <w:p>
            <w:pPr>
              <w:pStyle w:val="TableParagraph"/>
              <w:spacing w:before="36"/>
              <w:ind w:left="39" w:right="40"/>
              <w:jc w:val="center"/>
              <w:rPr>
                <w:sz w:val="21"/>
              </w:rPr>
            </w:pPr>
            <w:r>
              <w:rPr>
                <w:spacing w:val="-5"/>
                <w:sz w:val="21"/>
              </w:rPr>
              <w:t>1.4</w:t>
            </w:r>
          </w:p>
        </w:tc>
        <w:tc>
          <w:tcPr>
            <w:tcW w:w="2574" w:type="dxa"/>
          </w:tcPr>
          <w:p>
            <w:pPr>
              <w:pStyle w:val="TableParagraph"/>
              <w:spacing w:before="36"/>
              <w:ind w:left="52"/>
              <w:rPr>
                <w:sz w:val="21"/>
              </w:rPr>
            </w:pPr>
            <w:r>
              <w:rPr>
                <w:spacing w:val="-4"/>
                <w:sz w:val="21"/>
              </w:rPr>
              <w:t>保险责任</w:t>
            </w:r>
          </w:p>
        </w:tc>
        <w:tc>
          <w:tcPr>
            <w:tcW w:w="3104" w:type="dxa"/>
          </w:tcPr>
          <w:p>
            <w:pPr>
              <w:pStyle w:val="TableParagraph"/>
              <w:spacing w:before="0"/>
              <w:rPr>
                <w:rFonts w:ascii="Times New Roman"/>
                <w:sz w:val="20"/>
              </w:rPr>
            </w:pPr>
          </w:p>
        </w:tc>
      </w:tr>
      <w:tr>
        <w:trPr>
          <w:trHeight w:val="276" w:hRule="atLeast"/>
        </w:trPr>
        <w:tc>
          <w:tcPr>
            <w:tcW w:w="420" w:type="dxa"/>
          </w:tcPr>
          <w:p>
            <w:pPr>
              <w:pStyle w:val="TableParagraph"/>
              <w:spacing w:line="220" w:lineRule="exact" w:before="36"/>
              <w:ind w:left="39" w:right="40"/>
              <w:jc w:val="center"/>
              <w:rPr>
                <w:sz w:val="21"/>
              </w:rPr>
            </w:pPr>
            <w:r>
              <w:rPr>
                <w:spacing w:val="-5"/>
                <w:sz w:val="21"/>
              </w:rPr>
              <w:t>1.5</w:t>
            </w:r>
          </w:p>
        </w:tc>
        <w:tc>
          <w:tcPr>
            <w:tcW w:w="2574" w:type="dxa"/>
          </w:tcPr>
          <w:p>
            <w:pPr>
              <w:pStyle w:val="TableParagraph"/>
              <w:spacing w:line="220" w:lineRule="exact" w:before="36"/>
              <w:ind w:left="52"/>
              <w:rPr>
                <w:sz w:val="21"/>
              </w:rPr>
            </w:pPr>
            <w:r>
              <w:rPr>
                <w:spacing w:val="-3"/>
                <w:sz w:val="21"/>
              </w:rPr>
              <w:t>我们所保障的疾病列表</w:t>
            </w:r>
          </w:p>
        </w:tc>
        <w:tc>
          <w:tcPr>
            <w:tcW w:w="3104" w:type="dxa"/>
          </w:tcPr>
          <w:p>
            <w:pPr>
              <w:pStyle w:val="TableParagraph"/>
              <w:spacing w:before="0"/>
              <w:rPr>
                <w:rFonts w:ascii="Times New Roman"/>
                <w:sz w:val="20"/>
              </w:rPr>
            </w:pPr>
          </w:p>
        </w:tc>
      </w:tr>
    </w:tbl>
    <w:p>
      <w:pPr>
        <w:pStyle w:val="BodyText"/>
        <w:spacing w:before="2"/>
        <w:ind w:left="0"/>
        <w:rPr>
          <w:rFonts w:ascii="微软雅黑"/>
          <w:b/>
          <w:sz w:val="20"/>
        </w:rPr>
      </w:pPr>
    </w:p>
    <w:p>
      <w:pPr>
        <w:spacing w:after="0"/>
        <w:rPr>
          <w:rFonts w:ascii="微软雅黑"/>
          <w:sz w:val="20"/>
        </w:rPr>
        <w:sectPr>
          <w:type w:val="continuous"/>
          <w:pgSz w:w="11910" w:h="16840"/>
          <w:pgMar w:header="0" w:footer="574" w:top="380" w:bottom="760" w:left="720" w:right="340"/>
        </w:sectPr>
      </w:pPr>
    </w:p>
    <w:p>
      <w:pPr>
        <w:pStyle w:val="ListParagraph"/>
        <w:numPr>
          <w:ilvl w:val="1"/>
          <w:numId w:val="1"/>
        </w:numPr>
        <w:tabs>
          <w:tab w:pos="788" w:val="left" w:leader="none"/>
        </w:tabs>
        <w:spacing w:line="240" w:lineRule="auto" w:before="4" w:after="0"/>
        <w:ind w:left="787" w:right="0" w:hanging="159"/>
        <w:jc w:val="left"/>
        <w:rPr>
          <w:rFonts w:ascii="微软雅黑" w:eastAsia="微软雅黑"/>
          <w:b/>
          <w:sz w:val="21"/>
        </w:rPr>
      </w:pPr>
      <w:r>
        <w:rPr>
          <w:rFonts w:ascii="微软雅黑" w:eastAsia="微软雅黑"/>
          <w:b/>
          <w:spacing w:val="-2"/>
          <w:sz w:val="21"/>
        </w:rPr>
        <w:t>什么情况我们不赔</w:t>
      </w:r>
    </w:p>
    <w:p>
      <w:pPr>
        <w:pStyle w:val="ListParagraph"/>
        <w:numPr>
          <w:ilvl w:val="2"/>
          <w:numId w:val="1"/>
        </w:numPr>
        <w:tabs>
          <w:tab w:pos="1263" w:val="left" w:leader="none"/>
        </w:tabs>
        <w:spacing w:line="240" w:lineRule="auto" w:before="151" w:after="0"/>
        <w:ind w:left="1262" w:right="0" w:hanging="423"/>
        <w:jc w:val="left"/>
        <w:rPr>
          <w:sz w:val="21"/>
        </w:rPr>
      </w:pPr>
      <w:r>
        <w:rPr>
          <w:spacing w:val="-4"/>
          <w:sz w:val="21"/>
        </w:rPr>
        <w:t>责任免除</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1"/>
        <w:ind w:left="0"/>
        <w:rPr>
          <w:sz w:val="28"/>
        </w:rPr>
      </w:pPr>
    </w:p>
    <w:p>
      <w:pPr>
        <w:pStyle w:val="Heading2"/>
        <w:numPr>
          <w:ilvl w:val="1"/>
          <w:numId w:val="1"/>
        </w:numPr>
        <w:tabs>
          <w:tab w:pos="788" w:val="left" w:leader="none"/>
        </w:tabs>
        <w:spacing w:line="240" w:lineRule="auto" w:before="0" w:after="0"/>
        <w:ind w:left="787" w:right="0" w:hanging="159"/>
        <w:jc w:val="left"/>
      </w:pPr>
      <w:r>
        <w:rPr>
          <w:spacing w:val="-4"/>
        </w:rPr>
        <w:t>如何交纳保险费</w:t>
      </w:r>
    </w:p>
    <w:p>
      <w:pPr>
        <w:pStyle w:val="ListParagraph"/>
        <w:numPr>
          <w:ilvl w:val="0"/>
          <w:numId w:val="2"/>
        </w:numPr>
        <w:tabs>
          <w:tab w:pos="222" w:val="left" w:leader="none"/>
        </w:tabs>
        <w:spacing w:line="240" w:lineRule="auto" w:before="4" w:after="0"/>
        <w:ind w:left="221" w:right="0" w:hanging="159"/>
        <w:jc w:val="left"/>
        <w:rPr>
          <w:rFonts w:ascii="微软雅黑" w:eastAsia="微软雅黑"/>
          <w:b/>
          <w:sz w:val="21"/>
        </w:rPr>
      </w:pPr>
      <w:r>
        <w:rPr>
          <w:rFonts w:ascii="微软雅黑" w:eastAsia="微软雅黑"/>
          <w:b/>
          <w:sz w:val="21"/>
        </w:rPr>
        <w:br w:type="column"/>
      </w:r>
      <w:r>
        <w:rPr>
          <w:rFonts w:ascii="微软雅黑" w:eastAsia="微软雅黑"/>
          <w:b/>
          <w:spacing w:val="-3"/>
          <w:sz w:val="21"/>
        </w:rPr>
        <w:t>其他权益</w:t>
      </w:r>
    </w:p>
    <w:p>
      <w:pPr>
        <w:pStyle w:val="ListParagraph"/>
        <w:numPr>
          <w:ilvl w:val="1"/>
          <w:numId w:val="2"/>
        </w:numPr>
        <w:tabs>
          <w:tab w:pos="697" w:val="left" w:leader="none"/>
        </w:tabs>
        <w:spacing w:line="240" w:lineRule="auto" w:before="151" w:after="0"/>
        <w:ind w:left="696" w:right="0" w:hanging="423"/>
        <w:jc w:val="left"/>
        <w:rPr>
          <w:sz w:val="21"/>
        </w:rPr>
      </w:pPr>
      <w:r>
        <w:rPr>
          <w:spacing w:val="-4"/>
          <w:sz w:val="21"/>
        </w:rPr>
        <w:t>现金价值</w:t>
      </w:r>
    </w:p>
    <w:p>
      <w:pPr>
        <w:pStyle w:val="ListParagraph"/>
        <w:numPr>
          <w:ilvl w:val="1"/>
          <w:numId w:val="2"/>
        </w:numPr>
        <w:tabs>
          <w:tab w:pos="697" w:val="left" w:leader="none"/>
        </w:tabs>
        <w:spacing w:line="240" w:lineRule="auto" w:before="72" w:after="0"/>
        <w:ind w:left="696" w:right="0" w:hanging="423"/>
        <w:jc w:val="left"/>
        <w:rPr>
          <w:sz w:val="21"/>
        </w:rPr>
      </w:pPr>
      <w:r>
        <w:rPr>
          <w:spacing w:val="-4"/>
          <w:sz w:val="21"/>
        </w:rPr>
        <w:t>保单贷款</w:t>
      </w:r>
    </w:p>
    <w:p>
      <w:pPr>
        <w:pStyle w:val="ListParagraph"/>
        <w:numPr>
          <w:ilvl w:val="1"/>
          <w:numId w:val="2"/>
        </w:numPr>
        <w:tabs>
          <w:tab w:pos="695" w:val="left" w:leader="none"/>
        </w:tabs>
        <w:spacing w:line="240" w:lineRule="auto" w:before="70" w:after="0"/>
        <w:ind w:left="694" w:right="0" w:hanging="421"/>
        <w:jc w:val="left"/>
        <w:rPr>
          <w:sz w:val="21"/>
        </w:rPr>
      </w:pPr>
      <w:r>
        <w:rPr>
          <w:spacing w:val="-4"/>
          <w:sz w:val="21"/>
        </w:rPr>
        <w:t>保险费自动垫交</w:t>
      </w:r>
    </w:p>
    <w:p>
      <w:pPr>
        <w:pStyle w:val="ListParagraph"/>
        <w:numPr>
          <w:ilvl w:val="1"/>
          <w:numId w:val="2"/>
        </w:numPr>
        <w:tabs>
          <w:tab w:pos="695" w:val="left" w:leader="none"/>
        </w:tabs>
        <w:spacing w:line="240" w:lineRule="auto" w:before="71" w:after="0"/>
        <w:ind w:left="694" w:right="0" w:hanging="421"/>
        <w:jc w:val="left"/>
        <w:rPr>
          <w:sz w:val="21"/>
        </w:rPr>
      </w:pPr>
      <w:r>
        <w:rPr>
          <w:spacing w:val="-5"/>
          <w:sz w:val="21"/>
        </w:rPr>
        <w:t>减保</w:t>
      </w:r>
    </w:p>
    <w:p>
      <w:pPr>
        <w:pStyle w:val="BodyText"/>
        <w:ind w:left="0"/>
        <w:rPr>
          <w:sz w:val="20"/>
        </w:rPr>
      </w:pPr>
    </w:p>
    <w:p>
      <w:pPr>
        <w:pStyle w:val="BodyText"/>
        <w:spacing w:before="3"/>
        <w:ind w:left="0"/>
        <w:rPr>
          <w:sz w:val="29"/>
        </w:rPr>
      </w:pPr>
    </w:p>
    <w:p>
      <w:pPr>
        <w:pStyle w:val="ListParagraph"/>
        <w:numPr>
          <w:ilvl w:val="0"/>
          <w:numId w:val="2"/>
        </w:numPr>
        <w:tabs>
          <w:tab w:pos="222" w:val="left" w:leader="none"/>
        </w:tabs>
        <w:spacing w:line="240" w:lineRule="auto" w:before="0" w:after="0"/>
        <w:ind w:left="221" w:right="0" w:hanging="159"/>
        <w:jc w:val="left"/>
        <w:rPr>
          <w:rFonts w:ascii="微软雅黑" w:eastAsia="微软雅黑"/>
          <w:b/>
          <w:sz w:val="21"/>
        </w:rPr>
      </w:pPr>
      <w:r>
        <w:rPr>
          <w:rFonts w:ascii="微软雅黑" w:eastAsia="微软雅黑"/>
          <w:b/>
          <w:spacing w:val="-2"/>
          <w:sz w:val="21"/>
        </w:rPr>
        <w:t>合同的构成与生效</w:t>
      </w:r>
    </w:p>
    <w:p>
      <w:pPr>
        <w:spacing w:before="4"/>
        <w:ind w:left="63" w:right="0" w:firstLine="0"/>
        <w:jc w:val="left"/>
        <w:rPr>
          <w:rFonts w:ascii="微软雅黑" w:eastAsia="微软雅黑"/>
          <w:b/>
          <w:sz w:val="21"/>
        </w:rPr>
      </w:pPr>
      <w:r>
        <w:rPr/>
        <w:br w:type="column"/>
      </w:r>
      <w:r>
        <w:rPr>
          <w:rFonts w:ascii="微软雅黑" w:eastAsia="微软雅黑"/>
          <w:b/>
          <w:spacing w:val="1"/>
          <w:sz w:val="21"/>
        </w:rPr>
        <w:t>附件二 重大疾病定义</w:t>
      </w: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spacing w:before="7"/>
        <w:ind w:left="0"/>
        <w:rPr>
          <w:rFonts w:ascii="微软雅黑"/>
          <w:b/>
          <w:sz w:val="12"/>
        </w:rPr>
      </w:pPr>
    </w:p>
    <w:p>
      <w:pPr>
        <w:spacing w:before="0"/>
        <w:ind w:left="63" w:right="0" w:firstLine="0"/>
        <w:jc w:val="left"/>
        <w:rPr>
          <w:rFonts w:ascii="微软雅黑" w:eastAsia="微软雅黑"/>
          <w:b/>
          <w:sz w:val="21"/>
        </w:rPr>
      </w:pPr>
      <w:r>
        <w:rPr/>
        <w:drawing>
          <wp:anchor distT="0" distB="0" distL="0" distR="0" allowOverlap="1" layoutInCell="1" locked="0" behindDoc="0" simplePos="0" relativeHeight="15733248">
            <wp:simplePos x="0" y="0"/>
            <wp:positionH relativeFrom="page">
              <wp:posOffset>5112384</wp:posOffset>
            </wp:positionH>
            <wp:positionV relativeFrom="paragraph">
              <wp:posOffset>-3113174</wp:posOffset>
            </wp:positionV>
            <wp:extent cx="6096" cy="6345047"/>
            <wp:effectExtent l="0" t="0" r="0" b="0"/>
            <wp:wrapNone/>
            <wp:docPr id="13" name="image7.png"/>
            <wp:cNvGraphicFramePr>
              <a:graphicFrameLocks noChangeAspect="1"/>
            </wp:cNvGraphicFramePr>
            <a:graphic>
              <a:graphicData uri="http://schemas.openxmlformats.org/drawingml/2006/picture">
                <pic:pic>
                  <pic:nvPicPr>
                    <pic:cNvPr id="14" name="image7.png"/>
                    <pic:cNvPicPr/>
                  </pic:nvPicPr>
                  <pic:blipFill>
                    <a:blip r:embed="rId12" cstate="print"/>
                    <a:stretch>
                      <a:fillRect/>
                    </a:stretch>
                  </pic:blipFill>
                  <pic:spPr>
                    <a:xfrm>
                      <a:off x="0" y="0"/>
                      <a:ext cx="6096" cy="6345047"/>
                    </a:xfrm>
                    <a:prstGeom prst="rect">
                      <a:avLst/>
                    </a:prstGeom>
                  </pic:spPr>
                </pic:pic>
              </a:graphicData>
            </a:graphic>
          </wp:anchor>
        </w:drawing>
      </w:r>
      <w:r>
        <w:rPr>
          <w:rFonts w:ascii="微软雅黑" w:eastAsia="微软雅黑"/>
          <w:b/>
          <w:spacing w:val="3"/>
          <w:sz w:val="21"/>
        </w:rPr>
        <w:t>附件三 术语释义</w:t>
      </w:r>
    </w:p>
    <w:p>
      <w:pPr>
        <w:spacing w:after="0"/>
        <w:jc w:val="left"/>
        <w:rPr>
          <w:rFonts w:ascii="微软雅黑" w:eastAsia="微软雅黑"/>
          <w:sz w:val="21"/>
        </w:rPr>
        <w:sectPr>
          <w:type w:val="continuous"/>
          <w:pgSz w:w="11910" w:h="16840"/>
          <w:pgMar w:header="0" w:footer="574" w:top="380" w:bottom="760" w:left="720" w:right="340"/>
          <w:cols w:num="3" w:equalWidth="0">
            <w:col w:w="3789" w:space="40"/>
            <w:col w:w="3513" w:space="39"/>
            <w:col w:w="3469"/>
          </w:cols>
        </w:sectPr>
      </w:pPr>
    </w:p>
    <w:p>
      <w:pPr>
        <w:pStyle w:val="BodyText"/>
        <w:spacing w:before="15" w:after="1"/>
        <w:ind w:left="0"/>
        <w:rPr>
          <w:rFonts w:ascii="微软雅黑"/>
          <w:b/>
          <w:sz w:val="9"/>
        </w:rPr>
      </w:pPr>
    </w:p>
    <w:tbl>
      <w:tblPr>
        <w:tblW w:w="0" w:type="auto"/>
        <w:jc w:val="left"/>
        <w:tblInd w:w="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103"/>
        <w:gridCol w:w="2734"/>
      </w:tblGrid>
      <w:tr>
        <w:trPr>
          <w:trHeight w:val="274" w:hRule="atLeast"/>
        </w:trPr>
        <w:tc>
          <w:tcPr>
            <w:tcW w:w="420" w:type="dxa"/>
          </w:tcPr>
          <w:p>
            <w:pPr>
              <w:pStyle w:val="TableParagraph"/>
              <w:spacing w:line="241" w:lineRule="exact" w:before="0"/>
              <w:ind w:left="39" w:right="40"/>
              <w:jc w:val="center"/>
              <w:rPr>
                <w:sz w:val="21"/>
              </w:rPr>
            </w:pPr>
            <w:r>
              <w:rPr>
                <w:spacing w:val="-5"/>
                <w:sz w:val="21"/>
              </w:rPr>
              <w:t>3.1</w:t>
            </w:r>
          </w:p>
        </w:tc>
        <w:tc>
          <w:tcPr>
            <w:tcW w:w="2103" w:type="dxa"/>
          </w:tcPr>
          <w:p>
            <w:pPr>
              <w:pStyle w:val="TableParagraph"/>
              <w:spacing w:line="241" w:lineRule="exact" w:before="0"/>
              <w:ind w:left="52"/>
              <w:rPr>
                <w:sz w:val="21"/>
              </w:rPr>
            </w:pPr>
            <w:r>
              <w:rPr>
                <w:spacing w:val="-4"/>
                <w:sz w:val="21"/>
              </w:rPr>
              <w:t>保险费的交纳</w:t>
            </w:r>
          </w:p>
        </w:tc>
        <w:tc>
          <w:tcPr>
            <w:tcW w:w="2734" w:type="dxa"/>
          </w:tcPr>
          <w:p>
            <w:pPr>
              <w:pStyle w:val="TableParagraph"/>
              <w:spacing w:line="241" w:lineRule="exact" w:before="0"/>
              <w:ind w:left="789"/>
              <w:rPr>
                <w:sz w:val="21"/>
              </w:rPr>
            </w:pPr>
            <w:r>
              <w:rPr>
                <w:sz w:val="21"/>
              </w:rPr>
              <w:t>7.1</w:t>
            </w:r>
            <w:r>
              <w:rPr>
                <w:spacing w:val="-4"/>
                <w:sz w:val="21"/>
              </w:rPr>
              <w:t> 合同构成</w:t>
            </w:r>
          </w:p>
        </w:tc>
      </w:tr>
      <w:tr>
        <w:trPr>
          <w:trHeight w:val="339" w:hRule="atLeast"/>
        </w:trPr>
        <w:tc>
          <w:tcPr>
            <w:tcW w:w="420" w:type="dxa"/>
          </w:tcPr>
          <w:p>
            <w:pPr>
              <w:pStyle w:val="TableParagraph"/>
              <w:spacing w:before="35"/>
              <w:ind w:left="39" w:right="40"/>
              <w:jc w:val="center"/>
              <w:rPr>
                <w:sz w:val="21"/>
              </w:rPr>
            </w:pPr>
            <w:r>
              <w:rPr>
                <w:spacing w:val="-5"/>
                <w:sz w:val="21"/>
              </w:rPr>
              <w:t>3.2</w:t>
            </w:r>
          </w:p>
        </w:tc>
        <w:tc>
          <w:tcPr>
            <w:tcW w:w="2103" w:type="dxa"/>
          </w:tcPr>
          <w:p>
            <w:pPr>
              <w:pStyle w:val="TableParagraph"/>
              <w:spacing w:before="35"/>
              <w:ind w:left="52"/>
              <w:rPr>
                <w:sz w:val="21"/>
              </w:rPr>
            </w:pPr>
            <w:r>
              <w:rPr>
                <w:spacing w:val="-5"/>
                <w:sz w:val="21"/>
              </w:rPr>
              <w:t>宽限期</w:t>
            </w:r>
          </w:p>
        </w:tc>
        <w:tc>
          <w:tcPr>
            <w:tcW w:w="2734" w:type="dxa"/>
          </w:tcPr>
          <w:p>
            <w:pPr>
              <w:pStyle w:val="TableParagraph"/>
              <w:spacing w:before="35"/>
              <w:ind w:left="789"/>
              <w:rPr>
                <w:sz w:val="21"/>
              </w:rPr>
            </w:pPr>
            <w:r>
              <w:rPr>
                <w:sz w:val="21"/>
              </w:rPr>
              <w:t>7.2</w:t>
            </w:r>
            <w:r>
              <w:rPr>
                <w:spacing w:val="-4"/>
                <w:sz w:val="21"/>
              </w:rPr>
              <w:t> 合同成立及生效</w:t>
            </w:r>
          </w:p>
        </w:tc>
      </w:tr>
      <w:tr>
        <w:trPr>
          <w:trHeight w:val="341" w:hRule="atLeast"/>
        </w:trPr>
        <w:tc>
          <w:tcPr>
            <w:tcW w:w="420" w:type="dxa"/>
          </w:tcPr>
          <w:p>
            <w:pPr>
              <w:pStyle w:val="TableParagraph"/>
              <w:spacing w:before="36"/>
              <w:ind w:left="39" w:right="40"/>
              <w:jc w:val="center"/>
              <w:rPr>
                <w:sz w:val="21"/>
              </w:rPr>
            </w:pPr>
            <w:r>
              <w:rPr>
                <w:spacing w:val="-5"/>
                <w:sz w:val="21"/>
              </w:rPr>
              <w:t>3.3</w:t>
            </w:r>
          </w:p>
        </w:tc>
        <w:tc>
          <w:tcPr>
            <w:tcW w:w="2103" w:type="dxa"/>
          </w:tcPr>
          <w:p>
            <w:pPr>
              <w:pStyle w:val="TableParagraph"/>
              <w:spacing w:before="36"/>
              <w:ind w:left="52"/>
              <w:rPr>
                <w:sz w:val="21"/>
              </w:rPr>
            </w:pPr>
            <w:r>
              <w:rPr>
                <w:spacing w:val="-4"/>
                <w:sz w:val="21"/>
              </w:rPr>
              <w:t>效力中止</w:t>
            </w:r>
          </w:p>
        </w:tc>
        <w:tc>
          <w:tcPr>
            <w:tcW w:w="2734" w:type="dxa"/>
          </w:tcPr>
          <w:p>
            <w:pPr>
              <w:pStyle w:val="TableParagraph"/>
              <w:spacing w:before="0"/>
              <w:rPr>
                <w:rFonts w:ascii="Times New Roman"/>
                <w:sz w:val="20"/>
              </w:rPr>
            </w:pPr>
          </w:p>
        </w:tc>
      </w:tr>
      <w:tr>
        <w:trPr>
          <w:trHeight w:val="276" w:hRule="atLeast"/>
        </w:trPr>
        <w:tc>
          <w:tcPr>
            <w:tcW w:w="420" w:type="dxa"/>
          </w:tcPr>
          <w:p>
            <w:pPr>
              <w:pStyle w:val="TableParagraph"/>
              <w:spacing w:line="220" w:lineRule="exact" w:before="36"/>
              <w:ind w:left="39" w:right="40"/>
              <w:jc w:val="center"/>
              <w:rPr>
                <w:sz w:val="21"/>
              </w:rPr>
            </w:pPr>
            <w:r>
              <w:rPr>
                <w:spacing w:val="-5"/>
                <w:sz w:val="21"/>
              </w:rPr>
              <w:t>3.4</w:t>
            </w:r>
          </w:p>
        </w:tc>
        <w:tc>
          <w:tcPr>
            <w:tcW w:w="2103" w:type="dxa"/>
          </w:tcPr>
          <w:p>
            <w:pPr>
              <w:pStyle w:val="TableParagraph"/>
              <w:spacing w:line="220" w:lineRule="exact" w:before="36"/>
              <w:ind w:left="52"/>
              <w:rPr>
                <w:sz w:val="21"/>
              </w:rPr>
            </w:pPr>
            <w:r>
              <w:rPr>
                <w:spacing w:val="-4"/>
                <w:sz w:val="21"/>
              </w:rPr>
              <w:t>效力恢复</w:t>
            </w:r>
          </w:p>
        </w:tc>
        <w:tc>
          <w:tcPr>
            <w:tcW w:w="2734" w:type="dxa"/>
          </w:tcPr>
          <w:p>
            <w:pPr>
              <w:pStyle w:val="TableParagraph"/>
              <w:spacing w:before="0"/>
              <w:rPr>
                <w:rFonts w:ascii="Times New Roman"/>
                <w:sz w:val="20"/>
              </w:rPr>
            </w:pPr>
          </w:p>
        </w:tc>
      </w:tr>
    </w:tbl>
    <w:p>
      <w:pPr>
        <w:pStyle w:val="BodyText"/>
        <w:ind w:left="0"/>
        <w:rPr>
          <w:rFonts w:ascii="微软雅黑"/>
          <w:b/>
          <w:sz w:val="20"/>
        </w:rPr>
      </w:pPr>
    </w:p>
    <w:p>
      <w:pPr>
        <w:pStyle w:val="BodyText"/>
        <w:spacing w:before="9"/>
        <w:ind w:left="0"/>
        <w:rPr>
          <w:rFonts w:ascii="微软雅黑"/>
          <w:b/>
          <w:sz w:val="18"/>
        </w:rPr>
      </w:pPr>
    </w:p>
    <w:p>
      <w:pPr>
        <w:tabs>
          <w:tab w:pos="3891" w:val="left" w:leader="none"/>
        </w:tabs>
        <w:spacing w:before="5"/>
        <w:ind w:left="629" w:right="0" w:firstLine="0"/>
        <w:jc w:val="left"/>
        <w:rPr>
          <w:rFonts w:ascii="微软雅黑" w:eastAsia="微软雅黑"/>
          <w:b/>
          <w:sz w:val="21"/>
        </w:rPr>
      </w:pPr>
      <w:r>
        <w:rPr/>
        <w:drawing>
          <wp:anchor distT="0" distB="0" distL="0" distR="0" allowOverlap="1" layoutInCell="1" locked="0" behindDoc="1" simplePos="0" relativeHeight="485841920">
            <wp:simplePos x="0" y="0"/>
            <wp:positionH relativeFrom="page">
              <wp:posOffset>2856610</wp:posOffset>
            </wp:positionH>
            <wp:positionV relativeFrom="paragraph">
              <wp:posOffset>-387754</wp:posOffset>
            </wp:positionV>
            <wp:extent cx="6095" cy="1810512"/>
            <wp:effectExtent l="0" t="0" r="0" b="0"/>
            <wp:wrapNone/>
            <wp:docPr id="15" name="image8.png"/>
            <wp:cNvGraphicFramePr>
              <a:graphicFrameLocks noChangeAspect="1"/>
            </wp:cNvGraphicFramePr>
            <a:graphic>
              <a:graphicData uri="http://schemas.openxmlformats.org/drawingml/2006/picture">
                <pic:pic>
                  <pic:nvPicPr>
                    <pic:cNvPr id="16" name="image8.png"/>
                    <pic:cNvPicPr/>
                  </pic:nvPicPr>
                  <pic:blipFill>
                    <a:blip r:embed="rId13" cstate="print"/>
                    <a:stretch>
                      <a:fillRect/>
                    </a:stretch>
                  </pic:blipFill>
                  <pic:spPr>
                    <a:xfrm>
                      <a:off x="0" y="0"/>
                      <a:ext cx="6095" cy="1810512"/>
                    </a:xfrm>
                    <a:prstGeom prst="rect">
                      <a:avLst/>
                    </a:prstGeom>
                  </pic:spPr>
                </pic:pic>
              </a:graphicData>
            </a:graphic>
          </wp:anchor>
        </w:drawing>
      </w:r>
      <w:r>
        <w:rPr/>
        <w:drawing>
          <wp:anchor distT="0" distB="0" distL="0" distR="0" allowOverlap="1" layoutInCell="1" locked="0" behindDoc="0" simplePos="0" relativeHeight="15734272">
            <wp:simplePos x="0" y="0"/>
            <wp:positionH relativeFrom="page">
              <wp:posOffset>2856610</wp:posOffset>
            </wp:positionH>
            <wp:positionV relativeFrom="paragraph">
              <wp:posOffset>1422757</wp:posOffset>
            </wp:positionV>
            <wp:extent cx="6095" cy="216407"/>
            <wp:effectExtent l="0" t="0" r="0" b="0"/>
            <wp:wrapNone/>
            <wp:docPr id="17" name="image9.png"/>
            <wp:cNvGraphicFramePr>
              <a:graphicFrameLocks noChangeAspect="1"/>
            </wp:cNvGraphicFramePr>
            <a:graphic>
              <a:graphicData uri="http://schemas.openxmlformats.org/drawingml/2006/picture">
                <pic:pic>
                  <pic:nvPicPr>
                    <pic:cNvPr id="18" name="image9.png"/>
                    <pic:cNvPicPr/>
                  </pic:nvPicPr>
                  <pic:blipFill>
                    <a:blip r:embed="rId14" cstate="print"/>
                    <a:stretch>
                      <a:fillRect/>
                    </a:stretch>
                  </pic:blipFill>
                  <pic:spPr>
                    <a:xfrm>
                      <a:off x="0" y="0"/>
                      <a:ext cx="6095" cy="216407"/>
                    </a:xfrm>
                    <a:prstGeom prst="rect">
                      <a:avLst/>
                    </a:prstGeom>
                  </pic:spPr>
                </pic:pic>
              </a:graphicData>
            </a:graphic>
          </wp:anchor>
        </w:drawing>
      </w:r>
      <w:r>
        <w:rPr/>
        <w:drawing>
          <wp:anchor distT="0" distB="0" distL="0" distR="0" allowOverlap="1" layoutInCell="1" locked="0" behindDoc="0" simplePos="0" relativeHeight="15734784">
            <wp:simplePos x="0" y="0"/>
            <wp:positionH relativeFrom="page">
              <wp:posOffset>2856610</wp:posOffset>
            </wp:positionH>
            <wp:positionV relativeFrom="paragraph">
              <wp:posOffset>-602943</wp:posOffset>
            </wp:positionV>
            <wp:extent cx="6095" cy="215188"/>
            <wp:effectExtent l="0" t="0" r="0" b="0"/>
            <wp:wrapNone/>
            <wp:docPr id="19" name="image10.png"/>
            <wp:cNvGraphicFramePr>
              <a:graphicFrameLocks noChangeAspect="1"/>
            </wp:cNvGraphicFramePr>
            <a:graphic>
              <a:graphicData uri="http://schemas.openxmlformats.org/drawingml/2006/picture">
                <pic:pic>
                  <pic:nvPicPr>
                    <pic:cNvPr id="20" name="image10.png"/>
                    <pic:cNvPicPr/>
                  </pic:nvPicPr>
                  <pic:blipFill>
                    <a:blip r:embed="rId15" cstate="print"/>
                    <a:stretch>
                      <a:fillRect/>
                    </a:stretch>
                  </pic:blipFill>
                  <pic:spPr>
                    <a:xfrm>
                      <a:off x="0" y="0"/>
                      <a:ext cx="6095" cy="215188"/>
                    </a:xfrm>
                    <a:prstGeom prst="rect">
                      <a:avLst/>
                    </a:prstGeom>
                  </pic:spPr>
                </pic:pic>
              </a:graphicData>
            </a:graphic>
          </wp:anchor>
        </w:drawing>
      </w:r>
      <w:r>
        <w:rPr>
          <w:rFonts w:ascii="微软雅黑" w:eastAsia="微软雅黑"/>
          <w:b/>
          <w:w w:val="95"/>
          <w:sz w:val="21"/>
        </w:rPr>
        <w:t>4</w:t>
      </w:r>
      <w:r>
        <w:rPr>
          <w:rFonts w:ascii="微软雅黑" w:eastAsia="微软雅黑"/>
          <w:b/>
          <w:spacing w:val="34"/>
          <w:sz w:val="21"/>
        </w:rPr>
        <w:t> </w:t>
      </w:r>
      <w:r>
        <w:rPr>
          <w:rFonts w:ascii="微软雅黑" w:eastAsia="微软雅黑"/>
          <w:b/>
          <w:w w:val="95"/>
          <w:sz w:val="21"/>
        </w:rPr>
        <w:t>如</w:t>
      </w:r>
      <w:r>
        <w:rPr>
          <w:rFonts w:ascii="微软雅黑" w:eastAsia="微软雅黑"/>
          <w:b/>
          <w:w w:val="95"/>
          <w:sz w:val="21"/>
        </w:rPr>
        <w:t>何</w:t>
      </w:r>
      <w:r>
        <w:rPr>
          <w:rFonts w:ascii="微软雅黑" w:eastAsia="微软雅黑"/>
          <w:b/>
          <w:w w:val="95"/>
          <w:sz w:val="21"/>
        </w:rPr>
        <w:t>领</w:t>
      </w:r>
      <w:r>
        <w:rPr>
          <w:rFonts w:ascii="微软雅黑" w:eastAsia="微软雅黑"/>
          <w:b/>
          <w:w w:val="95"/>
          <w:sz w:val="21"/>
        </w:rPr>
        <w:t>取</w:t>
      </w:r>
      <w:r>
        <w:rPr>
          <w:rFonts w:ascii="微软雅黑" w:eastAsia="微软雅黑"/>
          <w:b/>
          <w:w w:val="95"/>
          <w:sz w:val="21"/>
        </w:rPr>
        <w:t>保</w:t>
      </w:r>
      <w:r>
        <w:rPr>
          <w:rFonts w:ascii="微软雅黑" w:eastAsia="微软雅黑"/>
          <w:b/>
          <w:w w:val="95"/>
          <w:sz w:val="21"/>
        </w:rPr>
        <w:t>险</w:t>
      </w:r>
      <w:r>
        <w:rPr>
          <w:rFonts w:ascii="微软雅黑" w:eastAsia="微软雅黑"/>
          <w:b/>
          <w:spacing w:val="-10"/>
          <w:w w:val="95"/>
          <w:sz w:val="21"/>
        </w:rPr>
        <w:t>金</w:t>
      </w:r>
      <w:r>
        <w:rPr>
          <w:rFonts w:ascii="微软雅黑" w:eastAsia="微软雅黑"/>
          <w:b/>
          <w:sz w:val="21"/>
        </w:rPr>
        <w:tab/>
      </w:r>
      <w:r>
        <w:rPr>
          <w:rFonts w:ascii="微软雅黑" w:eastAsia="微软雅黑"/>
          <w:b/>
          <w:w w:val="95"/>
          <w:sz w:val="21"/>
        </w:rPr>
        <w:t>8</w:t>
      </w:r>
      <w:r>
        <w:rPr>
          <w:rFonts w:ascii="微软雅黑" w:eastAsia="微软雅黑"/>
          <w:b/>
          <w:spacing w:val="45"/>
          <w:sz w:val="21"/>
        </w:rPr>
        <w:t> </w:t>
      </w:r>
      <w:r>
        <w:rPr>
          <w:rFonts w:ascii="微软雅黑" w:eastAsia="微软雅黑"/>
          <w:b/>
          <w:w w:val="95"/>
          <w:sz w:val="21"/>
        </w:rPr>
        <w:t>需</w:t>
      </w:r>
      <w:r>
        <w:rPr>
          <w:rFonts w:ascii="微软雅黑" w:eastAsia="微软雅黑"/>
          <w:b/>
          <w:w w:val="95"/>
          <w:sz w:val="21"/>
        </w:rPr>
        <w:t>关</w:t>
      </w:r>
      <w:r>
        <w:rPr>
          <w:rFonts w:ascii="微软雅黑" w:eastAsia="微软雅黑"/>
          <w:b/>
          <w:w w:val="95"/>
          <w:sz w:val="21"/>
        </w:rPr>
        <w:t>注</w:t>
      </w:r>
      <w:r>
        <w:rPr>
          <w:rFonts w:ascii="微软雅黑" w:eastAsia="微软雅黑"/>
          <w:b/>
          <w:w w:val="95"/>
          <w:sz w:val="21"/>
        </w:rPr>
        <w:t>的</w:t>
      </w:r>
      <w:r>
        <w:rPr>
          <w:rFonts w:ascii="微软雅黑" w:eastAsia="微软雅黑"/>
          <w:b/>
          <w:w w:val="95"/>
          <w:sz w:val="21"/>
        </w:rPr>
        <w:t>其</w:t>
      </w:r>
      <w:r>
        <w:rPr>
          <w:rFonts w:ascii="微软雅黑" w:eastAsia="微软雅黑"/>
          <w:b/>
          <w:w w:val="95"/>
          <w:sz w:val="21"/>
        </w:rPr>
        <w:t>他</w:t>
      </w:r>
      <w:r>
        <w:rPr>
          <w:rFonts w:ascii="微软雅黑" w:eastAsia="微软雅黑"/>
          <w:b/>
          <w:w w:val="95"/>
          <w:sz w:val="21"/>
        </w:rPr>
        <w:t>事</w:t>
      </w:r>
      <w:r>
        <w:rPr>
          <w:rFonts w:ascii="微软雅黑" w:eastAsia="微软雅黑"/>
          <w:b/>
          <w:spacing w:val="-10"/>
          <w:w w:val="95"/>
          <w:sz w:val="21"/>
        </w:rPr>
        <w:t>项</w:t>
      </w:r>
    </w:p>
    <w:p>
      <w:pPr>
        <w:pStyle w:val="BodyText"/>
        <w:spacing w:before="13"/>
        <w:ind w:left="0"/>
        <w:rPr>
          <w:rFonts w:ascii="微软雅黑"/>
          <w:b/>
          <w:sz w:val="9"/>
        </w:rPr>
      </w:pPr>
    </w:p>
    <w:tbl>
      <w:tblPr>
        <w:tblW w:w="0" w:type="auto"/>
        <w:jc w:val="left"/>
        <w:tblInd w:w="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103"/>
        <w:gridCol w:w="1160"/>
        <w:gridCol w:w="1995"/>
      </w:tblGrid>
      <w:tr>
        <w:trPr>
          <w:trHeight w:val="276" w:hRule="atLeast"/>
        </w:trPr>
        <w:tc>
          <w:tcPr>
            <w:tcW w:w="420" w:type="dxa"/>
          </w:tcPr>
          <w:p>
            <w:pPr>
              <w:pStyle w:val="TableParagraph"/>
              <w:spacing w:line="241" w:lineRule="exact" w:before="0"/>
              <w:ind w:left="39" w:right="40"/>
              <w:jc w:val="center"/>
              <w:rPr>
                <w:sz w:val="21"/>
              </w:rPr>
            </w:pPr>
            <w:r>
              <w:rPr>
                <w:spacing w:val="-5"/>
                <w:sz w:val="21"/>
              </w:rPr>
              <w:t>4.1</w:t>
            </w:r>
          </w:p>
        </w:tc>
        <w:tc>
          <w:tcPr>
            <w:tcW w:w="2103" w:type="dxa"/>
          </w:tcPr>
          <w:p>
            <w:pPr>
              <w:pStyle w:val="TableParagraph"/>
              <w:spacing w:line="241" w:lineRule="exact" w:before="0"/>
              <w:ind w:left="52"/>
              <w:rPr>
                <w:sz w:val="21"/>
              </w:rPr>
            </w:pPr>
            <w:r>
              <w:rPr>
                <w:spacing w:val="-5"/>
                <w:sz w:val="21"/>
              </w:rPr>
              <w:t>受益人</w:t>
            </w:r>
          </w:p>
        </w:tc>
        <w:tc>
          <w:tcPr>
            <w:tcW w:w="1160" w:type="dxa"/>
          </w:tcPr>
          <w:p>
            <w:pPr>
              <w:pStyle w:val="TableParagraph"/>
              <w:spacing w:line="241" w:lineRule="exact" w:before="0"/>
              <w:ind w:right="52"/>
              <w:jc w:val="right"/>
              <w:rPr>
                <w:sz w:val="21"/>
              </w:rPr>
            </w:pPr>
            <w:r>
              <w:rPr>
                <w:spacing w:val="-5"/>
                <w:sz w:val="21"/>
              </w:rPr>
              <w:t>8.1</w:t>
            </w:r>
          </w:p>
        </w:tc>
        <w:tc>
          <w:tcPr>
            <w:tcW w:w="1995" w:type="dxa"/>
          </w:tcPr>
          <w:p>
            <w:pPr>
              <w:pStyle w:val="TableParagraph"/>
              <w:spacing w:line="241" w:lineRule="exact" w:before="0"/>
              <w:ind w:left="51"/>
              <w:rPr>
                <w:sz w:val="21"/>
              </w:rPr>
            </w:pPr>
            <w:r>
              <w:rPr>
                <w:spacing w:val="-3"/>
                <w:sz w:val="21"/>
              </w:rPr>
              <w:t>明确说明与如实告知</w:t>
            </w:r>
          </w:p>
        </w:tc>
      </w:tr>
      <w:tr>
        <w:trPr>
          <w:trHeight w:val="339" w:hRule="atLeast"/>
        </w:trPr>
        <w:tc>
          <w:tcPr>
            <w:tcW w:w="420" w:type="dxa"/>
          </w:tcPr>
          <w:p>
            <w:pPr>
              <w:pStyle w:val="TableParagraph"/>
              <w:spacing w:before="36"/>
              <w:ind w:left="39" w:right="40"/>
              <w:jc w:val="center"/>
              <w:rPr>
                <w:sz w:val="21"/>
              </w:rPr>
            </w:pPr>
            <w:r>
              <w:rPr>
                <w:spacing w:val="-5"/>
                <w:sz w:val="21"/>
              </w:rPr>
              <w:t>4.2</w:t>
            </w:r>
          </w:p>
        </w:tc>
        <w:tc>
          <w:tcPr>
            <w:tcW w:w="2103" w:type="dxa"/>
          </w:tcPr>
          <w:p>
            <w:pPr>
              <w:pStyle w:val="TableParagraph"/>
              <w:spacing w:before="36"/>
              <w:ind w:left="52"/>
              <w:rPr>
                <w:sz w:val="21"/>
              </w:rPr>
            </w:pPr>
            <w:r>
              <w:rPr>
                <w:spacing w:val="-4"/>
                <w:sz w:val="21"/>
              </w:rPr>
              <w:t>保险事故通知</w:t>
            </w:r>
          </w:p>
        </w:tc>
        <w:tc>
          <w:tcPr>
            <w:tcW w:w="1160" w:type="dxa"/>
          </w:tcPr>
          <w:p>
            <w:pPr>
              <w:pStyle w:val="TableParagraph"/>
              <w:spacing w:before="36"/>
              <w:ind w:right="52"/>
              <w:jc w:val="right"/>
              <w:rPr>
                <w:sz w:val="21"/>
              </w:rPr>
            </w:pPr>
            <w:r>
              <w:rPr>
                <w:spacing w:val="-5"/>
                <w:sz w:val="21"/>
              </w:rPr>
              <w:t>8.2</w:t>
            </w:r>
          </w:p>
        </w:tc>
        <w:tc>
          <w:tcPr>
            <w:tcW w:w="1995" w:type="dxa"/>
          </w:tcPr>
          <w:p>
            <w:pPr>
              <w:pStyle w:val="TableParagraph"/>
              <w:spacing w:before="36"/>
              <w:ind w:left="51"/>
              <w:rPr>
                <w:sz w:val="21"/>
              </w:rPr>
            </w:pPr>
            <w:r>
              <w:rPr>
                <w:spacing w:val="-4"/>
                <w:sz w:val="21"/>
              </w:rPr>
              <w:t>投保年龄</w:t>
            </w:r>
          </w:p>
        </w:tc>
      </w:tr>
      <w:tr>
        <w:trPr>
          <w:trHeight w:val="339" w:hRule="atLeast"/>
        </w:trPr>
        <w:tc>
          <w:tcPr>
            <w:tcW w:w="420" w:type="dxa"/>
          </w:tcPr>
          <w:p>
            <w:pPr>
              <w:pStyle w:val="TableParagraph"/>
              <w:spacing w:before="35"/>
              <w:ind w:left="39" w:right="40"/>
              <w:jc w:val="center"/>
              <w:rPr>
                <w:sz w:val="21"/>
              </w:rPr>
            </w:pPr>
            <w:r>
              <w:rPr>
                <w:spacing w:val="-5"/>
                <w:sz w:val="21"/>
              </w:rPr>
              <w:t>4.3</w:t>
            </w:r>
          </w:p>
        </w:tc>
        <w:tc>
          <w:tcPr>
            <w:tcW w:w="2103" w:type="dxa"/>
          </w:tcPr>
          <w:p>
            <w:pPr>
              <w:pStyle w:val="TableParagraph"/>
              <w:spacing w:before="35"/>
              <w:ind w:left="52"/>
              <w:rPr>
                <w:sz w:val="21"/>
              </w:rPr>
            </w:pPr>
            <w:r>
              <w:rPr>
                <w:spacing w:val="-4"/>
                <w:sz w:val="21"/>
              </w:rPr>
              <w:t>保险金申请</w:t>
            </w:r>
          </w:p>
        </w:tc>
        <w:tc>
          <w:tcPr>
            <w:tcW w:w="1160" w:type="dxa"/>
          </w:tcPr>
          <w:p>
            <w:pPr>
              <w:pStyle w:val="TableParagraph"/>
              <w:spacing w:before="35"/>
              <w:ind w:right="52"/>
              <w:jc w:val="right"/>
              <w:rPr>
                <w:sz w:val="21"/>
              </w:rPr>
            </w:pPr>
            <w:r>
              <w:rPr>
                <w:spacing w:val="-5"/>
                <w:sz w:val="21"/>
              </w:rPr>
              <w:t>8.3</w:t>
            </w:r>
          </w:p>
        </w:tc>
        <w:tc>
          <w:tcPr>
            <w:tcW w:w="1995" w:type="dxa"/>
          </w:tcPr>
          <w:p>
            <w:pPr>
              <w:pStyle w:val="TableParagraph"/>
              <w:spacing w:before="35"/>
              <w:ind w:left="51"/>
              <w:rPr>
                <w:sz w:val="21"/>
              </w:rPr>
            </w:pPr>
            <w:r>
              <w:rPr>
                <w:spacing w:val="-4"/>
                <w:sz w:val="21"/>
              </w:rPr>
              <w:t>年龄性别错误</w:t>
            </w:r>
          </w:p>
        </w:tc>
      </w:tr>
      <w:tr>
        <w:trPr>
          <w:trHeight w:val="340" w:hRule="atLeast"/>
        </w:trPr>
        <w:tc>
          <w:tcPr>
            <w:tcW w:w="420" w:type="dxa"/>
          </w:tcPr>
          <w:p>
            <w:pPr>
              <w:pStyle w:val="TableParagraph"/>
              <w:spacing w:before="36"/>
              <w:ind w:left="39" w:right="40"/>
              <w:jc w:val="center"/>
              <w:rPr>
                <w:sz w:val="21"/>
              </w:rPr>
            </w:pPr>
            <w:r>
              <w:rPr>
                <w:spacing w:val="-5"/>
                <w:sz w:val="21"/>
              </w:rPr>
              <w:t>4.4</w:t>
            </w:r>
          </w:p>
        </w:tc>
        <w:tc>
          <w:tcPr>
            <w:tcW w:w="2103" w:type="dxa"/>
          </w:tcPr>
          <w:p>
            <w:pPr>
              <w:pStyle w:val="TableParagraph"/>
              <w:spacing w:before="36"/>
              <w:ind w:left="52"/>
              <w:rPr>
                <w:sz w:val="21"/>
              </w:rPr>
            </w:pPr>
            <w:r>
              <w:rPr>
                <w:spacing w:val="-4"/>
                <w:sz w:val="21"/>
              </w:rPr>
              <w:t>保险金给付</w:t>
            </w:r>
          </w:p>
        </w:tc>
        <w:tc>
          <w:tcPr>
            <w:tcW w:w="1160" w:type="dxa"/>
          </w:tcPr>
          <w:p>
            <w:pPr>
              <w:pStyle w:val="TableParagraph"/>
              <w:spacing w:before="36"/>
              <w:ind w:right="52"/>
              <w:jc w:val="right"/>
              <w:rPr>
                <w:sz w:val="21"/>
              </w:rPr>
            </w:pPr>
            <w:r>
              <w:rPr>
                <w:spacing w:val="-5"/>
                <w:sz w:val="21"/>
              </w:rPr>
              <w:t>8.4</w:t>
            </w:r>
          </w:p>
        </w:tc>
        <w:tc>
          <w:tcPr>
            <w:tcW w:w="1995" w:type="dxa"/>
          </w:tcPr>
          <w:p>
            <w:pPr>
              <w:pStyle w:val="TableParagraph"/>
              <w:spacing w:before="36"/>
              <w:ind w:left="51"/>
              <w:rPr>
                <w:sz w:val="21"/>
              </w:rPr>
            </w:pPr>
            <w:r>
              <w:rPr>
                <w:spacing w:val="-4"/>
                <w:sz w:val="21"/>
              </w:rPr>
              <w:t>未还款项</w:t>
            </w:r>
          </w:p>
        </w:tc>
      </w:tr>
      <w:tr>
        <w:trPr>
          <w:trHeight w:val="339" w:hRule="atLeast"/>
        </w:trPr>
        <w:tc>
          <w:tcPr>
            <w:tcW w:w="420" w:type="dxa"/>
          </w:tcPr>
          <w:p>
            <w:pPr>
              <w:pStyle w:val="TableParagraph"/>
              <w:spacing w:before="0"/>
              <w:rPr>
                <w:rFonts w:ascii="Times New Roman"/>
                <w:sz w:val="20"/>
              </w:rPr>
            </w:pPr>
          </w:p>
        </w:tc>
        <w:tc>
          <w:tcPr>
            <w:tcW w:w="2103" w:type="dxa"/>
          </w:tcPr>
          <w:p>
            <w:pPr>
              <w:pStyle w:val="TableParagraph"/>
              <w:spacing w:before="0"/>
              <w:rPr>
                <w:rFonts w:ascii="Times New Roman"/>
                <w:sz w:val="20"/>
              </w:rPr>
            </w:pPr>
          </w:p>
        </w:tc>
        <w:tc>
          <w:tcPr>
            <w:tcW w:w="1160" w:type="dxa"/>
          </w:tcPr>
          <w:p>
            <w:pPr>
              <w:pStyle w:val="TableParagraph"/>
              <w:spacing w:before="36"/>
              <w:ind w:right="52"/>
              <w:jc w:val="right"/>
              <w:rPr>
                <w:sz w:val="21"/>
              </w:rPr>
            </w:pPr>
            <w:r>
              <w:rPr>
                <w:spacing w:val="-5"/>
                <w:sz w:val="21"/>
              </w:rPr>
              <w:t>8.5</w:t>
            </w:r>
          </w:p>
        </w:tc>
        <w:tc>
          <w:tcPr>
            <w:tcW w:w="1995" w:type="dxa"/>
          </w:tcPr>
          <w:p>
            <w:pPr>
              <w:pStyle w:val="TableParagraph"/>
              <w:spacing w:before="36"/>
              <w:ind w:left="51"/>
              <w:rPr>
                <w:sz w:val="21"/>
              </w:rPr>
            </w:pPr>
            <w:r>
              <w:rPr>
                <w:spacing w:val="-4"/>
                <w:sz w:val="21"/>
              </w:rPr>
              <w:t>合同内容变更</w:t>
            </w:r>
          </w:p>
        </w:tc>
      </w:tr>
    </w:tbl>
    <w:p>
      <w:pPr>
        <w:pStyle w:val="BodyText"/>
        <w:spacing w:before="37"/>
        <w:ind w:left="4102"/>
      </w:pPr>
      <w:r>
        <w:rPr/>
        <w:t>8.6</w:t>
      </w:r>
      <w:r>
        <w:rPr>
          <w:spacing w:val="-4"/>
        </w:rPr>
        <w:t> 争议处理</w:t>
      </w:r>
    </w:p>
    <w:p>
      <w:pPr>
        <w:spacing w:after="0"/>
        <w:sectPr>
          <w:type w:val="continuous"/>
          <w:pgSz w:w="11910" w:h="16840"/>
          <w:pgMar w:header="0" w:footer="574" w:top="380" w:bottom="760" w:left="720" w:right="340"/>
        </w:sectPr>
      </w:pPr>
    </w:p>
    <w:p>
      <w:pPr>
        <w:spacing w:line="564" w:lineRule="exact" w:before="0"/>
        <w:ind w:left="801" w:right="1181" w:firstLine="0"/>
        <w:jc w:val="center"/>
        <w:rPr>
          <w:rFonts w:ascii="微软雅黑" w:eastAsia="微软雅黑"/>
          <w:b/>
          <w:sz w:val="32"/>
        </w:rPr>
      </w:pPr>
      <w:r>
        <w:rPr>
          <w:rFonts w:ascii="微软雅黑" w:eastAsia="微软雅黑"/>
          <w:b/>
          <w:w w:val="95"/>
          <w:sz w:val="32"/>
        </w:rPr>
        <w:t>泰康人寿保</w:t>
      </w:r>
      <w:r>
        <w:rPr>
          <w:rFonts w:ascii="微软雅黑" w:eastAsia="微软雅黑"/>
          <w:b/>
          <w:w w:val="95"/>
          <w:sz w:val="32"/>
        </w:rPr>
        <w:t>险</w:t>
      </w:r>
      <w:r>
        <w:rPr>
          <w:rFonts w:ascii="微软雅黑" w:eastAsia="微软雅黑"/>
          <w:b/>
          <w:w w:val="95"/>
          <w:sz w:val="32"/>
        </w:rPr>
        <w:t>有</w:t>
      </w:r>
      <w:r>
        <w:rPr>
          <w:rFonts w:ascii="微软雅黑" w:eastAsia="微软雅黑"/>
          <w:b/>
          <w:w w:val="95"/>
          <w:sz w:val="32"/>
        </w:rPr>
        <w:t>限责任</w:t>
      </w:r>
      <w:r>
        <w:rPr>
          <w:rFonts w:ascii="微软雅黑" w:eastAsia="微软雅黑"/>
          <w:b/>
          <w:w w:val="95"/>
          <w:sz w:val="32"/>
        </w:rPr>
        <w:t>公</w:t>
      </w:r>
      <w:r>
        <w:rPr>
          <w:rFonts w:ascii="微软雅黑" w:eastAsia="微软雅黑"/>
          <w:b/>
          <w:spacing w:val="-10"/>
          <w:w w:val="95"/>
          <w:sz w:val="32"/>
        </w:rPr>
        <w:t>司</w:t>
      </w:r>
    </w:p>
    <w:p>
      <w:pPr>
        <w:spacing w:before="34"/>
        <w:ind w:left="801" w:right="1179" w:firstLine="0"/>
        <w:jc w:val="center"/>
        <w:rPr>
          <w:rFonts w:ascii="微软雅黑" w:eastAsia="微软雅黑"/>
          <w:b/>
          <w:sz w:val="32"/>
        </w:rPr>
      </w:pPr>
      <w:r>
        <w:rPr>
          <w:rFonts w:ascii="微软雅黑" w:eastAsia="微软雅黑"/>
          <w:b/>
          <w:w w:val="95"/>
          <w:sz w:val="32"/>
        </w:rPr>
        <w:t>泰康</w:t>
      </w:r>
      <w:r>
        <w:rPr>
          <w:rFonts w:ascii="微软雅黑" w:eastAsia="微软雅黑"/>
          <w:b/>
          <w:w w:val="95"/>
          <w:sz w:val="32"/>
        </w:rPr>
        <w:t>乐</w:t>
      </w:r>
      <w:r>
        <w:rPr>
          <w:rFonts w:ascii="微软雅黑" w:eastAsia="微软雅黑"/>
          <w:b/>
          <w:w w:val="95"/>
          <w:sz w:val="32"/>
        </w:rPr>
        <w:t>康</w:t>
      </w:r>
      <w:r>
        <w:rPr>
          <w:rFonts w:ascii="微软雅黑" w:eastAsia="微软雅黑"/>
          <w:b/>
          <w:w w:val="95"/>
          <w:sz w:val="32"/>
        </w:rPr>
        <w:t>宝</w:t>
      </w:r>
      <w:r>
        <w:rPr>
          <w:rFonts w:ascii="微软雅黑" w:eastAsia="微软雅黑"/>
          <w:b/>
          <w:spacing w:val="57"/>
          <w:w w:val="150"/>
          <w:sz w:val="32"/>
        </w:rPr>
        <w:t> </w:t>
      </w:r>
      <w:r>
        <w:rPr>
          <w:rFonts w:ascii="微软雅黑" w:eastAsia="微软雅黑"/>
          <w:b/>
          <w:w w:val="95"/>
          <w:sz w:val="32"/>
        </w:rPr>
        <w:t>B</w:t>
      </w:r>
      <w:r>
        <w:rPr>
          <w:rFonts w:ascii="微软雅黑" w:eastAsia="微软雅黑"/>
          <w:b/>
          <w:spacing w:val="48"/>
          <w:w w:val="150"/>
          <w:sz w:val="32"/>
        </w:rPr>
        <w:t> </w:t>
      </w:r>
      <w:r>
        <w:rPr>
          <w:rFonts w:ascii="微软雅黑" w:eastAsia="微软雅黑"/>
          <w:b/>
          <w:w w:val="95"/>
          <w:sz w:val="32"/>
        </w:rPr>
        <w:t>款终身重大疾</w:t>
      </w:r>
      <w:r>
        <w:rPr>
          <w:rFonts w:ascii="微软雅黑" w:eastAsia="微软雅黑"/>
          <w:b/>
          <w:w w:val="95"/>
          <w:sz w:val="32"/>
        </w:rPr>
        <w:t>病</w:t>
      </w:r>
      <w:r>
        <w:rPr>
          <w:rFonts w:ascii="微软雅黑" w:eastAsia="微软雅黑"/>
          <w:b/>
          <w:w w:val="95"/>
          <w:sz w:val="32"/>
        </w:rPr>
        <w:t>保</w:t>
      </w:r>
      <w:r>
        <w:rPr>
          <w:rFonts w:ascii="微软雅黑" w:eastAsia="微软雅黑"/>
          <w:b/>
          <w:w w:val="95"/>
          <w:sz w:val="32"/>
        </w:rPr>
        <w:t>险</w:t>
      </w:r>
      <w:r>
        <w:rPr>
          <w:rFonts w:ascii="微软雅黑" w:eastAsia="微软雅黑"/>
          <w:b/>
          <w:w w:val="95"/>
          <w:sz w:val="32"/>
        </w:rPr>
        <w:t>条</w:t>
      </w:r>
      <w:r>
        <w:rPr>
          <w:rFonts w:ascii="微软雅黑" w:eastAsia="微软雅黑"/>
          <w:b/>
          <w:spacing w:val="-12"/>
          <w:w w:val="95"/>
          <w:sz w:val="32"/>
        </w:rPr>
        <w:t>款</w:t>
      </w:r>
    </w:p>
    <w:p>
      <w:pPr>
        <w:pStyle w:val="BodyText"/>
        <w:spacing w:line="278" w:lineRule="auto" w:before="372"/>
        <w:ind w:left="412" w:right="786"/>
        <w:jc w:val="both"/>
      </w:pPr>
      <w:r>
        <w:rPr>
          <w:spacing w:val="-2"/>
        </w:rPr>
        <w:t>在本条款中，“您”指投保人，“我们”、“本公司”均指在保险单上签章的泰康人寿保险有限责任公司</w:t>
      </w:r>
      <w:r>
        <w:rPr>
          <w:spacing w:val="-3"/>
        </w:rPr>
        <w:t>的分公司，“本合同”指您与我们之间订立的“泰康乐康宝 </w:t>
      </w:r>
      <w:r>
        <w:rPr>
          <w:spacing w:val="-2"/>
        </w:rPr>
        <w:t>B</w:t>
      </w:r>
      <w:r>
        <w:rPr>
          <w:spacing w:val="-7"/>
        </w:rPr>
        <w:t> 款终身重大疾病保险合同”，“被保险人”</w:t>
      </w:r>
      <w:r>
        <w:rPr>
          <w:spacing w:val="-2"/>
        </w:rPr>
        <w:t>指本合同的被保险人，投保人、被保险人的姓名在保险单上载明。</w:t>
      </w:r>
    </w:p>
    <w:p>
      <w:pPr>
        <w:pStyle w:val="BodyText"/>
        <w:spacing w:before="5"/>
        <w:ind w:left="0"/>
        <w:rPr>
          <w:sz w:val="27"/>
        </w:rPr>
      </w:pPr>
    </w:p>
    <w:p>
      <w:pPr>
        <w:pStyle w:val="Heading1"/>
        <w:numPr>
          <w:ilvl w:val="0"/>
          <w:numId w:val="3"/>
        </w:numPr>
        <w:tabs>
          <w:tab w:pos="1178" w:val="left" w:leader="none"/>
          <w:tab w:pos="1179" w:val="left" w:leader="none"/>
        </w:tabs>
        <w:spacing w:line="240" w:lineRule="auto" w:before="0" w:after="4"/>
        <w:ind w:left="1178" w:right="0" w:hanging="658"/>
        <w:jc w:val="left"/>
      </w:pPr>
      <w:r>
        <w:rPr>
          <w:spacing w:val="-2"/>
        </w:rPr>
        <w:t>我们保多久、保什么</w:t>
      </w:r>
    </w:p>
    <w:p>
      <w:pPr>
        <w:pStyle w:val="BodyText"/>
        <w:spacing w:line="20" w:lineRule="exact"/>
        <w:ind w:left="412"/>
        <w:rPr>
          <w:rFonts w:ascii="微软雅黑"/>
          <w:sz w:val="2"/>
        </w:rPr>
      </w:pPr>
      <w:r>
        <w:rPr>
          <w:rFonts w:ascii="微软雅黑"/>
          <w:sz w:val="2"/>
        </w:rPr>
        <w:drawing>
          <wp:inline distT="0" distB="0" distL="0" distR="0">
            <wp:extent cx="6307520" cy="12192"/>
            <wp:effectExtent l="0" t="0" r="0" b="0"/>
            <wp:docPr id="21" name="image11.png"/>
            <wp:cNvGraphicFramePr>
              <a:graphicFrameLocks noChangeAspect="1"/>
            </wp:cNvGraphicFramePr>
            <a:graphic>
              <a:graphicData uri="http://schemas.openxmlformats.org/drawingml/2006/picture">
                <pic:pic>
                  <pic:nvPicPr>
                    <pic:cNvPr id="22" name="image11.png"/>
                    <pic:cNvPicPr/>
                  </pic:nvPicPr>
                  <pic:blipFill>
                    <a:blip r:embed="rId16" cstate="print"/>
                    <a:stretch>
                      <a:fillRect/>
                    </a:stretch>
                  </pic:blipFill>
                  <pic:spPr>
                    <a:xfrm>
                      <a:off x="0" y="0"/>
                      <a:ext cx="6307520" cy="12192"/>
                    </a:xfrm>
                    <a:prstGeom prst="rect">
                      <a:avLst/>
                    </a:prstGeom>
                  </pic:spPr>
                </pic:pic>
              </a:graphicData>
            </a:graphic>
          </wp:inline>
        </w:drawing>
      </w:r>
      <w:r>
        <w:rPr>
          <w:rFonts w:ascii="微软雅黑"/>
          <w:sz w:val="2"/>
        </w:rPr>
      </w:r>
    </w:p>
    <w:p>
      <w:pPr>
        <w:pStyle w:val="ListParagraph"/>
        <w:numPr>
          <w:ilvl w:val="1"/>
          <w:numId w:val="3"/>
        </w:numPr>
        <w:tabs>
          <w:tab w:pos="1178" w:val="left" w:leader="none"/>
          <w:tab w:pos="1179" w:val="left" w:leader="none"/>
          <w:tab w:pos="2729" w:val="left" w:leader="none"/>
        </w:tabs>
        <w:spacing w:line="240" w:lineRule="auto" w:before="163" w:after="0"/>
        <w:ind w:left="1178" w:right="0" w:hanging="658"/>
        <w:jc w:val="left"/>
        <w:rPr>
          <w:sz w:val="21"/>
        </w:rPr>
      </w:pPr>
      <w:r>
        <w:rPr>
          <w:rFonts w:ascii="微软雅黑" w:eastAsia="微软雅黑"/>
          <w:b/>
          <w:sz w:val="21"/>
        </w:rPr>
        <w:t>保险期</w:t>
      </w:r>
      <w:r>
        <w:rPr>
          <w:rFonts w:ascii="微软雅黑" w:eastAsia="微软雅黑"/>
          <w:b/>
          <w:spacing w:val="-10"/>
          <w:sz w:val="21"/>
        </w:rPr>
        <w:t>间</w:t>
      </w:r>
      <w:r>
        <w:rPr>
          <w:rFonts w:ascii="微软雅黑" w:eastAsia="微软雅黑"/>
          <w:b/>
          <w:sz w:val="21"/>
        </w:rPr>
        <w:tab/>
      </w:r>
      <w:r>
        <w:rPr>
          <w:spacing w:val="-2"/>
          <w:sz w:val="21"/>
        </w:rPr>
        <w:t>本</w:t>
      </w:r>
      <w:r>
        <w:rPr>
          <w:spacing w:val="-2"/>
          <w:sz w:val="21"/>
        </w:rPr>
        <w:t>合</w:t>
      </w:r>
      <w:r>
        <w:rPr>
          <w:spacing w:val="-2"/>
          <w:sz w:val="21"/>
        </w:rPr>
        <w:t>同的保险期间为被保</w:t>
      </w:r>
      <w:r>
        <w:rPr>
          <w:spacing w:val="-2"/>
          <w:sz w:val="21"/>
        </w:rPr>
        <w:t>险</w:t>
      </w:r>
      <w:r>
        <w:rPr>
          <w:spacing w:val="-2"/>
          <w:sz w:val="21"/>
        </w:rPr>
        <w:t>人</w:t>
      </w:r>
      <w:r>
        <w:rPr>
          <w:spacing w:val="-2"/>
          <w:sz w:val="21"/>
        </w:rPr>
        <w:t>终身，自本合同生效</w:t>
      </w:r>
      <w:r>
        <w:rPr>
          <w:spacing w:val="-2"/>
          <w:sz w:val="21"/>
        </w:rPr>
        <w:t>日</w:t>
      </w:r>
      <w:r>
        <w:rPr>
          <w:spacing w:val="-2"/>
          <w:sz w:val="21"/>
        </w:rPr>
        <w:t>零</w:t>
      </w:r>
      <w:r>
        <w:rPr>
          <w:spacing w:val="-2"/>
          <w:sz w:val="21"/>
        </w:rPr>
        <w:t>时开始</w:t>
      </w:r>
      <w:r>
        <w:rPr>
          <w:spacing w:val="-10"/>
          <w:sz w:val="21"/>
        </w:rPr>
        <w:t>。</w:t>
      </w:r>
    </w:p>
    <w:p>
      <w:pPr>
        <w:pStyle w:val="ListParagraph"/>
        <w:numPr>
          <w:ilvl w:val="1"/>
          <w:numId w:val="3"/>
        </w:numPr>
        <w:tabs>
          <w:tab w:pos="1178" w:val="left" w:leader="none"/>
          <w:tab w:pos="1179" w:val="left" w:leader="none"/>
          <w:tab w:pos="2729" w:val="left" w:leader="none"/>
        </w:tabs>
        <w:spacing w:line="240" w:lineRule="auto" w:before="135" w:after="0"/>
        <w:ind w:left="1178" w:right="0" w:hanging="658"/>
        <w:jc w:val="left"/>
        <w:rPr>
          <w:sz w:val="21"/>
        </w:rPr>
      </w:pPr>
      <w:r>
        <w:rPr>
          <w:rFonts w:ascii="微软雅黑" w:eastAsia="微软雅黑"/>
          <w:b/>
          <w:sz w:val="21"/>
        </w:rPr>
        <w:t>基本保险金</w:t>
      </w:r>
      <w:r>
        <w:rPr>
          <w:rFonts w:ascii="微软雅黑" w:eastAsia="微软雅黑"/>
          <w:b/>
          <w:spacing w:val="-10"/>
          <w:sz w:val="21"/>
        </w:rPr>
        <w:t>额</w:t>
      </w:r>
      <w:r>
        <w:rPr>
          <w:rFonts w:ascii="微软雅黑" w:eastAsia="微软雅黑"/>
          <w:b/>
          <w:sz w:val="21"/>
        </w:rPr>
        <w:tab/>
      </w:r>
      <w:r>
        <w:rPr>
          <w:spacing w:val="-2"/>
          <w:sz w:val="21"/>
        </w:rPr>
        <w:t>本</w:t>
      </w:r>
      <w:r>
        <w:rPr>
          <w:spacing w:val="-2"/>
          <w:sz w:val="21"/>
        </w:rPr>
        <w:t>合</w:t>
      </w:r>
      <w:r>
        <w:rPr>
          <w:spacing w:val="-2"/>
          <w:sz w:val="21"/>
        </w:rPr>
        <w:t>同的基本保险金额由</w:t>
      </w:r>
      <w:r>
        <w:rPr>
          <w:spacing w:val="-2"/>
          <w:sz w:val="21"/>
        </w:rPr>
        <w:t>您</w:t>
      </w:r>
      <w:r>
        <w:rPr>
          <w:spacing w:val="-2"/>
          <w:sz w:val="21"/>
        </w:rPr>
        <w:t>在</w:t>
      </w:r>
      <w:r>
        <w:rPr>
          <w:spacing w:val="-2"/>
          <w:sz w:val="21"/>
        </w:rPr>
        <w:t>投保时与我们约定，</w:t>
      </w:r>
      <w:r>
        <w:rPr>
          <w:spacing w:val="-2"/>
          <w:sz w:val="21"/>
        </w:rPr>
        <w:t>并</w:t>
      </w:r>
      <w:r>
        <w:rPr>
          <w:spacing w:val="-2"/>
          <w:sz w:val="21"/>
        </w:rPr>
        <w:t>在</w:t>
      </w:r>
      <w:r>
        <w:rPr>
          <w:spacing w:val="-2"/>
          <w:sz w:val="21"/>
        </w:rPr>
        <w:t>保险单上载</w:t>
      </w:r>
      <w:r>
        <w:rPr>
          <w:spacing w:val="-2"/>
          <w:sz w:val="21"/>
        </w:rPr>
        <w:t>明</w:t>
      </w:r>
      <w:r>
        <w:rPr>
          <w:spacing w:val="-10"/>
          <w:sz w:val="21"/>
        </w:rPr>
        <w:t>。</w:t>
      </w:r>
    </w:p>
    <w:p>
      <w:pPr>
        <w:pStyle w:val="ListParagraph"/>
        <w:numPr>
          <w:ilvl w:val="1"/>
          <w:numId w:val="3"/>
        </w:numPr>
        <w:tabs>
          <w:tab w:pos="1178" w:val="left" w:leader="none"/>
          <w:tab w:pos="1179" w:val="left" w:leader="none"/>
          <w:tab w:pos="2729" w:val="left" w:leader="none"/>
        </w:tabs>
        <w:spacing w:line="204" w:lineRule="auto" w:before="173" w:after="0"/>
        <w:ind w:left="2729" w:right="601" w:hanging="2208"/>
        <w:jc w:val="left"/>
        <w:rPr>
          <w:sz w:val="21"/>
        </w:rPr>
      </w:pPr>
      <w:r>
        <w:rPr>
          <w:rFonts w:ascii="微软雅黑" w:eastAsia="微软雅黑"/>
          <w:b/>
          <w:spacing w:val="-4"/>
          <w:sz w:val="21"/>
        </w:rPr>
        <w:t>等</w:t>
      </w:r>
      <w:r>
        <w:rPr>
          <w:rFonts w:ascii="微软雅黑" w:eastAsia="微软雅黑"/>
          <w:b/>
          <w:spacing w:val="-4"/>
          <w:sz w:val="21"/>
        </w:rPr>
        <w:t>待</w:t>
      </w:r>
      <w:r>
        <w:rPr>
          <w:rFonts w:ascii="微软雅黑" w:eastAsia="微软雅黑"/>
          <w:b/>
          <w:spacing w:val="-4"/>
          <w:sz w:val="21"/>
        </w:rPr>
        <w:t>期</w:t>
      </w:r>
      <w:r>
        <w:rPr>
          <w:rFonts w:ascii="微软雅黑" w:eastAsia="微软雅黑"/>
          <w:b/>
          <w:sz w:val="21"/>
        </w:rPr>
        <w:tab/>
      </w:r>
      <w:r>
        <w:rPr>
          <w:spacing w:val="-4"/>
          <w:sz w:val="21"/>
        </w:rPr>
        <w:t>本</w:t>
      </w:r>
      <w:r>
        <w:rPr>
          <w:spacing w:val="-4"/>
          <w:sz w:val="21"/>
        </w:rPr>
        <w:t>合</w:t>
      </w:r>
      <w:r>
        <w:rPr>
          <w:spacing w:val="-4"/>
          <w:sz w:val="21"/>
        </w:rPr>
        <w:t>同自生效（或最后复效）之日起，被保险人因</w:t>
      </w:r>
      <w:r>
        <w:rPr>
          <w:rFonts w:ascii="微软雅黑" w:eastAsia="微软雅黑"/>
          <w:b/>
          <w:spacing w:val="-4"/>
          <w:sz w:val="21"/>
        </w:rPr>
        <w:t>意</w:t>
      </w:r>
      <w:r>
        <w:rPr>
          <w:rFonts w:ascii="微软雅黑" w:eastAsia="微软雅黑"/>
          <w:b/>
          <w:spacing w:val="-4"/>
          <w:sz w:val="21"/>
        </w:rPr>
        <w:t>外</w:t>
      </w:r>
      <w:r>
        <w:rPr>
          <w:rFonts w:ascii="微软雅黑" w:eastAsia="微软雅黑"/>
          <w:b/>
          <w:spacing w:val="-4"/>
          <w:sz w:val="21"/>
        </w:rPr>
        <w:t>伤</w:t>
      </w:r>
      <w:r>
        <w:rPr>
          <w:rFonts w:ascii="微软雅黑" w:eastAsia="微软雅黑"/>
          <w:b/>
          <w:spacing w:val="-4"/>
          <w:sz w:val="21"/>
        </w:rPr>
        <w:t>害</w:t>
      </w:r>
      <w:r>
        <w:rPr>
          <w:rFonts w:ascii="微软雅黑" w:eastAsia="微软雅黑"/>
          <w:b/>
          <w:spacing w:val="-4"/>
          <w:position w:val="11"/>
          <w:sz w:val="11"/>
        </w:rPr>
        <w:t>3</w:t>
      </w:r>
      <w:r>
        <w:rPr>
          <w:spacing w:val="-4"/>
          <w:sz w:val="21"/>
        </w:rPr>
        <w:t>以外的原因发生保险事</w:t>
      </w:r>
      <w:r>
        <w:rPr>
          <w:sz w:val="21"/>
        </w:rPr>
        <w:t>故的，有</w:t>
      </w:r>
      <w:r>
        <w:rPr>
          <w:spacing w:val="-20"/>
          <w:sz w:val="21"/>
        </w:rPr>
        <w:t> </w:t>
      </w:r>
      <w:r>
        <w:rPr>
          <w:sz w:val="21"/>
        </w:rPr>
        <w:t>180</w:t>
      </w:r>
      <w:r>
        <w:rPr>
          <w:spacing w:val="-21"/>
          <w:sz w:val="21"/>
        </w:rPr>
        <w:t> </w:t>
      </w:r>
      <w:r>
        <w:rPr>
          <w:sz w:val="21"/>
        </w:rPr>
        <w:t>日的等待期</w:t>
      </w:r>
      <w:r>
        <w:rPr>
          <w:sz w:val="21"/>
        </w:rPr>
        <w:t>。被保险人因意外伤害发</w:t>
      </w:r>
      <w:r>
        <w:rPr>
          <w:sz w:val="21"/>
        </w:rPr>
        <w:t>生保险事故的，无等待期。</w:t>
      </w:r>
    </w:p>
    <w:p>
      <w:pPr>
        <w:pStyle w:val="BodyText"/>
        <w:spacing w:before="91"/>
        <w:ind w:left="2729"/>
      </w:pPr>
      <w:r>
        <w:rPr>
          <w:spacing w:val="-3"/>
        </w:rPr>
        <w:t>等待期内被保险人发生保险事故，我们不承担保险责任，具体做法见下表：</w:t>
      </w:r>
    </w:p>
    <w:p>
      <w:pPr>
        <w:pStyle w:val="BodyText"/>
        <w:spacing w:before="11" w:after="1"/>
        <w:ind w:left="0"/>
        <w:rPr>
          <w:sz w:val="8"/>
        </w:rPr>
      </w:pPr>
    </w:p>
    <w:tbl>
      <w:tblPr>
        <w:tblW w:w="0" w:type="auto"/>
        <w:jc w:val="left"/>
        <w:tblInd w:w="2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38"/>
        <w:gridCol w:w="3817"/>
      </w:tblGrid>
      <w:tr>
        <w:trPr>
          <w:trHeight w:val="350" w:hRule="atLeast"/>
        </w:trPr>
        <w:tc>
          <w:tcPr>
            <w:tcW w:w="3738" w:type="dxa"/>
            <w:tcBorders>
              <w:left w:val="nil"/>
            </w:tcBorders>
            <w:shd w:val="clear" w:color="auto" w:fill="D9D9D9"/>
          </w:tcPr>
          <w:p>
            <w:pPr>
              <w:pStyle w:val="TableParagraph"/>
              <w:spacing w:line="250" w:lineRule="exact" w:before="80"/>
              <w:ind w:left="708"/>
              <w:rPr>
                <w:sz w:val="21"/>
              </w:rPr>
            </w:pPr>
            <w:r>
              <w:rPr>
                <w:spacing w:val="-3"/>
                <w:sz w:val="21"/>
              </w:rPr>
              <w:t>等待期内发生的保险事故</w:t>
            </w:r>
          </w:p>
        </w:tc>
        <w:tc>
          <w:tcPr>
            <w:tcW w:w="3817" w:type="dxa"/>
            <w:tcBorders>
              <w:right w:val="nil"/>
            </w:tcBorders>
            <w:shd w:val="clear" w:color="auto" w:fill="D9D9D9"/>
          </w:tcPr>
          <w:p>
            <w:pPr>
              <w:pStyle w:val="TableParagraph"/>
              <w:spacing w:line="250" w:lineRule="exact" w:before="80"/>
              <w:ind w:left="1371" w:right="1370"/>
              <w:jc w:val="center"/>
              <w:rPr>
                <w:sz w:val="21"/>
              </w:rPr>
            </w:pPr>
            <w:r>
              <w:rPr>
                <w:spacing w:val="-4"/>
                <w:sz w:val="21"/>
              </w:rPr>
              <w:t>我们的做法</w:t>
            </w:r>
          </w:p>
        </w:tc>
      </w:tr>
      <w:tr>
        <w:trPr>
          <w:trHeight w:val="350" w:hRule="atLeast"/>
        </w:trPr>
        <w:tc>
          <w:tcPr>
            <w:tcW w:w="3738" w:type="dxa"/>
            <w:tcBorders>
              <w:left w:val="nil"/>
            </w:tcBorders>
          </w:tcPr>
          <w:p>
            <w:pPr>
              <w:pStyle w:val="TableParagraph"/>
              <w:spacing w:line="317" w:lineRule="exact" w:before="13"/>
              <w:ind w:left="103"/>
              <w:rPr>
                <w:rFonts w:ascii="微软雅黑" w:eastAsia="微软雅黑"/>
                <w:b/>
                <w:sz w:val="11"/>
              </w:rPr>
            </w:pPr>
            <w:r>
              <w:rPr>
                <w:rFonts w:ascii="微软雅黑" w:eastAsia="微软雅黑"/>
                <w:b/>
                <w:spacing w:val="-2"/>
                <w:sz w:val="21"/>
              </w:rPr>
              <w:t>轻度疾病</w:t>
            </w:r>
            <w:r>
              <w:rPr>
                <w:rFonts w:ascii="微软雅黑" w:eastAsia="微软雅黑"/>
                <w:b/>
                <w:spacing w:val="-10"/>
                <w:position w:val="11"/>
                <w:sz w:val="11"/>
              </w:rPr>
              <w:t>4</w:t>
            </w:r>
          </w:p>
        </w:tc>
        <w:tc>
          <w:tcPr>
            <w:tcW w:w="3817" w:type="dxa"/>
            <w:tcBorders>
              <w:right w:val="nil"/>
            </w:tcBorders>
          </w:tcPr>
          <w:p>
            <w:pPr>
              <w:pStyle w:val="TableParagraph"/>
              <w:spacing w:line="250" w:lineRule="exact" w:before="80"/>
              <w:ind w:left="105"/>
              <w:rPr>
                <w:sz w:val="21"/>
              </w:rPr>
            </w:pPr>
            <w:r>
              <w:rPr>
                <w:spacing w:val="-3"/>
                <w:sz w:val="21"/>
              </w:rPr>
              <w:t>不承担保险责任，本合同继续有效</w:t>
            </w:r>
          </w:p>
        </w:tc>
      </w:tr>
      <w:tr>
        <w:trPr>
          <w:trHeight w:val="623" w:hRule="atLeast"/>
        </w:trPr>
        <w:tc>
          <w:tcPr>
            <w:tcW w:w="3738" w:type="dxa"/>
            <w:tcBorders>
              <w:left w:val="nil"/>
            </w:tcBorders>
          </w:tcPr>
          <w:p>
            <w:pPr>
              <w:pStyle w:val="TableParagraph"/>
              <w:spacing w:before="13"/>
              <w:ind w:left="103"/>
              <w:rPr>
                <w:sz w:val="21"/>
              </w:rPr>
            </w:pPr>
            <w:r>
              <w:rPr>
                <w:rFonts w:ascii="微软雅黑" w:eastAsia="微软雅黑"/>
                <w:b/>
                <w:w w:val="95"/>
                <w:sz w:val="21"/>
              </w:rPr>
              <w:t>重</w:t>
            </w:r>
            <w:r>
              <w:rPr>
                <w:rFonts w:ascii="微软雅黑" w:eastAsia="微软雅黑"/>
                <w:b/>
                <w:w w:val="95"/>
                <w:sz w:val="21"/>
              </w:rPr>
              <w:t>大</w:t>
            </w:r>
            <w:r>
              <w:rPr>
                <w:rFonts w:ascii="微软雅黑" w:eastAsia="微软雅黑"/>
                <w:b/>
                <w:w w:val="95"/>
                <w:sz w:val="21"/>
              </w:rPr>
              <w:t>疾</w:t>
            </w:r>
            <w:r>
              <w:rPr>
                <w:rFonts w:ascii="微软雅黑" w:eastAsia="微软雅黑"/>
                <w:b/>
                <w:w w:val="95"/>
                <w:sz w:val="21"/>
              </w:rPr>
              <w:t>病</w:t>
            </w:r>
            <w:r>
              <w:rPr>
                <w:rFonts w:ascii="微软雅黑" w:eastAsia="微软雅黑"/>
                <w:b/>
                <w:w w:val="95"/>
                <w:position w:val="11"/>
                <w:sz w:val="11"/>
              </w:rPr>
              <w:t>5</w:t>
            </w:r>
            <w:r>
              <w:rPr>
                <w:w w:val="95"/>
                <w:sz w:val="21"/>
              </w:rPr>
              <w:t>/</w:t>
            </w:r>
            <w:r>
              <w:rPr>
                <w:w w:val="95"/>
                <w:sz w:val="21"/>
              </w:rPr>
              <w:t>身</w:t>
            </w:r>
            <w:r>
              <w:rPr>
                <w:spacing w:val="-10"/>
                <w:w w:val="95"/>
                <w:sz w:val="21"/>
              </w:rPr>
              <w:t>故</w:t>
            </w:r>
          </w:p>
        </w:tc>
        <w:tc>
          <w:tcPr>
            <w:tcW w:w="3817" w:type="dxa"/>
            <w:tcBorders>
              <w:right w:val="nil"/>
            </w:tcBorders>
          </w:tcPr>
          <w:p>
            <w:pPr>
              <w:pStyle w:val="TableParagraph"/>
              <w:spacing w:line="270" w:lineRule="atLeast" w:before="63"/>
              <w:ind w:left="105" w:right="100"/>
              <w:rPr>
                <w:sz w:val="21"/>
              </w:rPr>
            </w:pPr>
            <w:r>
              <w:rPr>
                <w:spacing w:val="-2"/>
                <w:sz w:val="21"/>
              </w:rPr>
              <w:t>不承担保险责任，无息退还您累计已交</w:t>
            </w:r>
            <w:r>
              <w:rPr>
                <w:spacing w:val="-2"/>
                <w:sz w:val="21"/>
              </w:rPr>
              <w:t>纳的本合同的保险费，本合同终止</w:t>
            </w:r>
          </w:p>
        </w:tc>
      </w:tr>
    </w:tbl>
    <w:p>
      <w:pPr>
        <w:pStyle w:val="BodyText"/>
        <w:spacing w:before="4"/>
        <w:ind w:left="0"/>
        <w:rPr>
          <w:sz w:val="14"/>
        </w:rPr>
      </w:pPr>
    </w:p>
    <w:p>
      <w:pPr>
        <w:pStyle w:val="BodyText"/>
        <w:spacing w:line="242" w:lineRule="auto"/>
        <w:ind w:left="2729" w:right="601"/>
      </w:pPr>
      <w:r>
        <w:rPr>
          <w:spacing w:val="-10"/>
        </w:rPr>
        <w:t>若发生本合同 </w:t>
      </w:r>
      <w:r>
        <w:rPr>
          <w:spacing w:val="-2"/>
        </w:rPr>
        <w:t>6.4</w:t>
      </w:r>
      <w:r>
        <w:rPr>
          <w:spacing w:val="-10"/>
        </w:rPr>
        <w:t> 条约定的减保，计算累计已交纳的本合同的保险费时，减保前的</w:t>
      </w:r>
      <w:r>
        <w:rPr>
          <w:spacing w:val="-2"/>
        </w:rPr>
        <w:t>部分将按减保比例相应减少。</w:t>
      </w:r>
    </w:p>
    <w:p>
      <w:pPr>
        <w:pStyle w:val="BodyText"/>
        <w:spacing w:before="5"/>
        <w:ind w:left="0"/>
        <w:rPr>
          <w:sz w:val="19"/>
        </w:rPr>
      </w:pPr>
    </w:p>
    <w:p>
      <w:pPr>
        <w:pStyle w:val="BodyText"/>
        <w:spacing w:before="1"/>
        <w:ind w:left="2729"/>
      </w:pPr>
      <w:r>
        <w:rPr>
          <w:spacing w:val="-2"/>
        </w:rPr>
        <w:t>（此页正文完</w:t>
      </w:r>
      <w:r>
        <w:rPr>
          <w:spacing w:val="-12"/>
        </w:rPr>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9"/>
        <w:ind w:left="0"/>
        <w:rPr>
          <w:sz w:val="10"/>
        </w:rPr>
      </w:pPr>
      <w:r>
        <w:rPr/>
        <w:drawing>
          <wp:anchor distT="0" distB="0" distL="0" distR="0" allowOverlap="1" layoutInCell="1" locked="0" behindDoc="0" simplePos="0" relativeHeight="13">
            <wp:simplePos x="0" y="0"/>
            <wp:positionH relativeFrom="page">
              <wp:posOffset>719327</wp:posOffset>
            </wp:positionH>
            <wp:positionV relativeFrom="paragraph">
              <wp:posOffset>102672</wp:posOffset>
            </wp:positionV>
            <wp:extent cx="1829511" cy="6096"/>
            <wp:effectExtent l="0" t="0" r="0" b="0"/>
            <wp:wrapTopAndBottom/>
            <wp:docPr id="23" name="image5.png"/>
            <wp:cNvGraphicFramePr>
              <a:graphicFrameLocks noChangeAspect="1"/>
            </wp:cNvGraphicFramePr>
            <a:graphic>
              <a:graphicData uri="http://schemas.openxmlformats.org/drawingml/2006/picture">
                <pic:pic>
                  <pic:nvPicPr>
                    <pic:cNvPr id="24" name="image5.png"/>
                    <pic:cNvPicPr/>
                  </pic:nvPicPr>
                  <pic:blipFill>
                    <a:blip r:embed="rId10" cstate="print"/>
                    <a:stretch>
                      <a:fillRect/>
                    </a:stretch>
                  </pic:blipFill>
                  <pic:spPr>
                    <a:xfrm>
                      <a:off x="0" y="0"/>
                      <a:ext cx="1829511" cy="6096"/>
                    </a:xfrm>
                    <a:prstGeom prst="rect">
                      <a:avLst/>
                    </a:prstGeom>
                  </pic:spPr>
                </pic:pic>
              </a:graphicData>
            </a:graphic>
          </wp:anchor>
        </w:drawing>
      </w:r>
    </w:p>
    <w:p>
      <w:pPr>
        <w:spacing w:line="283" w:lineRule="exact" w:before="36"/>
        <w:ind w:left="412" w:right="0" w:firstLine="0"/>
        <w:jc w:val="left"/>
        <w:rPr>
          <w:rFonts w:ascii="微软雅黑" w:eastAsia="微软雅黑"/>
          <w:b/>
          <w:sz w:val="18"/>
        </w:rPr>
      </w:pPr>
      <w:r>
        <w:rPr>
          <w:position w:val="9"/>
          <w:sz w:val="9"/>
        </w:rPr>
        <w:t>3</w:t>
      </w:r>
      <w:r>
        <w:rPr>
          <w:rFonts w:ascii="Microsoft JhengHei" w:eastAsia="Microsoft JhengHei"/>
          <w:b/>
          <w:sz w:val="18"/>
        </w:rPr>
        <w:t>意外伤害</w:t>
      </w:r>
      <w:r>
        <w:rPr>
          <w:sz w:val="18"/>
        </w:rPr>
        <w:t>指外来的、突然的、非本意的、非疾病的使身体受到伤害的客观事件，</w:t>
      </w:r>
      <w:r>
        <w:rPr>
          <w:rFonts w:ascii="微软雅黑" w:eastAsia="微软雅黑"/>
          <w:b/>
          <w:spacing w:val="-1"/>
          <w:sz w:val="18"/>
        </w:rPr>
        <w:t>猝死、自杀以及自伤均不属于意外伤害。</w:t>
      </w:r>
    </w:p>
    <w:p>
      <w:pPr>
        <w:spacing w:line="231" w:lineRule="exact" w:before="0"/>
        <w:ind w:left="412" w:right="0" w:firstLine="0"/>
        <w:jc w:val="left"/>
        <w:rPr>
          <w:sz w:val="18"/>
        </w:rPr>
      </w:pPr>
      <w:r>
        <w:rPr>
          <w:position w:val="9"/>
          <w:sz w:val="9"/>
        </w:rPr>
        <w:t>4</w:t>
      </w:r>
      <w:r>
        <w:rPr>
          <w:rFonts w:ascii="Microsoft JhengHei" w:hAnsi="Microsoft JhengHei" w:eastAsia="Microsoft JhengHei"/>
          <w:b/>
          <w:sz w:val="18"/>
        </w:rPr>
        <w:t>轻度疾病</w:t>
      </w:r>
      <w:r>
        <w:rPr>
          <w:spacing w:val="-8"/>
          <w:sz w:val="18"/>
        </w:rPr>
        <w:t>名称列表见 </w:t>
      </w:r>
      <w:r>
        <w:rPr>
          <w:sz w:val="18"/>
        </w:rPr>
        <w:t>1.5</w:t>
      </w:r>
      <w:r>
        <w:rPr>
          <w:spacing w:val="-11"/>
          <w:sz w:val="18"/>
        </w:rPr>
        <w:t> 中轻度疾病列表，具体定义见“附件一轻度疾病定义”。</w:t>
      </w:r>
    </w:p>
    <w:p>
      <w:pPr>
        <w:spacing w:line="282" w:lineRule="exact" w:before="0"/>
        <w:ind w:left="412" w:right="0" w:firstLine="0"/>
        <w:jc w:val="left"/>
        <w:rPr>
          <w:sz w:val="18"/>
        </w:rPr>
      </w:pPr>
      <w:r>
        <w:rPr>
          <w:position w:val="9"/>
          <w:sz w:val="9"/>
        </w:rPr>
        <w:t>5</w:t>
      </w:r>
      <w:r>
        <w:rPr>
          <w:rFonts w:ascii="Microsoft JhengHei" w:hAnsi="Microsoft JhengHei" w:eastAsia="Microsoft JhengHei"/>
          <w:b/>
          <w:sz w:val="18"/>
        </w:rPr>
        <w:t>重大疾病</w:t>
      </w:r>
      <w:r>
        <w:rPr>
          <w:spacing w:val="-8"/>
          <w:sz w:val="18"/>
        </w:rPr>
        <w:t>名称列表见 </w:t>
      </w:r>
      <w:r>
        <w:rPr>
          <w:sz w:val="18"/>
        </w:rPr>
        <w:t>1.5</w:t>
      </w:r>
      <w:r>
        <w:rPr>
          <w:spacing w:val="-11"/>
          <w:sz w:val="18"/>
        </w:rPr>
        <w:t> 中重大疾病列表，具体定义见“附件二重大疾病定义”。</w:t>
      </w:r>
    </w:p>
    <w:p>
      <w:pPr>
        <w:spacing w:after="0" w:line="282" w:lineRule="exact"/>
        <w:jc w:val="left"/>
        <w:rPr>
          <w:sz w:val="18"/>
        </w:rPr>
        <w:sectPr>
          <w:pgSz w:w="11910" w:h="16840"/>
          <w:pgMar w:header="0" w:footer="574" w:top="1140" w:bottom="760" w:left="720" w:right="340"/>
        </w:sectPr>
      </w:pPr>
    </w:p>
    <w:p>
      <w:pPr>
        <w:pStyle w:val="ListParagraph"/>
        <w:numPr>
          <w:ilvl w:val="1"/>
          <w:numId w:val="3"/>
        </w:numPr>
        <w:tabs>
          <w:tab w:pos="1178" w:val="left" w:leader="none"/>
          <w:tab w:pos="1179" w:val="left" w:leader="none"/>
          <w:tab w:pos="2729" w:val="left" w:leader="none"/>
        </w:tabs>
        <w:spacing w:line="375" w:lineRule="exact" w:before="0" w:after="0"/>
        <w:ind w:left="1178" w:right="0" w:hanging="658"/>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spacing w:before="3"/>
        <w:ind w:left="0"/>
        <w:rPr>
          <w:sz w:val="8"/>
        </w:rPr>
      </w:pPr>
    </w:p>
    <w:p>
      <w:pPr>
        <w:spacing w:after="0"/>
        <w:rPr>
          <w:sz w:val="8"/>
        </w:rPr>
        <w:sectPr>
          <w:pgSz w:w="11910" w:h="16840"/>
          <w:pgMar w:header="0" w:footer="574" w:top="1140" w:bottom="760" w:left="720" w:right="340"/>
        </w:sectPr>
      </w:pPr>
    </w:p>
    <w:p>
      <w:pPr>
        <w:pStyle w:val="Heading2"/>
        <w:spacing w:line="218" w:lineRule="auto" w:before="53"/>
        <w:ind w:left="1178" w:firstLine="0"/>
      </w:pPr>
      <w:r>
        <w:rPr>
          <w:spacing w:val="-4"/>
        </w:rPr>
        <w:t>轻度疾病</w:t>
      </w:r>
      <w:r>
        <w:rPr>
          <w:spacing w:val="-4"/>
        </w:rPr>
        <w:t>保险金</w:t>
      </w:r>
    </w:p>
    <w:p>
      <w:pPr>
        <w:spacing w:line="363" w:lineRule="exact" w:before="28"/>
        <w:ind w:left="665" w:right="0" w:firstLine="0"/>
        <w:jc w:val="left"/>
        <w:rPr>
          <w:sz w:val="21"/>
        </w:rPr>
      </w:pPr>
      <w:r>
        <w:rPr/>
        <w:br w:type="column"/>
      </w:r>
      <w:r>
        <w:rPr>
          <w:w w:val="95"/>
          <w:sz w:val="21"/>
        </w:rPr>
        <w:t>被</w:t>
      </w:r>
      <w:r>
        <w:rPr>
          <w:w w:val="95"/>
          <w:sz w:val="21"/>
        </w:rPr>
        <w:t>保</w:t>
      </w:r>
      <w:r>
        <w:rPr>
          <w:w w:val="95"/>
          <w:sz w:val="21"/>
        </w:rPr>
        <w:t>险人在等待期</w:t>
      </w:r>
      <w:r>
        <w:rPr>
          <w:w w:val="95"/>
          <w:sz w:val="21"/>
        </w:rPr>
        <w:t>后</w:t>
      </w:r>
      <w:r>
        <w:rPr>
          <w:w w:val="95"/>
          <w:sz w:val="21"/>
        </w:rPr>
        <w:t>经</w:t>
      </w:r>
      <w:r>
        <w:rPr>
          <w:rFonts w:ascii="微软雅黑" w:eastAsia="微软雅黑"/>
          <w:b/>
          <w:w w:val="95"/>
          <w:sz w:val="21"/>
        </w:rPr>
        <w:t>医</w:t>
      </w:r>
      <w:r>
        <w:rPr>
          <w:rFonts w:ascii="微软雅黑" w:eastAsia="微软雅黑"/>
          <w:b/>
          <w:w w:val="95"/>
          <w:sz w:val="21"/>
        </w:rPr>
        <w:t>院</w:t>
      </w:r>
      <w:r>
        <w:rPr>
          <w:rFonts w:ascii="微软雅黑" w:eastAsia="微软雅黑"/>
          <w:b/>
          <w:w w:val="95"/>
          <w:position w:val="11"/>
          <w:sz w:val="11"/>
        </w:rPr>
        <w:t>6</w:t>
      </w:r>
      <w:r>
        <w:rPr>
          <w:w w:val="95"/>
          <w:sz w:val="21"/>
        </w:rPr>
        <w:t>及</w:t>
      </w:r>
      <w:r>
        <w:rPr>
          <w:rFonts w:ascii="微软雅黑" w:eastAsia="微软雅黑"/>
          <w:b/>
          <w:w w:val="95"/>
          <w:sz w:val="21"/>
        </w:rPr>
        <w:t>专</w:t>
      </w:r>
      <w:r>
        <w:rPr>
          <w:rFonts w:ascii="微软雅黑" w:eastAsia="微软雅黑"/>
          <w:b/>
          <w:w w:val="95"/>
          <w:sz w:val="21"/>
        </w:rPr>
        <w:t>科</w:t>
      </w:r>
      <w:r>
        <w:rPr>
          <w:rFonts w:ascii="微软雅黑" w:eastAsia="微软雅黑"/>
          <w:b/>
          <w:w w:val="95"/>
          <w:sz w:val="21"/>
        </w:rPr>
        <w:t>医</w:t>
      </w:r>
      <w:r>
        <w:rPr>
          <w:rFonts w:ascii="微软雅黑" w:eastAsia="微软雅黑"/>
          <w:b/>
          <w:w w:val="95"/>
          <w:sz w:val="21"/>
        </w:rPr>
        <w:t>生</w:t>
      </w:r>
      <w:r>
        <w:rPr>
          <w:rFonts w:ascii="微软雅黑" w:eastAsia="微软雅黑"/>
          <w:b/>
          <w:w w:val="95"/>
          <w:position w:val="11"/>
          <w:sz w:val="11"/>
        </w:rPr>
        <w:t>7</w:t>
      </w:r>
      <w:r>
        <w:rPr>
          <w:rFonts w:ascii="微软雅黑" w:eastAsia="微软雅黑"/>
          <w:b/>
          <w:w w:val="95"/>
          <w:sz w:val="21"/>
        </w:rPr>
        <w:t>初</w:t>
      </w:r>
      <w:r>
        <w:rPr>
          <w:rFonts w:ascii="微软雅黑" w:eastAsia="微软雅黑"/>
          <w:b/>
          <w:w w:val="95"/>
          <w:sz w:val="21"/>
        </w:rPr>
        <w:t>次</w:t>
      </w:r>
      <w:r>
        <w:rPr>
          <w:rFonts w:ascii="微软雅黑" w:eastAsia="微软雅黑"/>
          <w:b/>
          <w:w w:val="95"/>
          <w:sz w:val="21"/>
        </w:rPr>
        <w:t>确</w:t>
      </w:r>
      <w:r>
        <w:rPr>
          <w:rFonts w:ascii="微软雅黑" w:eastAsia="微软雅黑"/>
          <w:b/>
          <w:w w:val="95"/>
          <w:sz w:val="21"/>
        </w:rPr>
        <w:t>诊</w:t>
      </w:r>
      <w:r>
        <w:rPr>
          <w:rFonts w:ascii="微软雅黑" w:eastAsia="微软雅黑"/>
          <w:b/>
          <w:w w:val="95"/>
          <w:position w:val="11"/>
          <w:sz w:val="11"/>
        </w:rPr>
        <w:t>8</w:t>
      </w:r>
      <w:r>
        <w:rPr>
          <w:w w:val="95"/>
          <w:sz w:val="21"/>
        </w:rPr>
        <w:t>罹</w:t>
      </w:r>
      <w:r>
        <w:rPr>
          <w:w w:val="95"/>
          <w:sz w:val="21"/>
        </w:rPr>
        <w:t>患</w:t>
      </w:r>
      <w:r>
        <w:rPr>
          <w:w w:val="95"/>
          <w:sz w:val="21"/>
        </w:rPr>
        <w:t>本</w:t>
      </w:r>
      <w:r>
        <w:rPr>
          <w:w w:val="95"/>
          <w:sz w:val="21"/>
        </w:rPr>
        <w:t>合同所定义的</w:t>
      </w:r>
      <w:r>
        <w:rPr>
          <w:w w:val="95"/>
          <w:sz w:val="21"/>
        </w:rPr>
        <w:t>轻</w:t>
      </w:r>
      <w:r>
        <w:rPr>
          <w:w w:val="95"/>
          <w:sz w:val="21"/>
        </w:rPr>
        <w:t>度</w:t>
      </w:r>
      <w:r>
        <w:rPr>
          <w:spacing w:val="-4"/>
          <w:w w:val="95"/>
          <w:sz w:val="21"/>
        </w:rPr>
        <w:t>疾病，</w:t>
      </w:r>
    </w:p>
    <w:p>
      <w:pPr>
        <w:pStyle w:val="BodyText"/>
        <w:spacing w:line="245" w:lineRule="exact"/>
        <w:ind w:left="665"/>
      </w:pPr>
      <w:r>
        <w:rPr>
          <w:spacing w:val="-4"/>
        </w:rPr>
        <w:t>我们将按本合同基本保险金额的 </w:t>
      </w:r>
      <w:r>
        <w:rPr>
          <w:spacing w:val="-2"/>
        </w:rPr>
        <w:t>20</w:t>
      </w:r>
      <w:r>
        <w:rPr>
          <w:spacing w:val="-3"/>
        </w:rPr>
        <w:t>％向疾病保险金受益人给付轻度疾病保险金。</w:t>
      </w:r>
    </w:p>
    <w:p>
      <w:pPr>
        <w:pStyle w:val="BodyText"/>
        <w:spacing w:line="242" w:lineRule="auto" w:before="84"/>
        <w:ind w:left="665" w:right="601"/>
      </w:pPr>
      <w:r>
        <w:rPr>
          <w:spacing w:val="-2"/>
        </w:rPr>
        <w:t>每种轻度疾病限给付一次，给付后该种轻度疾病保险金责任终止。本合同不同种类</w:t>
      </w:r>
      <w:r>
        <w:rPr>
          <w:spacing w:val="-2"/>
        </w:rPr>
        <w:t>的轻度疾病保险金累计给付以五次为限，给付后本合同继续有效。</w:t>
      </w:r>
    </w:p>
    <w:p>
      <w:pPr>
        <w:pStyle w:val="BodyText"/>
        <w:spacing w:line="204" w:lineRule="auto" w:before="53"/>
        <w:ind w:left="665" w:right="602"/>
      </w:pPr>
      <w:r>
        <w:rPr>
          <w:spacing w:val="-2"/>
        </w:rPr>
        <w:t>如果被保险人因</w:t>
      </w:r>
      <w:r>
        <w:rPr>
          <w:rFonts w:ascii="微软雅黑" w:eastAsia="微软雅黑"/>
          <w:b/>
          <w:spacing w:val="-2"/>
        </w:rPr>
        <w:t>同一原因</w:t>
      </w:r>
      <w:r>
        <w:rPr>
          <w:rFonts w:ascii="微软雅黑" w:eastAsia="微软雅黑"/>
          <w:b/>
          <w:spacing w:val="-2"/>
          <w:position w:val="11"/>
          <w:sz w:val="11"/>
        </w:rPr>
        <w:t>9</w:t>
      </w:r>
      <w:r>
        <w:rPr>
          <w:spacing w:val="-2"/>
        </w:rPr>
        <w:t>导致其罹患两种或者两种以上的轻度疾病，我们仅按一</w:t>
      </w:r>
      <w:r>
        <w:rPr>
          <w:spacing w:val="-2"/>
        </w:rPr>
        <w:t>种轻度疾病给付轻度疾病保险金。</w:t>
      </w:r>
    </w:p>
    <w:p>
      <w:pPr>
        <w:spacing w:after="0" w:line="204" w:lineRule="auto"/>
        <w:sectPr>
          <w:type w:val="continuous"/>
          <w:pgSz w:w="11910" w:h="16840"/>
          <w:pgMar w:header="0" w:footer="574" w:top="380" w:bottom="760" w:left="720" w:right="340"/>
          <w:cols w:num="2" w:equalWidth="0">
            <w:col w:w="2024" w:space="40"/>
            <w:col w:w="8786"/>
          </w:cols>
        </w:sectPr>
      </w:pPr>
    </w:p>
    <w:p>
      <w:pPr>
        <w:pStyle w:val="BodyText"/>
        <w:spacing w:before="8"/>
        <w:ind w:left="0"/>
        <w:rPr>
          <w:sz w:val="14"/>
        </w:rPr>
      </w:pPr>
    </w:p>
    <w:p>
      <w:pPr>
        <w:spacing w:after="0"/>
        <w:rPr>
          <w:sz w:val="14"/>
        </w:rPr>
        <w:sectPr>
          <w:type w:val="continuous"/>
          <w:pgSz w:w="11910" w:h="16840"/>
          <w:pgMar w:header="0" w:footer="574" w:top="380" w:bottom="760" w:left="720" w:right="340"/>
        </w:sectPr>
      </w:pPr>
    </w:p>
    <w:p>
      <w:pPr>
        <w:pStyle w:val="Heading2"/>
        <w:spacing w:line="218" w:lineRule="auto" w:before="30"/>
        <w:ind w:left="1178" w:firstLine="0"/>
      </w:pPr>
      <w:r>
        <w:rPr>
          <w:spacing w:val="-4"/>
        </w:rPr>
        <w:t>轻度疾病</w:t>
      </w:r>
      <w:r>
        <w:rPr>
          <w:spacing w:val="40"/>
        </w:rPr>
        <w:t> </w:t>
      </w:r>
      <w:r>
        <w:rPr>
          <w:spacing w:val="-2"/>
        </w:rPr>
        <w:t>豁免保险费</w:t>
      </w:r>
    </w:p>
    <w:p>
      <w:pPr>
        <w:pStyle w:val="BodyText"/>
        <w:spacing w:line="242" w:lineRule="auto" w:before="72"/>
        <w:ind w:left="454" w:right="601"/>
        <w:jc w:val="both"/>
      </w:pPr>
      <w:r>
        <w:rPr/>
        <w:br w:type="column"/>
      </w:r>
      <w:r>
        <w:rPr>
          <w:spacing w:val="-6"/>
        </w:rPr>
        <w:t>被保险人在等待期后经医院及专科医生初次确诊罹患本合同所定义的轻度疾病，我</w:t>
      </w:r>
      <w:r>
        <w:rPr>
          <w:spacing w:val="-5"/>
        </w:rPr>
        <w:t>们将豁免本合同自轻度疾病确诊之日以后的各期保险费。我们视豁免的保险费为您</w:t>
      </w:r>
      <w:r>
        <w:rPr>
          <w:spacing w:val="-2"/>
        </w:rPr>
        <w:t>已交纳的保险费，本合同继续有效。</w:t>
      </w:r>
    </w:p>
    <w:p>
      <w:pPr>
        <w:pStyle w:val="BodyText"/>
        <w:spacing w:before="80"/>
        <w:ind w:left="454"/>
      </w:pPr>
      <w:r>
        <w:rPr>
          <w:spacing w:val="-3"/>
        </w:rPr>
        <w:t>保险费豁免开始后，我们将不接受关于本合同保险费交费方式的变更申请。</w:t>
      </w:r>
    </w:p>
    <w:p>
      <w:pPr>
        <w:spacing w:after="0"/>
        <w:sectPr>
          <w:type w:val="continuous"/>
          <w:pgSz w:w="11910" w:h="16840"/>
          <w:pgMar w:header="0" w:footer="574" w:top="380" w:bottom="760" w:left="720" w:right="340"/>
          <w:cols w:num="2" w:equalWidth="0">
            <w:col w:w="2235" w:space="40"/>
            <w:col w:w="8575"/>
          </w:cols>
        </w:sectPr>
      </w:pPr>
    </w:p>
    <w:p>
      <w:pPr>
        <w:pStyle w:val="BodyText"/>
        <w:spacing w:before="1"/>
        <w:ind w:left="0"/>
        <w:rPr>
          <w:sz w:val="14"/>
        </w:rPr>
      </w:pPr>
    </w:p>
    <w:p>
      <w:pPr>
        <w:spacing w:after="0"/>
        <w:rPr>
          <w:sz w:val="14"/>
        </w:rPr>
        <w:sectPr>
          <w:type w:val="continuous"/>
          <w:pgSz w:w="11910" w:h="16840"/>
          <w:pgMar w:header="0" w:footer="574" w:top="380" w:bottom="760" w:left="720" w:right="340"/>
        </w:sectPr>
      </w:pPr>
    </w:p>
    <w:p>
      <w:pPr>
        <w:pStyle w:val="Heading2"/>
        <w:spacing w:line="218" w:lineRule="auto" w:before="30"/>
        <w:ind w:left="1178" w:firstLine="0"/>
      </w:pPr>
      <w:r>
        <w:rPr>
          <w:spacing w:val="-4"/>
        </w:rPr>
        <w:t>重大疾病</w:t>
      </w:r>
      <w:r>
        <w:rPr>
          <w:spacing w:val="-4"/>
        </w:rPr>
        <w:t>保险金</w:t>
      </w:r>
    </w:p>
    <w:p>
      <w:pPr>
        <w:pStyle w:val="BodyText"/>
        <w:spacing w:line="242" w:lineRule="auto" w:before="72"/>
        <w:ind w:left="665" w:right="601"/>
        <w:jc w:val="both"/>
      </w:pPr>
      <w:r>
        <w:rPr/>
        <w:br w:type="column"/>
      </w:r>
      <w:r>
        <w:rPr>
          <w:spacing w:val="-4"/>
        </w:rPr>
        <w:t>被保险人在等待期后经医院及专科医生初次确诊罹患本合同所定义的重大疾病</w:t>
      </w:r>
      <w:r>
        <w:rPr>
          <w:spacing w:val="-2"/>
        </w:rPr>
        <w:t>（无</w:t>
      </w:r>
      <w:r>
        <w:rPr>
          <w:spacing w:val="-2"/>
        </w:rPr>
        <w:t>论一种或者多种</w:t>
      </w:r>
      <w:r>
        <w:rPr>
          <w:spacing w:val="-106"/>
        </w:rPr>
        <w:t>）</w:t>
      </w:r>
      <w:r>
        <w:rPr>
          <w:spacing w:val="-2"/>
        </w:rPr>
        <w:t>，我们将按本合同的基本保险金额向疾病保险金受益人给付重大</w:t>
      </w:r>
      <w:r>
        <w:rPr>
          <w:spacing w:val="-2"/>
        </w:rPr>
        <w:t>疾病保险金，本合同终止。</w:t>
      </w:r>
    </w:p>
    <w:p>
      <w:pPr>
        <w:pStyle w:val="BodyText"/>
        <w:spacing w:line="242" w:lineRule="auto" w:before="80"/>
        <w:ind w:left="665" w:right="602"/>
        <w:jc w:val="both"/>
      </w:pPr>
      <w:r>
        <w:rPr/>
        <w:t>对于已经首先符合重大疾病保险金给付条件或者因同一原因导致同时符合轻度疾</w:t>
      </w:r>
      <w:r>
        <w:rPr>
          <w:spacing w:val="-2"/>
        </w:rPr>
        <w:t>病和重大疾病保险金给付条件的，仅给付重大疾病保险金，不再给付轻度疾病保险</w:t>
      </w:r>
      <w:r>
        <w:rPr>
          <w:spacing w:val="-6"/>
        </w:rPr>
        <w:t>金。</w:t>
      </w:r>
    </w:p>
    <w:p>
      <w:pPr>
        <w:spacing w:after="0" w:line="242" w:lineRule="auto"/>
        <w:jc w:val="both"/>
        <w:sectPr>
          <w:type w:val="continuous"/>
          <w:pgSz w:w="11910" w:h="16840"/>
          <w:pgMar w:header="0" w:footer="574" w:top="380" w:bottom="760" w:left="720" w:right="340"/>
          <w:cols w:num="2" w:equalWidth="0">
            <w:col w:w="2024" w:space="40"/>
            <w:col w:w="8786"/>
          </w:cols>
        </w:sectPr>
      </w:pPr>
    </w:p>
    <w:p>
      <w:pPr>
        <w:pStyle w:val="BodyText"/>
        <w:spacing w:before="12"/>
        <w:ind w:left="0"/>
        <w:rPr>
          <w:sz w:val="13"/>
        </w:rPr>
      </w:pPr>
    </w:p>
    <w:p>
      <w:pPr>
        <w:pStyle w:val="BodyText"/>
        <w:tabs>
          <w:tab w:pos="2729" w:val="left" w:leader="none"/>
        </w:tabs>
        <w:spacing w:line="204" w:lineRule="auto" w:before="46"/>
        <w:ind w:left="2729" w:right="601" w:hanging="1551"/>
      </w:pPr>
      <w:r>
        <w:rPr>
          <w:rFonts w:ascii="微软雅黑" w:eastAsia="微软雅黑"/>
          <w:b/>
          <w:spacing w:val="-2"/>
        </w:rPr>
        <w:t>身</w:t>
      </w:r>
      <w:r>
        <w:rPr>
          <w:rFonts w:ascii="微软雅黑" w:eastAsia="微软雅黑"/>
          <w:b/>
          <w:spacing w:val="-2"/>
        </w:rPr>
        <w:t>故</w:t>
      </w:r>
      <w:r>
        <w:rPr>
          <w:rFonts w:ascii="微软雅黑" w:eastAsia="微软雅黑"/>
          <w:b/>
          <w:spacing w:val="-2"/>
        </w:rPr>
        <w:t>保</w:t>
      </w:r>
      <w:r>
        <w:rPr>
          <w:rFonts w:ascii="微软雅黑" w:eastAsia="微软雅黑"/>
          <w:b/>
          <w:spacing w:val="-2"/>
        </w:rPr>
        <w:t>险</w:t>
      </w:r>
      <w:r>
        <w:rPr>
          <w:rFonts w:ascii="微软雅黑" w:eastAsia="微软雅黑"/>
          <w:b/>
          <w:spacing w:val="-2"/>
        </w:rPr>
        <w:t>金</w:t>
      </w:r>
      <w:r>
        <w:rPr>
          <w:rFonts w:ascii="微软雅黑" w:eastAsia="微软雅黑"/>
          <w:b/>
        </w:rPr>
        <w:tab/>
      </w:r>
      <w:r>
        <w:rPr>
          <w:spacing w:val="-2"/>
        </w:rPr>
        <w:t>被</w:t>
      </w:r>
      <w:r>
        <w:rPr>
          <w:spacing w:val="-2"/>
        </w:rPr>
        <w:t>保</w:t>
      </w:r>
      <w:r>
        <w:rPr>
          <w:spacing w:val="-2"/>
        </w:rPr>
        <w:t>险人在等待期后身故，我们将向身故保险金受</w:t>
      </w:r>
      <w:r>
        <w:rPr>
          <w:spacing w:val="-2"/>
        </w:rPr>
        <w:t>益</w:t>
      </w:r>
      <w:r>
        <w:rPr>
          <w:spacing w:val="-2"/>
        </w:rPr>
        <w:t>人</w:t>
      </w:r>
      <w:r>
        <w:rPr>
          <w:spacing w:val="-2"/>
        </w:rPr>
        <w:t>给付身故保险金，本合同</w:t>
      </w:r>
      <w:r>
        <w:rPr>
          <w:spacing w:val="-2"/>
        </w:rPr>
        <w:t>终</w:t>
      </w:r>
      <w:r>
        <w:rPr>
          <w:spacing w:val="-2"/>
        </w:rPr>
        <w:t>止</w:t>
      </w:r>
      <w:r>
        <w:rPr>
          <w:spacing w:val="-2"/>
        </w:rPr>
        <w:t>。</w:t>
      </w:r>
      <w:r>
        <w:rPr>
          <w:spacing w:val="-2"/>
        </w:rPr>
        <w:t>身故保险金的数额为：</w:t>
      </w:r>
    </w:p>
    <w:p>
      <w:pPr>
        <w:pStyle w:val="BodyText"/>
        <w:spacing w:before="6" w:after="1"/>
        <w:ind w:left="0"/>
        <w:rPr>
          <w:sz w:val="9"/>
        </w:rPr>
      </w:pPr>
    </w:p>
    <w:tbl>
      <w:tblPr>
        <w:tblW w:w="0" w:type="auto"/>
        <w:jc w:val="left"/>
        <w:tblInd w:w="27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07"/>
        <w:gridCol w:w="3865"/>
      </w:tblGrid>
      <w:tr>
        <w:trPr>
          <w:trHeight w:val="352" w:hRule="atLeast"/>
        </w:trPr>
        <w:tc>
          <w:tcPr>
            <w:tcW w:w="3707" w:type="dxa"/>
            <w:tcBorders>
              <w:left w:val="nil"/>
            </w:tcBorders>
            <w:shd w:val="clear" w:color="auto" w:fill="D9D9D9"/>
          </w:tcPr>
          <w:p>
            <w:pPr>
              <w:pStyle w:val="TableParagraph"/>
              <w:spacing w:line="250" w:lineRule="exact" w:before="82"/>
              <w:ind w:left="799"/>
              <w:rPr>
                <w:sz w:val="21"/>
              </w:rPr>
            </w:pPr>
            <w:r>
              <w:rPr>
                <w:spacing w:val="-3"/>
                <w:sz w:val="21"/>
              </w:rPr>
              <w:t>被保险人身故时的年龄</w:t>
            </w:r>
          </w:p>
        </w:tc>
        <w:tc>
          <w:tcPr>
            <w:tcW w:w="3865" w:type="dxa"/>
            <w:tcBorders>
              <w:right w:val="nil"/>
            </w:tcBorders>
            <w:shd w:val="clear" w:color="auto" w:fill="D9D9D9"/>
          </w:tcPr>
          <w:p>
            <w:pPr>
              <w:pStyle w:val="TableParagraph"/>
              <w:spacing w:line="250" w:lineRule="exact" w:before="82"/>
              <w:ind w:left="1192"/>
              <w:rPr>
                <w:sz w:val="21"/>
              </w:rPr>
            </w:pPr>
            <w:r>
              <w:rPr>
                <w:spacing w:val="-4"/>
                <w:sz w:val="21"/>
              </w:rPr>
              <w:t>身故保险金数额</w:t>
            </w:r>
          </w:p>
        </w:tc>
      </w:tr>
      <w:tr>
        <w:trPr>
          <w:trHeight w:val="350" w:hRule="atLeast"/>
        </w:trPr>
        <w:tc>
          <w:tcPr>
            <w:tcW w:w="3707" w:type="dxa"/>
            <w:tcBorders>
              <w:left w:val="nil"/>
            </w:tcBorders>
          </w:tcPr>
          <w:p>
            <w:pPr>
              <w:pStyle w:val="TableParagraph"/>
              <w:spacing w:line="317" w:lineRule="exact" w:before="13"/>
              <w:ind w:left="102"/>
              <w:rPr>
                <w:sz w:val="21"/>
              </w:rPr>
            </w:pPr>
            <w:r>
              <w:rPr>
                <w:w w:val="95"/>
                <w:sz w:val="21"/>
              </w:rPr>
              <w:t>未</w:t>
            </w:r>
            <w:r>
              <w:rPr>
                <w:w w:val="95"/>
                <w:sz w:val="21"/>
              </w:rPr>
              <w:t>满</w:t>
            </w:r>
            <w:r>
              <w:rPr>
                <w:spacing w:val="-19"/>
                <w:w w:val="95"/>
                <w:sz w:val="21"/>
              </w:rPr>
              <w:t> </w:t>
            </w:r>
            <w:r>
              <w:rPr>
                <w:w w:val="95"/>
                <w:sz w:val="21"/>
              </w:rPr>
              <w:t>18</w:t>
            </w:r>
            <w:r>
              <w:rPr>
                <w:spacing w:val="-23"/>
                <w:w w:val="95"/>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position w:val="11"/>
                <w:sz w:val="11"/>
              </w:rPr>
              <w:t>10</w:t>
            </w:r>
            <w:r>
              <w:rPr>
                <w:w w:val="95"/>
                <w:sz w:val="21"/>
              </w:rPr>
              <w:t>（</w:t>
            </w:r>
            <w:r>
              <w:rPr>
                <w:spacing w:val="-7"/>
                <w:w w:val="95"/>
                <w:sz w:val="21"/>
              </w:rPr>
              <w:t>不含 </w:t>
            </w:r>
            <w:r>
              <w:rPr>
                <w:w w:val="95"/>
                <w:sz w:val="21"/>
              </w:rPr>
              <w:t>18</w:t>
            </w:r>
            <w:r>
              <w:rPr>
                <w:spacing w:val="-12"/>
                <w:w w:val="95"/>
                <w:sz w:val="21"/>
              </w:rPr>
              <w:t> 周</w:t>
            </w:r>
            <w:r>
              <w:rPr>
                <w:w w:val="95"/>
                <w:sz w:val="21"/>
              </w:rPr>
              <w:t>岁</w:t>
            </w:r>
            <w:r>
              <w:rPr>
                <w:w w:val="95"/>
                <w:sz w:val="21"/>
              </w:rPr>
              <w:t>生</w:t>
            </w:r>
            <w:r>
              <w:rPr>
                <w:w w:val="95"/>
                <w:sz w:val="21"/>
              </w:rPr>
              <w:t>日</w:t>
            </w:r>
            <w:r>
              <w:rPr>
                <w:spacing w:val="-10"/>
                <w:w w:val="95"/>
                <w:sz w:val="21"/>
              </w:rPr>
              <w:t>）</w:t>
            </w:r>
          </w:p>
        </w:tc>
        <w:tc>
          <w:tcPr>
            <w:tcW w:w="3865" w:type="dxa"/>
            <w:tcBorders>
              <w:right w:val="nil"/>
            </w:tcBorders>
          </w:tcPr>
          <w:p>
            <w:pPr>
              <w:pStyle w:val="TableParagraph"/>
              <w:spacing w:line="250" w:lineRule="exact" w:before="80"/>
              <w:ind w:left="104"/>
              <w:rPr>
                <w:sz w:val="21"/>
              </w:rPr>
            </w:pPr>
            <w:r>
              <w:rPr>
                <w:spacing w:val="-3"/>
                <w:sz w:val="21"/>
              </w:rPr>
              <w:t>累计已交纳的本合同的保险费</w:t>
            </w:r>
          </w:p>
        </w:tc>
      </w:tr>
      <w:tr>
        <w:trPr>
          <w:trHeight w:val="350" w:hRule="atLeast"/>
        </w:trPr>
        <w:tc>
          <w:tcPr>
            <w:tcW w:w="3707" w:type="dxa"/>
            <w:tcBorders>
              <w:left w:val="nil"/>
            </w:tcBorders>
          </w:tcPr>
          <w:p>
            <w:pPr>
              <w:pStyle w:val="TableParagraph"/>
              <w:spacing w:line="250" w:lineRule="exact" w:before="80"/>
              <w:ind w:left="102"/>
              <w:rPr>
                <w:sz w:val="21"/>
              </w:rPr>
            </w:pPr>
            <w:r>
              <w:rPr>
                <w:spacing w:val="-18"/>
                <w:sz w:val="21"/>
              </w:rPr>
              <w:t>已满 </w:t>
            </w:r>
            <w:r>
              <w:rPr>
                <w:spacing w:val="-2"/>
                <w:sz w:val="21"/>
              </w:rPr>
              <w:t>18</w:t>
            </w:r>
            <w:r>
              <w:rPr>
                <w:spacing w:val="-18"/>
                <w:sz w:val="21"/>
              </w:rPr>
              <w:t> 周岁</w:t>
            </w:r>
            <w:r>
              <w:rPr>
                <w:spacing w:val="-2"/>
                <w:sz w:val="21"/>
              </w:rPr>
              <w:t>（</w:t>
            </w:r>
            <w:r>
              <w:rPr>
                <w:spacing w:val="-26"/>
                <w:sz w:val="21"/>
              </w:rPr>
              <w:t>含 </w:t>
            </w:r>
            <w:r>
              <w:rPr>
                <w:spacing w:val="-2"/>
                <w:sz w:val="21"/>
              </w:rPr>
              <w:t>18</w:t>
            </w:r>
            <w:r>
              <w:rPr>
                <w:spacing w:val="-13"/>
                <w:sz w:val="21"/>
              </w:rPr>
              <w:t> 周岁生日</w:t>
            </w:r>
            <w:r>
              <w:rPr>
                <w:spacing w:val="-10"/>
                <w:sz w:val="21"/>
              </w:rPr>
              <w:t>）</w:t>
            </w:r>
          </w:p>
        </w:tc>
        <w:tc>
          <w:tcPr>
            <w:tcW w:w="3865" w:type="dxa"/>
            <w:tcBorders>
              <w:right w:val="nil"/>
            </w:tcBorders>
          </w:tcPr>
          <w:p>
            <w:pPr>
              <w:pStyle w:val="TableParagraph"/>
              <w:spacing w:line="250" w:lineRule="exact" w:before="80"/>
              <w:ind w:left="104"/>
              <w:rPr>
                <w:sz w:val="21"/>
              </w:rPr>
            </w:pPr>
            <w:r>
              <w:rPr>
                <w:spacing w:val="-3"/>
                <w:sz w:val="21"/>
              </w:rPr>
              <w:t>本合同的基本保险金额</w:t>
            </w:r>
          </w:p>
        </w:tc>
      </w:tr>
    </w:tbl>
    <w:p>
      <w:pPr>
        <w:pStyle w:val="BodyText"/>
        <w:spacing w:before="10"/>
        <w:ind w:left="0"/>
        <w:rPr>
          <w:sz w:val="18"/>
        </w:rPr>
      </w:pPr>
    </w:p>
    <w:p>
      <w:pPr>
        <w:pStyle w:val="BodyText"/>
        <w:spacing w:line="242" w:lineRule="auto" w:before="1"/>
        <w:ind w:left="2758" w:right="599"/>
      </w:pPr>
      <w:r>
        <w:rPr>
          <w:spacing w:val="-4"/>
        </w:rPr>
        <w:t>上述重大疾病保险金和身故保险金，我们在保险期间内只给付一项，在给付其中任</w:t>
      </w:r>
      <w:r>
        <w:rPr>
          <w:spacing w:val="-2"/>
        </w:rPr>
        <w:t>意一项后，本合同终止。</w:t>
      </w:r>
    </w:p>
    <w:p>
      <w:pPr>
        <w:pStyle w:val="BodyText"/>
        <w:spacing w:line="242" w:lineRule="auto" w:before="78"/>
        <w:ind w:left="2758" w:right="599"/>
      </w:pPr>
      <w:r>
        <w:rPr>
          <w:spacing w:val="-8"/>
        </w:rPr>
        <w:t>若发生本合同 </w:t>
      </w:r>
      <w:r>
        <w:rPr>
          <w:spacing w:val="-4"/>
        </w:rPr>
        <w:t>6.4</w:t>
      </w:r>
      <w:r>
        <w:rPr>
          <w:spacing w:val="-10"/>
        </w:rPr>
        <w:t> 条约定的减保，计算累计已交纳的本合同的保险费时，减保前的</w:t>
      </w:r>
      <w:r>
        <w:rPr>
          <w:spacing w:val="-2"/>
        </w:rPr>
        <w:t>部分将按减保比例相应减少。</w:t>
      </w:r>
    </w:p>
    <w:p>
      <w:pPr>
        <w:pStyle w:val="BodyText"/>
        <w:spacing w:before="80"/>
        <w:ind w:left="2758"/>
      </w:pPr>
      <w:r>
        <w:rPr>
          <w:spacing w:val="-12"/>
        </w:rPr>
        <w:t>被保险人因意外伤害发生保险事故的，无等待期，我们承担本合同约定的保险责任。</w:t>
      </w:r>
    </w:p>
    <w:p>
      <w:pPr>
        <w:pStyle w:val="BodyText"/>
        <w:spacing w:before="6"/>
        <w:ind w:left="0"/>
        <w:rPr>
          <w:sz w:val="19"/>
        </w:rPr>
      </w:pPr>
    </w:p>
    <w:p>
      <w:pPr>
        <w:pStyle w:val="BodyText"/>
        <w:ind w:left="2729"/>
      </w:pPr>
      <w:r>
        <w:rPr>
          <w:spacing w:val="-2"/>
        </w:rPr>
        <w:t>（此页正文完</w:t>
      </w:r>
      <w:r>
        <w:rPr>
          <w:spacing w:val="-12"/>
        </w:rPr>
        <w:t>）</w:t>
      </w:r>
    </w:p>
    <w:p>
      <w:pPr>
        <w:pStyle w:val="BodyText"/>
        <w:ind w:left="0"/>
        <w:rPr>
          <w:sz w:val="20"/>
        </w:rPr>
      </w:pPr>
    </w:p>
    <w:p>
      <w:pPr>
        <w:pStyle w:val="BodyText"/>
        <w:spacing w:before="12"/>
        <w:ind w:left="0"/>
        <w:rPr>
          <w:sz w:val="26"/>
        </w:rPr>
      </w:pPr>
      <w:r>
        <w:rPr/>
        <w:drawing>
          <wp:anchor distT="0" distB="0" distL="0" distR="0" allowOverlap="1" layoutInCell="1" locked="0" behindDoc="0" simplePos="0" relativeHeight="14">
            <wp:simplePos x="0" y="0"/>
            <wp:positionH relativeFrom="page">
              <wp:posOffset>719327</wp:posOffset>
            </wp:positionH>
            <wp:positionV relativeFrom="paragraph">
              <wp:posOffset>234410</wp:posOffset>
            </wp:positionV>
            <wp:extent cx="1829511" cy="6095"/>
            <wp:effectExtent l="0" t="0" r="0" b="0"/>
            <wp:wrapTopAndBottom/>
            <wp:docPr id="25" name="image5.png"/>
            <wp:cNvGraphicFramePr>
              <a:graphicFrameLocks noChangeAspect="1"/>
            </wp:cNvGraphicFramePr>
            <a:graphic>
              <a:graphicData uri="http://schemas.openxmlformats.org/drawingml/2006/picture">
                <pic:pic>
                  <pic:nvPicPr>
                    <pic:cNvPr id="26" name="image5.png"/>
                    <pic:cNvPicPr/>
                  </pic:nvPicPr>
                  <pic:blipFill>
                    <a:blip r:embed="rId10" cstate="print"/>
                    <a:stretch>
                      <a:fillRect/>
                    </a:stretch>
                  </pic:blipFill>
                  <pic:spPr>
                    <a:xfrm>
                      <a:off x="0" y="0"/>
                      <a:ext cx="1829511" cy="6095"/>
                    </a:xfrm>
                    <a:prstGeom prst="rect">
                      <a:avLst/>
                    </a:prstGeom>
                  </pic:spPr>
                </pic:pic>
              </a:graphicData>
            </a:graphic>
          </wp:anchor>
        </w:drawing>
      </w:r>
    </w:p>
    <w:p>
      <w:pPr>
        <w:spacing w:line="284" w:lineRule="exact" w:before="36"/>
        <w:ind w:left="412" w:right="0" w:firstLine="0"/>
        <w:jc w:val="left"/>
        <w:rPr>
          <w:rFonts w:ascii="微软雅黑" w:eastAsia="微软雅黑"/>
          <w:b/>
          <w:sz w:val="18"/>
        </w:rPr>
      </w:pPr>
      <w:r>
        <w:rPr>
          <w:spacing w:val="-4"/>
          <w:position w:val="9"/>
          <w:sz w:val="9"/>
        </w:rPr>
        <w:t>6</w:t>
      </w:r>
      <w:r>
        <w:rPr>
          <w:rFonts w:ascii="Microsoft JhengHei" w:eastAsia="Microsoft JhengHei"/>
          <w:b/>
          <w:spacing w:val="-4"/>
          <w:sz w:val="18"/>
        </w:rPr>
        <w:t>医院</w:t>
      </w:r>
      <w:r>
        <w:rPr>
          <w:spacing w:val="-4"/>
          <w:sz w:val="18"/>
        </w:rPr>
        <w:t>指国务院卫生行政主管部门医院等级分类中的</w:t>
      </w:r>
      <w:r>
        <w:rPr>
          <w:rFonts w:ascii="微软雅黑" w:eastAsia="微软雅黑"/>
          <w:b/>
          <w:spacing w:val="-5"/>
          <w:sz w:val="18"/>
        </w:rPr>
        <w:t>二级合格或者二级合格以上的医院，不包括以康复、护理、疗养、戒酒、</w:t>
      </w:r>
    </w:p>
    <w:p>
      <w:pPr>
        <w:spacing w:line="232" w:lineRule="exact" w:before="0"/>
        <w:ind w:left="480" w:right="0" w:firstLine="0"/>
        <w:jc w:val="left"/>
        <w:rPr>
          <w:rFonts w:ascii="微软雅黑" w:eastAsia="微软雅黑"/>
          <w:b/>
          <w:sz w:val="18"/>
        </w:rPr>
      </w:pPr>
      <w:r>
        <w:rPr>
          <w:rFonts w:ascii="微软雅黑" w:eastAsia="微软雅黑"/>
          <w:b/>
          <w:spacing w:val="-1"/>
          <w:sz w:val="18"/>
        </w:rPr>
        <w:t>戒毒或者类似功能为主要功能的医疗机构。</w:t>
      </w:r>
    </w:p>
    <w:p>
      <w:pPr>
        <w:spacing w:line="263" w:lineRule="exact" w:before="0"/>
        <w:ind w:left="412" w:right="0" w:firstLine="0"/>
        <w:jc w:val="left"/>
        <w:rPr>
          <w:sz w:val="18"/>
        </w:rPr>
      </w:pPr>
      <w:r>
        <w:rPr>
          <w:position w:val="9"/>
          <w:sz w:val="9"/>
        </w:rPr>
        <w:t>7</w:t>
      </w:r>
      <w:r>
        <w:rPr>
          <w:rFonts w:ascii="Microsoft JhengHei" w:eastAsia="Microsoft JhengHei"/>
          <w:b/>
          <w:sz w:val="18"/>
        </w:rPr>
        <w:t>专科医生</w:t>
      </w:r>
      <w:r>
        <w:rPr>
          <w:spacing w:val="-1"/>
          <w:sz w:val="18"/>
        </w:rPr>
        <w:t>应当同时满足以下四项资格条件：</w:t>
      </w:r>
    </w:p>
    <w:p>
      <w:pPr>
        <w:pStyle w:val="ListParagraph"/>
        <w:numPr>
          <w:ilvl w:val="0"/>
          <w:numId w:val="4"/>
        </w:numPr>
        <w:tabs>
          <w:tab w:pos="880" w:val="left" w:leader="none"/>
        </w:tabs>
        <w:spacing w:line="213" w:lineRule="exact" w:before="0" w:after="0"/>
        <w:ind w:left="879" w:right="0" w:hanging="453"/>
        <w:jc w:val="left"/>
        <w:rPr>
          <w:sz w:val="18"/>
        </w:rPr>
      </w:pPr>
      <w:r>
        <w:rPr>
          <w:spacing w:val="-6"/>
          <w:sz w:val="18"/>
        </w:rPr>
        <w:t>具有有效的中华人民共和国《医师资格证书》；</w:t>
      </w:r>
    </w:p>
    <w:p>
      <w:pPr>
        <w:pStyle w:val="ListParagraph"/>
        <w:numPr>
          <w:ilvl w:val="0"/>
          <w:numId w:val="4"/>
        </w:numPr>
        <w:tabs>
          <w:tab w:pos="880" w:val="left" w:leader="none"/>
        </w:tabs>
        <w:spacing w:line="240" w:lineRule="auto" w:before="2" w:after="0"/>
        <w:ind w:left="879" w:right="0" w:hanging="453"/>
        <w:jc w:val="left"/>
        <w:rPr>
          <w:sz w:val="18"/>
        </w:rPr>
      </w:pPr>
      <w:r>
        <w:rPr>
          <w:spacing w:val="-6"/>
          <w:sz w:val="18"/>
        </w:rPr>
        <w:t>具有有效的中华人民共和国《医师执业证书》，并按期到相关部门登记注册；</w:t>
      </w:r>
    </w:p>
    <w:p>
      <w:pPr>
        <w:pStyle w:val="ListParagraph"/>
        <w:numPr>
          <w:ilvl w:val="0"/>
          <w:numId w:val="4"/>
        </w:numPr>
        <w:tabs>
          <w:tab w:pos="880" w:val="left" w:leader="none"/>
        </w:tabs>
        <w:spacing w:line="240" w:lineRule="auto" w:before="3" w:after="0"/>
        <w:ind w:left="879" w:right="0" w:hanging="453"/>
        <w:jc w:val="left"/>
        <w:rPr>
          <w:sz w:val="18"/>
        </w:rPr>
      </w:pPr>
      <w:r>
        <w:rPr>
          <w:spacing w:val="-4"/>
          <w:sz w:val="18"/>
        </w:rPr>
        <w:t>具有有效的中华人民共和国主治医师或主治医师以上职称的《医师职称证书》；</w:t>
      </w:r>
    </w:p>
    <w:p>
      <w:pPr>
        <w:pStyle w:val="ListParagraph"/>
        <w:numPr>
          <w:ilvl w:val="0"/>
          <w:numId w:val="4"/>
        </w:numPr>
        <w:tabs>
          <w:tab w:pos="880" w:val="left" w:leader="none"/>
        </w:tabs>
        <w:spacing w:line="202" w:lineRule="exact" w:before="4" w:after="0"/>
        <w:ind w:left="879" w:right="0" w:hanging="453"/>
        <w:jc w:val="left"/>
        <w:rPr>
          <w:sz w:val="18"/>
        </w:rPr>
      </w:pPr>
      <w:r>
        <w:rPr>
          <w:spacing w:val="-1"/>
          <w:sz w:val="18"/>
        </w:rPr>
        <w:t>在国家《医院分级管理标准》二级或二级以上医院的相应科室从事临床工作三年以上。</w:t>
      </w:r>
    </w:p>
    <w:p>
      <w:pPr>
        <w:spacing w:line="256" w:lineRule="exact" w:before="0"/>
        <w:ind w:left="412" w:right="0" w:firstLine="0"/>
        <w:jc w:val="left"/>
        <w:rPr>
          <w:rFonts w:ascii="微软雅黑" w:eastAsia="微软雅黑"/>
          <w:b/>
          <w:sz w:val="18"/>
        </w:rPr>
      </w:pPr>
      <w:r>
        <w:rPr>
          <w:position w:val="9"/>
          <w:sz w:val="9"/>
        </w:rPr>
        <w:t>8</w:t>
      </w:r>
      <w:r>
        <w:rPr>
          <w:rFonts w:ascii="Microsoft JhengHei" w:eastAsia="Microsoft JhengHei"/>
          <w:b/>
          <w:sz w:val="18"/>
        </w:rPr>
        <w:t>初次确诊</w:t>
      </w:r>
      <w:r>
        <w:rPr>
          <w:sz w:val="18"/>
        </w:rPr>
        <w:t>指自被保险人出生之日起第一次经医院及专科医生确诊患有某种疾病，</w:t>
      </w:r>
      <w:r>
        <w:rPr>
          <w:rFonts w:ascii="微软雅黑" w:eastAsia="微软雅黑"/>
          <w:b/>
          <w:spacing w:val="-1"/>
          <w:sz w:val="18"/>
        </w:rPr>
        <w:t>而不是指自本合同生效、复效之后第一次</w:t>
      </w:r>
    </w:p>
    <w:p>
      <w:pPr>
        <w:spacing w:line="262" w:lineRule="exact" w:before="0"/>
        <w:ind w:left="496" w:right="0" w:firstLine="0"/>
        <w:jc w:val="left"/>
        <w:rPr>
          <w:sz w:val="18"/>
        </w:rPr>
      </w:pPr>
      <w:r>
        <w:rPr>
          <w:rFonts w:ascii="微软雅黑" w:eastAsia="微软雅黑"/>
          <w:b/>
          <w:spacing w:val="-2"/>
          <w:sz w:val="18"/>
        </w:rPr>
        <w:t>经医院及专科医生确诊患有某种疾病。</w:t>
      </w:r>
      <w:r>
        <w:rPr>
          <w:spacing w:val="-2"/>
          <w:sz w:val="18"/>
        </w:rPr>
        <w:t>例如，2021</w:t>
      </w:r>
      <w:r>
        <w:rPr>
          <w:spacing w:val="-22"/>
          <w:sz w:val="18"/>
        </w:rPr>
        <w:t> 年 </w:t>
      </w:r>
      <w:r>
        <w:rPr>
          <w:spacing w:val="-2"/>
          <w:sz w:val="18"/>
        </w:rPr>
        <w:t>2</w:t>
      </w:r>
      <w:r>
        <w:rPr>
          <w:spacing w:val="-21"/>
          <w:sz w:val="18"/>
        </w:rPr>
        <w:t> 月 </w:t>
      </w:r>
      <w:r>
        <w:rPr>
          <w:spacing w:val="-2"/>
          <w:sz w:val="18"/>
        </w:rPr>
        <w:t>1</w:t>
      </w:r>
      <w:r>
        <w:rPr>
          <w:spacing w:val="-9"/>
          <w:sz w:val="18"/>
        </w:rPr>
        <w:t> 日本合同经首次投保后生效，被保险人自出生后第一次经医院</w:t>
      </w:r>
    </w:p>
    <w:p>
      <w:pPr>
        <w:spacing w:line="210" w:lineRule="exact" w:before="0" w:after="5"/>
        <w:ind w:left="496" w:right="0" w:firstLine="0"/>
        <w:jc w:val="left"/>
        <w:rPr>
          <w:sz w:val="18"/>
        </w:rPr>
      </w:pPr>
      <w:r>
        <w:rPr>
          <w:spacing w:val="-1"/>
          <w:sz w:val="18"/>
        </w:rPr>
        <w:t>及专科医生确诊罹患“恶性肿瘤——轻度”的时间以及保险金给付的核定结论见下表：</w:t>
      </w:r>
    </w:p>
    <w:tbl>
      <w:tblPr>
        <w:tblW w:w="0" w:type="auto"/>
        <w:jc w:val="left"/>
        <w:tblInd w:w="5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66"/>
        <w:gridCol w:w="5660"/>
      </w:tblGrid>
      <w:tr>
        <w:trPr>
          <w:trHeight w:val="232" w:hRule="atLeast"/>
        </w:trPr>
        <w:tc>
          <w:tcPr>
            <w:tcW w:w="3766" w:type="dxa"/>
            <w:tcBorders>
              <w:left w:val="nil"/>
            </w:tcBorders>
            <w:shd w:val="clear" w:color="auto" w:fill="D9D9D9"/>
          </w:tcPr>
          <w:p>
            <w:pPr>
              <w:pStyle w:val="TableParagraph"/>
              <w:spacing w:line="212" w:lineRule="exact" w:before="0"/>
              <w:ind w:left="976"/>
              <w:rPr>
                <w:sz w:val="18"/>
              </w:rPr>
            </w:pPr>
            <w:r>
              <w:rPr>
                <w:spacing w:val="-1"/>
                <w:sz w:val="18"/>
              </w:rPr>
              <w:t>自出生后初次确诊时间</w:t>
            </w:r>
          </w:p>
        </w:tc>
        <w:tc>
          <w:tcPr>
            <w:tcW w:w="5660" w:type="dxa"/>
            <w:tcBorders>
              <w:right w:val="nil"/>
            </w:tcBorders>
            <w:shd w:val="clear" w:color="auto" w:fill="D9D9D9"/>
          </w:tcPr>
          <w:p>
            <w:pPr>
              <w:pStyle w:val="TableParagraph"/>
              <w:spacing w:line="212" w:lineRule="exact" w:before="0"/>
              <w:ind w:left="1912" w:right="1912"/>
              <w:jc w:val="center"/>
              <w:rPr>
                <w:sz w:val="18"/>
              </w:rPr>
            </w:pPr>
            <w:r>
              <w:rPr>
                <w:spacing w:val="-1"/>
                <w:sz w:val="18"/>
              </w:rPr>
              <w:t>保险金给付的核定结论</w:t>
            </w:r>
          </w:p>
        </w:tc>
      </w:tr>
      <w:tr>
        <w:trPr>
          <w:trHeight w:val="700" w:hRule="atLeast"/>
        </w:trPr>
        <w:tc>
          <w:tcPr>
            <w:tcW w:w="3766" w:type="dxa"/>
            <w:tcBorders>
              <w:left w:val="nil"/>
            </w:tcBorders>
          </w:tcPr>
          <w:p>
            <w:pPr>
              <w:pStyle w:val="TableParagraph"/>
              <w:spacing w:line="230" w:lineRule="exact" w:before="0"/>
              <w:ind w:left="102"/>
              <w:rPr>
                <w:sz w:val="18"/>
              </w:rPr>
            </w:pPr>
            <w:r>
              <w:rPr>
                <w:sz w:val="18"/>
              </w:rPr>
              <w:t>2021</w:t>
            </w:r>
            <w:r>
              <w:rPr>
                <w:spacing w:val="-31"/>
                <w:sz w:val="18"/>
              </w:rPr>
              <w:t> 年 </w:t>
            </w:r>
            <w:r>
              <w:rPr>
                <w:sz w:val="18"/>
              </w:rPr>
              <w:t>2</w:t>
            </w:r>
            <w:r>
              <w:rPr>
                <w:spacing w:val="-31"/>
                <w:sz w:val="18"/>
              </w:rPr>
              <w:t> 月 </w:t>
            </w:r>
            <w:r>
              <w:rPr>
                <w:sz w:val="18"/>
              </w:rPr>
              <w:t>1</w:t>
            </w:r>
            <w:r>
              <w:rPr>
                <w:spacing w:val="-15"/>
                <w:sz w:val="18"/>
              </w:rPr>
              <w:t> 日之前</w:t>
            </w:r>
          </w:p>
          <w:p>
            <w:pPr>
              <w:pStyle w:val="TableParagraph"/>
              <w:spacing w:before="2"/>
              <w:ind w:left="102"/>
              <w:rPr>
                <w:sz w:val="18"/>
              </w:rPr>
            </w:pPr>
            <w:r>
              <w:rPr>
                <w:spacing w:val="-2"/>
                <w:sz w:val="18"/>
              </w:rPr>
              <w:t>2021</w:t>
            </w:r>
            <w:r>
              <w:rPr>
                <w:spacing w:val="-29"/>
                <w:sz w:val="18"/>
              </w:rPr>
              <w:t> 年 </w:t>
            </w:r>
            <w:r>
              <w:rPr>
                <w:spacing w:val="-2"/>
                <w:sz w:val="18"/>
              </w:rPr>
              <w:t>2</w:t>
            </w:r>
            <w:r>
              <w:rPr>
                <w:spacing w:val="-28"/>
                <w:sz w:val="18"/>
              </w:rPr>
              <w:t> 月 </w:t>
            </w:r>
            <w:r>
              <w:rPr>
                <w:spacing w:val="-2"/>
                <w:sz w:val="18"/>
              </w:rPr>
              <w:t>1</w:t>
            </w:r>
            <w:r>
              <w:rPr>
                <w:spacing w:val="-19"/>
                <w:sz w:val="18"/>
              </w:rPr>
              <w:t> 日起的 </w:t>
            </w:r>
            <w:r>
              <w:rPr>
                <w:spacing w:val="-2"/>
                <w:sz w:val="18"/>
              </w:rPr>
              <w:t>180</w:t>
            </w:r>
            <w:r>
              <w:rPr>
                <w:spacing w:val="-22"/>
                <w:sz w:val="18"/>
              </w:rPr>
              <w:t> 日</w:t>
            </w:r>
            <w:r>
              <w:rPr>
                <w:spacing w:val="-2"/>
                <w:sz w:val="18"/>
              </w:rPr>
              <w:t>（含）</w:t>
            </w:r>
            <w:r>
              <w:rPr>
                <w:spacing w:val="-10"/>
                <w:sz w:val="18"/>
              </w:rPr>
              <w:t>内</w:t>
            </w:r>
          </w:p>
          <w:p>
            <w:pPr>
              <w:pStyle w:val="TableParagraph"/>
              <w:spacing w:line="213" w:lineRule="exact" w:before="4"/>
              <w:ind w:left="102"/>
              <w:rPr>
                <w:sz w:val="18"/>
              </w:rPr>
            </w:pPr>
            <w:r>
              <w:rPr>
                <w:spacing w:val="-2"/>
                <w:sz w:val="18"/>
              </w:rPr>
              <w:t>2021</w:t>
            </w:r>
            <w:r>
              <w:rPr>
                <w:spacing w:val="-30"/>
                <w:sz w:val="18"/>
              </w:rPr>
              <w:t> 年 </w:t>
            </w:r>
            <w:r>
              <w:rPr>
                <w:spacing w:val="-2"/>
                <w:sz w:val="18"/>
              </w:rPr>
              <w:t>2</w:t>
            </w:r>
            <w:r>
              <w:rPr>
                <w:spacing w:val="-29"/>
                <w:sz w:val="18"/>
              </w:rPr>
              <w:t> 月 </w:t>
            </w:r>
            <w:r>
              <w:rPr>
                <w:spacing w:val="-2"/>
                <w:sz w:val="18"/>
              </w:rPr>
              <w:t>1</w:t>
            </w:r>
            <w:r>
              <w:rPr>
                <w:spacing w:val="-19"/>
                <w:sz w:val="18"/>
              </w:rPr>
              <w:t> 日起的 </w:t>
            </w:r>
            <w:r>
              <w:rPr>
                <w:spacing w:val="-2"/>
                <w:sz w:val="18"/>
              </w:rPr>
              <w:t>180</w:t>
            </w:r>
            <w:r>
              <w:rPr>
                <w:spacing w:val="-18"/>
                <w:sz w:val="18"/>
              </w:rPr>
              <w:t> 日后</w:t>
            </w:r>
          </w:p>
        </w:tc>
        <w:tc>
          <w:tcPr>
            <w:tcW w:w="5660" w:type="dxa"/>
            <w:tcBorders>
              <w:right w:val="nil"/>
            </w:tcBorders>
          </w:tcPr>
          <w:p>
            <w:pPr>
              <w:pStyle w:val="TableParagraph"/>
              <w:spacing w:line="242" w:lineRule="auto" w:before="0"/>
              <w:ind w:left="103" w:right="1044"/>
              <w:rPr>
                <w:sz w:val="18"/>
              </w:rPr>
            </w:pPr>
            <w:r>
              <w:rPr>
                <w:spacing w:val="-2"/>
                <w:sz w:val="18"/>
              </w:rPr>
              <w:t>不属于保险责任范围，不承担给付轻度疾病保险金的责任</w:t>
            </w:r>
            <w:r>
              <w:rPr>
                <w:spacing w:val="-2"/>
                <w:sz w:val="18"/>
              </w:rPr>
              <w:t>不承担保险责任，本合同继续有效</w:t>
            </w:r>
          </w:p>
          <w:p>
            <w:pPr>
              <w:pStyle w:val="TableParagraph"/>
              <w:spacing w:line="213" w:lineRule="exact" w:before="2"/>
              <w:ind w:left="103"/>
              <w:rPr>
                <w:sz w:val="18"/>
              </w:rPr>
            </w:pPr>
            <w:r>
              <w:rPr>
                <w:spacing w:val="-3"/>
                <w:sz w:val="18"/>
              </w:rPr>
              <w:t>按本合同基本保险金额的 </w:t>
            </w:r>
            <w:r>
              <w:rPr>
                <w:spacing w:val="-2"/>
                <w:sz w:val="18"/>
              </w:rPr>
              <w:t>20</w:t>
            </w:r>
            <w:r>
              <w:rPr>
                <w:spacing w:val="-3"/>
                <w:sz w:val="18"/>
              </w:rPr>
              <w:t>％给付轻度疾病保险金</w:t>
            </w:r>
          </w:p>
        </w:tc>
      </w:tr>
    </w:tbl>
    <w:p>
      <w:pPr>
        <w:spacing w:line="263" w:lineRule="exact" w:before="0"/>
        <w:ind w:left="412" w:right="0" w:firstLine="0"/>
        <w:jc w:val="left"/>
        <w:rPr>
          <w:sz w:val="18"/>
        </w:rPr>
      </w:pPr>
      <w:r>
        <w:rPr>
          <w:position w:val="9"/>
          <w:sz w:val="9"/>
        </w:rPr>
        <w:t>9</w:t>
      </w:r>
      <w:r>
        <w:rPr>
          <w:rFonts w:ascii="Microsoft JhengHei" w:eastAsia="Microsoft JhengHei"/>
          <w:b/>
          <w:sz w:val="18"/>
        </w:rPr>
        <w:t>同一原因</w:t>
      </w:r>
      <w:r>
        <w:rPr>
          <w:spacing w:val="-1"/>
          <w:sz w:val="18"/>
        </w:rPr>
        <w:t>指同一疾病原因、同一次医疗行为或同一次意外伤害事故。</w:t>
      </w:r>
    </w:p>
    <w:p>
      <w:pPr>
        <w:spacing w:line="282" w:lineRule="exact" w:before="0"/>
        <w:ind w:left="412" w:right="0" w:firstLine="0"/>
        <w:jc w:val="left"/>
        <w:rPr>
          <w:sz w:val="18"/>
        </w:rPr>
      </w:pPr>
      <w:r>
        <w:rPr>
          <w:position w:val="9"/>
          <w:sz w:val="9"/>
        </w:rPr>
        <w:t>10</w:t>
      </w:r>
      <w:r>
        <w:rPr>
          <w:rFonts w:ascii="Microsoft JhengHei" w:eastAsia="Microsoft JhengHei"/>
          <w:b/>
          <w:sz w:val="18"/>
        </w:rPr>
        <w:t>周岁</w:t>
      </w:r>
      <w:r>
        <w:rPr>
          <w:spacing w:val="-1"/>
          <w:sz w:val="18"/>
        </w:rPr>
        <w:t>指按有效身份证件中记载的出生日期计算的年龄，自出生之日起为零周岁，每经过一年增加一岁，不足一年的不计。</w:t>
      </w:r>
    </w:p>
    <w:p>
      <w:pPr>
        <w:spacing w:after="0" w:line="282" w:lineRule="exact"/>
        <w:jc w:val="left"/>
        <w:rPr>
          <w:sz w:val="18"/>
        </w:rPr>
        <w:sectPr>
          <w:type w:val="continuous"/>
          <w:pgSz w:w="11910" w:h="16840"/>
          <w:pgMar w:header="0" w:footer="574" w:top="380" w:bottom="760" w:left="720" w:right="340"/>
        </w:sectPr>
      </w:pPr>
    </w:p>
    <w:p>
      <w:pPr>
        <w:pStyle w:val="Heading2"/>
        <w:numPr>
          <w:ilvl w:val="1"/>
          <w:numId w:val="3"/>
        </w:numPr>
        <w:tabs>
          <w:tab w:pos="1181" w:val="left" w:leader="none"/>
          <w:tab w:pos="1182" w:val="left" w:leader="none"/>
        </w:tabs>
        <w:spacing w:line="317" w:lineRule="exact" w:before="0" w:after="0"/>
        <w:ind w:left="1181" w:right="0" w:hanging="661"/>
        <w:jc w:val="left"/>
      </w:pPr>
      <w:r>
        <w:rPr>
          <w:spacing w:val="-4"/>
        </w:rPr>
        <w:t>我们所保障的</w:t>
      </w:r>
    </w:p>
    <w:p>
      <w:pPr>
        <w:spacing w:line="329" w:lineRule="exact" w:before="0"/>
        <w:ind w:left="1181" w:right="0" w:firstLine="0"/>
        <w:jc w:val="left"/>
        <w:rPr>
          <w:rFonts w:ascii="微软雅黑" w:eastAsia="微软雅黑"/>
          <w:b/>
          <w:sz w:val="21"/>
        </w:rPr>
      </w:pPr>
      <w:r>
        <w:rPr>
          <w:rFonts w:ascii="微软雅黑" w:eastAsia="微软雅黑"/>
          <w:b/>
          <w:spacing w:val="-3"/>
          <w:sz w:val="21"/>
        </w:rPr>
        <w:t>疾病列表</w:t>
      </w:r>
    </w:p>
    <w:p>
      <w:pPr>
        <w:pStyle w:val="BodyText"/>
        <w:spacing w:line="242" w:lineRule="auto" w:before="54"/>
        <w:ind w:left="243" w:right="601"/>
      </w:pPr>
      <w:r>
        <w:rPr/>
        <w:br w:type="column"/>
      </w:r>
      <w:r>
        <w:rPr>
          <w:spacing w:val="-3"/>
        </w:rPr>
        <w:t>我们提供保障的轻度疾病共有 </w:t>
      </w:r>
      <w:r>
        <w:rPr/>
        <w:t>60</w:t>
      </w:r>
      <w:r>
        <w:rPr>
          <w:spacing w:val="-11"/>
        </w:rPr>
        <w:t> 种，重大疾病共有 </w:t>
      </w:r>
      <w:r>
        <w:rPr/>
        <w:t>120</w:t>
      </w:r>
      <w:r>
        <w:rPr>
          <w:spacing w:val="-7"/>
        </w:rPr>
        <w:t> 种，名称如下，具体定义</w:t>
      </w:r>
      <w:r>
        <w:rPr/>
        <w:t>分别载明于本合同“附件一 轻度疾病定义”、“附件二 重大疾病定义”。</w:t>
      </w:r>
    </w:p>
    <w:p>
      <w:pPr>
        <w:spacing w:after="0" w:line="242" w:lineRule="auto"/>
        <w:sectPr>
          <w:pgSz w:w="11910" w:h="16840"/>
          <w:pgMar w:header="0" w:footer="574" w:top="1140" w:bottom="760" w:left="720" w:right="340"/>
          <w:cols w:num="2" w:equalWidth="0">
            <w:col w:w="2449" w:space="40"/>
            <w:col w:w="8361"/>
          </w:cols>
        </w:sectPr>
      </w:pPr>
    </w:p>
    <w:p>
      <w:pPr>
        <w:pStyle w:val="Heading2"/>
        <w:spacing w:line="240" w:lineRule="auto" w:before="79"/>
        <w:ind w:left="1190" w:firstLine="0"/>
      </w:pPr>
      <w:r>
        <w:rPr>
          <w:w w:val="95"/>
        </w:rPr>
        <w:t>轻</w:t>
      </w:r>
      <w:r>
        <w:rPr>
          <w:w w:val="95"/>
        </w:rPr>
        <w:t>度</w:t>
      </w:r>
      <w:r>
        <w:rPr>
          <w:w w:val="95"/>
        </w:rPr>
        <w:t>疾</w:t>
      </w:r>
      <w:r>
        <w:rPr>
          <w:w w:val="95"/>
        </w:rPr>
        <w:t>病</w:t>
      </w:r>
      <w:r>
        <w:rPr>
          <w:w w:val="95"/>
        </w:rPr>
        <w:t>列</w:t>
      </w:r>
      <w:r>
        <w:rPr>
          <w:w w:val="95"/>
        </w:rPr>
        <w:t>表</w:t>
      </w:r>
      <w:r>
        <w:rPr>
          <w:w w:val="95"/>
        </w:rPr>
        <w:t>（60</w:t>
      </w:r>
      <w:r>
        <w:rPr>
          <w:spacing w:val="36"/>
        </w:rPr>
        <w:t> </w:t>
      </w:r>
      <w:r>
        <w:rPr>
          <w:w w:val="95"/>
        </w:rPr>
        <w:t>种</w:t>
      </w:r>
      <w:r>
        <w:rPr>
          <w:spacing w:val="-10"/>
          <w:w w:val="95"/>
        </w:rPr>
        <w:t>）</w:t>
      </w:r>
    </w:p>
    <w:tbl>
      <w:tblPr>
        <w:tblW w:w="0" w:type="auto"/>
        <w:jc w:val="left"/>
        <w:tblInd w:w="10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2"/>
        <w:gridCol w:w="4111"/>
        <w:gridCol w:w="569"/>
        <w:gridCol w:w="4011"/>
      </w:tblGrid>
      <w:tr>
        <w:trPr>
          <w:trHeight w:val="298" w:hRule="atLeast"/>
        </w:trPr>
        <w:tc>
          <w:tcPr>
            <w:tcW w:w="572" w:type="dxa"/>
            <w:tcBorders>
              <w:top w:val="single" w:sz="4" w:space="0" w:color="000000"/>
            </w:tcBorders>
          </w:tcPr>
          <w:p>
            <w:pPr>
              <w:pStyle w:val="TableParagraph"/>
              <w:spacing w:line="258" w:lineRule="exact" w:before="20"/>
              <w:ind w:right="106"/>
              <w:jc w:val="right"/>
              <w:rPr>
                <w:sz w:val="21"/>
              </w:rPr>
            </w:pPr>
            <w:r>
              <w:rPr>
                <w:w w:val="100"/>
                <w:sz w:val="21"/>
              </w:rPr>
              <w:t>1</w:t>
            </w:r>
          </w:p>
        </w:tc>
        <w:tc>
          <w:tcPr>
            <w:tcW w:w="4111" w:type="dxa"/>
            <w:tcBorders>
              <w:top w:val="single" w:sz="4" w:space="0" w:color="000000"/>
              <w:right w:val="single" w:sz="4" w:space="0" w:color="000000"/>
            </w:tcBorders>
          </w:tcPr>
          <w:p>
            <w:pPr>
              <w:pStyle w:val="TableParagraph"/>
              <w:spacing w:line="278" w:lineRule="exact" w:before="0"/>
              <w:ind w:left="104"/>
              <w:rPr>
                <w:rFonts w:ascii="微软雅黑" w:hAnsi="微软雅黑" w:eastAsia="微软雅黑"/>
                <w:b/>
                <w:sz w:val="11"/>
              </w:rPr>
            </w:pPr>
            <w:r>
              <w:rPr>
                <w:spacing w:val="-2"/>
                <w:sz w:val="21"/>
              </w:rPr>
              <w:t>恶性肿瘤——轻度</w:t>
            </w:r>
            <w:r>
              <w:rPr>
                <w:rFonts w:ascii="微软雅黑" w:hAnsi="微软雅黑" w:eastAsia="微软雅黑"/>
                <w:b/>
                <w:spacing w:val="-5"/>
                <w:position w:val="11"/>
                <w:sz w:val="11"/>
              </w:rPr>
              <w:t>*11</w:t>
            </w:r>
          </w:p>
        </w:tc>
        <w:tc>
          <w:tcPr>
            <w:tcW w:w="569" w:type="dxa"/>
            <w:tcBorders>
              <w:top w:val="single" w:sz="4" w:space="0" w:color="000000"/>
              <w:left w:val="single" w:sz="4" w:space="0" w:color="000000"/>
            </w:tcBorders>
          </w:tcPr>
          <w:p>
            <w:pPr>
              <w:pStyle w:val="TableParagraph"/>
              <w:spacing w:line="258" w:lineRule="exact" w:before="20"/>
              <w:ind w:right="100"/>
              <w:jc w:val="right"/>
              <w:rPr>
                <w:sz w:val="21"/>
              </w:rPr>
            </w:pPr>
            <w:r>
              <w:rPr>
                <w:spacing w:val="-5"/>
                <w:sz w:val="21"/>
              </w:rPr>
              <w:t>31</w:t>
            </w:r>
          </w:p>
        </w:tc>
        <w:tc>
          <w:tcPr>
            <w:tcW w:w="4011" w:type="dxa"/>
            <w:tcBorders>
              <w:top w:val="single" w:sz="4" w:space="0" w:color="000000"/>
            </w:tcBorders>
          </w:tcPr>
          <w:p>
            <w:pPr>
              <w:pStyle w:val="TableParagraph"/>
              <w:spacing w:line="258" w:lineRule="exact" w:before="20"/>
              <w:ind w:left="108"/>
              <w:rPr>
                <w:sz w:val="21"/>
              </w:rPr>
            </w:pPr>
            <w:r>
              <w:rPr>
                <w:spacing w:val="-4"/>
                <w:sz w:val="21"/>
              </w:rPr>
              <w:t>克罗恩病</w:t>
            </w:r>
          </w:p>
        </w:tc>
      </w:tr>
      <w:tr>
        <w:trPr>
          <w:trHeight w:val="315" w:hRule="atLeast"/>
        </w:trPr>
        <w:tc>
          <w:tcPr>
            <w:tcW w:w="572" w:type="dxa"/>
          </w:tcPr>
          <w:p>
            <w:pPr>
              <w:pStyle w:val="TableParagraph"/>
              <w:spacing w:line="262" w:lineRule="exact" w:before="33"/>
              <w:ind w:right="106"/>
              <w:jc w:val="right"/>
              <w:rPr>
                <w:sz w:val="21"/>
              </w:rPr>
            </w:pPr>
            <w:r>
              <w:rPr>
                <w:w w:val="100"/>
                <w:sz w:val="21"/>
              </w:rPr>
              <w:t>2</w:t>
            </w:r>
          </w:p>
        </w:tc>
        <w:tc>
          <w:tcPr>
            <w:tcW w:w="4111" w:type="dxa"/>
            <w:tcBorders>
              <w:right w:val="single" w:sz="4" w:space="0" w:color="000000"/>
            </w:tcBorders>
          </w:tcPr>
          <w:p>
            <w:pPr>
              <w:pStyle w:val="TableParagraph"/>
              <w:spacing w:line="272" w:lineRule="exact" w:before="23"/>
              <w:ind w:left="104"/>
              <w:rPr>
                <w:sz w:val="11"/>
              </w:rPr>
            </w:pPr>
            <w:r>
              <w:rPr>
                <w:spacing w:val="-2"/>
                <w:sz w:val="21"/>
              </w:rPr>
              <w:t>较轻急性心肌梗死</w:t>
            </w:r>
            <w:r>
              <w:rPr>
                <w:spacing w:val="-10"/>
                <w:position w:val="11"/>
                <w:sz w:val="11"/>
              </w:rPr>
              <w:t>*</w:t>
            </w:r>
          </w:p>
        </w:tc>
        <w:tc>
          <w:tcPr>
            <w:tcW w:w="569" w:type="dxa"/>
            <w:tcBorders>
              <w:left w:val="single" w:sz="4" w:space="0" w:color="000000"/>
            </w:tcBorders>
          </w:tcPr>
          <w:p>
            <w:pPr>
              <w:pStyle w:val="TableParagraph"/>
              <w:spacing w:line="262" w:lineRule="exact" w:before="33"/>
              <w:ind w:right="100"/>
              <w:jc w:val="right"/>
              <w:rPr>
                <w:sz w:val="21"/>
              </w:rPr>
            </w:pPr>
            <w:r>
              <w:rPr>
                <w:spacing w:val="-5"/>
                <w:sz w:val="21"/>
              </w:rPr>
              <w:t>32</w:t>
            </w:r>
          </w:p>
        </w:tc>
        <w:tc>
          <w:tcPr>
            <w:tcW w:w="4011" w:type="dxa"/>
          </w:tcPr>
          <w:p>
            <w:pPr>
              <w:pStyle w:val="TableParagraph"/>
              <w:spacing w:line="262" w:lineRule="exact" w:before="33"/>
              <w:ind w:left="108"/>
              <w:rPr>
                <w:sz w:val="21"/>
              </w:rPr>
            </w:pPr>
            <w:r>
              <w:rPr>
                <w:spacing w:val="-3"/>
                <w:sz w:val="21"/>
              </w:rPr>
              <w:t>颈动脉血管内膜切除术</w:t>
            </w:r>
          </w:p>
        </w:tc>
      </w:tr>
      <w:tr>
        <w:trPr>
          <w:trHeight w:val="329" w:hRule="atLeast"/>
        </w:trPr>
        <w:tc>
          <w:tcPr>
            <w:tcW w:w="572" w:type="dxa"/>
          </w:tcPr>
          <w:p>
            <w:pPr>
              <w:pStyle w:val="TableParagraph"/>
              <w:spacing w:before="37"/>
              <w:ind w:right="106"/>
              <w:jc w:val="right"/>
              <w:rPr>
                <w:sz w:val="21"/>
              </w:rPr>
            </w:pPr>
            <w:r>
              <w:rPr>
                <w:w w:val="100"/>
                <w:sz w:val="21"/>
              </w:rPr>
              <w:t>3</w:t>
            </w:r>
          </w:p>
        </w:tc>
        <w:tc>
          <w:tcPr>
            <w:tcW w:w="4111" w:type="dxa"/>
            <w:tcBorders>
              <w:right w:val="single" w:sz="4" w:space="0" w:color="000000"/>
            </w:tcBorders>
          </w:tcPr>
          <w:p>
            <w:pPr>
              <w:pStyle w:val="TableParagraph"/>
              <w:spacing w:before="27"/>
              <w:ind w:left="104"/>
              <w:rPr>
                <w:sz w:val="11"/>
              </w:rPr>
            </w:pPr>
            <w:r>
              <w:rPr>
                <w:spacing w:val="-2"/>
                <w:sz w:val="21"/>
              </w:rPr>
              <w:t>轻度脑中风后遗症</w:t>
            </w:r>
            <w:r>
              <w:rPr>
                <w:spacing w:val="-10"/>
                <w:position w:val="11"/>
                <w:sz w:val="11"/>
              </w:rPr>
              <w:t>*</w:t>
            </w:r>
          </w:p>
        </w:tc>
        <w:tc>
          <w:tcPr>
            <w:tcW w:w="569" w:type="dxa"/>
            <w:tcBorders>
              <w:left w:val="single" w:sz="4" w:space="0" w:color="000000"/>
            </w:tcBorders>
          </w:tcPr>
          <w:p>
            <w:pPr>
              <w:pStyle w:val="TableParagraph"/>
              <w:spacing w:before="37"/>
              <w:ind w:right="100"/>
              <w:jc w:val="right"/>
              <w:rPr>
                <w:sz w:val="21"/>
              </w:rPr>
            </w:pPr>
            <w:r>
              <w:rPr>
                <w:spacing w:val="-5"/>
                <w:sz w:val="21"/>
              </w:rPr>
              <w:t>33</w:t>
            </w:r>
          </w:p>
        </w:tc>
        <w:tc>
          <w:tcPr>
            <w:tcW w:w="4011" w:type="dxa"/>
          </w:tcPr>
          <w:p>
            <w:pPr>
              <w:pStyle w:val="TableParagraph"/>
              <w:spacing w:before="37"/>
              <w:ind w:left="108"/>
              <w:rPr>
                <w:sz w:val="21"/>
              </w:rPr>
            </w:pPr>
            <w:r>
              <w:rPr>
                <w:spacing w:val="-3"/>
                <w:sz w:val="21"/>
              </w:rPr>
              <w:t>颈动脉狭窄介入治疗</w:t>
            </w:r>
          </w:p>
        </w:tc>
      </w:tr>
      <w:tr>
        <w:trPr>
          <w:trHeight w:val="317" w:hRule="atLeast"/>
        </w:trPr>
        <w:tc>
          <w:tcPr>
            <w:tcW w:w="572" w:type="dxa"/>
          </w:tcPr>
          <w:p>
            <w:pPr>
              <w:pStyle w:val="TableParagraph"/>
              <w:ind w:right="106"/>
              <w:jc w:val="right"/>
              <w:rPr>
                <w:sz w:val="21"/>
              </w:rPr>
            </w:pPr>
            <w:r>
              <w:rPr>
                <w:w w:val="100"/>
                <w:sz w:val="21"/>
              </w:rPr>
              <w:t>4</w:t>
            </w:r>
          </w:p>
        </w:tc>
        <w:tc>
          <w:tcPr>
            <w:tcW w:w="4111" w:type="dxa"/>
            <w:tcBorders>
              <w:right w:val="single" w:sz="4" w:space="0" w:color="000000"/>
            </w:tcBorders>
          </w:tcPr>
          <w:p>
            <w:pPr>
              <w:pStyle w:val="TableParagraph"/>
              <w:ind w:left="104"/>
              <w:rPr>
                <w:sz w:val="21"/>
              </w:rPr>
            </w:pPr>
            <w:r>
              <w:rPr>
                <w:spacing w:val="-4"/>
                <w:sz w:val="21"/>
              </w:rPr>
              <w:t>原位癌</w:t>
            </w:r>
          </w:p>
        </w:tc>
        <w:tc>
          <w:tcPr>
            <w:tcW w:w="569" w:type="dxa"/>
            <w:tcBorders>
              <w:left w:val="single" w:sz="4" w:space="0" w:color="000000"/>
            </w:tcBorders>
          </w:tcPr>
          <w:p>
            <w:pPr>
              <w:pStyle w:val="TableParagraph"/>
              <w:ind w:right="100"/>
              <w:jc w:val="right"/>
              <w:rPr>
                <w:sz w:val="21"/>
              </w:rPr>
            </w:pPr>
            <w:r>
              <w:rPr>
                <w:spacing w:val="-5"/>
                <w:sz w:val="21"/>
              </w:rPr>
              <w:t>34</w:t>
            </w:r>
          </w:p>
        </w:tc>
        <w:tc>
          <w:tcPr>
            <w:tcW w:w="4011" w:type="dxa"/>
          </w:tcPr>
          <w:p>
            <w:pPr>
              <w:pStyle w:val="TableParagraph"/>
              <w:ind w:left="108"/>
              <w:rPr>
                <w:sz w:val="21"/>
              </w:rPr>
            </w:pPr>
            <w:r>
              <w:rPr>
                <w:spacing w:val="-4"/>
                <w:sz w:val="21"/>
              </w:rPr>
              <w:t>心包膜切除手术</w:t>
            </w:r>
          </w:p>
        </w:tc>
      </w:tr>
      <w:tr>
        <w:trPr>
          <w:trHeight w:val="318" w:hRule="atLeast"/>
        </w:trPr>
        <w:tc>
          <w:tcPr>
            <w:tcW w:w="572" w:type="dxa"/>
          </w:tcPr>
          <w:p>
            <w:pPr>
              <w:pStyle w:val="TableParagraph"/>
              <w:spacing w:before="25"/>
              <w:ind w:right="106"/>
              <w:jc w:val="right"/>
              <w:rPr>
                <w:sz w:val="21"/>
              </w:rPr>
            </w:pPr>
            <w:r>
              <w:rPr>
                <w:w w:val="100"/>
                <w:sz w:val="21"/>
              </w:rPr>
              <w:t>5</w:t>
            </w:r>
          </w:p>
        </w:tc>
        <w:tc>
          <w:tcPr>
            <w:tcW w:w="4111" w:type="dxa"/>
            <w:tcBorders>
              <w:right w:val="single" w:sz="4" w:space="0" w:color="000000"/>
            </w:tcBorders>
          </w:tcPr>
          <w:p>
            <w:pPr>
              <w:pStyle w:val="TableParagraph"/>
              <w:spacing w:before="25"/>
              <w:ind w:left="104"/>
              <w:rPr>
                <w:sz w:val="21"/>
              </w:rPr>
            </w:pPr>
            <w:r>
              <w:rPr>
                <w:spacing w:val="-3"/>
                <w:sz w:val="21"/>
              </w:rPr>
              <w:t>脑垂体瘤、脑囊肿及颅内血管性疾病</w:t>
            </w:r>
          </w:p>
        </w:tc>
        <w:tc>
          <w:tcPr>
            <w:tcW w:w="569" w:type="dxa"/>
            <w:tcBorders>
              <w:left w:val="single" w:sz="4" w:space="0" w:color="000000"/>
            </w:tcBorders>
          </w:tcPr>
          <w:p>
            <w:pPr>
              <w:pStyle w:val="TableParagraph"/>
              <w:spacing w:before="25"/>
              <w:ind w:right="100"/>
              <w:jc w:val="right"/>
              <w:rPr>
                <w:sz w:val="21"/>
              </w:rPr>
            </w:pPr>
            <w:r>
              <w:rPr>
                <w:spacing w:val="-5"/>
                <w:sz w:val="21"/>
              </w:rPr>
              <w:t>35</w:t>
            </w:r>
          </w:p>
        </w:tc>
        <w:tc>
          <w:tcPr>
            <w:tcW w:w="4011" w:type="dxa"/>
          </w:tcPr>
          <w:p>
            <w:pPr>
              <w:pStyle w:val="TableParagraph"/>
              <w:spacing w:before="25"/>
              <w:ind w:left="108"/>
              <w:rPr>
                <w:sz w:val="21"/>
              </w:rPr>
            </w:pPr>
            <w:r>
              <w:rPr>
                <w:spacing w:val="-4"/>
                <w:sz w:val="21"/>
              </w:rPr>
              <w:t>溃疡性结肠炎</w:t>
            </w:r>
          </w:p>
        </w:tc>
      </w:tr>
      <w:tr>
        <w:trPr>
          <w:trHeight w:val="317" w:hRule="atLeast"/>
        </w:trPr>
        <w:tc>
          <w:tcPr>
            <w:tcW w:w="572" w:type="dxa"/>
          </w:tcPr>
          <w:p>
            <w:pPr>
              <w:pStyle w:val="TableParagraph"/>
              <w:ind w:right="106"/>
              <w:jc w:val="right"/>
              <w:rPr>
                <w:sz w:val="21"/>
              </w:rPr>
            </w:pPr>
            <w:r>
              <w:rPr>
                <w:w w:val="100"/>
                <w:sz w:val="21"/>
              </w:rPr>
              <w:t>6</w:t>
            </w:r>
          </w:p>
        </w:tc>
        <w:tc>
          <w:tcPr>
            <w:tcW w:w="4111" w:type="dxa"/>
            <w:tcBorders>
              <w:right w:val="single" w:sz="4" w:space="0" w:color="000000"/>
            </w:tcBorders>
          </w:tcPr>
          <w:p>
            <w:pPr>
              <w:pStyle w:val="TableParagraph"/>
              <w:ind w:left="104"/>
              <w:rPr>
                <w:sz w:val="21"/>
              </w:rPr>
            </w:pPr>
            <w:r>
              <w:rPr>
                <w:spacing w:val="-2"/>
                <w:sz w:val="21"/>
              </w:rPr>
              <w:t>冠状动脉介入手术（非开胸手术</w:t>
            </w:r>
            <w:r>
              <w:rPr>
                <w:spacing w:val="-10"/>
                <w:sz w:val="21"/>
              </w:rPr>
              <w:t>）</w:t>
            </w:r>
          </w:p>
        </w:tc>
        <w:tc>
          <w:tcPr>
            <w:tcW w:w="569" w:type="dxa"/>
            <w:tcBorders>
              <w:left w:val="single" w:sz="4" w:space="0" w:color="000000"/>
            </w:tcBorders>
          </w:tcPr>
          <w:p>
            <w:pPr>
              <w:pStyle w:val="TableParagraph"/>
              <w:ind w:right="100"/>
              <w:jc w:val="right"/>
              <w:rPr>
                <w:sz w:val="21"/>
              </w:rPr>
            </w:pPr>
            <w:r>
              <w:rPr>
                <w:spacing w:val="-5"/>
                <w:sz w:val="21"/>
              </w:rPr>
              <w:t>36</w:t>
            </w:r>
          </w:p>
        </w:tc>
        <w:tc>
          <w:tcPr>
            <w:tcW w:w="4011" w:type="dxa"/>
          </w:tcPr>
          <w:p>
            <w:pPr>
              <w:pStyle w:val="TableParagraph"/>
              <w:ind w:left="108"/>
              <w:rPr>
                <w:sz w:val="21"/>
              </w:rPr>
            </w:pPr>
            <w:r>
              <w:rPr>
                <w:spacing w:val="-4"/>
                <w:sz w:val="21"/>
              </w:rPr>
              <w:t>双侧卵巢切除术</w:t>
            </w:r>
          </w:p>
        </w:tc>
      </w:tr>
      <w:tr>
        <w:trPr>
          <w:trHeight w:val="317" w:hRule="atLeast"/>
        </w:trPr>
        <w:tc>
          <w:tcPr>
            <w:tcW w:w="572" w:type="dxa"/>
          </w:tcPr>
          <w:p>
            <w:pPr>
              <w:pStyle w:val="TableParagraph"/>
              <w:spacing w:before="25"/>
              <w:ind w:right="106"/>
              <w:jc w:val="right"/>
              <w:rPr>
                <w:sz w:val="21"/>
              </w:rPr>
            </w:pPr>
            <w:r>
              <w:rPr>
                <w:w w:val="100"/>
                <w:sz w:val="21"/>
              </w:rPr>
              <w:t>7</w:t>
            </w:r>
          </w:p>
        </w:tc>
        <w:tc>
          <w:tcPr>
            <w:tcW w:w="4111" w:type="dxa"/>
            <w:tcBorders>
              <w:right w:val="single" w:sz="4" w:space="0" w:color="000000"/>
            </w:tcBorders>
          </w:tcPr>
          <w:p>
            <w:pPr>
              <w:pStyle w:val="TableParagraph"/>
              <w:spacing w:before="25"/>
              <w:ind w:left="104"/>
              <w:rPr>
                <w:sz w:val="21"/>
              </w:rPr>
            </w:pPr>
            <w:r>
              <w:rPr>
                <w:spacing w:val="-2"/>
                <w:sz w:val="21"/>
              </w:rPr>
              <w:t>心脏瓣膜介入手术（非开胸手术</w:t>
            </w:r>
            <w:r>
              <w:rPr>
                <w:spacing w:val="-10"/>
                <w:sz w:val="21"/>
              </w:rPr>
              <w:t>）</w:t>
            </w:r>
          </w:p>
        </w:tc>
        <w:tc>
          <w:tcPr>
            <w:tcW w:w="569" w:type="dxa"/>
            <w:tcBorders>
              <w:left w:val="single" w:sz="4" w:space="0" w:color="000000"/>
            </w:tcBorders>
          </w:tcPr>
          <w:p>
            <w:pPr>
              <w:pStyle w:val="TableParagraph"/>
              <w:spacing w:before="25"/>
              <w:ind w:right="100"/>
              <w:jc w:val="right"/>
              <w:rPr>
                <w:sz w:val="21"/>
              </w:rPr>
            </w:pPr>
            <w:r>
              <w:rPr>
                <w:spacing w:val="-5"/>
                <w:sz w:val="21"/>
              </w:rPr>
              <w:t>37</w:t>
            </w:r>
          </w:p>
        </w:tc>
        <w:tc>
          <w:tcPr>
            <w:tcW w:w="4011" w:type="dxa"/>
          </w:tcPr>
          <w:p>
            <w:pPr>
              <w:pStyle w:val="TableParagraph"/>
              <w:spacing w:before="25"/>
              <w:ind w:left="108"/>
              <w:rPr>
                <w:sz w:val="21"/>
              </w:rPr>
            </w:pPr>
            <w:r>
              <w:rPr>
                <w:spacing w:val="-4"/>
                <w:sz w:val="21"/>
              </w:rPr>
              <w:t>原发性心肌病</w:t>
            </w:r>
          </w:p>
        </w:tc>
      </w:tr>
      <w:tr>
        <w:trPr>
          <w:trHeight w:val="318" w:hRule="atLeast"/>
        </w:trPr>
        <w:tc>
          <w:tcPr>
            <w:tcW w:w="572" w:type="dxa"/>
          </w:tcPr>
          <w:p>
            <w:pPr>
              <w:pStyle w:val="TableParagraph"/>
              <w:ind w:right="106"/>
              <w:jc w:val="right"/>
              <w:rPr>
                <w:sz w:val="21"/>
              </w:rPr>
            </w:pPr>
            <w:r>
              <w:rPr>
                <w:w w:val="100"/>
                <w:sz w:val="21"/>
              </w:rPr>
              <w:t>8</w:t>
            </w:r>
          </w:p>
        </w:tc>
        <w:tc>
          <w:tcPr>
            <w:tcW w:w="4111" w:type="dxa"/>
            <w:tcBorders>
              <w:right w:val="single" w:sz="4" w:space="0" w:color="000000"/>
            </w:tcBorders>
          </w:tcPr>
          <w:p>
            <w:pPr>
              <w:pStyle w:val="TableParagraph"/>
              <w:ind w:left="104"/>
              <w:rPr>
                <w:sz w:val="21"/>
              </w:rPr>
            </w:pPr>
            <w:r>
              <w:rPr>
                <w:spacing w:val="-2"/>
                <w:sz w:val="21"/>
              </w:rPr>
              <w:t>主动脉内手术（非开胸/开腹手术</w:t>
            </w:r>
            <w:r>
              <w:rPr>
                <w:spacing w:val="-10"/>
                <w:sz w:val="21"/>
              </w:rPr>
              <w:t>）</w:t>
            </w:r>
          </w:p>
        </w:tc>
        <w:tc>
          <w:tcPr>
            <w:tcW w:w="569" w:type="dxa"/>
            <w:tcBorders>
              <w:left w:val="single" w:sz="4" w:space="0" w:color="000000"/>
            </w:tcBorders>
          </w:tcPr>
          <w:p>
            <w:pPr>
              <w:pStyle w:val="TableParagraph"/>
              <w:ind w:right="100"/>
              <w:jc w:val="right"/>
              <w:rPr>
                <w:sz w:val="21"/>
              </w:rPr>
            </w:pPr>
            <w:r>
              <w:rPr>
                <w:spacing w:val="-5"/>
                <w:sz w:val="21"/>
              </w:rPr>
              <w:t>38</w:t>
            </w:r>
          </w:p>
        </w:tc>
        <w:tc>
          <w:tcPr>
            <w:tcW w:w="4011" w:type="dxa"/>
          </w:tcPr>
          <w:p>
            <w:pPr>
              <w:pStyle w:val="TableParagraph"/>
              <w:ind w:left="108"/>
              <w:rPr>
                <w:sz w:val="21"/>
              </w:rPr>
            </w:pPr>
            <w:r>
              <w:rPr>
                <w:spacing w:val="-3"/>
                <w:sz w:val="21"/>
              </w:rPr>
              <w:t>腔静脉过滤器植入手术</w:t>
            </w:r>
          </w:p>
        </w:tc>
      </w:tr>
      <w:tr>
        <w:trPr>
          <w:trHeight w:val="318" w:hRule="atLeast"/>
        </w:trPr>
        <w:tc>
          <w:tcPr>
            <w:tcW w:w="572" w:type="dxa"/>
          </w:tcPr>
          <w:p>
            <w:pPr>
              <w:pStyle w:val="TableParagraph"/>
              <w:spacing w:before="25"/>
              <w:ind w:right="106"/>
              <w:jc w:val="right"/>
              <w:rPr>
                <w:sz w:val="21"/>
              </w:rPr>
            </w:pPr>
            <w:r>
              <w:rPr>
                <w:w w:val="100"/>
                <w:sz w:val="21"/>
              </w:rPr>
              <w:t>9</w:t>
            </w:r>
          </w:p>
        </w:tc>
        <w:tc>
          <w:tcPr>
            <w:tcW w:w="4111" w:type="dxa"/>
            <w:tcBorders>
              <w:right w:val="single" w:sz="4" w:space="0" w:color="000000"/>
            </w:tcBorders>
          </w:tcPr>
          <w:p>
            <w:pPr>
              <w:pStyle w:val="TableParagraph"/>
              <w:spacing w:before="25"/>
              <w:ind w:left="104"/>
              <w:rPr>
                <w:sz w:val="21"/>
              </w:rPr>
            </w:pPr>
            <w:r>
              <w:rPr>
                <w:spacing w:val="-3"/>
                <w:sz w:val="21"/>
              </w:rPr>
              <w:t>特定周围动脉疾病的血管介入治疗</w:t>
            </w:r>
          </w:p>
        </w:tc>
        <w:tc>
          <w:tcPr>
            <w:tcW w:w="569" w:type="dxa"/>
            <w:tcBorders>
              <w:left w:val="single" w:sz="4" w:space="0" w:color="000000"/>
            </w:tcBorders>
          </w:tcPr>
          <w:p>
            <w:pPr>
              <w:pStyle w:val="TableParagraph"/>
              <w:spacing w:before="25"/>
              <w:ind w:right="100"/>
              <w:jc w:val="right"/>
              <w:rPr>
                <w:sz w:val="21"/>
              </w:rPr>
            </w:pPr>
            <w:r>
              <w:rPr>
                <w:spacing w:val="-5"/>
                <w:sz w:val="21"/>
              </w:rPr>
              <w:t>39</w:t>
            </w:r>
          </w:p>
        </w:tc>
        <w:tc>
          <w:tcPr>
            <w:tcW w:w="4011" w:type="dxa"/>
          </w:tcPr>
          <w:p>
            <w:pPr>
              <w:pStyle w:val="TableParagraph"/>
              <w:spacing w:before="25"/>
              <w:ind w:left="108"/>
              <w:rPr>
                <w:sz w:val="21"/>
              </w:rPr>
            </w:pPr>
            <w:r>
              <w:rPr>
                <w:spacing w:val="-3"/>
                <w:sz w:val="21"/>
              </w:rPr>
              <w:t>轻度病毒性脑炎后遗症</w:t>
            </w:r>
          </w:p>
        </w:tc>
      </w:tr>
      <w:tr>
        <w:trPr>
          <w:trHeight w:val="318" w:hRule="atLeast"/>
        </w:trPr>
        <w:tc>
          <w:tcPr>
            <w:tcW w:w="572" w:type="dxa"/>
          </w:tcPr>
          <w:p>
            <w:pPr>
              <w:pStyle w:val="TableParagraph"/>
              <w:ind w:right="106"/>
              <w:jc w:val="right"/>
              <w:rPr>
                <w:sz w:val="21"/>
              </w:rPr>
            </w:pPr>
            <w:r>
              <w:rPr>
                <w:spacing w:val="-5"/>
                <w:sz w:val="21"/>
              </w:rPr>
              <w:t>10</w:t>
            </w:r>
          </w:p>
        </w:tc>
        <w:tc>
          <w:tcPr>
            <w:tcW w:w="4111" w:type="dxa"/>
            <w:tcBorders>
              <w:right w:val="single" w:sz="4" w:space="0" w:color="000000"/>
            </w:tcBorders>
          </w:tcPr>
          <w:p>
            <w:pPr>
              <w:pStyle w:val="TableParagraph"/>
              <w:ind w:left="104"/>
              <w:rPr>
                <w:sz w:val="21"/>
              </w:rPr>
            </w:pPr>
            <w:r>
              <w:rPr>
                <w:spacing w:val="-4"/>
                <w:sz w:val="21"/>
              </w:rPr>
              <w:t>特发性肺动脉高压</w:t>
            </w:r>
          </w:p>
        </w:tc>
        <w:tc>
          <w:tcPr>
            <w:tcW w:w="569" w:type="dxa"/>
            <w:tcBorders>
              <w:left w:val="single" w:sz="4" w:space="0" w:color="000000"/>
            </w:tcBorders>
          </w:tcPr>
          <w:p>
            <w:pPr>
              <w:pStyle w:val="TableParagraph"/>
              <w:ind w:right="100"/>
              <w:jc w:val="right"/>
              <w:rPr>
                <w:sz w:val="21"/>
              </w:rPr>
            </w:pPr>
            <w:r>
              <w:rPr>
                <w:spacing w:val="-5"/>
                <w:sz w:val="21"/>
              </w:rPr>
              <w:t>40</w:t>
            </w:r>
          </w:p>
        </w:tc>
        <w:tc>
          <w:tcPr>
            <w:tcW w:w="4011" w:type="dxa"/>
          </w:tcPr>
          <w:p>
            <w:pPr>
              <w:pStyle w:val="TableParagraph"/>
              <w:ind w:left="108"/>
              <w:rPr>
                <w:sz w:val="21"/>
              </w:rPr>
            </w:pPr>
            <w:r>
              <w:rPr>
                <w:spacing w:val="-3"/>
                <w:sz w:val="21"/>
              </w:rPr>
              <w:t>早期脑退化症(包括早期阿尔茨海默病)</w:t>
            </w:r>
          </w:p>
        </w:tc>
      </w:tr>
      <w:tr>
        <w:trPr>
          <w:trHeight w:val="317" w:hRule="atLeast"/>
        </w:trPr>
        <w:tc>
          <w:tcPr>
            <w:tcW w:w="572" w:type="dxa"/>
          </w:tcPr>
          <w:p>
            <w:pPr>
              <w:pStyle w:val="TableParagraph"/>
              <w:spacing w:before="25"/>
              <w:ind w:right="106"/>
              <w:jc w:val="right"/>
              <w:rPr>
                <w:sz w:val="21"/>
              </w:rPr>
            </w:pPr>
            <w:r>
              <w:rPr>
                <w:spacing w:val="-5"/>
                <w:sz w:val="21"/>
              </w:rPr>
              <w:t>11</w:t>
            </w:r>
          </w:p>
        </w:tc>
        <w:tc>
          <w:tcPr>
            <w:tcW w:w="4111" w:type="dxa"/>
            <w:tcBorders>
              <w:right w:val="single" w:sz="4" w:space="0" w:color="000000"/>
            </w:tcBorders>
          </w:tcPr>
          <w:p>
            <w:pPr>
              <w:pStyle w:val="TableParagraph"/>
              <w:spacing w:before="25"/>
              <w:ind w:left="104"/>
              <w:rPr>
                <w:sz w:val="21"/>
              </w:rPr>
            </w:pPr>
            <w:r>
              <w:rPr>
                <w:spacing w:val="-4"/>
                <w:sz w:val="21"/>
              </w:rPr>
              <w:t>轻度瘫痪</w:t>
            </w:r>
          </w:p>
        </w:tc>
        <w:tc>
          <w:tcPr>
            <w:tcW w:w="569" w:type="dxa"/>
            <w:tcBorders>
              <w:left w:val="single" w:sz="4" w:space="0" w:color="000000"/>
            </w:tcBorders>
          </w:tcPr>
          <w:p>
            <w:pPr>
              <w:pStyle w:val="TableParagraph"/>
              <w:spacing w:before="25"/>
              <w:ind w:right="100"/>
              <w:jc w:val="right"/>
              <w:rPr>
                <w:sz w:val="21"/>
              </w:rPr>
            </w:pPr>
            <w:r>
              <w:rPr>
                <w:spacing w:val="-5"/>
                <w:sz w:val="21"/>
              </w:rPr>
              <w:t>41</w:t>
            </w:r>
          </w:p>
        </w:tc>
        <w:tc>
          <w:tcPr>
            <w:tcW w:w="4011" w:type="dxa"/>
          </w:tcPr>
          <w:p>
            <w:pPr>
              <w:pStyle w:val="TableParagraph"/>
              <w:spacing w:before="25"/>
              <w:ind w:left="108"/>
              <w:rPr>
                <w:sz w:val="21"/>
              </w:rPr>
            </w:pPr>
            <w:r>
              <w:rPr>
                <w:spacing w:val="-3"/>
                <w:sz w:val="21"/>
              </w:rPr>
              <w:t>大脑分流器植入手术</w:t>
            </w:r>
          </w:p>
        </w:tc>
      </w:tr>
      <w:tr>
        <w:trPr>
          <w:trHeight w:val="317" w:hRule="atLeast"/>
        </w:trPr>
        <w:tc>
          <w:tcPr>
            <w:tcW w:w="572" w:type="dxa"/>
          </w:tcPr>
          <w:p>
            <w:pPr>
              <w:pStyle w:val="TableParagraph"/>
              <w:ind w:right="106"/>
              <w:jc w:val="right"/>
              <w:rPr>
                <w:sz w:val="21"/>
              </w:rPr>
            </w:pPr>
            <w:r>
              <w:rPr>
                <w:spacing w:val="-5"/>
                <w:sz w:val="21"/>
              </w:rPr>
              <w:t>12</w:t>
            </w:r>
          </w:p>
        </w:tc>
        <w:tc>
          <w:tcPr>
            <w:tcW w:w="4111" w:type="dxa"/>
            <w:tcBorders>
              <w:right w:val="single" w:sz="4" w:space="0" w:color="000000"/>
            </w:tcBorders>
          </w:tcPr>
          <w:p>
            <w:pPr>
              <w:pStyle w:val="TableParagraph"/>
              <w:ind w:left="104"/>
              <w:rPr>
                <w:sz w:val="21"/>
              </w:rPr>
            </w:pPr>
            <w:r>
              <w:rPr>
                <w:spacing w:val="-4"/>
                <w:sz w:val="21"/>
              </w:rPr>
              <w:t>胆道重建手术</w:t>
            </w:r>
          </w:p>
        </w:tc>
        <w:tc>
          <w:tcPr>
            <w:tcW w:w="569" w:type="dxa"/>
            <w:tcBorders>
              <w:left w:val="single" w:sz="4" w:space="0" w:color="000000"/>
            </w:tcBorders>
          </w:tcPr>
          <w:p>
            <w:pPr>
              <w:pStyle w:val="TableParagraph"/>
              <w:ind w:right="100"/>
              <w:jc w:val="right"/>
              <w:rPr>
                <w:sz w:val="21"/>
              </w:rPr>
            </w:pPr>
            <w:r>
              <w:rPr>
                <w:spacing w:val="-5"/>
                <w:sz w:val="21"/>
              </w:rPr>
              <w:t>42</w:t>
            </w:r>
          </w:p>
        </w:tc>
        <w:tc>
          <w:tcPr>
            <w:tcW w:w="4011" w:type="dxa"/>
          </w:tcPr>
          <w:p>
            <w:pPr>
              <w:pStyle w:val="TableParagraph"/>
              <w:ind w:left="108"/>
              <w:rPr>
                <w:sz w:val="21"/>
              </w:rPr>
            </w:pPr>
            <w:r>
              <w:rPr>
                <w:spacing w:val="-4"/>
                <w:sz w:val="21"/>
              </w:rPr>
              <w:t>结核性脊髓炎</w:t>
            </w:r>
          </w:p>
        </w:tc>
      </w:tr>
      <w:tr>
        <w:trPr>
          <w:trHeight w:val="318" w:hRule="atLeast"/>
        </w:trPr>
        <w:tc>
          <w:tcPr>
            <w:tcW w:w="572" w:type="dxa"/>
          </w:tcPr>
          <w:p>
            <w:pPr>
              <w:pStyle w:val="TableParagraph"/>
              <w:spacing w:before="25"/>
              <w:ind w:right="106"/>
              <w:jc w:val="right"/>
              <w:rPr>
                <w:sz w:val="21"/>
              </w:rPr>
            </w:pPr>
            <w:r>
              <w:rPr>
                <w:spacing w:val="-5"/>
                <w:sz w:val="21"/>
              </w:rPr>
              <w:t>13</w:t>
            </w:r>
          </w:p>
        </w:tc>
        <w:tc>
          <w:tcPr>
            <w:tcW w:w="4111" w:type="dxa"/>
            <w:tcBorders>
              <w:right w:val="single" w:sz="4" w:space="0" w:color="000000"/>
            </w:tcBorders>
          </w:tcPr>
          <w:p>
            <w:pPr>
              <w:pStyle w:val="TableParagraph"/>
              <w:spacing w:before="25"/>
              <w:ind w:left="104"/>
              <w:rPr>
                <w:sz w:val="21"/>
              </w:rPr>
            </w:pPr>
            <w:r>
              <w:rPr>
                <w:spacing w:val="-4"/>
                <w:sz w:val="21"/>
              </w:rPr>
              <w:t>视力严重受损</w:t>
            </w:r>
          </w:p>
        </w:tc>
        <w:tc>
          <w:tcPr>
            <w:tcW w:w="569" w:type="dxa"/>
            <w:tcBorders>
              <w:left w:val="single" w:sz="4" w:space="0" w:color="000000"/>
            </w:tcBorders>
          </w:tcPr>
          <w:p>
            <w:pPr>
              <w:pStyle w:val="TableParagraph"/>
              <w:spacing w:before="25"/>
              <w:ind w:right="100"/>
              <w:jc w:val="right"/>
              <w:rPr>
                <w:sz w:val="21"/>
              </w:rPr>
            </w:pPr>
            <w:r>
              <w:rPr>
                <w:spacing w:val="-5"/>
                <w:sz w:val="21"/>
              </w:rPr>
              <w:t>43</w:t>
            </w:r>
          </w:p>
        </w:tc>
        <w:tc>
          <w:tcPr>
            <w:tcW w:w="4011" w:type="dxa"/>
          </w:tcPr>
          <w:p>
            <w:pPr>
              <w:pStyle w:val="TableParagraph"/>
              <w:spacing w:before="25"/>
              <w:ind w:left="108"/>
              <w:rPr>
                <w:sz w:val="21"/>
              </w:rPr>
            </w:pPr>
            <w:r>
              <w:rPr>
                <w:spacing w:val="-4"/>
                <w:sz w:val="21"/>
              </w:rPr>
              <w:t>慢性肝衰竭</w:t>
            </w:r>
          </w:p>
        </w:tc>
      </w:tr>
      <w:tr>
        <w:trPr>
          <w:trHeight w:val="317" w:hRule="atLeast"/>
        </w:trPr>
        <w:tc>
          <w:tcPr>
            <w:tcW w:w="572" w:type="dxa"/>
          </w:tcPr>
          <w:p>
            <w:pPr>
              <w:pStyle w:val="TableParagraph"/>
              <w:ind w:right="106"/>
              <w:jc w:val="right"/>
              <w:rPr>
                <w:sz w:val="21"/>
              </w:rPr>
            </w:pPr>
            <w:r>
              <w:rPr>
                <w:spacing w:val="-5"/>
                <w:sz w:val="21"/>
              </w:rPr>
              <w:t>14</w:t>
            </w:r>
          </w:p>
        </w:tc>
        <w:tc>
          <w:tcPr>
            <w:tcW w:w="4111" w:type="dxa"/>
            <w:tcBorders>
              <w:right w:val="single" w:sz="4" w:space="0" w:color="000000"/>
            </w:tcBorders>
          </w:tcPr>
          <w:p>
            <w:pPr>
              <w:pStyle w:val="TableParagraph"/>
              <w:ind w:left="104"/>
              <w:rPr>
                <w:sz w:val="21"/>
              </w:rPr>
            </w:pPr>
            <w:r>
              <w:rPr>
                <w:spacing w:val="-4"/>
                <w:sz w:val="21"/>
              </w:rPr>
              <w:t>单目失明</w:t>
            </w:r>
          </w:p>
        </w:tc>
        <w:tc>
          <w:tcPr>
            <w:tcW w:w="569" w:type="dxa"/>
            <w:tcBorders>
              <w:left w:val="single" w:sz="4" w:space="0" w:color="000000"/>
            </w:tcBorders>
          </w:tcPr>
          <w:p>
            <w:pPr>
              <w:pStyle w:val="TableParagraph"/>
              <w:ind w:right="100"/>
              <w:jc w:val="right"/>
              <w:rPr>
                <w:sz w:val="21"/>
              </w:rPr>
            </w:pPr>
            <w:r>
              <w:rPr>
                <w:spacing w:val="-5"/>
                <w:sz w:val="21"/>
              </w:rPr>
              <w:t>44</w:t>
            </w:r>
          </w:p>
        </w:tc>
        <w:tc>
          <w:tcPr>
            <w:tcW w:w="4011" w:type="dxa"/>
          </w:tcPr>
          <w:p>
            <w:pPr>
              <w:pStyle w:val="TableParagraph"/>
              <w:ind w:left="108"/>
              <w:rPr>
                <w:sz w:val="21"/>
              </w:rPr>
            </w:pPr>
            <w:r>
              <w:rPr>
                <w:spacing w:val="-4"/>
                <w:sz w:val="21"/>
              </w:rPr>
              <w:t>系统性红斑狼疮</w:t>
            </w:r>
          </w:p>
        </w:tc>
      </w:tr>
      <w:tr>
        <w:trPr>
          <w:trHeight w:val="317" w:hRule="atLeast"/>
        </w:trPr>
        <w:tc>
          <w:tcPr>
            <w:tcW w:w="572" w:type="dxa"/>
          </w:tcPr>
          <w:p>
            <w:pPr>
              <w:pStyle w:val="TableParagraph"/>
              <w:spacing w:before="25"/>
              <w:ind w:right="106"/>
              <w:jc w:val="right"/>
              <w:rPr>
                <w:sz w:val="21"/>
              </w:rPr>
            </w:pPr>
            <w:r>
              <w:rPr>
                <w:spacing w:val="-5"/>
                <w:sz w:val="21"/>
              </w:rPr>
              <w:t>15</w:t>
            </w:r>
          </w:p>
        </w:tc>
        <w:tc>
          <w:tcPr>
            <w:tcW w:w="4111" w:type="dxa"/>
            <w:tcBorders>
              <w:right w:val="single" w:sz="4" w:space="0" w:color="000000"/>
            </w:tcBorders>
          </w:tcPr>
          <w:p>
            <w:pPr>
              <w:pStyle w:val="TableParagraph"/>
              <w:spacing w:before="25"/>
              <w:ind w:left="104"/>
              <w:rPr>
                <w:sz w:val="21"/>
              </w:rPr>
            </w:pPr>
            <w:r>
              <w:rPr>
                <w:spacing w:val="-4"/>
                <w:sz w:val="21"/>
              </w:rPr>
              <w:t>运动神经元病</w:t>
            </w:r>
          </w:p>
        </w:tc>
        <w:tc>
          <w:tcPr>
            <w:tcW w:w="569" w:type="dxa"/>
            <w:tcBorders>
              <w:left w:val="single" w:sz="4" w:space="0" w:color="000000"/>
            </w:tcBorders>
          </w:tcPr>
          <w:p>
            <w:pPr>
              <w:pStyle w:val="TableParagraph"/>
              <w:spacing w:before="25"/>
              <w:ind w:right="100"/>
              <w:jc w:val="right"/>
              <w:rPr>
                <w:sz w:val="21"/>
              </w:rPr>
            </w:pPr>
            <w:r>
              <w:rPr>
                <w:spacing w:val="-5"/>
                <w:sz w:val="21"/>
              </w:rPr>
              <w:t>45</w:t>
            </w:r>
          </w:p>
        </w:tc>
        <w:tc>
          <w:tcPr>
            <w:tcW w:w="4011" w:type="dxa"/>
          </w:tcPr>
          <w:p>
            <w:pPr>
              <w:pStyle w:val="TableParagraph"/>
              <w:spacing w:before="25"/>
              <w:ind w:left="108"/>
              <w:rPr>
                <w:sz w:val="21"/>
              </w:rPr>
            </w:pPr>
            <w:r>
              <w:rPr>
                <w:spacing w:val="-4"/>
                <w:sz w:val="21"/>
              </w:rPr>
              <w:t>轻度系统性硬皮病</w:t>
            </w:r>
          </w:p>
        </w:tc>
      </w:tr>
      <w:tr>
        <w:trPr>
          <w:trHeight w:val="318" w:hRule="atLeast"/>
        </w:trPr>
        <w:tc>
          <w:tcPr>
            <w:tcW w:w="572" w:type="dxa"/>
          </w:tcPr>
          <w:p>
            <w:pPr>
              <w:pStyle w:val="TableParagraph"/>
              <w:ind w:right="106"/>
              <w:jc w:val="right"/>
              <w:rPr>
                <w:sz w:val="21"/>
              </w:rPr>
            </w:pPr>
            <w:r>
              <w:rPr>
                <w:spacing w:val="-5"/>
                <w:sz w:val="21"/>
              </w:rPr>
              <w:t>16</w:t>
            </w:r>
          </w:p>
        </w:tc>
        <w:tc>
          <w:tcPr>
            <w:tcW w:w="4111" w:type="dxa"/>
            <w:tcBorders>
              <w:right w:val="single" w:sz="4" w:space="0" w:color="000000"/>
            </w:tcBorders>
          </w:tcPr>
          <w:p>
            <w:pPr>
              <w:pStyle w:val="TableParagraph"/>
              <w:ind w:left="104"/>
              <w:rPr>
                <w:sz w:val="21"/>
              </w:rPr>
            </w:pPr>
            <w:r>
              <w:rPr>
                <w:spacing w:val="-4"/>
                <w:sz w:val="21"/>
              </w:rPr>
              <w:t>微创颅脑手术</w:t>
            </w:r>
          </w:p>
        </w:tc>
        <w:tc>
          <w:tcPr>
            <w:tcW w:w="569" w:type="dxa"/>
            <w:tcBorders>
              <w:left w:val="single" w:sz="4" w:space="0" w:color="000000"/>
            </w:tcBorders>
          </w:tcPr>
          <w:p>
            <w:pPr>
              <w:pStyle w:val="TableParagraph"/>
              <w:ind w:right="100"/>
              <w:jc w:val="right"/>
              <w:rPr>
                <w:sz w:val="21"/>
              </w:rPr>
            </w:pPr>
            <w:r>
              <w:rPr>
                <w:spacing w:val="-5"/>
                <w:sz w:val="21"/>
              </w:rPr>
              <w:t>46</w:t>
            </w:r>
          </w:p>
        </w:tc>
        <w:tc>
          <w:tcPr>
            <w:tcW w:w="4011" w:type="dxa"/>
          </w:tcPr>
          <w:p>
            <w:pPr>
              <w:pStyle w:val="TableParagraph"/>
              <w:ind w:left="108"/>
              <w:rPr>
                <w:sz w:val="21"/>
              </w:rPr>
            </w:pPr>
            <w:r>
              <w:rPr>
                <w:spacing w:val="-3"/>
                <w:sz w:val="21"/>
              </w:rPr>
              <w:t>糖尿病视网膜增生性病变</w:t>
            </w:r>
          </w:p>
        </w:tc>
      </w:tr>
      <w:tr>
        <w:trPr>
          <w:trHeight w:val="318" w:hRule="atLeast"/>
        </w:trPr>
        <w:tc>
          <w:tcPr>
            <w:tcW w:w="572" w:type="dxa"/>
          </w:tcPr>
          <w:p>
            <w:pPr>
              <w:pStyle w:val="TableParagraph"/>
              <w:spacing w:before="25"/>
              <w:ind w:right="106"/>
              <w:jc w:val="right"/>
              <w:rPr>
                <w:sz w:val="21"/>
              </w:rPr>
            </w:pPr>
            <w:r>
              <w:rPr>
                <w:spacing w:val="-5"/>
                <w:sz w:val="21"/>
              </w:rPr>
              <w:t>17</w:t>
            </w:r>
          </w:p>
        </w:tc>
        <w:tc>
          <w:tcPr>
            <w:tcW w:w="4111" w:type="dxa"/>
            <w:tcBorders>
              <w:right w:val="single" w:sz="4" w:space="0" w:color="000000"/>
            </w:tcBorders>
          </w:tcPr>
          <w:p>
            <w:pPr>
              <w:pStyle w:val="TableParagraph"/>
              <w:spacing w:before="25"/>
              <w:ind w:left="104"/>
              <w:rPr>
                <w:sz w:val="21"/>
              </w:rPr>
            </w:pPr>
            <w:r>
              <w:rPr>
                <w:spacing w:val="-4"/>
                <w:sz w:val="21"/>
              </w:rPr>
              <w:t>脑损伤</w:t>
            </w:r>
          </w:p>
        </w:tc>
        <w:tc>
          <w:tcPr>
            <w:tcW w:w="569" w:type="dxa"/>
            <w:tcBorders>
              <w:left w:val="single" w:sz="4" w:space="0" w:color="000000"/>
            </w:tcBorders>
          </w:tcPr>
          <w:p>
            <w:pPr>
              <w:pStyle w:val="TableParagraph"/>
              <w:spacing w:before="25"/>
              <w:ind w:right="100"/>
              <w:jc w:val="right"/>
              <w:rPr>
                <w:sz w:val="21"/>
              </w:rPr>
            </w:pPr>
            <w:r>
              <w:rPr>
                <w:spacing w:val="-5"/>
                <w:sz w:val="21"/>
              </w:rPr>
              <w:t>47</w:t>
            </w:r>
          </w:p>
        </w:tc>
        <w:tc>
          <w:tcPr>
            <w:tcW w:w="4011" w:type="dxa"/>
          </w:tcPr>
          <w:p>
            <w:pPr>
              <w:pStyle w:val="TableParagraph"/>
              <w:spacing w:before="25"/>
              <w:ind w:left="108"/>
              <w:rPr>
                <w:sz w:val="21"/>
              </w:rPr>
            </w:pPr>
            <w:r>
              <w:rPr>
                <w:spacing w:val="-4"/>
                <w:sz w:val="21"/>
              </w:rPr>
              <w:t>轻度重症肌无力</w:t>
            </w:r>
          </w:p>
        </w:tc>
      </w:tr>
      <w:tr>
        <w:trPr>
          <w:trHeight w:val="317" w:hRule="atLeast"/>
        </w:trPr>
        <w:tc>
          <w:tcPr>
            <w:tcW w:w="572" w:type="dxa"/>
          </w:tcPr>
          <w:p>
            <w:pPr>
              <w:pStyle w:val="TableParagraph"/>
              <w:ind w:right="106"/>
              <w:jc w:val="right"/>
              <w:rPr>
                <w:sz w:val="21"/>
              </w:rPr>
            </w:pPr>
            <w:r>
              <w:rPr>
                <w:spacing w:val="-5"/>
                <w:sz w:val="21"/>
              </w:rPr>
              <w:t>18</w:t>
            </w:r>
          </w:p>
        </w:tc>
        <w:tc>
          <w:tcPr>
            <w:tcW w:w="4111" w:type="dxa"/>
            <w:tcBorders>
              <w:right w:val="single" w:sz="4" w:space="0" w:color="000000"/>
            </w:tcBorders>
          </w:tcPr>
          <w:p>
            <w:pPr>
              <w:pStyle w:val="TableParagraph"/>
              <w:ind w:left="104"/>
              <w:rPr>
                <w:sz w:val="21"/>
              </w:rPr>
            </w:pPr>
            <w:r>
              <w:rPr>
                <w:spacing w:val="-4"/>
                <w:sz w:val="21"/>
              </w:rPr>
              <w:t>面部重建手术</w:t>
            </w:r>
          </w:p>
        </w:tc>
        <w:tc>
          <w:tcPr>
            <w:tcW w:w="569" w:type="dxa"/>
            <w:tcBorders>
              <w:left w:val="single" w:sz="4" w:space="0" w:color="000000"/>
            </w:tcBorders>
          </w:tcPr>
          <w:p>
            <w:pPr>
              <w:pStyle w:val="TableParagraph"/>
              <w:ind w:right="100"/>
              <w:jc w:val="right"/>
              <w:rPr>
                <w:sz w:val="21"/>
              </w:rPr>
            </w:pPr>
            <w:r>
              <w:rPr>
                <w:spacing w:val="-5"/>
                <w:sz w:val="21"/>
              </w:rPr>
              <w:t>48</w:t>
            </w:r>
          </w:p>
        </w:tc>
        <w:tc>
          <w:tcPr>
            <w:tcW w:w="4011" w:type="dxa"/>
          </w:tcPr>
          <w:p>
            <w:pPr>
              <w:pStyle w:val="TableParagraph"/>
              <w:ind w:left="108"/>
              <w:rPr>
                <w:sz w:val="21"/>
              </w:rPr>
            </w:pPr>
            <w:r>
              <w:rPr>
                <w:spacing w:val="-4"/>
                <w:sz w:val="21"/>
              </w:rPr>
              <w:t>早期象皮病</w:t>
            </w:r>
          </w:p>
        </w:tc>
      </w:tr>
      <w:tr>
        <w:trPr>
          <w:trHeight w:val="317" w:hRule="atLeast"/>
        </w:trPr>
        <w:tc>
          <w:tcPr>
            <w:tcW w:w="572" w:type="dxa"/>
          </w:tcPr>
          <w:p>
            <w:pPr>
              <w:pStyle w:val="TableParagraph"/>
              <w:spacing w:before="25"/>
              <w:ind w:right="106"/>
              <w:jc w:val="right"/>
              <w:rPr>
                <w:sz w:val="21"/>
              </w:rPr>
            </w:pPr>
            <w:r>
              <w:rPr>
                <w:spacing w:val="-5"/>
                <w:sz w:val="21"/>
              </w:rPr>
              <w:t>19</w:t>
            </w:r>
          </w:p>
        </w:tc>
        <w:tc>
          <w:tcPr>
            <w:tcW w:w="4111" w:type="dxa"/>
            <w:tcBorders>
              <w:right w:val="single" w:sz="4" w:space="0" w:color="000000"/>
            </w:tcBorders>
          </w:tcPr>
          <w:p>
            <w:pPr>
              <w:pStyle w:val="TableParagraph"/>
              <w:spacing w:before="25"/>
              <w:ind w:left="104"/>
              <w:rPr>
                <w:sz w:val="21"/>
              </w:rPr>
            </w:pPr>
            <w:r>
              <w:rPr>
                <w:spacing w:val="-4"/>
                <w:sz w:val="21"/>
              </w:rPr>
              <w:t>双侧睾丸切除手术</w:t>
            </w:r>
          </w:p>
        </w:tc>
        <w:tc>
          <w:tcPr>
            <w:tcW w:w="569" w:type="dxa"/>
            <w:tcBorders>
              <w:left w:val="single" w:sz="4" w:space="0" w:color="000000"/>
            </w:tcBorders>
          </w:tcPr>
          <w:p>
            <w:pPr>
              <w:pStyle w:val="TableParagraph"/>
              <w:spacing w:before="25"/>
              <w:ind w:right="100"/>
              <w:jc w:val="right"/>
              <w:rPr>
                <w:sz w:val="21"/>
              </w:rPr>
            </w:pPr>
            <w:r>
              <w:rPr>
                <w:spacing w:val="-5"/>
                <w:sz w:val="21"/>
              </w:rPr>
              <w:t>49</w:t>
            </w:r>
          </w:p>
        </w:tc>
        <w:tc>
          <w:tcPr>
            <w:tcW w:w="4011" w:type="dxa"/>
          </w:tcPr>
          <w:p>
            <w:pPr>
              <w:pStyle w:val="TableParagraph"/>
              <w:spacing w:before="25"/>
              <w:ind w:left="108"/>
              <w:rPr>
                <w:sz w:val="21"/>
              </w:rPr>
            </w:pPr>
            <w:r>
              <w:rPr>
                <w:spacing w:val="-4"/>
                <w:sz w:val="21"/>
              </w:rPr>
              <w:t>类风湿性关节炎</w:t>
            </w:r>
          </w:p>
        </w:tc>
      </w:tr>
      <w:tr>
        <w:trPr>
          <w:trHeight w:val="317" w:hRule="atLeast"/>
        </w:trPr>
        <w:tc>
          <w:tcPr>
            <w:tcW w:w="572" w:type="dxa"/>
          </w:tcPr>
          <w:p>
            <w:pPr>
              <w:pStyle w:val="TableParagraph"/>
              <w:ind w:right="106"/>
              <w:jc w:val="right"/>
              <w:rPr>
                <w:sz w:val="21"/>
              </w:rPr>
            </w:pPr>
            <w:r>
              <w:rPr>
                <w:spacing w:val="-5"/>
                <w:sz w:val="21"/>
              </w:rPr>
              <w:t>20</w:t>
            </w:r>
          </w:p>
        </w:tc>
        <w:tc>
          <w:tcPr>
            <w:tcW w:w="4111" w:type="dxa"/>
            <w:tcBorders>
              <w:right w:val="single" w:sz="4" w:space="0" w:color="000000"/>
            </w:tcBorders>
          </w:tcPr>
          <w:p>
            <w:pPr>
              <w:pStyle w:val="TableParagraph"/>
              <w:ind w:left="104"/>
              <w:rPr>
                <w:sz w:val="21"/>
              </w:rPr>
            </w:pPr>
            <w:r>
              <w:rPr>
                <w:spacing w:val="-4"/>
                <w:sz w:val="21"/>
              </w:rPr>
              <w:t>单侧肾脏切除手术</w:t>
            </w:r>
          </w:p>
        </w:tc>
        <w:tc>
          <w:tcPr>
            <w:tcW w:w="569" w:type="dxa"/>
            <w:tcBorders>
              <w:left w:val="single" w:sz="4" w:space="0" w:color="000000"/>
            </w:tcBorders>
          </w:tcPr>
          <w:p>
            <w:pPr>
              <w:pStyle w:val="TableParagraph"/>
              <w:ind w:right="100"/>
              <w:jc w:val="right"/>
              <w:rPr>
                <w:sz w:val="21"/>
              </w:rPr>
            </w:pPr>
            <w:r>
              <w:rPr>
                <w:spacing w:val="-5"/>
                <w:sz w:val="21"/>
              </w:rPr>
              <w:t>50</w:t>
            </w:r>
          </w:p>
        </w:tc>
        <w:tc>
          <w:tcPr>
            <w:tcW w:w="4011" w:type="dxa"/>
          </w:tcPr>
          <w:p>
            <w:pPr>
              <w:pStyle w:val="TableParagraph"/>
              <w:ind w:left="108"/>
              <w:rPr>
                <w:sz w:val="21"/>
              </w:rPr>
            </w:pPr>
            <w:r>
              <w:rPr>
                <w:spacing w:val="-4"/>
                <w:sz w:val="21"/>
              </w:rPr>
              <w:t>肾上腺切除手术</w:t>
            </w:r>
          </w:p>
        </w:tc>
      </w:tr>
      <w:tr>
        <w:trPr>
          <w:trHeight w:val="318" w:hRule="atLeast"/>
        </w:trPr>
        <w:tc>
          <w:tcPr>
            <w:tcW w:w="572" w:type="dxa"/>
          </w:tcPr>
          <w:p>
            <w:pPr>
              <w:pStyle w:val="TableParagraph"/>
              <w:spacing w:before="25"/>
              <w:ind w:right="106"/>
              <w:jc w:val="right"/>
              <w:rPr>
                <w:sz w:val="21"/>
              </w:rPr>
            </w:pPr>
            <w:r>
              <w:rPr>
                <w:spacing w:val="-5"/>
                <w:sz w:val="21"/>
              </w:rPr>
              <w:t>21</w:t>
            </w:r>
          </w:p>
        </w:tc>
        <w:tc>
          <w:tcPr>
            <w:tcW w:w="4111" w:type="dxa"/>
            <w:tcBorders>
              <w:right w:val="single" w:sz="4" w:space="0" w:color="000000"/>
            </w:tcBorders>
          </w:tcPr>
          <w:p>
            <w:pPr>
              <w:pStyle w:val="TableParagraph"/>
              <w:spacing w:before="25"/>
              <w:ind w:left="104"/>
              <w:rPr>
                <w:sz w:val="21"/>
              </w:rPr>
            </w:pPr>
            <w:r>
              <w:rPr>
                <w:spacing w:val="-4"/>
                <w:sz w:val="21"/>
              </w:rPr>
              <w:t>单个肢体缺失</w:t>
            </w:r>
          </w:p>
        </w:tc>
        <w:tc>
          <w:tcPr>
            <w:tcW w:w="569" w:type="dxa"/>
            <w:tcBorders>
              <w:left w:val="single" w:sz="4" w:space="0" w:color="000000"/>
            </w:tcBorders>
          </w:tcPr>
          <w:p>
            <w:pPr>
              <w:pStyle w:val="TableParagraph"/>
              <w:spacing w:before="25"/>
              <w:ind w:right="100"/>
              <w:jc w:val="right"/>
              <w:rPr>
                <w:sz w:val="21"/>
              </w:rPr>
            </w:pPr>
            <w:r>
              <w:rPr>
                <w:spacing w:val="-5"/>
                <w:sz w:val="21"/>
              </w:rPr>
              <w:t>51</w:t>
            </w:r>
          </w:p>
        </w:tc>
        <w:tc>
          <w:tcPr>
            <w:tcW w:w="4011" w:type="dxa"/>
          </w:tcPr>
          <w:p>
            <w:pPr>
              <w:pStyle w:val="TableParagraph"/>
              <w:spacing w:before="25"/>
              <w:ind w:left="108"/>
              <w:rPr>
                <w:sz w:val="21"/>
              </w:rPr>
            </w:pPr>
            <w:r>
              <w:rPr>
                <w:spacing w:val="-4"/>
                <w:sz w:val="21"/>
              </w:rPr>
              <w:t>再生障碍性贫血</w:t>
            </w:r>
          </w:p>
        </w:tc>
      </w:tr>
      <w:tr>
        <w:trPr>
          <w:trHeight w:val="318" w:hRule="atLeast"/>
        </w:trPr>
        <w:tc>
          <w:tcPr>
            <w:tcW w:w="572" w:type="dxa"/>
          </w:tcPr>
          <w:p>
            <w:pPr>
              <w:pStyle w:val="TableParagraph"/>
              <w:ind w:right="106"/>
              <w:jc w:val="right"/>
              <w:rPr>
                <w:sz w:val="21"/>
              </w:rPr>
            </w:pPr>
            <w:r>
              <w:rPr>
                <w:spacing w:val="-5"/>
                <w:sz w:val="21"/>
              </w:rPr>
              <w:t>22</w:t>
            </w:r>
          </w:p>
        </w:tc>
        <w:tc>
          <w:tcPr>
            <w:tcW w:w="4111" w:type="dxa"/>
            <w:tcBorders>
              <w:right w:val="single" w:sz="4" w:space="0" w:color="000000"/>
            </w:tcBorders>
          </w:tcPr>
          <w:p>
            <w:pPr>
              <w:pStyle w:val="TableParagraph"/>
              <w:ind w:left="104"/>
              <w:rPr>
                <w:sz w:val="21"/>
              </w:rPr>
            </w:pPr>
            <w:r>
              <w:rPr>
                <w:spacing w:val="-4"/>
                <w:sz w:val="21"/>
              </w:rPr>
              <w:t>肝叶切除手术</w:t>
            </w:r>
          </w:p>
        </w:tc>
        <w:tc>
          <w:tcPr>
            <w:tcW w:w="569" w:type="dxa"/>
            <w:tcBorders>
              <w:left w:val="single" w:sz="4" w:space="0" w:color="000000"/>
            </w:tcBorders>
          </w:tcPr>
          <w:p>
            <w:pPr>
              <w:pStyle w:val="TableParagraph"/>
              <w:ind w:right="100"/>
              <w:jc w:val="right"/>
              <w:rPr>
                <w:sz w:val="21"/>
              </w:rPr>
            </w:pPr>
            <w:r>
              <w:rPr>
                <w:spacing w:val="-5"/>
                <w:sz w:val="21"/>
              </w:rPr>
              <w:t>52</w:t>
            </w:r>
          </w:p>
        </w:tc>
        <w:tc>
          <w:tcPr>
            <w:tcW w:w="4011" w:type="dxa"/>
          </w:tcPr>
          <w:p>
            <w:pPr>
              <w:pStyle w:val="TableParagraph"/>
              <w:ind w:left="108"/>
              <w:rPr>
                <w:sz w:val="21"/>
              </w:rPr>
            </w:pPr>
            <w:r>
              <w:rPr>
                <w:spacing w:val="-4"/>
                <w:sz w:val="21"/>
              </w:rPr>
              <w:t>原发性帕金森病</w:t>
            </w:r>
          </w:p>
        </w:tc>
      </w:tr>
      <w:tr>
        <w:trPr>
          <w:trHeight w:val="317" w:hRule="atLeast"/>
        </w:trPr>
        <w:tc>
          <w:tcPr>
            <w:tcW w:w="572" w:type="dxa"/>
          </w:tcPr>
          <w:p>
            <w:pPr>
              <w:pStyle w:val="TableParagraph"/>
              <w:spacing w:before="25"/>
              <w:ind w:right="106"/>
              <w:jc w:val="right"/>
              <w:rPr>
                <w:sz w:val="21"/>
              </w:rPr>
            </w:pPr>
            <w:r>
              <w:rPr>
                <w:spacing w:val="-5"/>
                <w:sz w:val="21"/>
              </w:rPr>
              <w:t>23</w:t>
            </w:r>
          </w:p>
        </w:tc>
        <w:tc>
          <w:tcPr>
            <w:tcW w:w="4111" w:type="dxa"/>
            <w:tcBorders>
              <w:right w:val="single" w:sz="4" w:space="0" w:color="000000"/>
            </w:tcBorders>
          </w:tcPr>
          <w:p>
            <w:pPr>
              <w:pStyle w:val="TableParagraph"/>
              <w:spacing w:before="25"/>
              <w:ind w:left="104"/>
              <w:rPr>
                <w:sz w:val="21"/>
              </w:rPr>
            </w:pPr>
            <w:r>
              <w:rPr>
                <w:spacing w:val="-4"/>
                <w:sz w:val="21"/>
              </w:rPr>
              <w:t>单侧肺脏切除手术</w:t>
            </w:r>
          </w:p>
        </w:tc>
        <w:tc>
          <w:tcPr>
            <w:tcW w:w="569" w:type="dxa"/>
            <w:tcBorders>
              <w:left w:val="single" w:sz="4" w:space="0" w:color="000000"/>
            </w:tcBorders>
          </w:tcPr>
          <w:p>
            <w:pPr>
              <w:pStyle w:val="TableParagraph"/>
              <w:spacing w:before="25"/>
              <w:ind w:right="100"/>
              <w:jc w:val="right"/>
              <w:rPr>
                <w:sz w:val="21"/>
              </w:rPr>
            </w:pPr>
            <w:r>
              <w:rPr>
                <w:spacing w:val="-5"/>
                <w:sz w:val="21"/>
              </w:rPr>
              <w:t>53</w:t>
            </w:r>
          </w:p>
        </w:tc>
        <w:tc>
          <w:tcPr>
            <w:tcW w:w="4011" w:type="dxa"/>
          </w:tcPr>
          <w:p>
            <w:pPr>
              <w:pStyle w:val="TableParagraph"/>
              <w:spacing w:before="25"/>
              <w:ind w:left="108"/>
              <w:rPr>
                <w:sz w:val="21"/>
              </w:rPr>
            </w:pPr>
            <w:r>
              <w:rPr>
                <w:spacing w:val="-3"/>
                <w:sz w:val="21"/>
              </w:rPr>
              <w:t>骨质疏松骨折导致的全髋关节置换手术</w:t>
            </w:r>
          </w:p>
        </w:tc>
      </w:tr>
      <w:tr>
        <w:trPr>
          <w:trHeight w:val="317" w:hRule="atLeast"/>
        </w:trPr>
        <w:tc>
          <w:tcPr>
            <w:tcW w:w="572" w:type="dxa"/>
          </w:tcPr>
          <w:p>
            <w:pPr>
              <w:pStyle w:val="TableParagraph"/>
              <w:ind w:right="106"/>
              <w:jc w:val="right"/>
              <w:rPr>
                <w:sz w:val="21"/>
              </w:rPr>
            </w:pPr>
            <w:r>
              <w:rPr>
                <w:spacing w:val="-5"/>
                <w:sz w:val="21"/>
              </w:rPr>
              <w:t>24</w:t>
            </w:r>
          </w:p>
        </w:tc>
        <w:tc>
          <w:tcPr>
            <w:tcW w:w="4111" w:type="dxa"/>
            <w:tcBorders>
              <w:right w:val="single" w:sz="4" w:space="0" w:color="000000"/>
            </w:tcBorders>
          </w:tcPr>
          <w:p>
            <w:pPr>
              <w:pStyle w:val="TableParagraph"/>
              <w:ind w:left="104"/>
              <w:rPr>
                <w:sz w:val="21"/>
              </w:rPr>
            </w:pPr>
            <w:r>
              <w:rPr>
                <w:spacing w:val="-4"/>
                <w:sz w:val="21"/>
              </w:rPr>
              <w:t>单耳失聪</w:t>
            </w:r>
          </w:p>
        </w:tc>
        <w:tc>
          <w:tcPr>
            <w:tcW w:w="569" w:type="dxa"/>
            <w:tcBorders>
              <w:left w:val="single" w:sz="4" w:space="0" w:color="000000"/>
            </w:tcBorders>
          </w:tcPr>
          <w:p>
            <w:pPr>
              <w:pStyle w:val="TableParagraph"/>
              <w:ind w:right="100"/>
              <w:jc w:val="right"/>
              <w:rPr>
                <w:sz w:val="21"/>
              </w:rPr>
            </w:pPr>
            <w:r>
              <w:rPr>
                <w:spacing w:val="-5"/>
                <w:sz w:val="21"/>
              </w:rPr>
              <w:t>54</w:t>
            </w:r>
          </w:p>
        </w:tc>
        <w:tc>
          <w:tcPr>
            <w:tcW w:w="4011" w:type="dxa"/>
          </w:tcPr>
          <w:p>
            <w:pPr>
              <w:pStyle w:val="TableParagraph"/>
              <w:ind w:left="108"/>
              <w:rPr>
                <w:sz w:val="21"/>
              </w:rPr>
            </w:pPr>
            <w:r>
              <w:rPr>
                <w:spacing w:val="-4"/>
                <w:sz w:val="21"/>
              </w:rPr>
              <w:t>较轻肌营养不良症</w:t>
            </w:r>
          </w:p>
        </w:tc>
      </w:tr>
      <w:tr>
        <w:trPr>
          <w:trHeight w:val="318" w:hRule="atLeast"/>
        </w:trPr>
        <w:tc>
          <w:tcPr>
            <w:tcW w:w="572" w:type="dxa"/>
          </w:tcPr>
          <w:p>
            <w:pPr>
              <w:pStyle w:val="TableParagraph"/>
              <w:spacing w:before="25"/>
              <w:ind w:right="106"/>
              <w:jc w:val="right"/>
              <w:rPr>
                <w:sz w:val="21"/>
              </w:rPr>
            </w:pPr>
            <w:r>
              <w:rPr>
                <w:spacing w:val="-5"/>
                <w:sz w:val="21"/>
              </w:rPr>
              <w:t>25</w:t>
            </w:r>
          </w:p>
        </w:tc>
        <w:tc>
          <w:tcPr>
            <w:tcW w:w="4111" w:type="dxa"/>
            <w:tcBorders>
              <w:right w:val="single" w:sz="4" w:space="0" w:color="000000"/>
            </w:tcBorders>
          </w:tcPr>
          <w:p>
            <w:pPr>
              <w:pStyle w:val="TableParagraph"/>
              <w:spacing w:before="25"/>
              <w:ind w:left="104"/>
              <w:rPr>
                <w:sz w:val="21"/>
              </w:rPr>
            </w:pPr>
            <w:r>
              <w:rPr>
                <w:spacing w:val="-4"/>
                <w:sz w:val="21"/>
              </w:rPr>
              <w:t>Ⅲ度烧伤</w:t>
            </w:r>
          </w:p>
        </w:tc>
        <w:tc>
          <w:tcPr>
            <w:tcW w:w="569" w:type="dxa"/>
            <w:tcBorders>
              <w:left w:val="single" w:sz="4" w:space="0" w:color="000000"/>
            </w:tcBorders>
          </w:tcPr>
          <w:p>
            <w:pPr>
              <w:pStyle w:val="TableParagraph"/>
              <w:spacing w:before="25"/>
              <w:ind w:right="100"/>
              <w:jc w:val="right"/>
              <w:rPr>
                <w:sz w:val="21"/>
              </w:rPr>
            </w:pPr>
            <w:r>
              <w:rPr>
                <w:spacing w:val="-5"/>
                <w:sz w:val="21"/>
              </w:rPr>
              <w:t>55</w:t>
            </w:r>
          </w:p>
        </w:tc>
        <w:tc>
          <w:tcPr>
            <w:tcW w:w="4011" w:type="dxa"/>
          </w:tcPr>
          <w:p>
            <w:pPr>
              <w:pStyle w:val="TableParagraph"/>
              <w:spacing w:before="25"/>
              <w:ind w:left="108"/>
              <w:rPr>
                <w:sz w:val="21"/>
              </w:rPr>
            </w:pPr>
            <w:r>
              <w:rPr>
                <w:spacing w:val="-3"/>
                <w:sz w:val="21"/>
              </w:rPr>
              <w:t>肺泡蛋白质沉积症肺灌洗治疗</w:t>
            </w:r>
          </w:p>
        </w:tc>
      </w:tr>
      <w:tr>
        <w:trPr>
          <w:trHeight w:val="317" w:hRule="atLeast"/>
        </w:trPr>
        <w:tc>
          <w:tcPr>
            <w:tcW w:w="572" w:type="dxa"/>
          </w:tcPr>
          <w:p>
            <w:pPr>
              <w:pStyle w:val="TableParagraph"/>
              <w:ind w:right="106"/>
              <w:jc w:val="right"/>
              <w:rPr>
                <w:sz w:val="21"/>
              </w:rPr>
            </w:pPr>
            <w:r>
              <w:rPr>
                <w:spacing w:val="-5"/>
                <w:sz w:val="21"/>
              </w:rPr>
              <w:t>26</w:t>
            </w:r>
          </w:p>
        </w:tc>
        <w:tc>
          <w:tcPr>
            <w:tcW w:w="4111" w:type="dxa"/>
            <w:tcBorders>
              <w:right w:val="single" w:sz="4" w:space="0" w:color="000000"/>
            </w:tcBorders>
          </w:tcPr>
          <w:p>
            <w:pPr>
              <w:pStyle w:val="TableParagraph"/>
              <w:ind w:left="104"/>
              <w:rPr>
                <w:sz w:val="21"/>
              </w:rPr>
            </w:pPr>
            <w:r>
              <w:rPr>
                <w:spacing w:val="-4"/>
                <w:sz w:val="21"/>
              </w:rPr>
              <w:t>面部烧伤</w:t>
            </w:r>
          </w:p>
        </w:tc>
        <w:tc>
          <w:tcPr>
            <w:tcW w:w="569" w:type="dxa"/>
            <w:tcBorders>
              <w:left w:val="single" w:sz="4" w:space="0" w:color="000000"/>
            </w:tcBorders>
          </w:tcPr>
          <w:p>
            <w:pPr>
              <w:pStyle w:val="TableParagraph"/>
              <w:ind w:right="100"/>
              <w:jc w:val="right"/>
              <w:rPr>
                <w:sz w:val="21"/>
              </w:rPr>
            </w:pPr>
            <w:r>
              <w:rPr>
                <w:spacing w:val="-5"/>
                <w:sz w:val="21"/>
              </w:rPr>
              <w:t>56</w:t>
            </w:r>
          </w:p>
        </w:tc>
        <w:tc>
          <w:tcPr>
            <w:tcW w:w="4011" w:type="dxa"/>
          </w:tcPr>
          <w:p>
            <w:pPr>
              <w:pStyle w:val="TableParagraph"/>
              <w:ind w:left="108"/>
              <w:rPr>
                <w:sz w:val="21"/>
              </w:rPr>
            </w:pPr>
            <w:r>
              <w:rPr>
                <w:spacing w:val="-4"/>
                <w:sz w:val="21"/>
              </w:rPr>
              <w:t>角膜移植</w:t>
            </w:r>
          </w:p>
        </w:tc>
      </w:tr>
      <w:tr>
        <w:trPr>
          <w:trHeight w:val="318" w:hRule="atLeast"/>
        </w:trPr>
        <w:tc>
          <w:tcPr>
            <w:tcW w:w="572" w:type="dxa"/>
          </w:tcPr>
          <w:p>
            <w:pPr>
              <w:pStyle w:val="TableParagraph"/>
              <w:spacing w:before="25"/>
              <w:ind w:right="106"/>
              <w:jc w:val="right"/>
              <w:rPr>
                <w:sz w:val="21"/>
              </w:rPr>
            </w:pPr>
            <w:r>
              <w:rPr>
                <w:spacing w:val="-5"/>
                <w:sz w:val="21"/>
              </w:rPr>
              <w:t>27</w:t>
            </w:r>
          </w:p>
        </w:tc>
        <w:tc>
          <w:tcPr>
            <w:tcW w:w="4111" w:type="dxa"/>
            <w:tcBorders>
              <w:right w:val="single" w:sz="4" w:space="0" w:color="000000"/>
            </w:tcBorders>
          </w:tcPr>
          <w:p>
            <w:pPr>
              <w:pStyle w:val="TableParagraph"/>
              <w:spacing w:before="25"/>
              <w:ind w:left="104"/>
              <w:rPr>
                <w:sz w:val="21"/>
              </w:rPr>
            </w:pPr>
            <w:r>
              <w:rPr>
                <w:spacing w:val="-4"/>
                <w:sz w:val="21"/>
              </w:rPr>
              <w:t>Ⅲ度房室传导阻滞</w:t>
            </w:r>
          </w:p>
        </w:tc>
        <w:tc>
          <w:tcPr>
            <w:tcW w:w="569" w:type="dxa"/>
            <w:tcBorders>
              <w:left w:val="single" w:sz="4" w:space="0" w:color="000000"/>
            </w:tcBorders>
          </w:tcPr>
          <w:p>
            <w:pPr>
              <w:pStyle w:val="TableParagraph"/>
              <w:spacing w:before="25"/>
              <w:ind w:right="100"/>
              <w:jc w:val="right"/>
              <w:rPr>
                <w:sz w:val="21"/>
              </w:rPr>
            </w:pPr>
            <w:r>
              <w:rPr>
                <w:spacing w:val="-5"/>
                <w:sz w:val="21"/>
              </w:rPr>
              <w:t>57</w:t>
            </w:r>
          </w:p>
        </w:tc>
        <w:tc>
          <w:tcPr>
            <w:tcW w:w="4011" w:type="dxa"/>
          </w:tcPr>
          <w:p>
            <w:pPr>
              <w:pStyle w:val="TableParagraph"/>
              <w:spacing w:before="25"/>
              <w:ind w:left="108"/>
              <w:rPr>
                <w:sz w:val="21"/>
              </w:rPr>
            </w:pPr>
            <w:r>
              <w:rPr>
                <w:spacing w:val="-4"/>
                <w:sz w:val="21"/>
              </w:rPr>
              <w:t>人工耳蜗植入术</w:t>
            </w:r>
          </w:p>
        </w:tc>
      </w:tr>
      <w:tr>
        <w:trPr>
          <w:trHeight w:val="317" w:hRule="atLeast"/>
        </w:trPr>
        <w:tc>
          <w:tcPr>
            <w:tcW w:w="572" w:type="dxa"/>
          </w:tcPr>
          <w:p>
            <w:pPr>
              <w:pStyle w:val="TableParagraph"/>
              <w:ind w:right="106"/>
              <w:jc w:val="right"/>
              <w:rPr>
                <w:sz w:val="21"/>
              </w:rPr>
            </w:pPr>
            <w:r>
              <w:rPr>
                <w:spacing w:val="-5"/>
                <w:sz w:val="21"/>
              </w:rPr>
              <w:t>28</w:t>
            </w:r>
          </w:p>
        </w:tc>
        <w:tc>
          <w:tcPr>
            <w:tcW w:w="4111" w:type="dxa"/>
            <w:tcBorders>
              <w:right w:val="single" w:sz="4" w:space="0" w:color="000000"/>
            </w:tcBorders>
          </w:tcPr>
          <w:p>
            <w:pPr>
              <w:pStyle w:val="TableParagraph"/>
              <w:ind w:left="104"/>
              <w:rPr>
                <w:sz w:val="21"/>
              </w:rPr>
            </w:pPr>
            <w:r>
              <w:rPr>
                <w:spacing w:val="-4"/>
                <w:sz w:val="21"/>
              </w:rPr>
              <w:t>慢性呼吸衰竭</w:t>
            </w:r>
          </w:p>
        </w:tc>
        <w:tc>
          <w:tcPr>
            <w:tcW w:w="569" w:type="dxa"/>
            <w:tcBorders>
              <w:left w:val="single" w:sz="4" w:space="0" w:color="000000"/>
            </w:tcBorders>
          </w:tcPr>
          <w:p>
            <w:pPr>
              <w:pStyle w:val="TableParagraph"/>
              <w:ind w:right="100"/>
              <w:jc w:val="right"/>
              <w:rPr>
                <w:sz w:val="21"/>
              </w:rPr>
            </w:pPr>
            <w:r>
              <w:rPr>
                <w:spacing w:val="-5"/>
                <w:sz w:val="21"/>
              </w:rPr>
              <w:t>58</w:t>
            </w:r>
          </w:p>
        </w:tc>
        <w:tc>
          <w:tcPr>
            <w:tcW w:w="4011" w:type="dxa"/>
          </w:tcPr>
          <w:p>
            <w:pPr>
              <w:pStyle w:val="TableParagraph"/>
              <w:ind w:left="108"/>
              <w:rPr>
                <w:sz w:val="21"/>
              </w:rPr>
            </w:pPr>
            <w:r>
              <w:rPr>
                <w:spacing w:val="-3"/>
                <w:sz w:val="21"/>
              </w:rPr>
              <w:t>急性重型肝炎人工肝治疗</w:t>
            </w:r>
          </w:p>
        </w:tc>
      </w:tr>
      <w:tr>
        <w:trPr>
          <w:trHeight w:val="317" w:hRule="atLeast"/>
        </w:trPr>
        <w:tc>
          <w:tcPr>
            <w:tcW w:w="572" w:type="dxa"/>
          </w:tcPr>
          <w:p>
            <w:pPr>
              <w:pStyle w:val="TableParagraph"/>
              <w:spacing w:before="25"/>
              <w:ind w:right="106"/>
              <w:jc w:val="right"/>
              <w:rPr>
                <w:sz w:val="21"/>
              </w:rPr>
            </w:pPr>
            <w:r>
              <w:rPr>
                <w:spacing w:val="-5"/>
                <w:sz w:val="21"/>
              </w:rPr>
              <w:t>29</w:t>
            </w:r>
          </w:p>
        </w:tc>
        <w:tc>
          <w:tcPr>
            <w:tcW w:w="4111" w:type="dxa"/>
            <w:tcBorders>
              <w:right w:val="single" w:sz="4" w:space="0" w:color="000000"/>
            </w:tcBorders>
          </w:tcPr>
          <w:p>
            <w:pPr>
              <w:pStyle w:val="TableParagraph"/>
              <w:spacing w:before="25"/>
              <w:ind w:left="104"/>
              <w:rPr>
                <w:sz w:val="21"/>
              </w:rPr>
            </w:pPr>
            <w:r>
              <w:rPr>
                <w:spacing w:val="-3"/>
                <w:sz w:val="21"/>
              </w:rPr>
              <w:t>阻塞性睡眠呼吸暂停综合征</w:t>
            </w:r>
          </w:p>
        </w:tc>
        <w:tc>
          <w:tcPr>
            <w:tcW w:w="569" w:type="dxa"/>
            <w:tcBorders>
              <w:left w:val="single" w:sz="4" w:space="0" w:color="000000"/>
            </w:tcBorders>
          </w:tcPr>
          <w:p>
            <w:pPr>
              <w:pStyle w:val="TableParagraph"/>
              <w:spacing w:before="25"/>
              <w:ind w:right="100"/>
              <w:jc w:val="right"/>
              <w:rPr>
                <w:sz w:val="21"/>
              </w:rPr>
            </w:pPr>
            <w:r>
              <w:rPr>
                <w:spacing w:val="-5"/>
                <w:sz w:val="21"/>
              </w:rPr>
              <w:t>59</w:t>
            </w:r>
          </w:p>
        </w:tc>
        <w:tc>
          <w:tcPr>
            <w:tcW w:w="4011" w:type="dxa"/>
          </w:tcPr>
          <w:p>
            <w:pPr>
              <w:pStyle w:val="TableParagraph"/>
              <w:spacing w:before="25"/>
              <w:ind w:left="108"/>
              <w:rPr>
                <w:sz w:val="21"/>
              </w:rPr>
            </w:pPr>
            <w:r>
              <w:rPr>
                <w:spacing w:val="-3"/>
                <w:sz w:val="21"/>
              </w:rPr>
              <w:t>强直性脊柱炎的特定手术治疗</w:t>
            </w:r>
          </w:p>
        </w:tc>
      </w:tr>
      <w:tr>
        <w:trPr>
          <w:trHeight w:val="318" w:hRule="atLeast"/>
        </w:trPr>
        <w:tc>
          <w:tcPr>
            <w:tcW w:w="572" w:type="dxa"/>
            <w:tcBorders>
              <w:bottom w:val="single" w:sz="4" w:space="0" w:color="000000"/>
            </w:tcBorders>
          </w:tcPr>
          <w:p>
            <w:pPr>
              <w:pStyle w:val="TableParagraph"/>
              <w:ind w:right="106"/>
              <w:jc w:val="right"/>
              <w:rPr>
                <w:sz w:val="21"/>
              </w:rPr>
            </w:pPr>
            <w:r>
              <w:rPr>
                <w:spacing w:val="-5"/>
                <w:sz w:val="21"/>
              </w:rPr>
              <w:t>30</w:t>
            </w:r>
          </w:p>
        </w:tc>
        <w:tc>
          <w:tcPr>
            <w:tcW w:w="4111" w:type="dxa"/>
            <w:tcBorders>
              <w:bottom w:val="single" w:sz="4" w:space="0" w:color="000000"/>
              <w:right w:val="single" w:sz="4" w:space="0" w:color="000000"/>
            </w:tcBorders>
          </w:tcPr>
          <w:p>
            <w:pPr>
              <w:pStyle w:val="TableParagraph"/>
              <w:ind w:left="104"/>
              <w:rPr>
                <w:sz w:val="21"/>
              </w:rPr>
            </w:pPr>
            <w:r>
              <w:rPr>
                <w:spacing w:val="-4"/>
                <w:sz w:val="21"/>
              </w:rPr>
              <w:t>慢性肾衰竭</w:t>
            </w:r>
          </w:p>
        </w:tc>
        <w:tc>
          <w:tcPr>
            <w:tcW w:w="569" w:type="dxa"/>
            <w:tcBorders>
              <w:left w:val="single" w:sz="4" w:space="0" w:color="000000"/>
              <w:bottom w:val="single" w:sz="4" w:space="0" w:color="000000"/>
            </w:tcBorders>
          </w:tcPr>
          <w:p>
            <w:pPr>
              <w:pStyle w:val="TableParagraph"/>
              <w:ind w:right="100"/>
              <w:jc w:val="right"/>
              <w:rPr>
                <w:sz w:val="21"/>
              </w:rPr>
            </w:pPr>
            <w:r>
              <w:rPr>
                <w:spacing w:val="-5"/>
                <w:sz w:val="21"/>
              </w:rPr>
              <w:t>60</w:t>
            </w:r>
          </w:p>
        </w:tc>
        <w:tc>
          <w:tcPr>
            <w:tcW w:w="4011" w:type="dxa"/>
            <w:tcBorders>
              <w:bottom w:val="single" w:sz="4" w:space="0" w:color="000000"/>
            </w:tcBorders>
          </w:tcPr>
          <w:p>
            <w:pPr>
              <w:pStyle w:val="TableParagraph"/>
              <w:ind w:left="108"/>
              <w:rPr>
                <w:sz w:val="21"/>
              </w:rPr>
            </w:pPr>
            <w:r>
              <w:rPr>
                <w:spacing w:val="-3"/>
                <w:sz w:val="21"/>
              </w:rPr>
              <w:t>急性肾衰竭血液透析治疗</w:t>
            </w:r>
          </w:p>
        </w:tc>
      </w:tr>
    </w:tbl>
    <w:p>
      <w:pPr>
        <w:pStyle w:val="BodyText"/>
        <w:spacing w:before="14"/>
        <w:ind w:left="0"/>
        <w:rPr>
          <w:rFonts w:ascii="微软雅黑"/>
          <w:b/>
          <w:sz w:val="10"/>
        </w:rPr>
      </w:pPr>
    </w:p>
    <w:p>
      <w:pPr>
        <w:pStyle w:val="BodyText"/>
        <w:ind w:left="1190"/>
      </w:pPr>
      <w:r>
        <w:rPr>
          <w:spacing w:val="-2"/>
        </w:rPr>
        <w:t>（此页正文完</w:t>
      </w:r>
      <w:r>
        <w:rPr>
          <w:spacing w:val="-12"/>
        </w:rPr>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7"/>
        <w:ind w:left="0"/>
      </w:pPr>
      <w:r>
        <w:rPr/>
        <w:drawing>
          <wp:anchor distT="0" distB="0" distL="0" distR="0" allowOverlap="1" layoutInCell="1" locked="0" behindDoc="0" simplePos="0" relativeHeight="15">
            <wp:simplePos x="0" y="0"/>
            <wp:positionH relativeFrom="page">
              <wp:posOffset>719327</wp:posOffset>
            </wp:positionH>
            <wp:positionV relativeFrom="paragraph">
              <wp:posOffset>190646</wp:posOffset>
            </wp:positionV>
            <wp:extent cx="1829282" cy="6096"/>
            <wp:effectExtent l="0" t="0" r="0" b="0"/>
            <wp:wrapTopAndBottom/>
            <wp:docPr id="27" name="image5.png"/>
            <wp:cNvGraphicFramePr>
              <a:graphicFrameLocks noChangeAspect="1"/>
            </wp:cNvGraphicFramePr>
            <a:graphic>
              <a:graphicData uri="http://schemas.openxmlformats.org/drawingml/2006/picture">
                <pic:pic>
                  <pic:nvPicPr>
                    <pic:cNvPr id="28" name="image5.png"/>
                    <pic:cNvPicPr/>
                  </pic:nvPicPr>
                  <pic:blipFill>
                    <a:blip r:embed="rId10" cstate="print"/>
                    <a:stretch>
                      <a:fillRect/>
                    </a:stretch>
                  </pic:blipFill>
                  <pic:spPr>
                    <a:xfrm>
                      <a:off x="0" y="0"/>
                      <a:ext cx="1829282" cy="6096"/>
                    </a:xfrm>
                    <a:prstGeom prst="rect">
                      <a:avLst/>
                    </a:prstGeom>
                  </pic:spPr>
                </pic:pic>
              </a:graphicData>
            </a:graphic>
          </wp:anchor>
        </w:drawing>
      </w:r>
    </w:p>
    <w:p>
      <w:pPr>
        <w:spacing w:line="242" w:lineRule="auto" w:before="96"/>
        <w:ind w:left="412" w:right="1021" w:firstLine="0"/>
        <w:jc w:val="left"/>
        <w:rPr>
          <w:sz w:val="18"/>
        </w:rPr>
      </w:pPr>
      <w:r>
        <w:rPr>
          <w:position w:val="9"/>
          <w:sz w:val="9"/>
        </w:rPr>
        <w:t>11</w:t>
      </w:r>
      <w:r>
        <w:rPr>
          <w:sz w:val="18"/>
        </w:rPr>
        <w:t>*所标注的轻度疾病为中国保险行业协会发布的《重大疾病保险的疾病定义使用规范（2020</w:t>
      </w:r>
      <w:r>
        <w:rPr>
          <w:spacing w:val="-10"/>
          <w:sz w:val="18"/>
        </w:rPr>
        <w:t> 年修订版</w:t>
      </w:r>
      <w:r>
        <w:rPr>
          <w:spacing w:val="-91"/>
          <w:sz w:val="18"/>
        </w:rPr>
        <w:t>）</w:t>
      </w:r>
      <w:r>
        <w:rPr>
          <w:spacing w:val="-92"/>
          <w:sz w:val="18"/>
        </w:rPr>
        <w:t>》</w:t>
      </w:r>
      <w:r>
        <w:rPr>
          <w:sz w:val="18"/>
        </w:rPr>
        <w:t>（以下简称“规范”）</w:t>
      </w:r>
      <w:r>
        <w:rPr>
          <w:spacing w:val="-5"/>
          <w:sz w:val="18"/>
        </w:rPr>
        <w:t>规定的 </w:t>
      </w:r>
      <w:r>
        <w:rPr>
          <w:sz w:val="18"/>
        </w:rPr>
        <w:t>3</w:t>
      </w:r>
      <w:r>
        <w:rPr>
          <w:spacing w:val="-5"/>
          <w:sz w:val="18"/>
        </w:rPr>
        <w:t> 种轻度疾病，其他为“规范”之外的疾病。</w:t>
      </w:r>
    </w:p>
    <w:p>
      <w:pPr>
        <w:spacing w:after="0" w:line="242" w:lineRule="auto"/>
        <w:jc w:val="left"/>
        <w:rPr>
          <w:sz w:val="18"/>
        </w:rPr>
        <w:sectPr>
          <w:type w:val="continuous"/>
          <w:pgSz w:w="11910" w:h="16840"/>
          <w:pgMar w:header="0" w:footer="574" w:top="380" w:bottom="760" w:left="720" w:right="340"/>
        </w:sectPr>
      </w:pPr>
    </w:p>
    <w:p>
      <w:pPr>
        <w:pStyle w:val="Heading2"/>
        <w:spacing w:line="379" w:lineRule="exact" w:before="0"/>
        <w:ind w:left="629" w:firstLine="0"/>
      </w:pPr>
      <w:r>
        <w:rPr>
          <w:w w:val="95"/>
        </w:rPr>
        <w:t>重</w:t>
      </w:r>
      <w:r>
        <w:rPr>
          <w:w w:val="95"/>
        </w:rPr>
        <w:t>大</w:t>
      </w:r>
      <w:r>
        <w:rPr>
          <w:w w:val="95"/>
        </w:rPr>
        <w:t>疾</w:t>
      </w:r>
      <w:r>
        <w:rPr>
          <w:w w:val="95"/>
        </w:rPr>
        <w:t>病</w:t>
      </w:r>
      <w:r>
        <w:rPr>
          <w:w w:val="95"/>
        </w:rPr>
        <w:t>列</w:t>
      </w:r>
      <w:r>
        <w:rPr>
          <w:w w:val="95"/>
        </w:rPr>
        <w:t>表</w:t>
      </w:r>
      <w:r>
        <w:rPr>
          <w:w w:val="95"/>
        </w:rPr>
        <w:t>（120</w:t>
      </w:r>
      <w:r>
        <w:rPr>
          <w:spacing w:val="18"/>
        </w:rPr>
        <w:t> </w:t>
      </w:r>
      <w:r>
        <w:rPr>
          <w:w w:val="95"/>
        </w:rPr>
        <w:t>种</w:t>
      </w:r>
      <w:r>
        <w:rPr>
          <w:spacing w:val="-10"/>
          <w:w w:val="95"/>
        </w:rPr>
        <w:t>）</w:t>
      </w:r>
    </w:p>
    <w:tbl>
      <w:tblPr>
        <w:tblW w:w="0" w:type="auto"/>
        <w:jc w:val="left"/>
        <w:tblInd w:w="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78"/>
        <w:gridCol w:w="710"/>
        <w:gridCol w:w="4051"/>
      </w:tblGrid>
      <w:tr>
        <w:trPr>
          <w:trHeight w:val="302" w:hRule="atLeast"/>
        </w:trPr>
        <w:tc>
          <w:tcPr>
            <w:tcW w:w="4678" w:type="dxa"/>
            <w:tcBorders>
              <w:top w:val="single" w:sz="4" w:space="0" w:color="000000"/>
              <w:right w:val="single" w:sz="4" w:space="0" w:color="000000"/>
            </w:tcBorders>
          </w:tcPr>
          <w:p>
            <w:pPr>
              <w:pStyle w:val="TableParagraph"/>
              <w:spacing w:line="271" w:lineRule="exact" w:before="0"/>
              <w:ind w:left="381"/>
              <w:rPr>
                <w:rFonts w:ascii="微软雅黑" w:hAnsi="微软雅黑" w:eastAsia="微软雅黑"/>
                <w:b/>
                <w:sz w:val="11"/>
              </w:rPr>
            </w:pPr>
            <w:r>
              <w:rPr>
                <w:sz w:val="21"/>
              </w:rPr>
              <w:t>1</w:t>
            </w:r>
            <w:r>
              <w:rPr>
                <w:spacing w:val="8"/>
                <w:sz w:val="21"/>
              </w:rPr>
              <w:t> 恶性肿瘤——重度</w:t>
            </w:r>
            <w:r>
              <w:rPr>
                <w:rFonts w:ascii="微软雅黑" w:hAnsi="微软雅黑" w:eastAsia="微软雅黑"/>
                <w:b/>
                <w:spacing w:val="-5"/>
                <w:position w:val="11"/>
                <w:sz w:val="11"/>
              </w:rPr>
              <w:t>*12</w:t>
            </w:r>
          </w:p>
        </w:tc>
        <w:tc>
          <w:tcPr>
            <w:tcW w:w="710" w:type="dxa"/>
            <w:tcBorders>
              <w:top w:val="single" w:sz="4" w:space="0" w:color="000000"/>
              <w:left w:val="single" w:sz="4" w:space="0" w:color="000000"/>
            </w:tcBorders>
          </w:tcPr>
          <w:p>
            <w:pPr>
              <w:pStyle w:val="TableParagraph"/>
              <w:spacing w:before="2"/>
              <w:ind w:right="100"/>
              <w:jc w:val="right"/>
              <w:rPr>
                <w:sz w:val="21"/>
              </w:rPr>
            </w:pPr>
            <w:r>
              <w:rPr>
                <w:spacing w:val="-5"/>
                <w:sz w:val="21"/>
              </w:rPr>
              <w:t>40</w:t>
            </w:r>
          </w:p>
        </w:tc>
        <w:tc>
          <w:tcPr>
            <w:tcW w:w="4051" w:type="dxa"/>
            <w:tcBorders>
              <w:top w:val="single" w:sz="4" w:space="0" w:color="000000"/>
            </w:tcBorders>
          </w:tcPr>
          <w:p>
            <w:pPr>
              <w:pStyle w:val="TableParagraph"/>
              <w:spacing w:before="2"/>
              <w:ind w:left="108"/>
              <w:rPr>
                <w:sz w:val="21"/>
              </w:rPr>
            </w:pPr>
            <w:r>
              <w:rPr>
                <w:spacing w:val="-3"/>
                <w:sz w:val="21"/>
              </w:rPr>
              <w:t>严重慢性复发性胰腺炎</w:t>
            </w:r>
          </w:p>
        </w:tc>
      </w:tr>
      <w:tr>
        <w:trPr>
          <w:trHeight w:val="314" w:hRule="atLeast"/>
        </w:trPr>
        <w:tc>
          <w:tcPr>
            <w:tcW w:w="4678" w:type="dxa"/>
            <w:tcBorders>
              <w:right w:val="single" w:sz="4" w:space="0" w:color="000000"/>
            </w:tcBorders>
          </w:tcPr>
          <w:p>
            <w:pPr>
              <w:pStyle w:val="TableParagraph"/>
              <w:spacing w:before="4"/>
              <w:ind w:left="381"/>
              <w:rPr>
                <w:sz w:val="11"/>
              </w:rPr>
            </w:pPr>
            <w:r>
              <w:rPr>
                <w:sz w:val="21"/>
              </w:rPr>
              <w:t>2</w:t>
            </w:r>
            <w:r>
              <w:rPr>
                <w:spacing w:val="8"/>
                <w:sz w:val="21"/>
              </w:rPr>
              <w:t> 较重急性心肌梗死</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41</w:t>
            </w:r>
          </w:p>
        </w:tc>
        <w:tc>
          <w:tcPr>
            <w:tcW w:w="4051" w:type="dxa"/>
          </w:tcPr>
          <w:p>
            <w:pPr>
              <w:pStyle w:val="TableParagraph"/>
              <w:spacing w:before="14"/>
              <w:ind w:left="108"/>
              <w:rPr>
                <w:sz w:val="21"/>
              </w:rPr>
            </w:pPr>
            <w:r>
              <w:rPr>
                <w:spacing w:val="-4"/>
                <w:sz w:val="21"/>
              </w:rPr>
              <w:t>持续植物人状态</w:t>
            </w:r>
          </w:p>
        </w:tc>
      </w:tr>
      <w:tr>
        <w:trPr>
          <w:trHeight w:val="315" w:hRule="atLeast"/>
        </w:trPr>
        <w:tc>
          <w:tcPr>
            <w:tcW w:w="4678" w:type="dxa"/>
            <w:tcBorders>
              <w:right w:val="single" w:sz="4" w:space="0" w:color="000000"/>
            </w:tcBorders>
          </w:tcPr>
          <w:p>
            <w:pPr>
              <w:pStyle w:val="TableParagraph"/>
              <w:spacing w:before="4"/>
              <w:ind w:left="381"/>
              <w:rPr>
                <w:sz w:val="11"/>
              </w:rPr>
            </w:pPr>
            <w:r>
              <w:rPr>
                <w:sz w:val="21"/>
              </w:rPr>
              <w:t>3</w:t>
            </w:r>
            <w:r>
              <w:rPr>
                <w:spacing w:val="8"/>
                <w:sz w:val="21"/>
              </w:rPr>
              <w:t> 严重脑中风后遗症</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42</w:t>
            </w:r>
          </w:p>
        </w:tc>
        <w:tc>
          <w:tcPr>
            <w:tcW w:w="4051" w:type="dxa"/>
          </w:tcPr>
          <w:p>
            <w:pPr>
              <w:pStyle w:val="TableParagraph"/>
              <w:spacing w:before="14"/>
              <w:ind w:left="108"/>
              <w:rPr>
                <w:sz w:val="21"/>
              </w:rPr>
            </w:pPr>
            <w:r>
              <w:rPr>
                <w:spacing w:val="-4"/>
                <w:sz w:val="21"/>
              </w:rPr>
              <w:t>坏死性筋膜炎</w:t>
            </w:r>
          </w:p>
        </w:tc>
      </w:tr>
      <w:tr>
        <w:trPr>
          <w:trHeight w:val="327" w:hRule="atLeast"/>
        </w:trPr>
        <w:tc>
          <w:tcPr>
            <w:tcW w:w="4678" w:type="dxa"/>
            <w:tcBorders>
              <w:right w:val="single" w:sz="4" w:space="0" w:color="000000"/>
            </w:tcBorders>
          </w:tcPr>
          <w:p>
            <w:pPr>
              <w:pStyle w:val="TableParagraph"/>
              <w:spacing w:before="5"/>
              <w:ind w:left="381"/>
              <w:rPr>
                <w:sz w:val="11"/>
              </w:rPr>
            </w:pPr>
            <w:r>
              <w:rPr>
                <w:sz w:val="21"/>
              </w:rPr>
              <w:t>4 重大器官移植术或造血干细胞移植术</w:t>
            </w:r>
            <w:r>
              <w:rPr>
                <w:spacing w:val="-10"/>
                <w:position w:val="11"/>
                <w:sz w:val="11"/>
              </w:rPr>
              <w:t>*</w:t>
            </w:r>
          </w:p>
        </w:tc>
        <w:tc>
          <w:tcPr>
            <w:tcW w:w="710" w:type="dxa"/>
            <w:tcBorders>
              <w:left w:val="single" w:sz="4" w:space="0" w:color="000000"/>
            </w:tcBorders>
          </w:tcPr>
          <w:p>
            <w:pPr>
              <w:pStyle w:val="TableParagraph"/>
              <w:spacing w:before="15"/>
              <w:ind w:right="100"/>
              <w:jc w:val="right"/>
              <w:rPr>
                <w:sz w:val="21"/>
              </w:rPr>
            </w:pPr>
            <w:r>
              <w:rPr>
                <w:spacing w:val="-5"/>
                <w:sz w:val="21"/>
              </w:rPr>
              <w:t>43</w:t>
            </w:r>
          </w:p>
        </w:tc>
        <w:tc>
          <w:tcPr>
            <w:tcW w:w="4051" w:type="dxa"/>
          </w:tcPr>
          <w:p>
            <w:pPr>
              <w:pStyle w:val="TableParagraph"/>
              <w:spacing w:before="15"/>
              <w:ind w:left="108"/>
              <w:rPr>
                <w:sz w:val="21"/>
              </w:rPr>
            </w:pPr>
            <w:r>
              <w:rPr>
                <w:spacing w:val="-4"/>
                <w:sz w:val="21"/>
              </w:rPr>
              <w:t>嗜铬细胞瘤</w:t>
            </w:r>
          </w:p>
        </w:tc>
      </w:tr>
      <w:tr>
        <w:trPr>
          <w:trHeight w:val="302" w:hRule="atLeast"/>
        </w:trPr>
        <w:tc>
          <w:tcPr>
            <w:tcW w:w="4678" w:type="dxa"/>
            <w:tcBorders>
              <w:right w:val="single" w:sz="4" w:space="0" w:color="000000"/>
            </w:tcBorders>
          </w:tcPr>
          <w:p>
            <w:pPr>
              <w:pStyle w:val="TableParagraph"/>
              <w:spacing w:before="2"/>
              <w:ind w:right="177"/>
              <w:jc w:val="right"/>
              <w:rPr>
                <w:sz w:val="21"/>
              </w:rPr>
            </w:pPr>
            <w:r>
              <w:rPr>
                <w:sz w:val="21"/>
              </w:rPr>
              <w:t>5</w:t>
            </w:r>
            <w:r>
              <w:rPr>
                <w:spacing w:val="9"/>
                <w:sz w:val="21"/>
              </w:rPr>
              <w:t> 冠状动脉搭桥术</w:t>
            </w:r>
            <w:r>
              <w:rPr>
                <w:sz w:val="21"/>
              </w:rPr>
              <w:t>（</w:t>
            </w:r>
            <w:r>
              <w:rPr>
                <w:spacing w:val="-1"/>
                <w:sz w:val="21"/>
              </w:rPr>
              <w:t>或称冠状动脉旁路移植</w:t>
            </w:r>
          </w:p>
        </w:tc>
        <w:tc>
          <w:tcPr>
            <w:tcW w:w="710" w:type="dxa"/>
            <w:tcBorders>
              <w:left w:val="single" w:sz="4" w:space="0" w:color="000000"/>
            </w:tcBorders>
          </w:tcPr>
          <w:p>
            <w:pPr>
              <w:pStyle w:val="TableParagraph"/>
              <w:spacing w:before="2"/>
              <w:ind w:right="100"/>
              <w:jc w:val="right"/>
              <w:rPr>
                <w:sz w:val="21"/>
              </w:rPr>
            </w:pPr>
            <w:r>
              <w:rPr>
                <w:spacing w:val="-5"/>
                <w:sz w:val="21"/>
              </w:rPr>
              <w:t>44</w:t>
            </w:r>
          </w:p>
        </w:tc>
        <w:tc>
          <w:tcPr>
            <w:tcW w:w="4051" w:type="dxa"/>
          </w:tcPr>
          <w:p>
            <w:pPr>
              <w:pStyle w:val="TableParagraph"/>
              <w:spacing w:before="2"/>
              <w:ind w:left="108"/>
              <w:rPr>
                <w:sz w:val="21"/>
              </w:rPr>
            </w:pPr>
            <w:r>
              <w:rPr>
                <w:spacing w:val="-4"/>
                <w:sz w:val="21"/>
              </w:rPr>
              <w:t>象皮病</w:t>
            </w:r>
          </w:p>
        </w:tc>
      </w:tr>
      <w:tr>
        <w:trPr>
          <w:trHeight w:val="314" w:hRule="atLeast"/>
        </w:trPr>
        <w:tc>
          <w:tcPr>
            <w:tcW w:w="4678" w:type="dxa"/>
            <w:tcBorders>
              <w:right w:val="single" w:sz="4" w:space="0" w:color="000000"/>
            </w:tcBorders>
          </w:tcPr>
          <w:p>
            <w:pPr>
              <w:pStyle w:val="TableParagraph"/>
              <w:spacing w:before="4"/>
              <w:ind w:left="703"/>
              <w:rPr>
                <w:sz w:val="11"/>
              </w:rPr>
            </w:pPr>
            <w:r>
              <w:rPr>
                <w:sz w:val="21"/>
              </w:rPr>
              <w:t>术</w:t>
            </w:r>
            <w:r>
              <w:rPr>
                <w:spacing w:val="-5"/>
                <w:sz w:val="21"/>
              </w:rPr>
              <w:t>）</w:t>
            </w:r>
            <w:r>
              <w:rPr>
                <w:spacing w:val="-5"/>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45</w:t>
            </w:r>
          </w:p>
        </w:tc>
        <w:tc>
          <w:tcPr>
            <w:tcW w:w="4051" w:type="dxa"/>
          </w:tcPr>
          <w:p>
            <w:pPr>
              <w:pStyle w:val="TableParagraph"/>
              <w:spacing w:before="14"/>
              <w:ind w:left="108"/>
              <w:rPr>
                <w:sz w:val="21"/>
              </w:rPr>
            </w:pPr>
            <w:r>
              <w:rPr>
                <w:spacing w:val="-4"/>
                <w:sz w:val="21"/>
              </w:rPr>
              <w:t>胰腺移植术</w:t>
            </w:r>
          </w:p>
        </w:tc>
      </w:tr>
      <w:tr>
        <w:trPr>
          <w:trHeight w:val="315" w:hRule="atLeast"/>
        </w:trPr>
        <w:tc>
          <w:tcPr>
            <w:tcW w:w="4678" w:type="dxa"/>
            <w:tcBorders>
              <w:right w:val="single" w:sz="4" w:space="0" w:color="000000"/>
            </w:tcBorders>
          </w:tcPr>
          <w:p>
            <w:pPr>
              <w:pStyle w:val="TableParagraph"/>
              <w:spacing w:before="4"/>
              <w:ind w:left="381"/>
              <w:rPr>
                <w:sz w:val="11"/>
              </w:rPr>
            </w:pPr>
            <w:r>
              <w:rPr>
                <w:sz w:val="21"/>
              </w:rPr>
              <w:t>6</w:t>
            </w:r>
            <w:r>
              <w:rPr>
                <w:spacing w:val="11"/>
                <w:sz w:val="21"/>
              </w:rPr>
              <w:t> 严重慢性肾衰竭</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46</w:t>
            </w:r>
          </w:p>
        </w:tc>
        <w:tc>
          <w:tcPr>
            <w:tcW w:w="4051" w:type="dxa"/>
          </w:tcPr>
          <w:p>
            <w:pPr>
              <w:pStyle w:val="TableParagraph"/>
              <w:spacing w:before="14"/>
              <w:ind w:left="108"/>
              <w:rPr>
                <w:sz w:val="21"/>
              </w:rPr>
            </w:pPr>
            <w:r>
              <w:rPr>
                <w:spacing w:val="-3"/>
                <w:sz w:val="21"/>
              </w:rPr>
              <w:t>特发性慢性肾上腺皮质功能减退</w:t>
            </w:r>
          </w:p>
        </w:tc>
      </w:tr>
      <w:tr>
        <w:trPr>
          <w:trHeight w:val="315" w:hRule="atLeast"/>
        </w:trPr>
        <w:tc>
          <w:tcPr>
            <w:tcW w:w="4678" w:type="dxa"/>
            <w:tcBorders>
              <w:right w:val="single" w:sz="4" w:space="0" w:color="000000"/>
            </w:tcBorders>
          </w:tcPr>
          <w:p>
            <w:pPr>
              <w:pStyle w:val="TableParagraph"/>
              <w:spacing w:before="5"/>
              <w:ind w:left="381"/>
              <w:rPr>
                <w:sz w:val="11"/>
              </w:rPr>
            </w:pPr>
            <w:r>
              <w:rPr>
                <w:sz w:val="21"/>
              </w:rPr>
              <w:t>7</w:t>
            </w:r>
            <w:r>
              <w:rPr>
                <w:spacing w:val="13"/>
                <w:sz w:val="21"/>
              </w:rPr>
              <w:t> 多个肢体缺失</w:t>
            </w:r>
            <w:r>
              <w:rPr>
                <w:spacing w:val="-10"/>
                <w:position w:val="11"/>
                <w:sz w:val="11"/>
              </w:rPr>
              <w:t>*</w:t>
            </w:r>
          </w:p>
        </w:tc>
        <w:tc>
          <w:tcPr>
            <w:tcW w:w="710" w:type="dxa"/>
            <w:tcBorders>
              <w:left w:val="single" w:sz="4" w:space="0" w:color="000000"/>
            </w:tcBorders>
          </w:tcPr>
          <w:p>
            <w:pPr>
              <w:pStyle w:val="TableParagraph"/>
              <w:spacing w:before="15"/>
              <w:ind w:right="100"/>
              <w:jc w:val="right"/>
              <w:rPr>
                <w:sz w:val="21"/>
              </w:rPr>
            </w:pPr>
            <w:r>
              <w:rPr>
                <w:spacing w:val="-5"/>
                <w:sz w:val="21"/>
              </w:rPr>
              <w:t>47</w:t>
            </w:r>
          </w:p>
        </w:tc>
        <w:tc>
          <w:tcPr>
            <w:tcW w:w="4051" w:type="dxa"/>
          </w:tcPr>
          <w:p>
            <w:pPr>
              <w:pStyle w:val="TableParagraph"/>
              <w:spacing w:before="15"/>
              <w:ind w:left="108"/>
              <w:rPr>
                <w:sz w:val="21"/>
              </w:rPr>
            </w:pPr>
            <w:r>
              <w:rPr>
                <w:spacing w:val="-4"/>
                <w:sz w:val="21"/>
              </w:rPr>
              <w:t>严重心肌炎</w:t>
            </w:r>
          </w:p>
        </w:tc>
      </w:tr>
      <w:tr>
        <w:trPr>
          <w:trHeight w:val="314" w:hRule="atLeast"/>
        </w:trPr>
        <w:tc>
          <w:tcPr>
            <w:tcW w:w="4678" w:type="dxa"/>
            <w:tcBorders>
              <w:right w:val="single" w:sz="4" w:space="0" w:color="000000"/>
            </w:tcBorders>
          </w:tcPr>
          <w:p>
            <w:pPr>
              <w:pStyle w:val="TableParagraph"/>
              <w:spacing w:before="4"/>
              <w:ind w:left="381"/>
              <w:rPr>
                <w:sz w:val="11"/>
              </w:rPr>
            </w:pPr>
            <w:r>
              <w:rPr>
                <w:sz w:val="21"/>
              </w:rPr>
              <w:t>8</w:t>
            </w:r>
            <w:r>
              <w:rPr>
                <w:spacing w:val="2"/>
                <w:sz w:val="21"/>
              </w:rPr>
              <w:t> 急性重症肝炎或亚急性重症肝炎</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48</w:t>
            </w:r>
          </w:p>
        </w:tc>
        <w:tc>
          <w:tcPr>
            <w:tcW w:w="4051" w:type="dxa"/>
          </w:tcPr>
          <w:p>
            <w:pPr>
              <w:pStyle w:val="TableParagraph"/>
              <w:spacing w:before="14"/>
              <w:ind w:left="108"/>
              <w:rPr>
                <w:sz w:val="21"/>
              </w:rPr>
            </w:pPr>
            <w:r>
              <w:rPr>
                <w:spacing w:val="-4"/>
                <w:sz w:val="21"/>
              </w:rPr>
              <w:t>肺源性心脏病</w:t>
            </w:r>
          </w:p>
        </w:tc>
      </w:tr>
      <w:tr>
        <w:trPr>
          <w:trHeight w:val="314" w:hRule="atLeast"/>
        </w:trPr>
        <w:tc>
          <w:tcPr>
            <w:tcW w:w="4678" w:type="dxa"/>
            <w:tcBorders>
              <w:right w:val="single" w:sz="4" w:space="0" w:color="000000"/>
            </w:tcBorders>
          </w:tcPr>
          <w:p>
            <w:pPr>
              <w:pStyle w:val="TableParagraph"/>
              <w:spacing w:before="4"/>
              <w:ind w:left="381"/>
              <w:rPr>
                <w:sz w:val="11"/>
              </w:rPr>
            </w:pPr>
            <w:r>
              <w:rPr>
                <w:sz w:val="21"/>
              </w:rPr>
              <w:t>9</w:t>
            </w:r>
            <w:r>
              <w:rPr>
                <w:spacing w:val="7"/>
                <w:sz w:val="21"/>
              </w:rPr>
              <w:t> 严重非恶性颅内肿瘤</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49</w:t>
            </w:r>
          </w:p>
        </w:tc>
        <w:tc>
          <w:tcPr>
            <w:tcW w:w="4051" w:type="dxa"/>
          </w:tcPr>
          <w:p>
            <w:pPr>
              <w:pStyle w:val="TableParagraph"/>
              <w:spacing w:before="14"/>
              <w:ind w:left="108"/>
              <w:rPr>
                <w:sz w:val="21"/>
              </w:rPr>
            </w:pPr>
            <w:r>
              <w:rPr>
                <w:spacing w:val="-3"/>
                <w:sz w:val="21"/>
              </w:rPr>
              <w:t>严重原发性硬化性胆管炎</w:t>
            </w:r>
          </w:p>
        </w:tc>
      </w:tr>
      <w:tr>
        <w:trPr>
          <w:trHeight w:val="315" w:hRule="atLeast"/>
        </w:trPr>
        <w:tc>
          <w:tcPr>
            <w:tcW w:w="4678" w:type="dxa"/>
            <w:tcBorders>
              <w:right w:val="single" w:sz="4" w:space="0" w:color="000000"/>
            </w:tcBorders>
          </w:tcPr>
          <w:p>
            <w:pPr>
              <w:pStyle w:val="TableParagraph"/>
              <w:spacing w:before="4"/>
              <w:ind w:left="275"/>
              <w:rPr>
                <w:sz w:val="11"/>
              </w:rPr>
            </w:pPr>
            <w:r>
              <w:rPr>
                <w:sz w:val="21"/>
              </w:rPr>
              <w:t>10</w:t>
            </w:r>
            <w:r>
              <w:rPr>
                <w:spacing w:val="11"/>
                <w:sz w:val="21"/>
              </w:rPr>
              <w:t> 严重慢性肝衰竭</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50</w:t>
            </w:r>
          </w:p>
        </w:tc>
        <w:tc>
          <w:tcPr>
            <w:tcW w:w="4051" w:type="dxa"/>
          </w:tcPr>
          <w:p>
            <w:pPr>
              <w:pStyle w:val="TableParagraph"/>
              <w:spacing w:before="14"/>
              <w:ind w:left="108"/>
              <w:rPr>
                <w:sz w:val="21"/>
              </w:rPr>
            </w:pPr>
            <w:r>
              <w:rPr>
                <w:spacing w:val="-3"/>
                <w:sz w:val="21"/>
              </w:rPr>
              <w:t>严重自身免疫性肝炎</w:t>
            </w:r>
          </w:p>
        </w:tc>
      </w:tr>
      <w:tr>
        <w:trPr>
          <w:trHeight w:val="315" w:hRule="atLeast"/>
        </w:trPr>
        <w:tc>
          <w:tcPr>
            <w:tcW w:w="4678" w:type="dxa"/>
            <w:tcBorders>
              <w:right w:val="single" w:sz="4" w:space="0" w:color="000000"/>
            </w:tcBorders>
          </w:tcPr>
          <w:p>
            <w:pPr>
              <w:pStyle w:val="TableParagraph"/>
              <w:spacing w:before="5"/>
              <w:ind w:left="275"/>
              <w:rPr>
                <w:sz w:val="11"/>
              </w:rPr>
            </w:pPr>
            <w:r>
              <w:rPr>
                <w:sz w:val="21"/>
              </w:rPr>
              <w:t>11 严重脑炎后遗症或严重脑膜炎后遗症</w:t>
            </w:r>
            <w:r>
              <w:rPr>
                <w:spacing w:val="-10"/>
                <w:position w:val="11"/>
                <w:sz w:val="11"/>
              </w:rPr>
              <w:t>*</w:t>
            </w:r>
          </w:p>
        </w:tc>
        <w:tc>
          <w:tcPr>
            <w:tcW w:w="710" w:type="dxa"/>
            <w:tcBorders>
              <w:left w:val="single" w:sz="4" w:space="0" w:color="000000"/>
            </w:tcBorders>
          </w:tcPr>
          <w:p>
            <w:pPr>
              <w:pStyle w:val="TableParagraph"/>
              <w:spacing w:before="15"/>
              <w:ind w:right="100"/>
              <w:jc w:val="right"/>
              <w:rPr>
                <w:sz w:val="21"/>
              </w:rPr>
            </w:pPr>
            <w:r>
              <w:rPr>
                <w:spacing w:val="-5"/>
                <w:sz w:val="21"/>
              </w:rPr>
              <w:t>51</w:t>
            </w:r>
          </w:p>
        </w:tc>
        <w:tc>
          <w:tcPr>
            <w:tcW w:w="4051" w:type="dxa"/>
          </w:tcPr>
          <w:p>
            <w:pPr>
              <w:pStyle w:val="TableParagraph"/>
              <w:spacing w:before="15"/>
              <w:ind w:left="108"/>
              <w:rPr>
                <w:sz w:val="21"/>
              </w:rPr>
            </w:pPr>
            <w:r>
              <w:rPr>
                <w:spacing w:val="-2"/>
                <w:sz w:val="21"/>
              </w:rPr>
              <w:t>Brugada</w:t>
            </w:r>
            <w:r>
              <w:rPr>
                <w:spacing w:val="-15"/>
                <w:sz w:val="21"/>
              </w:rPr>
              <w:t> 综合征</w:t>
            </w:r>
          </w:p>
        </w:tc>
      </w:tr>
      <w:tr>
        <w:trPr>
          <w:trHeight w:val="314" w:hRule="atLeast"/>
        </w:trPr>
        <w:tc>
          <w:tcPr>
            <w:tcW w:w="4678" w:type="dxa"/>
            <w:tcBorders>
              <w:right w:val="single" w:sz="4" w:space="0" w:color="000000"/>
            </w:tcBorders>
          </w:tcPr>
          <w:p>
            <w:pPr>
              <w:pStyle w:val="TableParagraph"/>
              <w:spacing w:before="4"/>
              <w:ind w:left="275"/>
              <w:rPr>
                <w:sz w:val="11"/>
              </w:rPr>
            </w:pPr>
            <w:r>
              <w:rPr>
                <w:sz w:val="21"/>
              </w:rPr>
              <w:t>12</w:t>
            </w:r>
            <w:r>
              <w:rPr>
                <w:spacing w:val="20"/>
                <w:sz w:val="21"/>
              </w:rPr>
              <w:t> 深度昏迷</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52</w:t>
            </w:r>
          </w:p>
        </w:tc>
        <w:tc>
          <w:tcPr>
            <w:tcW w:w="4051" w:type="dxa"/>
          </w:tcPr>
          <w:p>
            <w:pPr>
              <w:pStyle w:val="TableParagraph"/>
              <w:spacing w:before="14"/>
              <w:ind w:left="108"/>
              <w:rPr>
                <w:sz w:val="21"/>
              </w:rPr>
            </w:pPr>
            <w:r>
              <w:rPr>
                <w:spacing w:val="-3"/>
                <w:sz w:val="21"/>
              </w:rPr>
              <w:t>严重急性主动脉夹层血肿</w:t>
            </w:r>
          </w:p>
        </w:tc>
      </w:tr>
      <w:tr>
        <w:trPr>
          <w:trHeight w:val="314" w:hRule="atLeast"/>
        </w:trPr>
        <w:tc>
          <w:tcPr>
            <w:tcW w:w="4678" w:type="dxa"/>
            <w:tcBorders>
              <w:right w:val="single" w:sz="4" w:space="0" w:color="000000"/>
            </w:tcBorders>
          </w:tcPr>
          <w:p>
            <w:pPr>
              <w:pStyle w:val="TableParagraph"/>
              <w:spacing w:before="4"/>
              <w:ind w:left="275"/>
              <w:rPr>
                <w:sz w:val="11"/>
              </w:rPr>
            </w:pPr>
            <w:r>
              <w:rPr>
                <w:sz w:val="21"/>
              </w:rPr>
              <w:t>13</w:t>
            </w:r>
            <w:r>
              <w:rPr>
                <w:spacing w:val="20"/>
                <w:sz w:val="21"/>
              </w:rPr>
              <w:t> 双耳失聪</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53</w:t>
            </w:r>
          </w:p>
        </w:tc>
        <w:tc>
          <w:tcPr>
            <w:tcW w:w="4051" w:type="dxa"/>
          </w:tcPr>
          <w:p>
            <w:pPr>
              <w:pStyle w:val="TableParagraph"/>
              <w:spacing w:before="14"/>
              <w:ind w:left="108"/>
              <w:rPr>
                <w:sz w:val="21"/>
              </w:rPr>
            </w:pPr>
            <w:r>
              <w:rPr>
                <w:spacing w:val="-3"/>
                <w:sz w:val="21"/>
              </w:rPr>
              <w:t>严重慢性缩窄型心包炎</w:t>
            </w:r>
          </w:p>
        </w:tc>
      </w:tr>
      <w:tr>
        <w:trPr>
          <w:trHeight w:val="315" w:hRule="atLeast"/>
        </w:trPr>
        <w:tc>
          <w:tcPr>
            <w:tcW w:w="4678" w:type="dxa"/>
            <w:tcBorders>
              <w:right w:val="single" w:sz="4" w:space="0" w:color="000000"/>
            </w:tcBorders>
          </w:tcPr>
          <w:p>
            <w:pPr>
              <w:pStyle w:val="TableParagraph"/>
              <w:spacing w:before="4"/>
              <w:ind w:left="275"/>
              <w:rPr>
                <w:sz w:val="11"/>
              </w:rPr>
            </w:pPr>
            <w:r>
              <w:rPr>
                <w:sz w:val="21"/>
              </w:rPr>
              <w:t>14</w:t>
            </w:r>
            <w:r>
              <w:rPr>
                <w:spacing w:val="20"/>
                <w:sz w:val="21"/>
              </w:rPr>
              <w:t> 双目失明</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54</w:t>
            </w:r>
          </w:p>
        </w:tc>
        <w:tc>
          <w:tcPr>
            <w:tcW w:w="4051" w:type="dxa"/>
          </w:tcPr>
          <w:p>
            <w:pPr>
              <w:pStyle w:val="TableParagraph"/>
              <w:spacing w:before="14"/>
              <w:ind w:left="108"/>
              <w:rPr>
                <w:sz w:val="21"/>
              </w:rPr>
            </w:pPr>
            <w:r>
              <w:rPr>
                <w:spacing w:val="-4"/>
                <w:sz w:val="21"/>
              </w:rPr>
              <w:t>心脏粘液瘤</w:t>
            </w:r>
          </w:p>
        </w:tc>
      </w:tr>
      <w:tr>
        <w:trPr>
          <w:trHeight w:val="315" w:hRule="atLeast"/>
        </w:trPr>
        <w:tc>
          <w:tcPr>
            <w:tcW w:w="4678" w:type="dxa"/>
            <w:tcBorders>
              <w:right w:val="single" w:sz="4" w:space="0" w:color="000000"/>
            </w:tcBorders>
          </w:tcPr>
          <w:p>
            <w:pPr>
              <w:pStyle w:val="TableParagraph"/>
              <w:spacing w:before="5"/>
              <w:ind w:left="275"/>
              <w:rPr>
                <w:sz w:val="11"/>
              </w:rPr>
            </w:pPr>
            <w:r>
              <w:rPr>
                <w:sz w:val="21"/>
              </w:rPr>
              <w:t>15</w:t>
            </w:r>
            <w:r>
              <w:rPr>
                <w:spacing w:val="57"/>
                <w:w w:val="150"/>
                <w:sz w:val="21"/>
              </w:rPr>
              <w:t> </w:t>
            </w:r>
            <w:r>
              <w:rPr>
                <w:sz w:val="21"/>
              </w:rPr>
              <w:t>瘫痪</w:t>
            </w:r>
            <w:r>
              <w:rPr>
                <w:spacing w:val="-10"/>
                <w:position w:val="11"/>
                <w:sz w:val="11"/>
              </w:rPr>
              <w:t>*</w:t>
            </w:r>
          </w:p>
        </w:tc>
        <w:tc>
          <w:tcPr>
            <w:tcW w:w="710" w:type="dxa"/>
            <w:tcBorders>
              <w:left w:val="single" w:sz="4" w:space="0" w:color="000000"/>
            </w:tcBorders>
          </w:tcPr>
          <w:p>
            <w:pPr>
              <w:pStyle w:val="TableParagraph"/>
              <w:spacing w:before="15"/>
              <w:ind w:right="100"/>
              <w:jc w:val="right"/>
              <w:rPr>
                <w:sz w:val="21"/>
              </w:rPr>
            </w:pPr>
            <w:r>
              <w:rPr>
                <w:spacing w:val="-5"/>
                <w:sz w:val="21"/>
              </w:rPr>
              <w:t>55</w:t>
            </w:r>
          </w:p>
        </w:tc>
        <w:tc>
          <w:tcPr>
            <w:tcW w:w="4051" w:type="dxa"/>
          </w:tcPr>
          <w:p>
            <w:pPr>
              <w:pStyle w:val="TableParagraph"/>
              <w:spacing w:before="15"/>
              <w:ind w:left="108"/>
              <w:rPr>
                <w:sz w:val="21"/>
              </w:rPr>
            </w:pPr>
            <w:r>
              <w:rPr>
                <w:spacing w:val="-9"/>
                <w:sz w:val="21"/>
              </w:rPr>
              <w:t>严重心脏衰竭 </w:t>
            </w:r>
            <w:r>
              <w:rPr>
                <w:spacing w:val="-2"/>
                <w:sz w:val="21"/>
              </w:rPr>
              <w:t>CRT</w:t>
            </w:r>
            <w:r>
              <w:rPr>
                <w:spacing w:val="-21"/>
                <w:sz w:val="21"/>
              </w:rPr>
              <w:t> 治疗</w:t>
            </w:r>
          </w:p>
        </w:tc>
      </w:tr>
      <w:tr>
        <w:trPr>
          <w:trHeight w:val="314" w:hRule="atLeast"/>
        </w:trPr>
        <w:tc>
          <w:tcPr>
            <w:tcW w:w="4678" w:type="dxa"/>
            <w:tcBorders>
              <w:right w:val="single" w:sz="4" w:space="0" w:color="000000"/>
            </w:tcBorders>
          </w:tcPr>
          <w:p>
            <w:pPr>
              <w:pStyle w:val="TableParagraph"/>
              <w:spacing w:before="4"/>
              <w:ind w:left="275"/>
              <w:rPr>
                <w:sz w:val="11"/>
              </w:rPr>
            </w:pPr>
            <w:r>
              <w:rPr>
                <w:sz w:val="21"/>
              </w:rPr>
              <w:t>16</w:t>
            </w:r>
            <w:r>
              <w:rPr>
                <w:spacing w:val="13"/>
                <w:sz w:val="21"/>
              </w:rPr>
              <w:t> 心脏瓣膜手术</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56</w:t>
            </w:r>
          </w:p>
        </w:tc>
        <w:tc>
          <w:tcPr>
            <w:tcW w:w="4051" w:type="dxa"/>
          </w:tcPr>
          <w:p>
            <w:pPr>
              <w:pStyle w:val="TableParagraph"/>
              <w:spacing w:before="14"/>
              <w:ind w:left="108"/>
              <w:rPr>
                <w:sz w:val="21"/>
              </w:rPr>
            </w:pPr>
            <w:r>
              <w:rPr>
                <w:spacing w:val="-3"/>
                <w:sz w:val="21"/>
              </w:rPr>
              <w:t>完全性房室传导阻滞</w:t>
            </w:r>
          </w:p>
        </w:tc>
      </w:tr>
      <w:tr>
        <w:trPr>
          <w:trHeight w:val="314" w:hRule="atLeast"/>
        </w:trPr>
        <w:tc>
          <w:tcPr>
            <w:tcW w:w="4678" w:type="dxa"/>
            <w:tcBorders>
              <w:right w:val="single" w:sz="4" w:space="0" w:color="000000"/>
            </w:tcBorders>
          </w:tcPr>
          <w:p>
            <w:pPr>
              <w:pStyle w:val="TableParagraph"/>
              <w:spacing w:before="4"/>
              <w:ind w:left="275"/>
              <w:rPr>
                <w:sz w:val="11"/>
              </w:rPr>
            </w:pPr>
            <w:r>
              <w:rPr>
                <w:sz w:val="21"/>
              </w:rPr>
              <w:t>17</w:t>
            </w:r>
            <w:r>
              <w:rPr>
                <w:spacing w:val="8"/>
                <w:sz w:val="21"/>
              </w:rPr>
              <w:t> 严重阿尔茨海默病</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57</w:t>
            </w:r>
          </w:p>
        </w:tc>
        <w:tc>
          <w:tcPr>
            <w:tcW w:w="4051" w:type="dxa"/>
          </w:tcPr>
          <w:p>
            <w:pPr>
              <w:pStyle w:val="TableParagraph"/>
              <w:spacing w:before="14"/>
              <w:ind w:left="108"/>
              <w:rPr>
                <w:sz w:val="21"/>
              </w:rPr>
            </w:pPr>
            <w:r>
              <w:rPr>
                <w:spacing w:val="-3"/>
                <w:sz w:val="21"/>
              </w:rPr>
              <w:t>风湿热导致的心脏瓣膜病变</w:t>
            </w:r>
          </w:p>
        </w:tc>
      </w:tr>
      <w:tr>
        <w:trPr>
          <w:trHeight w:val="315" w:hRule="atLeast"/>
        </w:trPr>
        <w:tc>
          <w:tcPr>
            <w:tcW w:w="4678" w:type="dxa"/>
            <w:tcBorders>
              <w:right w:val="single" w:sz="4" w:space="0" w:color="000000"/>
            </w:tcBorders>
          </w:tcPr>
          <w:p>
            <w:pPr>
              <w:pStyle w:val="TableParagraph"/>
              <w:spacing w:before="4"/>
              <w:ind w:left="275"/>
              <w:rPr>
                <w:sz w:val="11"/>
              </w:rPr>
            </w:pPr>
            <w:r>
              <w:rPr>
                <w:sz w:val="21"/>
              </w:rPr>
              <w:t>18</w:t>
            </w:r>
            <w:r>
              <w:rPr>
                <w:spacing w:val="16"/>
                <w:sz w:val="21"/>
              </w:rPr>
              <w:t> 严重脑损伤</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58</w:t>
            </w:r>
          </w:p>
        </w:tc>
        <w:tc>
          <w:tcPr>
            <w:tcW w:w="4051" w:type="dxa"/>
          </w:tcPr>
          <w:p>
            <w:pPr>
              <w:pStyle w:val="TableParagraph"/>
              <w:spacing w:before="14"/>
              <w:ind w:left="108"/>
              <w:rPr>
                <w:sz w:val="21"/>
              </w:rPr>
            </w:pPr>
            <w:r>
              <w:rPr>
                <w:spacing w:val="-3"/>
                <w:sz w:val="21"/>
              </w:rPr>
              <w:t>多发性大动脉炎旁路移植术</w:t>
            </w:r>
          </w:p>
        </w:tc>
      </w:tr>
      <w:tr>
        <w:trPr>
          <w:trHeight w:val="315" w:hRule="atLeast"/>
        </w:trPr>
        <w:tc>
          <w:tcPr>
            <w:tcW w:w="4678" w:type="dxa"/>
            <w:tcBorders>
              <w:right w:val="single" w:sz="4" w:space="0" w:color="000000"/>
            </w:tcBorders>
          </w:tcPr>
          <w:p>
            <w:pPr>
              <w:pStyle w:val="TableParagraph"/>
              <w:spacing w:before="5"/>
              <w:ind w:left="275"/>
              <w:rPr>
                <w:sz w:val="11"/>
              </w:rPr>
            </w:pPr>
            <w:r>
              <w:rPr>
                <w:sz w:val="21"/>
              </w:rPr>
              <w:t>19</w:t>
            </w:r>
            <w:r>
              <w:rPr>
                <w:spacing w:val="7"/>
                <w:sz w:val="21"/>
              </w:rPr>
              <w:t> 严重原发性帕金森病</w:t>
            </w:r>
            <w:r>
              <w:rPr>
                <w:spacing w:val="-10"/>
                <w:position w:val="11"/>
                <w:sz w:val="11"/>
              </w:rPr>
              <w:t>*</w:t>
            </w:r>
          </w:p>
        </w:tc>
        <w:tc>
          <w:tcPr>
            <w:tcW w:w="710" w:type="dxa"/>
            <w:tcBorders>
              <w:left w:val="single" w:sz="4" w:space="0" w:color="000000"/>
            </w:tcBorders>
          </w:tcPr>
          <w:p>
            <w:pPr>
              <w:pStyle w:val="TableParagraph"/>
              <w:spacing w:before="15"/>
              <w:ind w:right="100"/>
              <w:jc w:val="right"/>
              <w:rPr>
                <w:sz w:val="21"/>
              </w:rPr>
            </w:pPr>
            <w:r>
              <w:rPr>
                <w:spacing w:val="-5"/>
                <w:sz w:val="21"/>
              </w:rPr>
              <w:t>59</w:t>
            </w:r>
          </w:p>
        </w:tc>
        <w:tc>
          <w:tcPr>
            <w:tcW w:w="4051" w:type="dxa"/>
          </w:tcPr>
          <w:p>
            <w:pPr>
              <w:pStyle w:val="TableParagraph"/>
              <w:spacing w:before="15"/>
              <w:ind w:left="108"/>
              <w:rPr>
                <w:sz w:val="21"/>
              </w:rPr>
            </w:pPr>
            <w:r>
              <w:rPr>
                <w:spacing w:val="-4"/>
                <w:sz w:val="21"/>
              </w:rPr>
              <w:t>肺淋巴管肌瘤病</w:t>
            </w:r>
          </w:p>
        </w:tc>
      </w:tr>
      <w:tr>
        <w:trPr>
          <w:trHeight w:val="314" w:hRule="atLeast"/>
        </w:trPr>
        <w:tc>
          <w:tcPr>
            <w:tcW w:w="4678" w:type="dxa"/>
            <w:tcBorders>
              <w:right w:val="single" w:sz="4" w:space="0" w:color="000000"/>
            </w:tcBorders>
          </w:tcPr>
          <w:p>
            <w:pPr>
              <w:pStyle w:val="TableParagraph"/>
              <w:spacing w:before="4"/>
              <w:ind w:left="275"/>
              <w:rPr>
                <w:sz w:val="11"/>
              </w:rPr>
            </w:pPr>
            <w:r>
              <w:rPr>
                <w:sz w:val="21"/>
              </w:rPr>
              <w:t>20</w:t>
            </w:r>
            <w:r>
              <w:rPr>
                <w:spacing w:val="13"/>
                <w:sz w:val="21"/>
              </w:rPr>
              <w:t> 严重Ⅲ度烧伤</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60</w:t>
            </w:r>
          </w:p>
        </w:tc>
        <w:tc>
          <w:tcPr>
            <w:tcW w:w="4051" w:type="dxa"/>
          </w:tcPr>
          <w:p>
            <w:pPr>
              <w:pStyle w:val="TableParagraph"/>
              <w:spacing w:before="14"/>
              <w:ind w:left="108"/>
              <w:rPr>
                <w:sz w:val="21"/>
              </w:rPr>
            </w:pPr>
            <w:r>
              <w:rPr>
                <w:spacing w:val="-4"/>
                <w:sz w:val="21"/>
              </w:rPr>
              <w:t>严重肺结节病</w:t>
            </w:r>
          </w:p>
        </w:tc>
      </w:tr>
      <w:tr>
        <w:trPr>
          <w:trHeight w:val="314" w:hRule="atLeast"/>
        </w:trPr>
        <w:tc>
          <w:tcPr>
            <w:tcW w:w="4678" w:type="dxa"/>
            <w:tcBorders>
              <w:right w:val="single" w:sz="4" w:space="0" w:color="000000"/>
            </w:tcBorders>
          </w:tcPr>
          <w:p>
            <w:pPr>
              <w:pStyle w:val="TableParagraph"/>
              <w:spacing w:before="4"/>
              <w:ind w:left="275"/>
              <w:rPr>
                <w:sz w:val="11"/>
              </w:rPr>
            </w:pPr>
            <w:r>
              <w:rPr>
                <w:sz w:val="21"/>
              </w:rPr>
              <w:t>21</w:t>
            </w:r>
            <w:r>
              <w:rPr>
                <w:spacing w:val="6"/>
                <w:sz w:val="21"/>
              </w:rPr>
              <w:t> 严重特发性肺动脉高压</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61</w:t>
            </w:r>
          </w:p>
        </w:tc>
        <w:tc>
          <w:tcPr>
            <w:tcW w:w="4051" w:type="dxa"/>
          </w:tcPr>
          <w:p>
            <w:pPr>
              <w:pStyle w:val="TableParagraph"/>
              <w:spacing w:before="14"/>
              <w:ind w:left="108"/>
              <w:rPr>
                <w:sz w:val="21"/>
              </w:rPr>
            </w:pPr>
            <w:r>
              <w:rPr>
                <w:spacing w:val="-3"/>
                <w:sz w:val="21"/>
              </w:rPr>
              <w:t>非阿尔茨海默病所致严重痴呆</w:t>
            </w:r>
          </w:p>
        </w:tc>
      </w:tr>
      <w:tr>
        <w:trPr>
          <w:trHeight w:val="315" w:hRule="atLeast"/>
        </w:trPr>
        <w:tc>
          <w:tcPr>
            <w:tcW w:w="4678" w:type="dxa"/>
            <w:tcBorders>
              <w:right w:val="single" w:sz="4" w:space="0" w:color="000000"/>
            </w:tcBorders>
          </w:tcPr>
          <w:p>
            <w:pPr>
              <w:pStyle w:val="TableParagraph"/>
              <w:spacing w:before="4"/>
              <w:ind w:left="275"/>
              <w:rPr>
                <w:sz w:val="11"/>
              </w:rPr>
            </w:pPr>
            <w:r>
              <w:rPr>
                <w:sz w:val="21"/>
              </w:rPr>
              <w:t>22</w:t>
            </w:r>
            <w:r>
              <w:rPr>
                <w:spacing w:val="8"/>
                <w:sz w:val="21"/>
              </w:rPr>
              <w:t> 严重运动神经元病</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62</w:t>
            </w:r>
          </w:p>
        </w:tc>
        <w:tc>
          <w:tcPr>
            <w:tcW w:w="4051" w:type="dxa"/>
          </w:tcPr>
          <w:p>
            <w:pPr>
              <w:pStyle w:val="TableParagraph"/>
              <w:spacing w:before="14"/>
              <w:ind w:left="108"/>
              <w:rPr>
                <w:sz w:val="21"/>
              </w:rPr>
            </w:pPr>
            <w:r>
              <w:rPr>
                <w:spacing w:val="-4"/>
                <w:sz w:val="21"/>
              </w:rPr>
              <w:t>进行性核上性麻痹</w:t>
            </w:r>
          </w:p>
        </w:tc>
      </w:tr>
      <w:tr>
        <w:trPr>
          <w:trHeight w:val="316" w:hRule="atLeast"/>
        </w:trPr>
        <w:tc>
          <w:tcPr>
            <w:tcW w:w="4678" w:type="dxa"/>
            <w:tcBorders>
              <w:right w:val="single" w:sz="4" w:space="0" w:color="000000"/>
            </w:tcBorders>
          </w:tcPr>
          <w:p>
            <w:pPr>
              <w:pStyle w:val="TableParagraph"/>
              <w:spacing w:before="5"/>
              <w:ind w:left="275"/>
              <w:rPr>
                <w:sz w:val="11"/>
              </w:rPr>
            </w:pPr>
            <w:r>
              <w:rPr>
                <w:sz w:val="21"/>
              </w:rPr>
              <w:t>23</w:t>
            </w:r>
            <w:r>
              <w:rPr>
                <w:spacing w:val="13"/>
                <w:sz w:val="21"/>
              </w:rPr>
              <w:t> 语言能力丧失</w:t>
            </w:r>
            <w:r>
              <w:rPr>
                <w:spacing w:val="-10"/>
                <w:position w:val="11"/>
                <w:sz w:val="11"/>
              </w:rPr>
              <w:t>*</w:t>
            </w:r>
          </w:p>
        </w:tc>
        <w:tc>
          <w:tcPr>
            <w:tcW w:w="710" w:type="dxa"/>
            <w:tcBorders>
              <w:left w:val="single" w:sz="4" w:space="0" w:color="000000"/>
            </w:tcBorders>
          </w:tcPr>
          <w:p>
            <w:pPr>
              <w:pStyle w:val="TableParagraph"/>
              <w:spacing w:before="15"/>
              <w:ind w:right="100"/>
              <w:jc w:val="right"/>
              <w:rPr>
                <w:sz w:val="21"/>
              </w:rPr>
            </w:pPr>
            <w:r>
              <w:rPr>
                <w:spacing w:val="-5"/>
                <w:sz w:val="21"/>
              </w:rPr>
              <w:t>63</w:t>
            </w:r>
          </w:p>
        </w:tc>
        <w:tc>
          <w:tcPr>
            <w:tcW w:w="4051" w:type="dxa"/>
          </w:tcPr>
          <w:p>
            <w:pPr>
              <w:pStyle w:val="TableParagraph"/>
              <w:spacing w:before="15"/>
              <w:ind w:left="108"/>
              <w:rPr>
                <w:sz w:val="21"/>
              </w:rPr>
            </w:pPr>
            <w:r>
              <w:rPr>
                <w:spacing w:val="-4"/>
                <w:sz w:val="21"/>
              </w:rPr>
              <w:t>克雅氏病</w:t>
            </w:r>
          </w:p>
        </w:tc>
      </w:tr>
      <w:tr>
        <w:trPr>
          <w:trHeight w:val="314" w:hRule="atLeast"/>
        </w:trPr>
        <w:tc>
          <w:tcPr>
            <w:tcW w:w="4678" w:type="dxa"/>
            <w:tcBorders>
              <w:right w:val="single" w:sz="4" w:space="0" w:color="000000"/>
            </w:tcBorders>
          </w:tcPr>
          <w:p>
            <w:pPr>
              <w:pStyle w:val="TableParagraph"/>
              <w:spacing w:before="4"/>
              <w:ind w:left="275"/>
              <w:rPr>
                <w:sz w:val="11"/>
              </w:rPr>
            </w:pPr>
            <w:r>
              <w:rPr>
                <w:sz w:val="21"/>
              </w:rPr>
              <w:t>24</w:t>
            </w:r>
            <w:r>
              <w:rPr>
                <w:spacing w:val="7"/>
                <w:sz w:val="21"/>
              </w:rPr>
              <w:t> 重型再生障碍性贫血</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64</w:t>
            </w:r>
          </w:p>
        </w:tc>
        <w:tc>
          <w:tcPr>
            <w:tcW w:w="4051" w:type="dxa"/>
          </w:tcPr>
          <w:p>
            <w:pPr>
              <w:pStyle w:val="TableParagraph"/>
              <w:spacing w:before="14"/>
              <w:ind w:left="108"/>
              <w:rPr>
                <w:sz w:val="21"/>
              </w:rPr>
            </w:pPr>
            <w:r>
              <w:rPr>
                <w:spacing w:val="-3"/>
                <w:sz w:val="21"/>
              </w:rPr>
              <w:t>亚急性硬化性全脑炎</w:t>
            </w:r>
          </w:p>
        </w:tc>
      </w:tr>
      <w:tr>
        <w:trPr>
          <w:trHeight w:val="314" w:hRule="atLeast"/>
        </w:trPr>
        <w:tc>
          <w:tcPr>
            <w:tcW w:w="4678" w:type="dxa"/>
            <w:tcBorders>
              <w:right w:val="single" w:sz="4" w:space="0" w:color="000000"/>
            </w:tcBorders>
          </w:tcPr>
          <w:p>
            <w:pPr>
              <w:pStyle w:val="TableParagraph"/>
              <w:spacing w:before="4"/>
              <w:ind w:left="275"/>
              <w:rPr>
                <w:sz w:val="11"/>
              </w:rPr>
            </w:pPr>
            <w:r>
              <w:rPr>
                <w:sz w:val="21"/>
              </w:rPr>
              <w:t>25</w:t>
            </w:r>
            <w:r>
              <w:rPr>
                <w:spacing w:val="16"/>
                <w:sz w:val="21"/>
              </w:rPr>
              <w:t> 主动脉手术</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65</w:t>
            </w:r>
          </w:p>
        </w:tc>
        <w:tc>
          <w:tcPr>
            <w:tcW w:w="4051" w:type="dxa"/>
          </w:tcPr>
          <w:p>
            <w:pPr>
              <w:pStyle w:val="TableParagraph"/>
              <w:spacing w:before="14"/>
              <w:ind w:left="108"/>
              <w:rPr>
                <w:sz w:val="21"/>
              </w:rPr>
            </w:pPr>
            <w:r>
              <w:rPr>
                <w:spacing w:val="-3"/>
                <w:sz w:val="21"/>
              </w:rPr>
              <w:t>进行性多灶性白质脑病</w:t>
            </w:r>
          </w:p>
        </w:tc>
      </w:tr>
      <w:tr>
        <w:trPr>
          <w:trHeight w:val="315" w:hRule="atLeast"/>
        </w:trPr>
        <w:tc>
          <w:tcPr>
            <w:tcW w:w="4678" w:type="dxa"/>
            <w:tcBorders>
              <w:right w:val="single" w:sz="4" w:space="0" w:color="000000"/>
            </w:tcBorders>
          </w:tcPr>
          <w:p>
            <w:pPr>
              <w:pStyle w:val="TableParagraph"/>
              <w:spacing w:before="4"/>
              <w:ind w:left="275"/>
              <w:rPr>
                <w:sz w:val="11"/>
              </w:rPr>
            </w:pPr>
            <w:r>
              <w:rPr>
                <w:sz w:val="21"/>
              </w:rPr>
              <w:t>26</w:t>
            </w:r>
            <w:r>
              <w:rPr>
                <w:spacing w:val="8"/>
                <w:sz w:val="21"/>
              </w:rPr>
              <w:t> 严重慢性呼吸衰竭</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66</w:t>
            </w:r>
          </w:p>
        </w:tc>
        <w:tc>
          <w:tcPr>
            <w:tcW w:w="4051" w:type="dxa"/>
          </w:tcPr>
          <w:p>
            <w:pPr>
              <w:pStyle w:val="TableParagraph"/>
              <w:spacing w:before="14"/>
              <w:ind w:left="108"/>
              <w:rPr>
                <w:sz w:val="21"/>
              </w:rPr>
            </w:pPr>
            <w:r>
              <w:rPr>
                <w:spacing w:val="-4"/>
                <w:sz w:val="21"/>
              </w:rPr>
              <w:t>丧失独立生活能力</w:t>
            </w:r>
          </w:p>
        </w:tc>
      </w:tr>
      <w:tr>
        <w:trPr>
          <w:trHeight w:val="315" w:hRule="atLeast"/>
        </w:trPr>
        <w:tc>
          <w:tcPr>
            <w:tcW w:w="4678" w:type="dxa"/>
            <w:tcBorders>
              <w:right w:val="single" w:sz="4" w:space="0" w:color="000000"/>
            </w:tcBorders>
          </w:tcPr>
          <w:p>
            <w:pPr>
              <w:pStyle w:val="TableParagraph"/>
              <w:spacing w:before="5"/>
              <w:ind w:left="275"/>
              <w:rPr>
                <w:sz w:val="11"/>
              </w:rPr>
            </w:pPr>
            <w:r>
              <w:rPr>
                <w:sz w:val="21"/>
              </w:rPr>
              <w:t>27</w:t>
            </w:r>
            <w:r>
              <w:rPr>
                <w:spacing w:val="13"/>
                <w:sz w:val="21"/>
              </w:rPr>
              <w:t> 严重克罗恩病</w:t>
            </w:r>
            <w:r>
              <w:rPr>
                <w:spacing w:val="-10"/>
                <w:position w:val="11"/>
                <w:sz w:val="11"/>
              </w:rPr>
              <w:t>*</w:t>
            </w:r>
          </w:p>
        </w:tc>
        <w:tc>
          <w:tcPr>
            <w:tcW w:w="710" w:type="dxa"/>
            <w:tcBorders>
              <w:left w:val="single" w:sz="4" w:space="0" w:color="000000"/>
            </w:tcBorders>
          </w:tcPr>
          <w:p>
            <w:pPr>
              <w:pStyle w:val="TableParagraph"/>
              <w:spacing w:before="15"/>
              <w:ind w:right="100"/>
              <w:jc w:val="right"/>
              <w:rPr>
                <w:sz w:val="21"/>
              </w:rPr>
            </w:pPr>
            <w:r>
              <w:rPr>
                <w:spacing w:val="-5"/>
                <w:sz w:val="21"/>
              </w:rPr>
              <w:t>67</w:t>
            </w:r>
          </w:p>
        </w:tc>
        <w:tc>
          <w:tcPr>
            <w:tcW w:w="4051" w:type="dxa"/>
          </w:tcPr>
          <w:p>
            <w:pPr>
              <w:pStyle w:val="TableParagraph"/>
              <w:spacing w:before="15"/>
              <w:ind w:left="108"/>
              <w:rPr>
                <w:sz w:val="21"/>
              </w:rPr>
            </w:pPr>
            <w:r>
              <w:rPr>
                <w:spacing w:val="-4"/>
                <w:sz w:val="21"/>
              </w:rPr>
              <w:t>脊髓小脑变性症</w:t>
            </w:r>
          </w:p>
        </w:tc>
      </w:tr>
      <w:tr>
        <w:trPr>
          <w:trHeight w:val="326" w:hRule="atLeast"/>
        </w:trPr>
        <w:tc>
          <w:tcPr>
            <w:tcW w:w="4678" w:type="dxa"/>
            <w:tcBorders>
              <w:right w:val="single" w:sz="4" w:space="0" w:color="000000"/>
            </w:tcBorders>
          </w:tcPr>
          <w:p>
            <w:pPr>
              <w:pStyle w:val="TableParagraph"/>
              <w:spacing w:before="4"/>
              <w:ind w:left="275"/>
              <w:rPr>
                <w:sz w:val="11"/>
              </w:rPr>
            </w:pPr>
            <w:r>
              <w:rPr>
                <w:sz w:val="21"/>
              </w:rPr>
              <w:t>28</w:t>
            </w:r>
            <w:r>
              <w:rPr>
                <w:spacing w:val="8"/>
                <w:sz w:val="21"/>
              </w:rPr>
              <w:t> 严重溃疡性结肠炎</w:t>
            </w:r>
            <w:r>
              <w:rPr>
                <w:spacing w:val="-10"/>
                <w:position w:val="11"/>
                <w:sz w:val="11"/>
              </w:rPr>
              <w:t>*</w:t>
            </w:r>
          </w:p>
        </w:tc>
        <w:tc>
          <w:tcPr>
            <w:tcW w:w="710" w:type="dxa"/>
            <w:tcBorders>
              <w:left w:val="single" w:sz="4" w:space="0" w:color="000000"/>
            </w:tcBorders>
          </w:tcPr>
          <w:p>
            <w:pPr>
              <w:pStyle w:val="TableParagraph"/>
              <w:spacing w:before="14"/>
              <w:ind w:right="100"/>
              <w:jc w:val="right"/>
              <w:rPr>
                <w:sz w:val="21"/>
              </w:rPr>
            </w:pPr>
            <w:r>
              <w:rPr>
                <w:spacing w:val="-5"/>
                <w:sz w:val="21"/>
              </w:rPr>
              <w:t>68</w:t>
            </w:r>
          </w:p>
        </w:tc>
        <w:tc>
          <w:tcPr>
            <w:tcW w:w="4051" w:type="dxa"/>
          </w:tcPr>
          <w:p>
            <w:pPr>
              <w:pStyle w:val="TableParagraph"/>
              <w:spacing w:before="14"/>
              <w:ind w:left="108"/>
              <w:rPr>
                <w:sz w:val="21"/>
              </w:rPr>
            </w:pPr>
            <w:r>
              <w:rPr>
                <w:spacing w:val="-4"/>
                <w:sz w:val="21"/>
              </w:rPr>
              <w:t>神经白塞病</w:t>
            </w:r>
          </w:p>
        </w:tc>
      </w:tr>
      <w:tr>
        <w:trPr>
          <w:trHeight w:val="314" w:hRule="atLeast"/>
        </w:trPr>
        <w:tc>
          <w:tcPr>
            <w:tcW w:w="4678" w:type="dxa"/>
            <w:tcBorders>
              <w:right w:val="single" w:sz="4" w:space="0" w:color="000000"/>
            </w:tcBorders>
          </w:tcPr>
          <w:p>
            <w:pPr>
              <w:pStyle w:val="TableParagraph"/>
              <w:spacing w:before="2"/>
              <w:ind w:left="275"/>
              <w:rPr>
                <w:sz w:val="21"/>
              </w:rPr>
            </w:pPr>
            <w:r>
              <w:rPr>
                <w:sz w:val="21"/>
              </w:rPr>
              <w:t>29</w:t>
            </w:r>
            <w:r>
              <w:rPr>
                <w:spacing w:val="8"/>
                <w:sz w:val="21"/>
              </w:rPr>
              <w:t> 严重原发性心肌病</w:t>
            </w:r>
          </w:p>
        </w:tc>
        <w:tc>
          <w:tcPr>
            <w:tcW w:w="710" w:type="dxa"/>
            <w:tcBorders>
              <w:left w:val="single" w:sz="4" w:space="0" w:color="000000"/>
            </w:tcBorders>
          </w:tcPr>
          <w:p>
            <w:pPr>
              <w:pStyle w:val="TableParagraph"/>
              <w:spacing w:before="2"/>
              <w:ind w:right="100"/>
              <w:jc w:val="right"/>
              <w:rPr>
                <w:sz w:val="21"/>
              </w:rPr>
            </w:pPr>
            <w:r>
              <w:rPr>
                <w:spacing w:val="-5"/>
                <w:sz w:val="21"/>
              </w:rPr>
              <w:t>69</w:t>
            </w:r>
          </w:p>
        </w:tc>
        <w:tc>
          <w:tcPr>
            <w:tcW w:w="4051" w:type="dxa"/>
          </w:tcPr>
          <w:p>
            <w:pPr>
              <w:pStyle w:val="TableParagraph"/>
              <w:spacing w:before="2"/>
              <w:ind w:left="108"/>
              <w:rPr>
                <w:sz w:val="21"/>
              </w:rPr>
            </w:pPr>
            <w:r>
              <w:rPr>
                <w:spacing w:val="-3"/>
                <w:sz w:val="21"/>
              </w:rPr>
              <w:t>严重非恶性脊髓内肿瘤</w:t>
            </w:r>
          </w:p>
        </w:tc>
      </w:tr>
      <w:tr>
        <w:trPr>
          <w:trHeight w:val="315" w:hRule="atLeast"/>
        </w:trPr>
        <w:tc>
          <w:tcPr>
            <w:tcW w:w="4678" w:type="dxa"/>
            <w:tcBorders>
              <w:right w:val="single" w:sz="4" w:space="0" w:color="000000"/>
            </w:tcBorders>
          </w:tcPr>
          <w:p>
            <w:pPr>
              <w:pStyle w:val="TableParagraph"/>
              <w:spacing w:before="2"/>
              <w:ind w:left="275"/>
              <w:rPr>
                <w:sz w:val="21"/>
              </w:rPr>
            </w:pPr>
            <w:r>
              <w:rPr>
                <w:sz w:val="21"/>
              </w:rPr>
              <w:t>30</w:t>
            </w:r>
            <w:r>
              <w:rPr>
                <w:spacing w:val="10"/>
                <w:sz w:val="21"/>
              </w:rPr>
              <w:t> 严重多发性硬化</w:t>
            </w:r>
          </w:p>
        </w:tc>
        <w:tc>
          <w:tcPr>
            <w:tcW w:w="710" w:type="dxa"/>
            <w:tcBorders>
              <w:left w:val="single" w:sz="4" w:space="0" w:color="000000"/>
            </w:tcBorders>
          </w:tcPr>
          <w:p>
            <w:pPr>
              <w:pStyle w:val="TableParagraph"/>
              <w:spacing w:before="2"/>
              <w:ind w:right="100"/>
              <w:jc w:val="right"/>
              <w:rPr>
                <w:sz w:val="21"/>
              </w:rPr>
            </w:pPr>
            <w:r>
              <w:rPr>
                <w:spacing w:val="-5"/>
                <w:sz w:val="21"/>
              </w:rPr>
              <w:t>70</w:t>
            </w:r>
          </w:p>
        </w:tc>
        <w:tc>
          <w:tcPr>
            <w:tcW w:w="4051" w:type="dxa"/>
          </w:tcPr>
          <w:p>
            <w:pPr>
              <w:pStyle w:val="TableParagraph"/>
              <w:spacing w:before="2"/>
              <w:ind w:left="108"/>
              <w:rPr>
                <w:sz w:val="21"/>
              </w:rPr>
            </w:pPr>
            <w:r>
              <w:rPr>
                <w:spacing w:val="-4"/>
                <w:sz w:val="21"/>
              </w:rPr>
              <w:t>亚历山大病</w:t>
            </w:r>
          </w:p>
        </w:tc>
      </w:tr>
      <w:tr>
        <w:trPr>
          <w:trHeight w:val="315" w:hRule="atLeast"/>
        </w:trPr>
        <w:tc>
          <w:tcPr>
            <w:tcW w:w="4678" w:type="dxa"/>
            <w:tcBorders>
              <w:right w:val="single" w:sz="4" w:space="0" w:color="000000"/>
            </w:tcBorders>
          </w:tcPr>
          <w:p>
            <w:pPr>
              <w:pStyle w:val="TableParagraph"/>
              <w:spacing w:before="3"/>
              <w:ind w:right="177"/>
              <w:jc w:val="right"/>
              <w:rPr>
                <w:sz w:val="21"/>
              </w:rPr>
            </w:pPr>
            <w:r>
              <w:rPr>
                <w:sz w:val="21"/>
              </w:rPr>
              <w:t>31</w:t>
            </w:r>
            <w:r>
              <w:rPr>
                <w:spacing w:val="-1"/>
                <w:sz w:val="21"/>
              </w:rPr>
              <w:t> 因职业关系导致的感染艾滋病病毒或患艾</w:t>
            </w:r>
          </w:p>
        </w:tc>
        <w:tc>
          <w:tcPr>
            <w:tcW w:w="710" w:type="dxa"/>
            <w:tcBorders>
              <w:left w:val="single" w:sz="4" w:space="0" w:color="000000"/>
            </w:tcBorders>
          </w:tcPr>
          <w:p>
            <w:pPr>
              <w:pStyle w:val="TableParagraph"/>
              <w:spacing w:before="3"/>
              <w:ind w:right="100"/>
              <w:jc w:val="right"/>
              <w:rPr>
                <w:sz w:val="21"/>
              </w:rPr>
            </w:pPr>
            <w:r>
              <w:rPr>
                <w:spacing w:val="-5"/>
                <w:sz w:val="21"/>
              </w:rPr>
              <w:t>71</w:t>
            </w:r>
          </w:p>
        </w:tc>
        <w:tc>
          <w:tcPr>
            <w:tcW w:w="4051" w:type="dxa"/>
          </w:tcPr>
          <w:p>
            <w:pPr>
              <w:pStyle w:val="TableParagraph"/>
              <w:spacing w:before="3"/>
              <w:ind w:left="108"/>
              <w:rPr>
                <w:sz w:val="21"/>
              </w:rPr>
            </w:pPr>
            <w:r>
              <w:rPr>
                <w:spacing w:val="-4"/>
                <w:sz w:val="21"/>
              </w:rPr>
              <w:t>脊髓空洞症</w:t>
            </w:r>
          </w:p>
        </w:tc>
      </w:tr>
      <w:tr>
        <w:trPr>
          <w:trHeight w:val="314" w:hRule="atLeast"/>
        </w:trPr>
        <w:tc>
          <w:tcPr>
            <w:tcW w:w="4678" w:type="dxa"/>
            <w:tcBorders>
              <w:right w:val="single" w:sz="4" w:space="0" w:color="000000"/>
            </w:tcBorders>
          </w:tcPr>
          <w:p>
            <w:pPr>
              <w:pStyle w:val="TableParagraph"/>
              <w:spacing w:before="2"/>
              <w:ind w:left="703"/>
              <w:rPr>
                <w:sz w:val="21"/>
              </w:rPr>
            </w:pPr>
            <w:r>
              <w:rPr>
                <w:spacing w:val="-5"/>
                <w:sz w:val="21"/>
              </w:rPr>
              <w:t>滋病</w:t>
            </w:r>
          </w:p>
        </w:tc>
        <w:tc>
          <w:tcPr>
            <w:tcW w:w="710" w:type="dxa"/>
            <w:tcBorders>
              <w:left w:val="single" w:sz="4" w:space="0" w:color="000000"/>
            </w:tcBorders>
          </w:tcPr>
          <w:p>
            <w:pPr>
              <w:pStyle w:val="TableParagraph"/>
              <w:spacing w:before="2"/>
              <w:ind w:right="100"/>
              <w:jc w:val="right"/>
              <w:rPr>
                <w:sz w:val="21"/>
              </w:rPr>
            </w:pPr>
            <w:r>
              <w:rPr>
                <w:spacing w:val="-5"/>
                <w:sz w:val="21"/>
              </w:rPr>
              <w:t>72</w:t>
            </w:r>
          </w:p>
        </w:tc>
        <w:tc>
          <w:tcPr>
            <w:tcW w:w="4051" w:type="dxa"/>
          </w:tcPr>
          <w:p>
            <w:pPr>
              <w:pStyle w:val="TableParagraph"/>
              <w:spacing w:before="2"/>
              <w:ind w:left="108"/>
              <w:rPr>
                <w:sz w:val="21"/>
              </w:rPr>
            </w:pPr>
            <w:r>
              <w:rPr>
                <w:spacing w:val="-4"/>
                <w:sz w:val="21"/>
              </w:rPr>
              <w:t>脊髓血管病后遗症</w:t>
            </w:r>
          </w:p>
        </w:tc>
      </w:tr>
      <w:tr>
        <w:trPr>
          <w:trHeight w:val="314" w:hRule="atLeast"/>
        </w:trPr>
        <w:tc>
          <w:tcPr>
            <w:tcW w:w="4678" w:type="dxa"/>
            <w:tcBorders>
              <w:right w:val="single" w:sz="4" w:space="0" w:color="000000"/>
            </w:tcBorders>
          </w:tcPr>
          <w:p>
            <w:pPr>
              <w:pStyle w:val="TableParagraph"/>
              <w:spacing w:before="2"/>
              <w:ind w:left="275"/>
              <w:rPr>
                <w:sz w:val="21"/>
              </w:rPr>
            </w:pPr>
            <w:r>
              <w:rPr>
                <w:sz w:val="21"/>
              </w:rPr>
              <w:t>32</w:t>
            </w:r>
            <w:r>
              <w:rPr>
                <w:spacing w:val="15"/>
                <w:sz w:val="21"/>
              </w:rPr>
              <w:t> 重症肌无力</w:t>
            </w:r>
          </w:p>
        </w:tc>
        <w:tc>
          <w:tcPr>
            <w:tcW w:w="710" w:type="dxa"/>
            <w:tcBorders>
              <w:left w:val="single" w:sz="4" w:space="0" w:color="000000"/>
            </w:tcBorders>
          </w:tcPr>
          <w:p>
            <w:pPr>
              <w:pStyle w:val="TableParagraph"/>
              <w:spacing w:before="2"/>
              <w:ind w:right="100"/>
              <w:jc w:val="right"/>
              <w:rPr>
                <w:sz w:val="21"/>
              </w:rPr>
            </w:pPr>
            <w:r>
              <w:rPr>
                <w:spacing w:val="-5"/>
                <w:sz w:val="21"/>
              </w:rPr>
              <w:t>73</w:t>
            </w:r>
          </w:p>
        </w:tc>
        <w:tc>
          <w:tcPr>
            <w:tcW w:w="4051" w:type="dxa"/>
          </w:tcPr>
          <w:p>
            <w:pPr>
              <w:pStyle w:val="TableParagraph"/>
              <w:spacing w:before="2"/>
              <w:ind w:left="108"/>
              <w:rPr>
                <w:sz w:val="21"/>
              </w:rPr>
            </w:pPr>
            <w:r>
              <w:rPr>
                <w:spacing w:val="-4"/>
                <w:sz w:val="21"/>
              </w:rPr>
              <w:t>颅脑手术</w:t>
            </w:r>
          </w:p>
        </w:tc>
      </w:tr>
      <w:tr>
        <w:trPr>
          <w:trHeight w:val="315" w:hRule="atLeast"/>
        </w:trPr>
        <w:tc>
          <w:tcPr>
            <w:tcW w:w="4678" w:type="dxa"/>
            <w:tcBorders>
              <w:right w:val="single" w:sz="4" w:space="0" w:color="000000"/>
            </w:tcBorders>
          </w:tcPr>
          <w:p>
            <w:pPr>
              <w:pStyle w:val="TableParagraph"/>
              <w:spacing w:before="2"/>
              <w:ind w:left="275"/>
              <w:rPr>
                <w:sz w:val="21"/>
              </w:rPr>
            </w:pPr>
            <w:r>
              <w:rPr>
                <w:sz w:val="21"/>
              </w:rPr>
              <w:t>33</w:t>
            </w:r>
            <w:r>
              <w:rPr>
                <w:spacing w:val="7"/>
                <w:sz w:val="21"/>
              </w:rPr>
              <w:t> 严重类风湿性关节炎</w:t>
            </w:r>
          </w:p>
        </w:tc>
        <w:tc>
          <w:tcPr>
            <w:tcW w:w="710" w:type="dxa"/>
            <w:tcBorders>
              <w:left w:val="single" w:sz="4" w:space="0" w:color="000000"/>
            </w:tcBorders>
          </w:tcPr>
          <w:p>
            <w:pPr>
              <w:pStyle w:val="TableParagraph"/>
              <w:spacing w:before="2"/>
              <w:ind w:right="100"/>
              <w:jc w:val="right"/>
              <w:rPr>
                <w:sz w:val="21"/>
              </w:rPr>
            </w:pPr>
            <w:r>
              <w:rPr>
                <w:spacing w:val="-5"/>
                <w:sz w:val="21"/>
              </w:rPr>
              <w:t>74</w:t>
            </w:r>
          </w:p>
        </w:tc>
        <w:tc>
          <w:tcPr>
            <w:tcW w:w="4051" w:type="dxa"/>
          </w:tcPr>
          <w:p>
            <w:pPr>
              <w:pStyle w:val="TableParagraph"/>
              <w:spacing w:before="2"/>
              <w:ind w:left="108"/>
              <w:rPr>
                <w:sz w:val="21"/>
              </w:rPr>
            </w:pPr>
            <w:r>
              <w:rPr>
                <w:spacing w:val="-3"/>
                <w:sz w:val="21"/>
              </w:rPr>
              <w:t>系统性红斑狼疮并发重度的肾功能损害</w:t>
            </w:r>
          </w:p>
        </w:tc>
      </w:tr>
      <w:tr>
        <w:trPr>
          <w:trHeight w:val="307" w:hRule="atLeast"/>
        </w:trPr>
        <w:tc>
          <w:tcPr>
            <w:tcW w:w="4678" w:type="dxa"/>
            <w:tcBorders>
              <w:right w:val="single" w:sz="4" w:space="0" w:color="000000"/>
            </w:tcBorders>
          </w:tcPr>
          <w:p>
            <w:pPr>
              <w:pStyle w:val="TableParagraph"/>
              <w:spacing w:before="3"/>
              <w:ind w:left="275"/>
              <w:rPr>
                <w:sz w:val="21"/>
              </w:rPr>
            </w:pPr>
            <w:r>
              <w:rPr>
                <w:sz w:val="21"/>
              </w:rPr>
              <w:t>34</w:t>
            </w:r>
            <w:r>
              <w:rPr>
                <w:spacing w:val="15"/>
                <w:sz w:val="21"/>
              </w:rPr>
              <w:t> 脊髓灰质炎</w:t>
            </w:r>
          </w:p>
        </w:tc>
        <w:tc>
          <w:tcPr>
            <w:tcW w:w="710" w:type="dxa"/>
            <w:tcBorders>
              <w:left w:val="single" w:sz="4" w:space="0" w:color="000000"/>
            </w:tcBorders>
          </w:tcPr>
          <w:p>
            <w:pPr>
              <w:pStyle w:val="TableParagraph"/>
              <w:spacing w:before="3"/>
              <w:ind w:right="100"/>
              <w:jc w:val="right"/>
              <w:rPr>
                <w:sz w:val="21"/>
              </w:rPr>
            </w:pPr>
            <w:r>
              <w:rPr>
                <w:spacing w:val="-5"/>
                <w:sz w:val="21"/>
              </w:rPr>
              <w:t>75</w:t>
            </w:r>
          </w:p>
        </w:tc>
        <w:tc>
          <w:tcPr>
            <w:tcW w:w="4051" w:type="dxa"/>
          </w:tcPr>
          <w:p>
            <w:pPr>
              <w:pStyle w:val="TableParagraph"/>
              <w:spacing w:before="3"/>
              <w:ind w:left="108"/>
              <w:rPr>
                <w:sz w:val="21"/>
              </w:rPr>
            </w:pPr>
            <w:r>
              <w:rPr>
                <w:spacing w:val="-4"/>
                <w:sz w:val="21"/>
              </w:rPr>
              <w:t>严重Ⅰ型糖尿病</w:t>
            </w:r>
          </w:p>
        </w:tc>
      </w:tr>
      <w:tr>
        <w:trPr>
          <w:trHeight w:val="298" w:hRule="atLeast"/>
        </w:trPr>
        <w:tc>
          <w:tcPr>
            <w:tcW w:w="4678" w:type="dxa"/>
            <w:tcBorders>
              <w:right w:val="single" w:sz="4" w:space="0" w:color="000000"/>
            </w:tcBorders>
          </w:tcPr>
          <w:p>
            <w:pPr>
              <w:pStyle w:val="TableParagraph"/>
              <w:spacing w:line="263" w:lineRule="exact" w:before="0"/>
              <w:ind w:right="177"/>
              <w:jc w:val="right"/>
              <w:rPr>
                <w:sz w:val="21"/>
              </w:rPr>
            </w:pPr>
            <w:r>
              <w:rPr>
                <w:sz w:val="21"/>
              </w:rPr>
              <w:t>35</w:t>
            </w:r>
            <w:r>
              <w:rPr>
                <w:spacing w:val="-1"/>
                <w:sz w:val="21"/>
              </w:rPr>
              <w:t> 经输血导致的感染艾滋病病毒或患艾滋病</w:t>
            </w:r>
          </w:p>
        </w:tc>
        <w:tc>
          <w:tcPr>
            <w:tcW w:w="710" w:type="dxa"/>
            <w:tcBorders>
              <w:left w:val="single" w:sz="4" w:space="0" w:color="000000"/>
            </w:tcBorders>
          </w:tcPr>
          <w:p>
            <w:pPr>
              <w:pStyle w:val="TableParagraph"/>
              <w:spacing w:line="263" w:lineRule="exact" w:before="0"/>
              <w:ind w:right="100"/>
              <w:jc w:val="right"/>
              <w:rPr>
                <w:sz w:val="21"/>
              </w:rPr>
            </w:pPr>
            <w:r>
              <w:rPr>
                <w:spacing w:val="-5"/>
                <w:sz w:val="21"/>
              </w:rPr>
              <w:t>76</w:t>
            </w:r>
          </w:p>
        </w:tc>
        <w:tc>
          <w:tcPr>
            <w:tcW w:w="4051" w:type="dxa"/>
          </w:tcPr>
          <w:p>
            <w:pPr>
              <w:pStyle w:val="TableParagraph"/>
              <w:spacing w:line="263" w:lineRule="exact" w:before="0"/>
              <w:ind w:left="108"/>
              <w:rPr>
                <w:sz w:val="21"/>
              </w:rPr>
            </w:pPr>
            <w:r>
              <w:rPr>
                <w:spacing w:val="-4"/>
                <w:sz w:val="21"/>
              </w:rPr>
              <w:t>席汉氏综合征</w:t>
            </w:r>
          </w:p>
        </w:tc>
      </w:tr>
      <w:tr>
        <w:trPr>
          <w:trHeight w:val="307" w:hRule="atLeast"/>
        </w:trPr>
        <w:tc>
          <w:tcPr>
            <w:tcW w:w="4678" w:type="dxa"/>
            <w:tcBorders>
              <w:right w:val="single" w:sz="4" w:space="0" w:color="000000"/>
            </w:tcBorders>
          </w:tcPr>
          <w:p>
            <w:pPr>
              <w:pStyle w:val="TableParagraph"/>
              <w:spacing w:line="264" w:lineRule="exact" w:before="0"/>
              <w:ind w:left="275"/>
              <w:rPr>
                <w:sz w:val="21"/>
              </w:rPr>
            </w:pPr>
            <w:r>
              <w:rPr>
                <w:sz w:val="21"/>
              </w:rPr>
              <w:t>36</w:t>
            </w:r>
            <w:r>
              <w:rPr>
                <w:spacing w:val="12"/>
                <w:sz w:val="21"/>
              </w:rPr>
              <w:t> 肌营养不良症</w:t>
            </w:r>
          </w:p>
        </w:tc>
        <w:tc>
          <w:tcPr>
            <w:tcW w:w="710" w:type="dxa"/>
            <w:tcBorders>
              <w:left w:val="single" w:sz="4" w:space="0" w:color="000000"/>
            </w:tcBorders>
          </w:tcPr>
          <w:p>
            <w:pPr>
              <w:pStyle w:val="TableParagraph"/>
              <w:spacing w:line="264" w:lineRule="exact" w:before="0"/>
              <w:ind w:right="100"/>
              <w:jc w:val="right"/>
              <w:rPr>
                <w:sz w:val="21"/>
              </w:rPr>
            </w:pPr>
            <w:r>
              <w:rPr>
                <w:spacing w:val="-5"/>
                <w:sz w:val="21"/>
              </w:rPr>
              <w:t>77</w:t>
            </w:r>
          </w:p>
        </w:tc>
        <w:tc>
          <w:tcPr>
            <w:tcW w:w="4051" w:type="dxa"/>
          </w:tcPr>
          <w:p>
            <w:pPr>
              <w:pStyle w:val="TableParagraph"/>
              <w:spacing w:line="264" w:lineRule="exact" w:before="0"/>
              <w:ind w:left="108"/>
              <w:rPr>
                <w:sz w:val="21"/>
              </w:rPr>
            </w:pPr>
            <w:r>
              <w:rPr>
                <w:spacing w:val="-4"/>
                <w:sz w:val="21"/>
              </w:rPr>
              <w:t>严重强直性脊柱炎</w:t>
            </w:r>
          </w:p>
        </w:tc>
      </w:tr>
      <w:tr>
        <w:trPr>
          <w:trHeight w:val="314" w:hRule="atLeast"/>
        </w:trPr>
        <w:tc>
          <w:tcPr>
            <w:tcW w:w="4678" w:type="dxa"/>
            <w:tcBorders>
              <w:right w:val="single" w:sz="4" w:space="0" w:color="000000"/>
            </w:tcBorders>
          </w:tcPr>
          <w:p>
            <w:pPr>
              <w:pStyle w:val="TableParagraph"/>
              <w:spacing w:before="2"/>
              <w:ind w:left="275"/>
              <w:rPr>
                <w:sz w:val="21"/>
              </w:rPr>
            </w:pPr>
            <w:r>
              <w:rPr>
                <w:sz w:val="21"/>
              </w:rPr>
              <w:t>37</w:t>
            </w:r>
            <w:r>
              <w:rPr>
                <w:spacing w:val="5"/>
                <w:sz w:val="21"/>
              </w:rPr>
              <w:t> 破裂脑动脉瘤夹闭手术</w:t>
            </w:r>
          </w:p>
        </w:tc>
        <w:tc>
          <w:tcPr>
            <w:tcW w:w="710" w:type="dxa"/>
            <w:tcBorders>
              <w:left w:val="single" w:sz="4" w:space="0" w:color="000000"/>
            </w:tcBorders>
          </w:tcPr>
          <w:p>
            <w:pPr>
              <w:pStyle w:val="TableParagraph"/>
              <w:spacing w:before="2"/>
              <w:ind w:right="100"/>
              <w:jc w:val="right"/>
              <w:rPr>
                <w:sz w:val="21"/>
              </w:rPr>
            </w:pPr>
            <w:r>
              <w:rPr>
                <w:spacing w:val="-5"/>
                <w:sz w:val="21"/>
              </w:rPr>
              <w:t>78</w:t>
            </w:r>
          </w:p>
        </w:tc>
        <w:tc>
          <w:tcPr>
            <w:tcW w:w="4051" w:type="dxa"/>
          </w:tcPr>
          <w:p>
            <w:pPr>
              <w:pStyle w:val="TableParagraph"/>
              <w:spacing w:before="2"/>
              <w:ind w:left="108"/>
              <w:rPr>
                <w:sz w:val="21"/>
              </w:rPr>
            </w:pPr>
            <w:r>
              <w:rPr>
                <w:spacing w:val="-4"/>
                <w:sz w:val="21"/>
              </w:rPr>
              <w:t>严重肾髓质囊性病</w:t>
            </w:r>
          </w:p>
        </w:tc>
      </w:tr>
      <w:tr>
        <w:trPr>
          <w:trHeight w:val="315" w:hRule="atLeast"/>
        </w:trPr>
        <w:tc>
          <w:tcPr>
            <w:tcW w:w="4678" w:type="dxa"/>
            <w:tcBorders>
              <w:right w:val="single" w:sz="4" w:space="0" w:color="000000"/>
            </w:tcBorders>
          </w:tcPr>
          <w:p>
            <w:pPr>
              <w:pStyle w:val="TableParagraph"/>
              <w:spacing w:before="2"/>
              <w:ind w:left="275"/>
              <w:rPr>
                <w:sz w:val="21"/>
              </w:rPr>
            </w:pPr>
            <w:r>
              <w:rPr>
                <w:sz w:val="21"/>
              </w:rPr>
              <w:t>38</w:t>
            </w:r>
            <w:r>
              <w:rPr>
                <w:spacing w:val="8"/>
                <w:sz w:val="21"/>
              </w:rPr>
              <w:t> 严重系统性硬皮病</w:t>
            </w:r>
          </w:p>
        </w:tc>
        <w:tc>
          <w:tcPr>
            <w:tcW w:w="710" w:type="dxa"/>
            <w:tcBorders>
              <w:left w:val="single" w:sz="4" w:space="0" w:color="000000"/>
            </w:tcBorders>
          </w:tcPr>
          <w:p>
            <w:pPr>
              <w:pStyle w:val="TableParagraph"/>
              <w:spacing w:before="2"/>
              <w:ind w:right="100"/>
              <w:jc w:val="right"/>
              <w:rPr>
                <w:sz w:val="21"/>
              </w:rPr>
            </w:pPr>
            <w:r>
              <w:rPr>
                <w:spacing w:val="-5"/>
                <w:sz w:val="21"/>
              </w:rPr>
              <w:t>79</w:t>
            </w:r>
          </w:p>
        </w:tc>
        <w:tc>
          <w:tcPr>
            <w:tcW w:w="4051" w:type="dxa"/>
          </w:tcPr>
          <w:p>
            <w:pPr>
              <w:pStyle w:val="TableParagraph"/>
              <w:spacing w:before="2"/>
              <w:ind w:left="108"/>
              <w:rPr>
                <w:sz w:val="21"/>
              </w:rPr>
            </w:pPr>
            <w:r>
              <w:rPr>
                <w:spacing w:val="-4"/>
                <w:sz w:val="21"/>
              </w:rPr>
              <w:t>肝豆状核变性</w:t>
            </w:r>
          </w:p>
        </w:tc>
      </w:tr>
      <w:tr>
        <w:trPr>
          <w:trHeight w:val="315" w:hRule="atLeast"/>
        </w:trPr>
        <w:tc>
          <w:tcPr>
            <w:tcW w:w="4678" w:type="dxa"/>
            <w:tcBorders>
              <w:bottom w:val="single" w:sz="4" w:space="0" w:color="000000"/>
              <w:right w:val="single" w:sz="4" w:space="0" w:color="000000"/>
            </w:tcBorders>
          </w:tcPr>
          <w:p>
            <w:pPr>
              <w:pStyle w:val="TableParagraph"/>
              <w:spacing w:before="3"/>
              <w:ind w:left="275"/>
              <w:rPr>
                <w:sz w:val="21"/>
              </w:rPr>
            </w:pPr>
            <w:r>
              <w:rPr>
                <w:sz w:val="21"/>
              </w:rPr>
              <w:t>39</w:t>
            </w:r>
            <w:r>
              <w:rPr>
                <w:spacing w:val="15"/>
                <w:sz w:val="21"/>
              </w:rPr>
              <w:t> 严重冠心病</w:t>
            </w:r>
          </w:p>
        </w:tc>
        <w:tc>
          <w:tcPr>
            <w:tcW w:w="710" w:type="dxa"/>
            <w:tcBorders>
              <w:left w:val="single" w:sz="4" w:space="0" w:color="000000"/>
              <w:bottom w:val="single" w:sz="4" w:space="0" w:color="000000"/>
            </w:tcBorders>
          </w:tcPr>
          <w:p>
            <w:pPr>
              <w:pStyle w:val="TableParagraph"/>
              <w:spacing w:before="3"/>
              <w:ind w:right="100"/>
              <w:jc w:val="right"/>
              <w:rPr>
                <w:sz w:val="21"/>
              </w:rPr>
            </w:pPr>
            <w:r>
              <w:rPr>
                <w:spacing w:val="-5"/>
                <w:sz w:val="21"/>
              </w:rPr>
              <w:t>80</w:t>
            </w:r>
          </w:p>
        </w:tc>
        <w:tc>
          <w:tcPr>
            <w:tcW w:w="4051" w:type="dxa"/>
            <w:tcBorders>
              <w:bottom w:val="single" w:sz="4" w:space="0" w:color="000000"/>
            </w:tcBorders>
          </w:tcPr>
          <w:p>
            <w:pPr>
              <w:pStyle w:val="TableParagraph"/>
              <w:spacing w:before="3"/>
              <w:ind w:left="108"/>
              <w:rPr>
                <w:sz w:val="21"/>
              </w:rPr>
            </w:pPr>
            <w:r>
              <w:rPr>
                <w:spacing w:val="-3"/>
                <w:sz w:val="21"/>
              </w:rPr>
              <w:t>急性出血坏死性胰腺炎开腹手术</w:t>
            </w:r>
          </w:p>
        </w:tc>
      </w:tr>
    </w:tbl>
    <w:p>
      <w:pPr>
        <w:pStyle w:val="BodyText"/>
        <w:spacing w:before="17"/>
        <w:ind w:left="629"/>
      </w:pPr>
      <w:r>
        <w:rPr>
          <w:spacing w:val="-2"/>
        </w:rPr>
        <w:t>（未完，接下页</w:t>
      </w:r>
      <w:r>
        <w:rPr>
          <w:spacing w:val="-10"/>
        </w:rPr>
        <w:t>）</w:t>
      </w:r>
    </w:p>
    <w:p>
      <w:pPr>
        <w:pStyle w:val="BodyText"/>
        <w:ind w:left="0"/>
        <w:rPr>
          <w:sz w:val="20"/>
        </w:rPr>
      </w:pPr>
    </w:p>
    <w:p>
      <w:pPr>
        <w:pStyle w:val="BodyText"/>
        <w:spacing w:before="12"/>
        <w:ind w:left="0"/>
        <w:rPr>
          <w:sz w:val="17"/>
        </w:rPr>
      </w:pPr>
    </w:p>
    <w:p>
      <w:pPr>
        <w:spacing w:line="206" w:lineRule="auto" w:before="0"/>
        <w:ind w:left="504" w:right="791" w:hanging="92"/>
        <w:jc w:val="left"/>
        <w:rPr>
          <w:sz w:val="18"/>
        </w:rPr>
      </w:pPr>
      <w:r>
        <w:rPr>
          <w:spacing w:val="-2"/>
          <w:position w:val="9"/>
          <w:sz w:val="9"/>
        </w:rPr>
        <w:t>12</w:t>
      </w:r>
      <w:r>
        <w:rPr>
          <w:rFonts w:ascii="Microsoft JhengHei" w:hAnsi="Microsoft JhengHei" w:eastAsia="Microsoft JhengHei"/>
          <w:b/>
          <w:spacing w:val="-2"/>
          <w:sz w:val="18"/>
        </w:rPr>
        <w:t>*</w:t>
      </w:r>
      <w:r>
        <w:rPr>
          <w:spacing w:val="-7"/>
          <w:sz w:val="18"/>
        </w:rPr>
        <w:t>所标注的重大疾病为中国保险行业协会发布的《重大疾病保险的疾病定义使用规范</w:t>
      </w:r>
      <w:r>
        <w:rPr>
          <w:spacing w:val="-2"/>
          <w:sz w:val="18"/>
        </w:rPr>
        <w:t>（2020</w:t>
      </w:r>
      <w:r>
        <w:rPr>
          <w:spacing w:val="-12"/>
          <w:sz w:val="18"/>
        </w:rPr>
        <w:t> 年修订版</w:t>
      </w:r>
      <w:r>
        <w:rPr>
          <w:spacing w:val="-91"/>
          <w:sz w:val="18"/>
        </w:rPr>
        <w:t>）</w:t>
      </w:r>
      <w:r>
        <w:rPr>
          <w:spacing w:val="-147"/>
          <w:sz w:val="18"/>
        </w:rPr>
        <w:t>》</w:t>
      </w:r>
      <w:r>
        <w:rPr>
          <w:spacing w:val="-2"/>
          <w:sz w:val="18"/>
        </w:rPr>
        <w:t>（</w:t>
      </w:r>
      <w:r>
        <w:rPr>
          <w:spacing w:val="-10"/>
          <w:sz w:val="18"/>
        </w:rPr>
        <w:t>以下简称“规范”</w:t>
      </w:r>
      <w:r>
        <w:rPr>
          <w:spacing w:val="-2"/>
          <w:sz w:val="18"/>
        </w:rPr>
        <w:t>）</w:t>
      </w:r>
      <w:r>
        <w:rPr>
          <w:spacing w:val="-5"/>
          <w:sz w:val="18"/>
        </w:rPr>
        <w:t>规定的 </w:t>
      </w:r>
      <w:r>
        <w:rPr>
          <w:sz w:val="18"/>
        </w:rPr>
        <w:t>28</w:t>
      </w:r>
      <w:r>
        <w:rPr>
          <w:spacing w:val="-5"/>
          <w:sz w:val="18"/>
        </w:rPr>
        <w:t> 种重度疾病，其他为“规范”之外的疾病。</w:t>
      </w:r>
    </w:p>
    <w:p>
      <w:pPr>
        <w:spacing w:after="0" w:line="206" w:lineRule="auto"/>
        <w:jc w:val="left"/>
        <w:rPr>
          <w:sz w:val="18"/>
        </w:rPr>
        <w:sectPr>
          <w:footerReference w:type="default" r:id="rId17"/>
          <w:pgSz w:w="11910" w:h="16840"/>
          <w:pgMar w:footer="881" w:header="0" w:top="1160" w:bottom="1080" w:left="720" w:right="340"/>
        </w:sectPr>
      </w:pPr>
    </w:p>
    <w:p>
      <w:pPr>
        <w:pStyle w:val="BodyText"/>
        <w:spacing w:before="59" w:after="30"/>
        <w:ind w:left="629"/>
      </w:pPr>
      <w:r>
        <w:rPr>
          <w:spacing w:val="-2"/>
        </w:rPr>
        <w:t>（接上页</w:t>
      </w:r>
      <w:r>
        <w:rPr>
          <w:spacing w:val="-10"/>
        </w:rPr>
        <w:t>）</w:t>
      </w:r>
    </w:p>
    <w:tbl>
      <w:tblPr>
        <w:tblW w:w="0" w:type="auto"/>
        <w:jc w:val="left"/>
        <w:tblInd w:w="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1"/>
        <w:gridCol w:w="4077"/>
        <w:gridCol w:w="712"/>
        <w:gridCol w:w="4051"/>
      </w:tblGrid>
      <w:tr>
        <w:trPr>
          <w:trHeight w:val="315" w:hRule="atLeast"/>
        </w:trPr>
        <w:tc>
          <w:tcPr>
            <w:tcW w:w="601" w:type="dxa"/>
            <w:tcBorders>
              <w:top w:val="single" w:sz="4" w:space="0" w:color="000000"/>
            </w:tcBorders>
          </w:tcPr>
          <w:p>
            <w:pPr>
              <w:pStyle w:val="TableParagraph"/>
              <w:spacing w:before="22"/>
              <w:ind w:right="108"/>
              <w:jc w:val="right"/>
              <w:rPr>
                <w:sz w:val="21"/>
              </w:rPr>
            </w:pPr>
            <w:r>
              <w:rPr>
                <w:spacing w:val="-5"/>
                <w:sz w:val="21"/>
              </w:rPr>
              <w:t>81</w:t>
            </w:r>
          </w:p>
        </w:tc>
        <w:tc>
          <w:tcPr>
            <w:tcW w:w="4077" w:type="dxa"/>
            <w:tcBorders>
              <w:top w:val="single" w:sz="4" w:space="0" w:color="000000"/>
              <w:right w:val="single" w:sz="4" w:space="0" w:color="000000"/>
            </w:tcBorders>
          </w:tcPr>
          <w:p>
            <w:pPr>
              <w:pStyle w:val="TableParagraph"/>
              <w:spacing w:before="22"/>
              <w:ind w:left="101"/>
              <w:rPr>
                <w:sz w:val="21"/>
              </w:rPr>
            </w:pPr>
            <w:r>
              <w:rPr>
                <w:spacing w:val="-4"/>
                <w:sz w:val="21"/>
              </w:rPr>
              <w:t>重症手足口病</w:t>
            </w:r>
          </w:p>
        </w:tc>
        <w:tc>
          <w:tcPr>
            <w:tcW w:w="712" w:type="dxa"/>
            <w:tcBorders>
              <w:top w:val="single" w:sz="4" w:space="0" w:color="000000"/>
              <w:left w:val="single" w:sz="4" w:space="0" w:color="000000"/>
            </w:tcBorders>
          </w:tcPr>
          <w:p>
            <w:pPr>
              <w:pStyle w:val="TableParagraph"/>
              <w:spacing w:before="22"/>
              <w:ind w:right="100"/>
              <w:jc w:val="right"/>
              <w:rPr>
                <w:sz w:val="21"/>
              </w:rPr>
            </w:pPr>
            <w:r>
              <w:rPr>
                <w:spacing w:val="-5"/>
                <w:sz w:val="21"/>
              </w:rPr>
              <w:t>101</w:t>
            </w:r>
          </w:p>
        </w:tc>
        <w:tc>
          <w:tcPr>
            <w:tcW w:w="4051" w:type="dxa"/>
            <w:tcBorders>
              <w:top w:val="single" w:sz="4" w:space="0" w:color="000000"/>
            </w:tcBorders>
          </w:tcPr>
          <w:p>
            <w:pPr>
              <w:pStyle w:val="TableParagraph"/>
              <w:spacing w:before="22"/>
              <w:ind w:left="106"/>
              <w:rPr>
                <w:sz w:val="21"/>
              </w:rPr>
            </w:pPr>
            <w:r>
              <w:rPr>
                <w:spacing w:val="-4"/>
                <w:sz w:val="21"/>
              </w:rPr>
              <w:t>失去一肢及一眼</w:t>
            </w:r>
          </w:p>
        </w:tc>
      </w:tr>
      <w:tr>
        <w:trPr>
          <w:trHeight w:val="317" w:hRule="atLeast"/>
        </w:trPr>
        <w:tc>
          <w:tcPr>
            <w:tcW w:w="601" w:type="dxa"/>
          </w:tcPr>
          <w:p>
            <w:pPr>
              <w:pStyle w:val="TableParagraph"/>
              <w:ind w:right="108"/>
              <w:jc w:val="right"/>
              <w:rPr>
                <w:sz w:val="21"/>
              </w:rPr>
            </w:pPr>
            <w:r>
              <w:rPr>
                <w:spacing w:val="-5"/>
                <w:sz w:val="21"/>
              </w:rPr>
              <w:t>82</w:t>
            </w:r>
          </w:p>
        </w:tc>
        <w:tc>
          <w:tcPr>
            <w:tcW w:w="4077" w:type="dxa"/>
            <w:tcBorders>
              <w:right w:val="single" w:sz="4" w:space="0" w:color="000000"/>
            </w:tcBorders>
          </w:tcPr>
          <w:p>
            <w:pPr>
              <w:pStyle w:val="TableParagraph"/>
              <w:ind w:left="101"/>
              <w:rPr>
                <w:sz w:val="21"/>
              </w:rPr>
            </w:pPr>
            <w:r>
              <w:rPr>
                <w:spacing w:val="-3"/>
                <w:sz w:val="21"/>
              </w:rPr>
              <w:t>严重的结核性脊髓炎</w:t>
            </w:r>
          </w:p>
        </w:tc>
        <w:tc>
          <w:tcPr>
            <w:tcW w:w="712" w:type="dxa"/>
            <w:tcBorders>
              <w:left w:val="single" w:sz="4" w:space="0" w:color="000000"/>
            </w:tcBorders>
          </w:tcPr>
          <w:p>
            <w:pPr>
              <w:pStyle w:val="TableParagraph"/>
              <w:ind w:right="100"/>
              <w:jc w:val="right"/>
              <w:rPr>
                <w:sz w:val="21"/>
              </w:rPr>
            </w:pPr>
            <w:r>
              <w:rPr>
                <w:spacing w:val="-5"/>
                <w:sz w:val="21"/>
              </w:rPr>
              <w:t>102</w:t>
            </w:r>
          </w:p>
        </w:tc>
        <w:tc>
          <w:tcPr>
            <w:tcW w:w="4051" w:type="dxa"/>
          </w:tcPr>
          <w:p>
            <w:pPr>
              <w:pStyle w:val="TableParagraph"/>
              <w:ind w:left="106"/>
              <w:rPr>
                <w:sz w:val="21"/>
              </w:rPr>
            </w:pPr>
            <w:r>
              <w:rPr>
                <w:spacing w:val="-4"/>
                <w:sz w:val="21"/>
              </w:rPr>
              <w:t>严重哮喘</w:t>
            </w:r>
          </w:p>
        </w:tc>
      </w:tr>
      <w:tr>
        <w:trPr>
          <w:trHeight w:val="316" w:hRule="atLeast"/>
        </w:trPr>
        <w:tc>
          <w:tcPr>
            <w:tcW w:w="601" w:type="dxa"/>
          </w:tcPr>
          <w:p>
            <w:pPr>
              <w:pStyle w:val="TableParagraph"/>
              <w:ind w:right="108"/>
              <w:jc w:val="right"/>
              <w:rPr>
                <w:sz w:val="21"/>
              </w:rPr>
            </w:pPr>
            <w:r>
              <w:rPr>
                <w:spacing w:val="-5"/>
                <w:sz w:val="21"/>
              </w:rPr>
              <w:t>83</w:t>
            </w:r>
          </w:p>
        </w:tc>
        <w:tc>
          <w:tcPr>
            <w:tcW w:w="4077" w:type="dxa"/>
            <w:tcBorders>
              <w:right w:val="single" w:sz="4" w:space="0" w:color="000000"/>
            </w:tcBorders>
          </w:tcPr>
          <w:p>
            <w:pPr>
              <w:pStyle w:val="TableParagraph"/>
              <w:ind w:left="101"/>
              <w:rPr>
                <w:sz w:val="21"/>
              </w:rPr>
            </w:pPr>
            <w:r>
              <w:rPr>
                <w:spacing w:val="-3"/>
                <w:sz w:val="21"/>
              </w:rPr>
              <w:t>溶血性链球菌引起的坏疽</w:t>
            </w:r>
          </w:p>
        </w:tc>
        <w:tc>
          <w:tcPr>
            <w:tcW w:w="712" w:type="dxa"/>
            <w:tcBorders>
              <w:left w:val="single" w:sz="4" w:space="0" w:color="000000"/>
            </w:tcBorders>
          </w:tcPr>
          <w:p>
            <w:pPr>
              <w:pStyle w:val="TableParagraph"/>
              <w:ind w:right="100"/>
              <w:jc w:val="right"/>
              <w:rPr>
                <w:sz w:val="21"/>
              </w:rPr>
            </w:pPr>
            <w:r>
              <w:rPr>
                <w:spacing w:val="-5"/>
                <w:sz w:val="21"/>
              </w:rPr>
              <w:t>103</w:t>
            </w:r>
          </w:p>
        </w:tc>
        <w:tc>
          <w:tcPr>
            <w:tcW w:w="4051" w:type="dxa"/>
          </w:tcPr>
          <w:p>
            <w:pPr>
              <w:pStyle w:val="TableParagraph"/>
              <w:ind w:left="106"/>
              <w:rPr>
                <w:sz w:val="21"/>
              </w:rPr>
            </w:pPr>
            <w:r>
              <w:rPr>
                <w:spacing w:val="-4"/>
                <w:sz w:val="21"/>
              </w:rPr>
              <w:t>严重大动脉炎</w:t>
            </w:r>
          </w:p>
        </w:tc>
      </w:tr>
      <w:tr>
        <w:trPr>
          <w:trHeight w:val="316" w:hRule="atLeast"/>
        </w:trPr>
        <w:tc>
          <w:tcPr>
            <w:tcW w:w="601" w:type="dxa"/>
          </w:tcPr>
          <w:p>
            <w:pPr>
              <w:pStyle w:val="TableParagraph"/>
              <w:ind w:right="108"/>
              <w:jc w:val="right"/>
              <w:rPr>
                <w:sz w:val="21"/>
              </w:rPr>
            </w:pPr>
            <w:r>
              <w:rPr>
                <w:spacing w:val="-5"/>
                <w:sz w:val="21"/>
              </w:rPr>
              <w:t>84</w:t>
            </w:r>
          </w:p>
        </w:tc>
        <w:tc>
          <w:tcPr>
            <w:tcW w:w="4077" w:type="dxa"/>
            <w:tcBorders>
              <w:right w:val="single" w:sz="4" w:space="0" w:color="000000"/>
            </w:tcBorders>
          </w:tcPr>
          <w:p>
            <w:pPr>
              <w:pStyle w:val="TableParagraph"/>
              <w:ind w:left="101"/>
              <w:rPr>
                <w:sz w:val="21"/>
              </w:rPr>
            </w:pPr>
            <w:r>
              <w:rPr>
                <w:spacing w:val="-3"/>
                <w:sz w:val="21"/>
              </w:rPr>
              <w:t>因器官移植原因导致的感染艾滋病病毒或</w:t>
            </w:r>
          </w:p>
        </w:tc>
        <w:tc>
          <w:tcPr>
            <w:tcW w:w="712" w:type="dxa"/>
            <w:tcBorders>
              <w:left w:val="single" w:sz="4" w:space="0" w:color="000000"/>
            </w:tcBorders>
          </w:tcPr>
          <w:p>
            <w:pPr>
              <w:pStyle w:val="TableParagraph"/>
              <w:ind w:right="100"/>
              <w:jc w:val="right"/>
              <w:rPr>
                <w:sz w:val="21"/>
              </w:rPr>
            </w:pPr>
            <w:r>
              <w:rPr>
                <w:spacing w:val="-5"/>
                <w:sz w:val="21"/>
              </w:rPr>
              <w:t>104</w:t>
            </w:r>
          </w:p>
        </w:tc>
        <w:tc>
          <w:tcPr>
            <w:tcW w:w="4051" w:type="dxa"/>
          </w:tcPr>
          <w:p>
            <w:pPr>
              <w:pStyle w:val="TableParagraph"/>
              <w:ind w:left="106"/>
              <w:rPr>
                <w:sz w:val="21"/>
              </w:rPr>
            </w:pPr>
            <w:r>
              <w:rPr>
                <w:spacing w:val="-4"/>
                <w:sz w:val="21"/>
              </w:rPr>
              <w:t>艾森门格综合征</w:t>
            </w:r>
          </w:p>
        </w:tc>
      </w:tr>
      <w:tr>
        <w:trPr>
          <w:trHeight w:val="316" w:hRule="atLeast"/>
        </w:trPr>
        <w:tc>
          <w:tcPr>
            <w:tcW w:w="601" w:type="dxa"/>
          </w:tcPr>
          <w:p>
            <w:pPr>
              <w:pStyle w:val="TableParagraph"/>
              <w:spacing w:before="0"/>
              <w:rPr>
                <w:rFonts w:ascii="Times New Roman"/>
                <w:sz w:val="20"/>
              </w:rPr>
            </w:pPr>
          </w:p>
        </w:tc>
        <w:tc>
          <w:tcPr>
            <w:tcW w:w="4077" w:type="dxa"/>
            <w:tcBorders>
              <w:right w:val="single" w:sz="4" w:space="0" w:color="000000"/>
            </w:tcBorders>
          </w:tcPr>
          <w:p>
            <w:pPr>
              <w:pStyle w:val="TableParagraph"/>
              <w:ind w:left="101"/>
              <w:rPr>
                <w:sz w:val="21"/>
              </w:rPr>
            </w:pPr>
            <w:r>
              <w:rPr>
                <w:spacing w:val="-4"/>
                <w:sz w:val="21"/>
              </w:rPr>
              <w:t>患艾滋病</w:t>
            </w:r>
          </w:p>
        </w:tc>
        <w:tc>
          <w:tcPr>
            <w:tcW w:w="712" w:type="dxa"/>
            <w:tcBorders>
              <w:left w:val="single" w:sz="4" w:space="0" w:color="000000"/>
            </w:tcBorders>
          </w:tcPr>
          <w:p>
            <w:pPr>
              <w:pStyle w:val="TableParagraph"/>
              <w:ind w:right="100"/>
              <w:jc w:val="right"/>
              <w:rPr>
                <w:sz w:val="21"/>
              </w:rPr>
            </w:pPr>
            <w:r>
              <w:rPr>
                <w:spacing w:val="-5"/>
                <w:sz w:val="21"/>
              </w:rPr>
              <w:t>105</w:t>
            </w:r>
          </w:p>
        </w:tc>
        <w:tc>
          <w:tcPr>
            <w:tcW w:w="4051" w:type="dxa"/>
          </w:tcPr>
          <w:p>
            <w:pPr>
              <w:pStyle w:val="TableParagraph"/>
              <w:ind w:left="106"/>
              <w:rPr>
                <w:sz w:val="21"/>
              </w:rPr>
            </w:pPr>
            <w:r>
              <w:rPr>
                <w:spacing w:val="-4"/>
                <w:sz w:val="21"/>
              </w:rPr>
              <w:t>严重结核性脑膜炎</w:t>
            </w:r>
          </w:p>
        </w:tc>
      </w:tr>
      <w:tr>
        <w:trPr>
          <w:trHeight w:val="317" w:hRule="atLeast"/>
        </w:trPr>
        <w:tc>
          <w:tcPr>
            <w:tcW w:w="601" w:type="dxa"/>
          </w:tcPr>
          <w:p>
            <w:pPr>
              <w:pStyle w:val="TableParagraph"/>
              <w:ind w:right="108"/>
              <w:jc w:val="right"/>
              <w:rPr>
                <w:sz w:val="21"/>
              </w:rPr>
            </w:pPr>
            <w:r>
              <w:rPr>
                <w:spacing w:val="-5"/>
                <w:sz w:val="21"/>
              </w:rPr>
              <w:t>85</w:t>
            </w:r>
          </w:p>
        </w:tc>
        <w:tc>
          <w:tcPr>
            <w:tcW w:w="4077" w:type="dxa"/>
            <w:tcBorders>
              <w:right w:val="single" w:sz="4" w:space="0" w:color="000000"/>
            </w:tcBorders>
          </w:tcPr>
          <w:p>
            <w:pPr>
              <w:pStyle w:val="TableParagraph"/>
              <w:ind w:left="101"/>
              <w:rPr>
                <w:sz w:val="21"/>
              </w:rPr>
            </w:pPr>
            <w:r>
              <w:rPr>
                <w:spacing w:val="-4"/>
                <w:sz w:val="21"/>
              </w:rPr>
              <w:t>埃博拉病毒感染</w:t>
            </w:r>
          </w:p>
        </w:tc>
        <w:tc>
          <w:tcPr>
            <w:tcW w:w="712" w:type="dxa"/>
            <w:tcBorders>
              <w:left w:val="single" w:sz="4" w:space="0" w:color="000000"/>
            </w:tcBorders>
          </w:tcPr>
          <w:p>
            <w:pPr>
              <w:pStyle w:val="TableParagraph"/>
              <w:ind w:right="100"/>
              <w:jc w:val="right"/>
              <w:rPr>
                <w:sz w:val="21"/>
              </w:rPr>
            </w:pPr>
            <w:r>
              <w:rPr>
                <w:spacing w:val="-5"/>
                <w:sz w:val="21"/>
              </w:rPr>
              <w:t>106</w:t>
            </w:r>
          </w:p>
        </w:tc>
        <w:tc>
          <w:tcPr>
            <w:tcW w:w="4051" w:type="dxa"/>
          </w:tcPr>
          <w:p>
            <w:pPr>
              <w:pStyle w:val="TableParagraph"/>
              <w:ind w:left="106"/>
              <w:rPr>
                <w:sz w:val="21"/>
              </w:rPr>
            </w:pPr>
            <w:r>
              <w:rPr>
                <w:spacing w:val="-3"/>
                <w:sz w:val="21"/>
              </w:rPr>
              <w:t>急性弥漫性血管内凝血</w:t>
            </w:r>
          </w:p>
        </w:tc>
      </w:tr>
      <w:tr>
        <w:trPr>
          <w:trHeight w:val="318" w:hRule="atLeast"/>
        </w:trPr>
        <w:tc>
          <w:tcPr>
            <w:tcW w:w="601" w:type="dxa"/>
          </w:tcPr>
          <w:p>
            <w:pPr>
              <w:pStyle w:val="TableParagraph"/>
              <w:spacing w:before="25"/>
              <w:ind w:right="108"/>
              <w:jc w:val="right"/>
              <w:rPr>
                <w:sz w:val="21"/>
              </w:rPr>
            </w:pPr>
            <w:r>
              <w:rPr>
                <w:spacing w:val="-5"/>
                <w:sz w:val="21"/>
              </w:rPr>
              <w:t>86</w:t>
            </w:r>
          </w:p>
        </w:tc>
        <w:tc>
          <w:tcPr>
            <w:tcW w:w="4077" w:type="dxa"/>
            <w:tcBorders>
              <w:right w:val="single" w:sz="4" w:space="0" w:color="000000"/>
            </w:tcBorders>
          </w:tcPr>
          <w:p>
            <w:pPr>
              <w:pStyle w:val="TableParagraph"/>
              <w:spacing w:before="25"/>
              <w:ind w:left="101"/>
              <w:rPr>
                <w:sz w:val="21"/>
              </w:rPr>
            </w:pPr>
            <w:r>
              <w:rPr>
                <w:spacing w:val="-4"/>
                <w:sz w:val="21"/>
              </w:rPr>
              <w:t>成骨不全症Ⅲ型</w:t>
            </w:r>
          </w:p>
        </w:tc>
        <w:tc>
          <w:tcPr>
            <w:tcW w:w="712" w:type="dxa"/>
            <w:tcBorders>
              <w:left w:val="single" w:sz="4" w:space="0" w:color="000000"/>
            </w:tcBorders>
          </w:tcPr>
          <w:p>
            <w:pPr>
              <w:pStyle w:val="TableParagraph"/>
              <w:spacing w:before="25"/>
              <w:ind w:right="100"/>
              <w:jc w:val="right"/>
              <w:rPr>
                <w:sz w:val="21"/>
              </w:rPr>
            </w:pPr>
            <w:r>
              <w:rPr>
                <w:spacing w:val="-5"/>
                <w:sz w:val="21"/>
              </w:rPr>
              <w:t>107</w:t>
            </w:r>
          </w:p>
        </w:tc>
        <w:tc>
          <w:tcPr>
            <w:tcW w:w="4051" w:type="dxa"/>
          </w:tcPr>
          <w:p>
            <w:pPr>
              <w:pStyle w:val="TableParagraph"/>
              <w:spacing w:before="25"/>
              <w:ind w:left="106"/>
              <w:rPr>
                <w:sz w:val="21"/>
              </w:rPr>
            </w:pPr>
            <w:r>
              <w:rPr>
                <w:spacing w:val="-3"/>
                <w:sz w:val="21"/>
              </w:rPr>
              <w:t>败血症导致的多器官功能障碍综合症</w:t>
            </w:r>
          </w:p>
        </w:tc>
      </w:tr>
      <w:tr>
        <w:trPr>
          <w:trHeight w:val="316" w:hRule="atLeast"/>
        </w:trPr>
        <w:tc>
          <w:tcPr>
            <w:tcW w:w="601" w:type="dxa"/>
          </w:tcPr>
          <w:p>
            <w:pPr>
              <w:pStyle w:val="TableParagraph"/>
              <w:ind w:right="108"/>
              <w:jc w:val="right"/>
              <w:rPr>
                <w:sz w:val="21"/>
              </w:rPr>
            </w:pPr>
            <w:r>
              <w:rPr>
                <w:spacing w:val="-5"/>
                <w:sz w:val="21"/>
              </w:rPr>
              <w:t>87</w:t>
            </w:r>
          </w:p>
        </w:tc>
        <w:tc>
          <w:tcPr>
            <w:tcW w:w="4077" w:type="dxa"/>
            <w:tcBorders>
              <w:right w:val="single" w:sz="4" w:space="0" w:color="000000"/>
            </w:tcBorders>
          </w:tcPr>
          <w:p>
            <w:pPr>
              <w:pStyle w:val="TableParagraph"/>
              <w:ind w:left="101"/>
              <w:rPr>
                <w:sz w:val="21"/>
              </w:rPr>
            </w:pPr>
            <w:r>
              <w:rPr>
                <w:spacing w:val="-4"/>
                <w:sz w:val="21"/>
              </w:rPr>
              <w:t>严重川崎病</w:t>
            </w:r>
          </w:p>
        </w:tc>
        <w:tc>
          <w:tcPr>
            <w:tcW w:w="712" w:type="dxa"/>
            <w:tcBorders>
              <w:left w:val="single" w:sz="4" w:space="0" w:color="000000"/>
            </w:tcBorders>
          </w:tcPr>
          <w:p>
            <w:pPr>
              <w:pStyle w:val="TableParagraph"/>
              <w:ind w:right="100"/>
              <w:jc w:val="right"/>
              <w:rPr>
                <w:sz w:val="21"/>
              </w:rPr>
            </w:pPr>
            <w:r>
              <w:rPr>
                <w:spacing w:val="-5"/>
                <w:sz w:val="21"/>
              </w:rPr>
              <w:t>108</w:t>
            </w:r>
          </w:p>
        </w:tc>
        <w:tc>
          <w:tcPr>
            <w:tcW w:w="4051" w:type="dxa"/>
          </w:tcPr>
          <w:p>
            <w:pPr>
              <w:pStyle w:val="TableParagraph"/>
              <w:ind w:left="106"/>
              <w:rPr>
                <w:sz w:val="21"/>
              </w:rPr>
            </w:pPr>
            <w:r>
              <w:rPr>
                <w:spacing w:val="-4"/>
                <w:sz w:val="21"/>
              </w:rPr>
              <w:t>范可尼综合征</w:t>
            </w:r>
          </w:p>
        </w:tc>
      </w:tr>
      <w:tr>
        <w:trPr>
          <w:trHeight w:val="316" w:hRule="atLeast"/>
        </w:trPr>
        <w:tc>
          <w:tcPr>
            <w:tcW w:w="601" w:type="dxa"/>
          </w:tcPr>
          <w:p>
            <w:pPr>
              <w:pStyle w:val="TableParagraph"/>
              <w:ind w:right="108"/>
              <w:jc w:val="right"/>
              <w:rPr>
                <w:sz w:val="21"/>
              </w:rPr>
            </w:pPr>
            <w:r>
              <w:rPr>
                <w:spacing w:val="-5"/>
                <w:sz w:val="21"/>
              </w:rPr>
              <w:t>88</w:t>
            </w:r>
          </w:p>
        </w:tc>
        <w:tc>
          <w:tcPr>
            <w:tcW w:w="4077" w:type="dxa"/>
            <w:tcBorders>
              <w:right w:val="single" w:sz="4" w:space="0" w:color="000000"/>
            </w:tcBorders>
          </w:tcPr>
          <w:p>
            <w:pPr>
              <w:pStyle w:val="TableParagraph"/>
              <w:ind w:left="101"/>
              <w:rPr>
                <w:sz w:val="21"/>
              </w:rPr>
            </w:pPr>
            <w:r>
              <w:rPr>
                <w:spacing w:val="-3"/>
                <w:sz w:val="21"/>
              </w:rPr>
              <w:t>严重幼年型类风湿性关节炎</w:t>
            </w:r>
          </w:p>
        </w:tc>
        <w:tc>
          <w:tcPr>
            <w:tcW w:w="712" w:type="dxa"/>
            <w:tcBorders>
              <w:left w:val="single" w:sz="4" w:space="0" w:color="000000"/>
            </w:tcBorders>
          </w:tcPr>
          <w:p>
            <w:pPr>
              <w:pStyle w:val="TableParagraph"/>
              <w:ind w:right="100"/>
              <w:jc w:val="right"/>
              <w:rPr>
                <w:sz w:val="21"/>
              </w:rPr>
            </w:pPr>
            <w:r>
              <w:rPr>
                <w:spacing w:val="-5"/>
                <w:sz w:val="21"/>
              </w:rPr>
              <w:t>109</w:t>
            </w:r>
          </w:p>
        </w:tc>
        <w:tc>
          <w:tcPr>
            <w:tcW w:w="4051" w:type="dxa"/>
          </w:tcPr>
          <w:p>
            <w:pPr>
              <w:pStyle w:val="TableParagraph"/>
              <w:ind w:left="106"/>
              <w:rPr>
                <w:sz w:val="21"/>
              </w:rPr>
            </w:pPr>
            <w:r>
              <w:rPr>
                <w:spacing w:val="-3"/>
                <w:sz w:val="21"/>
              </w:rPr>
              <w:t>严重继发性肺动脉高压</w:t>
            </w:r>
          </w:p>
        </w:tc>
      </w:tr>
      <w:tr>
        <w:trPr>
          <w:trHeight w:val="316" w:hRule="atLeast"/>
        </w:trPr>
        <w:tc>
          <w:tcPr>
            <w:tcW w:w="601" w:type="dxa"/>
          </w:tcPr>
          <w:p>
            <w:pPr>
              <w:pStyle w:val="TableParagraph"/>
              <w:ind w:right="108"/>
              <w:jc w:val="right"/>
              <w:rPr>
                <w:sz w:val="21"/>
              </w:rPr>
            </w:pPr>
            <w:r>
              <w:rPr>
                <w:spacing w:val="-5"/>
                <w:sz w:val="21"/>
              </w:rPr>
              <w:t>89</w:t>
            </w:r>
          </w:p>
        </w:tc>
        <w:tc>
          <w:tcPr>
            <w:tcW w:w="4077" w:type="dxa"/>
            <w:tcBorders>
              <w:right w:val="single" w:sz="4" w:space="0" w:color="000000"/>
            </w:tcBorders>
          </w:tcPr>
          <w:p>
            <w:pPr>
              <w:pStyle w:val="TableParagraph"/>
              <w:ind w:left="101"/>
              <w:rPr>
                <w:sz w:val="21"/>
              </w:rPr>
            </w:pPr>
            <w:r>
              <w:rPr>
                <w:spacing w:val="-3"/>
                <w:sz w:val="21"/>
              </w:rPr>
              <w:t>疾病或外伤所致智力障碍</w:t>
            </w:r>
          </w:p>
        </w:tc>
        <w:tc>
          <w:tcPr>
            <w:tcW w:w="712" w:type="dxa"/>
            <w:tcBorders>
              <w:left w:val="single" w:sz="4" w:space="0" w:color="000000"/>
            </w:tcBorders>
          </w:tcPr>
          <w:p>
            <w:pPr>
              <w:pStyle w:val="TableParagraph"/>
              <w:ind w:right="100"/>
              <w:jc w:val="right"/>
              <w:rPr>
                <w:sz w:val="21"/>
              </w:rPr>
            </w:pPr>
            <w:r>
              <w:rPr>
                <w:spacing w:val="-5"/>
                <w:sz w:val="21"/>
              </w:rPr>
              <w:t>110</w:t>
            </w:r>
          </w:p>
        </w:tc>
        <w:tc>
          <w:tcPr>
            <w:tcW w:w="4051" w:type="dxa"/>
          </w:tcPr>
          <w:p>
            <w:pPr>
              <w:pStyle w:val="TableParagraph"/>
              <w:ind w:left="106"/>
              <w:rPr>
                <w:sz w:val="21"/>
              </w:rPr>
            </w:pPr>
            <w:r>
              <w:rPr>
                <w:spacing w:val="-4"/>
                <w:sz w:val="21"/>
              </w:rPr>
              <w:t>严重气性坏疽</w:t>
            </w:r>
          </w:p>
        </w:tc>
      </w:tr>
      <w:tr>
        <w:trPr>
          <w:trHeight w:val="316" w:hRule="atLeast"/>
        </w:trPr>
        <w:tc>
          <w:tcPr>
            <w:tcW w:w="601" w:type="dxa"/>
          </w:tcPr>
          <w:p>
            <w:pPr>
              <w:pStyle w:val="TableParagraph"/>
              <w:ind w:right="108"/>
              <w:jc w:val="right"/>
              <w:rPr>
                <w:sz w:val="21"/>
              </w:rPr>
            </w:pPr>
            <w:r>
              <w:rPr>
                <w:spacing w:val="-5"/>
                <w:sz w:val="21"/>
              </w:rPr>
              <w:t>90</w:t>
            </w:r>
          </w:p>
        </w:tc>
        <w:tc>
          <w:tcPr>
            <w:tcW w:w="4077" w:type="dxa"/>
            <w:tcBorders>
              <w:right w:val="single" w:sz="4" w:space="0" w:color="000000"/>
            </w:tcBorders>
          </w:tcPr>
          <w:p>
            <w:pPr>
              <w:pStyle w:val="TableParagraph"/>
              <w:ind w:left="101"/>
              <w:rPr>
                <w:sz w:val="21"/>
              </w:rPr>
            </w:pPr>
            <w:r>
              <w:rPr>
                <w:spacing w:val="-3"/>
                <w:sz w:val="21"/>
              </w:rPr>
              <w:t>严重小肠损害并发症</w:t>
            </w:r>
          </w:p>
        </w:tc>
        <w:tc>
          <w:tcPr>
            <w:tcW w:w="712" w:type="dxa"/>
            <w:tcBorders>
              <w:left w:val="single" w:sz="4" w:space="0" w:color="000000"/>
            </w:tcBorders>
          </w:tcPr>
          <w:p>
            <w:pPr>
              <w:pStyle w:val="TableParagraph"/>
              <w:ind w:right="100"/>
              <w:jc w:val="right"/>
              <w:rPr>
                <w:sz w:val="21"/>
              </w:rPr>
            </w:pPr>
            <w:r>
              <w:rPr>
                <w:spacing w:val="-5"/>
                <w:sz w:val="21"/>
              </w:rPr>
              <w:t>111</w:t>
            </w:r>
          </w:p>
        </w:tc>
        <w:tc>
          <w:tcPr>
            <w:tcW w:w="4051" w:type="dxa"/>
          </w:tcPr>
          <w:p>
            <w:pPr>
              <w:pStyle w:val="TableParagraph"/>
              <w:ind w:left="106"/>
              <w:rPr>
                <w:sz w:val="21"/>
              </w:rPr>
            </w:pPr>
            <w:r>
              <w:rPr>
                <w:spacing w:val="-3"/>
                <w:sz w:val="21"/>
              </w:rPr>
              <w:t>进行性风疹性全脑炎</w:t>
            </w:r>
          </w:p>
        </w:tc>
      </w:tr>
      <w:tr>
        <w:trPr>
          <w:trHeight w:val="317" w:hRule="atLeast"/>
        </w:trPr>
        <w:tc>
          <w:tcPr>
            <w:tcW w:w="601" w:type="dxa"/>
          </w:tcPr>
          <w:p>
            <w:pPr>
              <w:pStyle w:val="TableParagraph"/>
              <w:ind w:right="108"/>
              <w:jc w:val="right"/>
              <w:rPr>
                <w:sz w:val="21"/>
              </w:rPr>
            </w:pPr>
            <w:r>
              <w:rPr>
                <w:spacing w:val="-5"/>
                <w:sz w:val="21"/>
              </w:rPr>
              <w:t>91</w:t>
            </w:r>
          </w:p>
        </w:tc>
        <w:tc>
          <w:tcPr>
            <w:tcW w:w="4077" w:type="dxa"/>
            <w:tcBorders>
              <w:right w:val="single" w:sz="4" w:space="0" w:color="000000"/>
            </w:tcBorders>
          </w:tcPr>
          <w:p>
            <w:pPr>
              <w:pStyle w:val="TableParagraph"/>
              <w:ind w:left="101"/>
              <w:rPr>
                <w:sz w:val="21"/>
              </w:rPr>
            </w:pPr>
            <w:r>
              <w:rPr>
                <w:spacing w:val="-4"/>
                <w:sz w:val="21"/>
              </w:rPr>
              <w:t>严重瑞氏综合征</w:t>
            </w:r>
          </w:p>
        </w:tc>
        <w:tc>
          <w:tcPr>
            <w:tcW w:w="712" w:type="dxa"/>
            <w:tcBorders>
              <w:left w:val="single" w:sz="4" w:space="0" w:color="000000"/>
            </w:tcBorders>
          </w:tcPr>
          <w:p>
            <w:pPr>
              <w:pStyle w:val="TableParagraph"/>
              <w:ind w:right="100"/>
              <w:jc w:val="right"/>
              <w:rPr>
                <w:sz w:val="21"/>
              </w:rPr>
            </w:pPr>
            <w:r>
              <w:rPr>
                <w:spacing w:val="-5"/>
                <w:sz w:val="21"/>
              </w:rPr>
              <w:t>112</w:t>
            </w:r>
          </w:p>
        </w:tc>
        <w:tc>
          <w:tcPr>
            <w:tcW w:w="4051" w:type="dxa"/>
          </w:tcPr>
          <w:p>
            <w:pPr>
              <w:pStyle w:val="TableParagraph"/>
              <w:ind w:left="106"/>
              <w:rPr>
                <w:sz w:val="21"/>
              </w:rPr>
            </w:pPr>
            <w:r>
              <w:rPr>
                <w:spacing w:val="-3"/>
                <w:sz w:val="21"/>
              </w:rPr>
              <w:t>多处臂丛神经根性撕脱</w:t>
            </w:r>
          </w:p>
        </w:tc>
      </w:tr>
      <w:tr>
        <w:trPr>
          <w:trHeight w:val="317" w:hRule="atLeast"/>
        </w:trPr>
        <w:tc>
          <w:tcPr>
            <w:tcW w:w="601" w:type="dxa"/>
          </w:tcPr>
          <w:p>
            <w:pPr>
              <w:pStyle w:val="TableParagraph"/>
              <w:ind w:right="108"/>
              <w:jc w:val="right"/>
              <w:rPr>
                <w:sz w:val="21"/>
              </w:rPr>
            </w:pPr>
            <w:r>
              <w:rPr>
                <w:spacing w:val="-5"/>
                <w:sz w:val="21"/>
              </w:rPr>
              <w:t>92</w:t>
            </w:r>
          </w:p>
        </w:tc>
        <w:tc>
          <w:tcPr>
            <w:tcW w:w="4077" w:type="dxa"/>
            <w:tcBorders>
              <w:right w:val="single" w:sz="4" w:space="0" w:color="000000"/>
            </w:tcBorders>
          </w:tcPr>
          <w:p>
            <w:pPr>
              <w:pStyle w:val="TableParagraph"/>
              <w:ind w:left="101"/>
              <w:rPr>
                <w:sz w:val="21"/>
              </w:rPr>
            </w:pPr>
            <w:r>
              <w:rPr>
                <w:spacing w:val="-2"/>
                <w:sz w:val="21"/>
              </w:rPr>
              <w:t>急性呼吸窘迫综合征（ARDS）</w:t>
            </w:r>
          </w:p>
        </w:tc>
        <w:tc>
          <w:tcPr>
            <w:tcW w:w="712" w:type="dxa"/>
            <w:tcBorders>
              <w:left w:val="single" w:sz="4" w:space="0" w:color="000000"/>
            </w:tcBorders>
          </w:tcPr>
          <w:p>
            <w:pPr>
              <w:pStyle w:val="TableParagraph"/>
              <w:ind w:right="100"/>
              <w:jc w:val="right"/>
              <w:rPr>
                <w:sz w:val="21"/>
              </w:rPr>
            </w:pPr>
            <w:r>
              <w:rPr>
                <w:spacing w:val="-5"/>
                <w:sz w:val="21"/>
              </w:rPr>
              <w:t>113</w:t>
            </w:r>
          </w:p>
        </w:tc>
        <w:tc>
          <w:tcPr>
            <w:tcW w:w="4051" w:type="dxa"/>
          </w:tcPr>
          <w:p>
            <w:pPr>
              <w:pStyle w:val="TableParagraph"/>
              <w:ind w:left="106"/>
              <w:rPr>
                <w:sz w:val="21"/>
              </w:rPr>
            </w:pPr>
            <w:r>
              <w:rPr>
                <w:spacing w:val="-4"/>
                <w:sz w:val="21"/>
              </w:rPr>
              <w:t>皮质基底节变性</w:t>
            </w:r>
          </w:p>
        </w:tc>
      </w:tr>
      <w:tr>
        <w:trPr>
          <w:trHeight w:val="316" w:hRule="atLeast"/>
        </w:trPr>
        <w:tc>
          <w:tcPr>
            <w:tcW w:w="601" w:type="dxa"/>
          </w:tcPr>
          <w:p>
            <w:pPr>
              <w:pStyle w:val="TableParagraph"/>
              <w:ind w:right="108"/>
              <w:jc w:val="right"/>
              <w:rPr>
                <w:sz w:val="21"/>
              </w:rPr>
            </w:pPr>
            <w:r>
              <w:rPr>
                <w:spacing w:val="-5"/>
                <w:sz w:val="21"/>
              </w:rPr>
              <w:t>93</w:t>
            </w:r>
          </w:p>
        </w:tc>
        <w:tc>
          <w:tcPr>
            <w:tcW w:w="4077" w:type="dxa"/>
            <w:tcBorders>
              <w:right w:val="single" w:sz="4" w:space="0" w:color="000000"/>
            </w:tcBorders>
          </w:tcPr>
          <w:p>
            <w:pPr>
              <w:pStyle w:val="TableParagraph"/>
              <w:ind w:left="101"/>
              <w:rPr>
                <w:sz w:val="21"/>
              </w:rPr>
            </w:pPr>
            <w:r>
              <w:rPr>
                <w:spacing w:val="-4"/>
                <w:sz w:val="21"/>
              </w:rPr>
              <w:t>溶血性尿毒综合征</w:t>
            </w:r>
          </w:p>
        </w:tc>
        <w:tc>
          <w:tcPr>
            <w:tcW w:w="712" w:type="dxa"/>
            <w:tcBorders>
              <w:left w:val="single" w:sz="4" w:space="0" w:color="000000"/>
            </w:tcBorders>
          </w:tcPr>
          <w:p>
            <w:pPr>
              <w:pStyle w:val="TableParagraph"/>
              <w:ind w:right="100"/>
              <w:jc w:val="right"/>
              <w:rPr>
                <w:sz w:val="21"/>
              </w:rPr>
            </w:pPr>
            <w:r>
              <w:rPr>
                <w:spacing w:val="-5"/>
                <w:sz w:val="21"/>
              </w:rPr>
              <w:t>114</w:t>
            </w:r>
          </w:p>
        </w:tc>
        <w:tc>
          <w:tcPr>
            <w:tcW w:w="4051" w:type="dxa"/>
          </w:tcPr>
          <w:p>
            <w:pPr>
              <w:pStyle w:val="TableParagraph"/>
              <w:ind w:left="106"/>
              <w:rPr>
                <w:sz w:val="21"/>
              </w:rPr>
            </w:pPr>
            <w:r>
              <w:rPr>
                <w:spacing w:val="-3"/>
                <w:sz w:val="21"/>
              </w:rPr>
              <w:t>糖尿病导致双足截除</w:t>
            </w:r>
          </w:p>
        </w:tc>
      </w:tr>
      <w:tr>
        <w:trPr>
          <w:trHeight w:val="316" w:hRule="atLeast"/>
        </w:trPr>
        <w:tc>
          <w:tcPr>
            <w:tcW w:w="601" w:type="dxa"/>
          </w:tcPr>
          <w:p>
            <w:pPr>
              <w:pStyle w:val="TableParagraph"/>
              <w:ind w:right="108"/>
              <w:jc w:val="right"/>
              <w:rPr>
                <w:sz w:val="21"/>
              </w:rPr>
            </w:pPr>
            <w:r>
              <w:rPr>
                <w:spacing w:val="-5"/>
                <w:sz w:val="21"/>
              </w:rPr>
              <w:t>94</w:t>
            </w:r>
          </w:p>
        </w:tc>
        <w:tc>
          <w:tcPr>
            <w:tcW w:w="4077" w:type="dxa"/>
            <w:tcBorders>
              <w:right w:val="single" w:sz="4" w:space="0" w:color="000000"/>
            </w:tcBorders>
          </w:tcPr>
          <w:p>
            <w:pPr>
              <w:pStyle w:val="TableParagraph"/>
              <w:ind w:left="101"/>
              <w:rPr>
                <w:sz w:val="21"/>
              </w:rPr>
            </w:pPr>
            <w:r>
              <w:rPr>
                <w:spacing w:val="-4"/>
                <w:sz w:val="21"/>
              </w:rPr>
              <w:t>严重登革出血热</w:t>
            </w:r>
          </w:p>
        </w:tc>
        <w:tc>
          <w:tcPr>
            <w:tcW w:w="712" w:type="dxa"/>
            <w:tcBorders>
              <w:left w:val="single" w:sz="4" w:space="0" w:color="000000"/>
            </w:tcBorders>
          </w:tcPr>
          <w:p>
            <w:pPr>
              <w:pStyle w:val="TableParagraph"/>
              <w:ind w:right="100"/>
              <w:jc w:val="right"/>
              <w:rPr>
                <w:sz w:val="21"/>
              </w:rPr>
            </w:pPr>
            <w:r>
              <w:rPr>
                <w:spacing w:val="-5"/>
                <w:sz w:val="21"/>
              </w:rPr>
              <w:t>115</w:t>
            </w:r>
          </w:p>
        </w:tc>
        <w:tc>
          <w:tcPr>
            <w:tcW w:w="4051" w:type="dxa"/>
          </w:tcPr>
          <w:p>
            <w:pPr>
              <w:pStyle w:val="TableParagraph"/>
              <w:ind w:left="106"/>
              <w:rPr>
                <w:sz w:val="21"/>
              </w:rPr>
            </w:pPr>
            <w:r>
              <w:rPr>
                <w:spacing w:val="-4"/>
                <w:sz w:val="21"/>
              </w:rPr>
              <w:t>闭锁综合征</w:t>
            </w:r>
          </w:p>
        </w:tc>
      </w:tr>
      <w:tr>
        <w:trPr>
          <w:trHeight w:val="316" w:hRule="atLeast"/>
        </w:trPr>
        <w:tc>
          <w:tcPr>
            <w:tcW w:w="601" w:type="dxa"/>
          </w:tcPr>
          <w:p>
            <w:pPr>
              <w:pStyle w:val="TableParagraph"/>
              <w:ind w:right="108"/>
              <w:jc w:val="right"/>
              <w:rPr>
                <w:sz w:val="21"/>
              </w:rPr>
            </w:pPr>
            <w:r>
              <w:rPr>
                <w:spacing w:val="-5"/>
                <w:sz w:val="21"/>
              </w:rPr>
              <w:t>95</w:t>
            </w:r>
          </w:p>
        </w:tc>
        <w:tc>
          <w:tcPr>
            <w:tcW w:w="4077" w:type="dxa"/>
            <w:tcBorders>
              <w:right w:val="single" w:sz="4" w:space="0" w:color="000000"/>
            </w:tcBorders>
          </w:tcPr>
          <w:p>
            <w:pPr>
              <w:pStyle w:val="TableParagraph"/>
              <w:ind w:left="101"/>
              <w:rPr>
                <w:sz w:val="21"/>
              </w:rPr>
            </w:pPr>
            <w:r>
              <w:rPr>
                <w:spacing w:val="-4"/>
                <w:sz w:val="21"/>
              </w:rPr>
              <w:t>严重癫痫症</w:t>
            </w:r>
          </w:p>
        </w:tc>
        <w:tc>
          <w:tcPr>
            <w:tcW w:w="712" w:type="dxa"/>
            <w:tcBorders>
              <w:left w:val="single" w:sz="4" w:space="0" w:color="000000"/>
            </w:tcBorders>
          </w:tcPr>
          <w:p>
            <w:pPr>
              <w:pStyle w:val="TableParagraph"/>
              <w:ind w:right="100"/>
              <w:jc w:val="right"/>
              <w:rPr>
                <w:sz w:val="21"/>
              </w:rPr>
            </w:pPr>
            <w:r>
              <w:rPr>
                <w:spacing w:val="-5"/>
                <w:sz w:val="21"/>
              </w:rPr>
              <w:t>116</w:t>
            </w:r>
          </w:p>
        </w:tc>
        <w:tc>
          <w:tcPr>
            <w:tcW w:w="4051" w:type="dxa"/>
          </w:tcPr>
          <w:p>
            <w:pPr>
              <w:pStyle w:val="TableParagraph"/>
              <w:ind w:left="106"/>
              <w:rPr>
                <w:sz w:val="21"/>
              </w:rPr>
            </w:pPr>
            <w:r>
              <w:rPr>
                <w:spacing w:val="-4"/>
                <w:sz w:val="21"/>
              </w:rPr>
              <w:t>严重巨细胞动脉炎</w:t>
            </w:r>
          </w:p>
        </w:tc>
      </w:tr>
      <w:tr>
        <w:trPr>
          <w:trHeight w:val="316" w:hRule="atLeast"/>
        </w:trPr>
        <w:tc>
          <w:tcPr>
            <w:tcW w:w="601" w:type="dxa"/>
          </w:tcPr>
          <w:p>
            <w:pPr>
              <w:pStyle w:val="TableParagraph"/>
              <w:ind w:right="108"/>
              <w:jc w:val="right"/>
              <w:rPr>
                <w:sz w:val="21"/>
              </w:rPr>
            </w:pPr>
            <w:r>
              <w:rPr>
                <w:spacing w:val="-5"/>
                <w:sz w:val="21"/>
              </w:rPr>
              <w:t>96</w:t>
            </w:r>
          </w:p>
        </w:tc>
        <w:tc>
          <w:tcPr>
            <w:tcW w:w="4077" w:type="dxa"/>
            <w:tcBorders>
              <w:right w:val="single" w:sz="4" w:space="0" w:color="000000"/>
            </w:tcBorders>
          </w:tcPr>
          <w:p>
            <w:pPr>
              <w:pStyle w:val="TableParagraph"/>
              <w:ind w:left="101"/>
              <w:rPr>
                <w:sz w:val="21"/>
              </w:rPr>
            </w:pPr>
            <w:r>
              <w:rPr>
                <w:spacing w:val="-3"/>
                <w:sz w:val="21"/>
              </w:rPr>
              <w:t>左室室壁瘤切除手术</w:t>
            </w:r>
          </w:p>
        </w:tc>
        <w:tc>
          <w:tcPr>
            <w:tcW w:w="712" w:type="dxa"/>
            <w:tcBorders>
              <w:left w:val="single" w:sz="4" w:space="0" w:color="000000"/>
            </w:tcBorders>
          </w:tcPr>
          <w:p>
            <w:pPr>
              <w:pStyle w:val="TableParagraph"/>
              <w:ind w:right="100"/>
              <w:jc w:val="right"/>
              <w:rPr>
                <w:sz w:val="21"/>
              </w:rPr>
            </w:pPr>
            <w:r>
              <w:rPr>
                <w:spacing w:val="-5"/>
                <w:sz w:val="21"/>
              </w:rPr>
              <w:t>117</w:t>
            </w:r>
          </w:p>
        </w:tc>
        <w:tc>
          <w:tcPr>
            <w:tcW w:w="4051" w:type="dxa"/>
          </w:tcPr>
          <w:p>
            <w:pPr>
              <w:pStyle w:val="TableParagraph"/>
              <w:ind w:left="106"/>
              <w:rPr>
                <w:sz w:val="21"/>
              </w:rPr>
            </w:pPr>
            <w:r>
              <w:rPr>
                <w:spacing w:val="-4"/>
                <w:sz w:val="21"/>
              </w:rPr>
              <w:t>肺孢子菌肺炎</w:t>
            </w:r>
          </w:p>
        </w:tc>
      </w:tr>
      <w:tr>
        <w:trPr>
          <w:trHeight w:val="317" w:hRule="atLeast"/>
        </w:trPr>
        <w:tc>
          <w:tcPr>
            <w:tcW w:w="601" w:type="dxa"/>
          </w:tcPr>
          <w:p>
            <w:pPr>
              <w:pStyle w:val="TableParagraph"/>
              <w:ind w:right="108"/>
              <w:jc w:val="right"/>
              <w:rPr>
                <w:sz w:val="21"/>
              </w:rPr>
            </w:pPr>
            <w:r>
              <w:rPr>
                <w:spacing w:val="-5"/>
                <w:sz w:val="21"/>
              </w:rPr>
              <w:t>97</w:t>
            </w:r>
          </w:p>
        </w:tc>
        <w:tc>
          <w:tcPr>
            <w:tcW w:w="4077" w:type="dxa"/>
            <w:tcBorders>
              <w:right w:val="single" w:sz="4" w:space="0" w:color="000000"/>
            </w:tcBorders>
          </w:tcPr>
          <w:p>
            <w:pPr>
              <w:pStyle w:val="TableParagraph"/>
              <w:ind w:left="101"/>
              <w:rPr>
                <w:sz w:val="21"/>
              </w:rPr>
            </w:pPr>
            <w:r>
              <w:rPr>
                <w:spacing w:val="-2"/>
                <w:sz w:val="21"/>
              </w:rPr>
              <w:t>侵蚀性葡萄胎（或称恶性葡萄胎</w:t>
            </w:r>
            <w:r>
              <w:rPr>
                <w:spacing w:val="-10"/>
                <w:sz w:val="21"/>
              </w:rPr>
              <w:t>）</w:t>
            </w:r>
          </w:p>
        </w:tc>
        <w:tc>
          <w:tcPr>
            <w:tcW w:w="712" w:type="dxa"/>
            <w:tcBorders>
              <w:left w:val="single" w:sz="4" w:space="0" w:color="000000"/>
            </w:tcBorders>
          </w:tcPr>
          <w:p>
            <w:pPr>
              <w:pStyle w:val="TableParagraph"/>
              <w:ind w:right="100"/>
              <w:jc w:val="right"/>
              <w:rPr>
                <w:sz w:val="21"/>
              </w:rPr>
            </w:pPr>
            <w:r>
              <w:rPr>
                <w:spacing w:val="-5"/>
                <w:sz w:val="21"/>
              </w:rPr>
              <w:t>118</w:t>
            </w:r>
          </w:p>
        </w:tc>
        <w:tc>
          <w:tcPr>
            <w:tcW w:w="4051" w:type="dxa"/>
          </w:tcPr>
          <w:p>
            <w:pPr>
              <w:pStyle w:val="TableParagraph"/>
              <w:ind w:left="106"/>
              <w:rPr>
                <w:sz w:val="21"/>
              </w:rPr>
            </w:pPr>
            <w:r>
              <w:rPr>
                <w:spacing w:val="-3"/>
                <w:sz w:val="21"/>
              </w:rPr>
              <w:t>湿性年龄相关性黄斑变性</w:t>
            </w:r>
          </w:p>
        </w:tc>
      </w:tr>
      <w:tr>
        <w:trPr>
          <w:trHeight w:val="318" w:hRule="atLeast"/>
        </w:trPr>
        <w:tc>
          <w:tcPr>
            <w:tcW w:w="601" w:type="dxa"/>
          </w:tcPr>
          <w:p>
            <w:pPr>
              <w:pStyle w:val="TableParagraph"/>
              <w:spacing w:before="25"/>
              <w:ind w:right="108"/>
              <w:jc w:val="right"/>
              <w:rPr>
                <w:sz w:val="21"/>
              </w:rPr>
            </w:pPr>
            <w:r>
              <w:rPr>
                <w:spacing w:val="-5"/>
                <w:sz w:val="21"/>
              </w:rPr>
              <w:t>98</w:t>
            </w:r>
          </w:p>
        </w:tc>
        <w:tc>
          <w:tcPr>
            <w:tcW w:w="4077" w:type="dxa"/>
            <w:tcBorders>
              <w:right w:val="single" w:sz="4" w:space="0" w:color="000000"/>
            </w:tcBorders>
          </w:tcPr>
          <w:p>
            <w:pPr>
              <w:pStyle w:val="TableParagraph"/>
              <w:spacing w:before="25"/>
              <w:ind w:left="101"/>
              <w:rPr>
                <w:sz w:val="21"/>
              </w:rPr>
            </w:pPr>
            <w:r>
              <w:rPr>
                <w:spacing w:val="-3"/>
                <w:sz w:val="21"/>
              </w:rPr>
              <w:t>严重感染性心内膜炎</w:t>
            </w:r>
          </w:p>
        </w:tc>
        <w:tc>
          <w:tcPr>
            <w:tcW w:w="712" w:type="dxa"/>
            <w:tcBorders>
              <w:left w:val="single" w:sz="4" w:space="0" w:color="000000"/>
            </w:tcBorders>
          </w:tcPr>
          <w:p>
            <w:pPr>
              <w:pStyle w:val="TableParagraph"/>
              <w:spacing w:before="25"/>
              <w:ind w:right="100"/>
              <w:jc w:val="right"/>
              <w:rPr>
                <w:sz w:val="21"/>
              </w:rPr>
            </w:pPr>
            <w:r>
              <w:rPr>
                <w:spacing w:val="-5"/>
                <w:sz w:val="21"/>
              </w:rPr>
              <w:t>119</w:t>
            </w:r>
          </w:p>
        </w:tc>
        <w:tc>
          <w:tcPr>
            <w:tcW w:w="4051" w:type="dxa"/>
          </w:tcPr>
          <w:p>
            <w:pPr>
              <w:pStyle w:val="TableParagraph"/>
              <w:spacing w:before="25"/>
              <w:ind w:left="106"/>
              <w:rPr>
                <w:sz w:val="21"/>
              </w:rPr>
            </w:pPr>
            <w:r>
              <w:rPr>
                <w:spacing w:val="-3"/>
                <w:sz w:val="21"/>
              </w:rPr>
              <w:t>异染性脑白质营养不良</w:t>
            </w:r>
          </w:p>
        </w:tc>
      </w:tr>
      <w:tr>
        <w:trPr>
          <w:trHeight w:val="316" w:hRule="atLeast"/>
        </w:trPr>
        <w:tc>
          <w:tcPr>
            <w:tcW w:w="601" w:type="dxa"/>
          </w:tcPr>
          <w:p>
            <w:pPr>
              <w:pStyle w:val="TableParagraph"/>
              <w:ind w:right="108"/>
              <w:jc w:val="right"/>
              <w:rPr>
                <w:sz w:val="21"/>
              </w:rPr>
            </w:pPr>
            <w:r>
              <w:rPr>
                <w:spacing w:val="-5"/>
                <w:sz w:val="21"/>
              </w:rPr>
              <w:t>99</w:t>
            </w:r>
          </w:p>
        </w:tc>
        <w:tc>
          <w:tcPr>
            <w:tcW w:w="4077" w:type="dxa"/>
            <w:tcBorders>
              <w:right w:val="single" w:sz="4" w:space="0" w:color="000000"/>
            </w:tcBorders>
          </w:tcPr>
          <w:p>
            <w:pPr>
              <w:pStyle w:val="TableParagraph"/>
              <w:ind w:left="101"/>
              <w:rPr>
                <w:sz w:val="21"/>
              </w:rPr>
            </w:pPr>
            <w:r>
              <w:rPr>
                <w:spacing w:val="-3"/>
                <w:sz w:val="21"/>
              </w:rPr>
              <w:t>肺泡蛋白质沉积症全肺灌洗治疗</w:t>
            </w:r>
          </w:p>
        </w:tc>
        <w:tc>
          <w:tcPr>
            <w:tcW w:w="712" w:type="dxa"/>
            <w:tcBorders>
              <w:left w:val="single" w:sz="4" w:space="0" w:color="000000"/>
            </w:tcBorders>
          </w:tcPr>
          <w:p>
            <w:pPr>
              <w:pStyle w:val="TableParagraph"/>
              <w:ind w:right="100"/>
              <w:jc w:val="right"/>
              <w:rPr>
                <w:sz w:val="21"/>
              </w:rPr>
            </w:pPr>
            <w:r>
              <w:rPr>
                <w:spacing w:val="-5"/>
                <w:sz w:val="21"/>
              </w:rPr>
              <w:t>120</w:t>
            </w:r>
          </w:p>
        </w:tc>
        <w:tc>
          <w:tcPr>
            <w:tcW w:w="4051" w:type="dxa"/>
          </w:tcPr>
          <w:p>
            <w:pPr>
              <w:pStyle w:val="TableParagraph"/>
              <w:ind w:left="106"/>
              <w:rPr>
                <w:sz w:val="21"/>
              </w:rPr>
            </w:pPr>
            <w:r>
              <w:rPr>
                <w:spacing w:val="-4"/>
                <w:sz w:val="21"/>
              </w:rPr>
              <w:t>严重斯蒂尔病</w:t>
            </w:r>
          </w:p>
        </w:tc>
      </w:tr>
      <w:tr>
        <w:trPr>
          <w:trHeight w:val="318" w:hRule="atLeast"/>
        </w:trPr>
        <w:tc>
          <w:tcPr>
            <w:tcW w:w="601" w:type="dxa"/>
            <w:tcBorders>
              <w:bottom w:val="single" w:sz="4" w:space="0" w:color="000000"/>
            </w:tcBorders>
          </w:tcPr>
          <w:p>
            <w:pPr>
              <w:pStyle w:val="TableParagraph"/>
              <w:ind w:right="104"/>
              <w:jc w:val="right"/>
              <w:rPr>
                <w:sz w:val="21"/>
              </w:rPr>
            </w:pPr>
            <w:r>
              <w:rPr>
                <w:spacing w:val="-5"/>
                <w:sz w:val="21"/>
              </w:rPr>
              <w:t>100</w:t>
            </w:r>
          </w:p>
        </w:tc>
        <w:tc>
          <w:tcPr>
            <w:tcW w:w="4077" w:type="dxa"/>
            <w:tcBorders>
              <w:bottom w:val="single" w:sz="4" w:space="0" w:color="000000"/>
              <w:right w:val="single" w:sz="4" w:space="0" w:color="000000"/>
            </w:tcBorders>
          </w:tcPr>
          <w:p>
            <w:pPr>
              <w:pStyle w:val="TableParagraph"/>
              <w:ind w:left="101"/>
              <w:rPr>
                <w:sz w:val="21"/>
              </w:rPr>
            </w:pPr>
            <w:r>
              <w:rPr>
                <w:spacing w:val="-4"/>
                <w:sz w:val="21"/>
              </w:rPr>
              <w:t>严重面部烧伤</w:t>
            </w:r>
          </w:p>
        </w:tc>
        <w:tc>
          <w:tcPr>
            <w:tcW w:w="712" w:type="dxa"/>
            <w:tcBorders>
              <w:left w:val="single" w:sz="4" w:space="0" w:color="000000"/>
              <w:bottom w:val="single" w:sz="4" w:space="0" w:color="000000"/>
            </w:tcBorders>
          </w:tcPr>
          <w:p>
            <w:pPr>
              <w:pStyle w:val="TableParagraph"/>
              <w:spacing w:before="0"/>
              <w:rPr>
                <w:rFonts w:ascii="Times New Roman"/>
                <w:sz w:val="20"/>
              </w:rPr>
            </w:pPr>
          </w:p>
        </w:tc>
        <w:tc>
          <w:tcPr>
            <w:tcW w:w="4051" w:type="dxa"/>
            <w:tcBorders>
              <w:bottom w:val="single" w:sz="4" w:space="0" w:color="000000"/>
            </w:tcBorders>
          </w:tcPr>
          <w:p>
            <w:pPr>
              <w:pStyle w:val="TableParagraph"/>
              <w:spacing w:before="0"/>
              <w:rPr>
                <w:rFonts w:ascii="Times New Roman"/>
                <w:sz w:val="20"/>
              </w:rPr>
            </w:pPr>
          </w:p>
        </w:tc>
      </w:tr>
    </w:tbl>
    <w:p>
      <w:pPr>
        <w:pStyle w:val="BodyText"/>
        <w:spacing w:before="166"/>
        <w:ind w:left="629"/>
      </w:pPr>
      <w:r>
        <w:rPr>
          <w:spacing w:val="-2"/>
        </w:rPr>
        <w:t>（此页正文完</w:t>
      </w:r>
      <w:r>
        <w:rPr>
          <w:spacing w:val="-12"/>
        </w:rPr>
        <w:t>）</w:t>
      </w:r>
    </w:p>
    <w:p>
      <w:pPr>
        <w:spacing w:after="0"/>
        <w:sectPr>
          <w:footerReference w:type="default" r:id="rId18"/>
          <w:pgSz w:w="11910" w:h="16840"/>
          <w:pgMar w:footer="574" w:header="0" w:top="1080" w:bottom="760" w:left="720" w:right="340"/>
        </w:sectPr>
      </w:pPr>
    </w:p>
    <w:p>
      <w:pPr>
        <w:pStyle w:val="Heading1"/>
        <w:numPr>
          <w:ilvl w:val="0"/>
          <w:numId w:val="3"/>
        </w:numPr>
        <w:tabs>
          <w:tab w:pos="1181" w:val="left" w:leader="none"/>
          <w:tab w:pos="1182" w:val="left" w:leader="none"/>
        </w:tabs>
        <w:spacing w:line="422" w:lineRule="exact" w:before="0" w:after="4"/>
        <w:ind w:left="1181" w:right="0" w:hanging="661"/>
        <w:jc w:val="left"/>
      </w:pPr>
      <w:r>
        <w:rPr>
          <w:spacing w:val="-2"/>
        </w:rPr>
        <w:t>什么情况我们不赔</w:t>
      </w:r>
    </w:p>
    <w:p>
      <w:pPr>
        <w:pStyle w:val="BodyText"/>
        <w:spacing w:line="20" w:lineRule="exact"/>
        <w:ind w:left="412"/>
        <w:rPr>
          <w:rFonts w:ascii="微软雅黑"/>
          <w:sz w:val="2"/>
        </w:rPr>
      </w:pPr>
      <w:r>
        <w:rPr>
          <w:rFonts w:ascii="微软雅黑"/>
          <w:sz w:val="2"/>
        </w:rPr>
        <w:drawing>
          <wp:inline distT="0" distB="0" distL="0" distR="0">
            <wp:extent cx="6356665" cy="12287"/>
            <wp:effectExtent l="0" t="0" r="0" b="0"/>
            <wp:docPr id="29" name="image12.png"/>
            <wp:cNvGraphicFramePr>
              <a:graphicFrameLocks noChangeAspect="1"/>
            </wp:cNvGraphicFramePr>
            <a:graphic>
              <a:graphicData uri="http://schemas.openxmlformats.org/drawingml/2006/picture">
                <pic:pic>
                  <pic:nvPicPr>
                    <pic:cNvPr id="30" name="image12.png"/>
                    <pic:cNvPicPr/>
                  </pic:nvPicPr>
                  <pic:blipFill>
                    <a:blip r:embed="rId19" cstate="print"/>
                    <a:stretch>
                      <a:fillRect/>
                    </a:stretch>
                  </pic:blipFill>
                  <pic:spPr>
                    <a:xfrm>
                      <a:off x="0" y="0"/>
                      <a:ext cx="6356665" cy="12287"/>
                    </a:xfrm>
                    <a:prstGeom prst="rect">
                      <a:avLst/>
                    </a:prstGeom>
                  </pic:spPr>
                </pic:pic>
              </a:graphicData>
            </a:graphic>
          </wp:inline>
        </w:drawing>
      </w:r>
      <w:r>
        <w:rPr>
          <w:rFonts w:ascii="微软雅黑"/>
          <w:sz w:val="2"/>
        </w:rPr>
      </w:r>
    </w:p>
    <w:p>
      <w:pPr>
        <w:pStyle w:val="ListParagraph"/>
        <w:numPr>
          <w:ilvl w:val="1"/>
          <w:numId w:val="3"/>
        </w:numPr>
        <w:tabs>
          <w:tab w:pos="1182" w:val="left" w:leader="none"/>
          <w:tab w:pos="2731" w:val="left" w:leader="none"/>
        </w:tabs>
        <w:spacing w:line="220" w:lineRule="auto" w:before="186" w:after="0"/>
        <w:ind w:left="2731" w:right="599" w:hanging="2211"/>
        <w:jc w:val="both"/>
        <w:rPr>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w:t>
      </w:r>
      <w:r>
        <w:rPr>
          <w:rFonts w:ascii="微软雅黑" w:eastAsia="微软雅黑"/>
          <w:b/>
          <w:spacing w:val="-4"/>
          <w:sz w:val="21"/>
        </w:rPr>
        <w:t>除</w:t>
      </w:r>
      <w:r>
        <w:rPr>
          <w:rFonts w:ascii="微软雅黑" w:eastAsia="微软雅黑"/>
          <w:b/>
          <w:sz w:val="21"/>
        </w:rPr>
        <w:tab/>
      </w:r>
      <w:r>
        <w:rPr>
          <w:spacing w:val="-2"/>
          <w:sz w:val="21"/>
        </w:rPr>
        <w:t>因</w:t>
      </w:r>
      <w:r>
        <w:rPr>
          <w:spacing w:val="-2"/>
          <w:sz w:val="21"/>
        </w:rPr>
        <w:t>下</w:t>
      </w:r>
      <w:r>
        <w:rPr>
          <w:spacing w:val="-2"/>
          <w:sz w:val="21"/>
        </w:rPr>
        <w:t>列第（1）至第（9）</w:t>
      </w:r>
      <w:r>
        <w:rPr>
          <w:spacing w:val="-2"/>
          <w:sz w:val="21"/>
        </w:rPr>
        <w:t>项</w:t>
      </w:r>
      <w:r>
        <w:rPr>
          <w:spacing w:val="-2"/>
          <w:sz w:val="21"/>
        </w:rPr>
        <w:t>情</w:t>
      </w:r>
      <w:r>
        <w:rPr>
          <w:spacing w:val="-2"/>
          <w:sz w:val="21"/>
        </w:rPr>
        <w:t>形之一导致被保险人</w:t>
      </w:r>
      <w:r>
        <w:rPr>
          <w:spacing w:val="-2"/>
          <w:sz w:val="21"/>
        </w:rPr>
        <w:t>发</w:t>
      </w:r>
      <w:r>
        <w:rPr>
          <w:spacing w:val="-2"/>
          <w:sz w:val="21"/>
        </w:rPr>
        <w:t>生</w:t>
      </w:r>
      <w:r>
        <w:rPr>
          <w:spacing w:val="-2"/>
          <w:sz w:val="21"/>
        </w:rPr>
        <w:t>本合同定义的轻度疾病</w:t>
      </w:r>
      <w:r>
        <w:rPr>
          <w:spacing w:val="-2"/>
          <w:sz w:val="21"/>
        </w:rPr>
        <w:t>或</w:t>
      </w:r>
      <w:r>
        <w:rPr>
          <w:spacing w:val="-2"/>
          <w:sz w:val="21"/>
        </w:rPr>
        <w:t>者</w:t>
      </w:r>
      <w:r>
        <w:rPr>
          <w:spacing w:val="-2"/>
          <w:sz w:val="21"/>
        </w:rPr>
        <w:t>重</w:t>
      </w:r>
      <w:r>
        <w:rPr>
          <w:spacing w:val="-2"/>
          <w:sz w:val="21"/>
        </w:rPr>
        <w:t>大</w:t>
      </w:r>
      <w:r>
        <w:rPr>
          <w:spacing w:val="-2"/>
          <w:sz w:val="21"/>
        </w:rPr>
        <w:t>疾病的，我们不承担</w:t>
      </w:r>
      <w:r>
        <w:rPr>
          <w:spacing w:val="-2"/>
          <w:sz w:val="21"/>
        </w:rPr>
        <w:t>相</w:t>
      </w:r>
      <w:r>
        <w:rPr>
          <w:spacing w:val="-2"/>
          <w:sz w:val="21"/>
        </w:rPr>
        <w:t>应</w:t>
      </w:r>
      <w:r>
        <w:rPr>
          <w:spacing w:val="-2"/>
          <w:sz w:val="21"/>
        </w:rPr>
        <w:t>保险责任；因下列第（1）至第（7）项情形之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险人身故的，我们不</w:t>
      </w:r>
      <w:r>
        <w:rPr>
          <w:spacing w:val="-2"/>
          <w:sz w:val="21"/>
        </w:rPr>
        <w:t>承</w:t>
      </w:r>
      <w:r>
        <w:rPr>
          <w:spacing w:val="-2"/>
          <w:sz w:val="21"/>
        </w:rPr>
        <w:t>担</w:t>
      </w:r>
      <w:r>
        <w:rPr>
          <w:spacing w:val="-2"/>
          <w:sz w:val="21"/>
        </w:rPr>
        <w:t>给付身故保险金的责</w:t>
      </w:r>
      <w:r>
        <w:rPr>
          <w:spacing w:val="-2"/>
          <w:sz w:val="21"/>
        </w:rPr>
        <w:t>任</w:t>
      </w:r>
      <w:r>
        <w:rPr>
          <w:spacing w:val="-2"/>
          <w:sz w:val="21"/>
        </w:rPr>
        <w:t>：</w:t>
      </w:r>
    </w:p>
    <w:p>
      <w:pPr>
        <w:pStyle w:val="ListParagraph"/>
        <w:numPr>
          <w:ilvl w:val="2"/>
          <w:numId w:val="3"/>
        </w:numPr>
        <w:tabs>
          <w:tab w:pos="3467" w:val="left" w:leader="none"/>
        </w:tabs>
        <w:spacing w:line="240" w:lineRule="auto" w:before="89" w:after="0"/>
        <w:ind w:left="3466" w:right="0" w:hanging="736"/>
        <w:jc w:val="both"/>
        <w:rPr>
          <w:sz w:val="21"/>
        </w:rPr>
      </w:pPr>
      <w:r>
        <w:rPr>
          <w:spacing w:val="-3"/>
          <w:sz w:val="21"/>
        </w:rPr>
        <w:t>投保人对被保险人的故意杀害、故意伤害；</w:t>
      </w:r>
    </w:p>
    <w:p>
      <w:pPr>
        <w:pStyle w:val="ListParagraph"/>
        <w:numPr>
          <w:ilvl w:val="2"/>
          <w:numId w:val="3"/>
        </w:numPr>
        <w:tabs>
          <w:tab w:pos="3467" w:val="left" w:leader="none"/>
        </w:tabs>
        <w:spacing w:line="240" w:lineRule="auto" w:before="81" w:after="0"/>
        <w:ind w:left="3466" w:right="0" w:hanging="736"/>
        <w:jc w:val="both"/>
        <w:rPr>
          <w:sz w:val="21"/>
        </w:rPr>
      </w:pPr>
      <w:r>
        <w:rPr>
          <w:spacing w:val="-3"/>
          <w:sz w:val="21"/>
        </w:rPr>
        <w:t>被保险人故意犯罪或抗拒依法采取的刑事强制措施；</w:t>
      </w:r>
    </w:p>
    <w:p>
      <w:pPr>
        <w:pStyle w:val="ListParagraph"/>
        <w:numPr>
          <w:ilvl w:val="2"/>
          <w:numId w:val="3"/>
        </w:numPr>
        <w:tabs>
          <w:tab w:pos="3467" w:val="left" w:leader="none"/>
        </w:tabs>
        <w:spacing w:line="242" w:lineRule="auto" w:before="82" w:after="0"/>
        <w:ind w:left="3466" w:right="601" w:hanging="735"/>
        <w:jc w:val="both"/>
        <w:rPr>
          <w:sz w:val="21"/>
        </w:rPr>
      </w:pPr>
      <w:r>
        <w:rPr>
          <w:sz w:val="21"/>
        </w:rPr>
        <w:t>被保险人故意自伤、或自本合同成立（或最后复效）</w:t>
      </w:r>
      <w:r>
        <w:rPr>
          <w:spacing w:val="-7"/>
          <w:sz w:val="21"/>
        </w:rPr>
        <w:t>之日起 </w:t>
      </w:r>
      <w:r>
        <w:rPr>
          <w:sz w:val="21"/>
        </w:rPr>
        <w:t>2</w:t>
      </w:r>
      <w:r>
        <w:rPr>
          <w:spacing w:val="-5"/>
          <w:sz w:val="21"/>
        </w:rPr>
        <w:t> 年内自杀，</w:t>
      </w:r>
      <w:r>
        <w:rPr>
          <w:spacing w:val="-2"/>
          <w:sz w:val="21"/>
        </w:rPr>
        <w:t>但被保险人自杀时为无民事行为能力人的除外；</w:t>
      </w:r>
    </w:p>
    <w:p>
      <w:pPr>
        <w:pStyle w:val="ListParagraph"/>
        <w:numPr>
          <w:ilvl w:val="2"/>
          <w:numId w:val="3"/>
        </w:numPr>
        <w:tabs>
          <w:tab w:pos="3467" w:val="left" w:leader="none"/>
        </w:tabs>
        <w:spacing w:line="369" w:lineRule="exact" w:before="11" w:after="0"/>
        <w:ind w:left="3466" w:right="0" w:hanging="736"/>
        <w:jc w:val="both"/>
        <w:rPr>
          <w:sz w:val="21"/>
        </w:rPr>
      </w:pPr>
      <w:r>
        <w:rPr>
          <w:spacing w:val="-2"/>
          <w:sz w:val="21"/>
        </w:rPr>
        <w:t>被保险人服用、吸食或注射</w:t>
      </w:r>
      <w:r>
        <w:rPr>
          <w:rFonts w:ascii="微软雅黑" w:eastAsia="微软雅黑"/>
          <w:b/>
          <w:spacing w:val="-2"/>
          <w:sz w:val="21"/>
        </w:rPr>
        <w:t>毒品</w:t>
      </w:r>
      <w:r>
        <w:rPr>
          <w:rFonts w:ascii="微软雅黑" w:eastAsia="微软雅黑"/>
          <w:b/>
          <w:spacing w:val="-5"/>
          <w:position w:val="11"/>
          <w:sz w:val="11"/>
        </w:rPr>
        <w:t>13</w:t>
      </w:r>
      <w:r>
        <w:rPr>
          <w:spacing w:val="-5"/>
          <w:sz w:val="21"/>
        </w:rPr>
        <w:t>；</w:t>
      </w:r>
    </w:p>
    <w:p>
      <w:pPr>
        <w:pStyle w:val="ListParagraph"/>
        <w:numPr>
          <w:ilvl w:val="2"/>
          <w:numId w:val="3"/>
        </w:numPr>
        <w:tabs>
          <w:tab w:pos="3467" w:val="left" w:leader="none"/>
        </w:tabs>
        <w:spacing w:line="311" w:lineRule="exact" w:before="0" w:after="0"/>
        <w:ind w:left="3466" w:right="0" w:hanging="736"/>
        <w:jc w:val="left"/>
        <w:rPr>
          <w:rFonts w:ascii="微软雅黑" w:eastAsia="微软雅黑"/>
          <w:b/>
          <w:sz w:val="21"/>
        </w:rPr>
      </w:pPr>
      <w:r>
        <w:rPr>
          <w:w w:val="95"/>
          <w:sz w:val="21"/>
        </w:rPr>
        <w:t>被</w:t>
      </w:r>
      <w:r>
        <w:rPr>
          <w:w w:val="95"/>
          <w:sz w:val="21"/>
        </w:rPr>
        <w:t>保</w:t>
      </w:r>
      <w:r>
        <w:rPr>
          <w:w w:val="95"/>
          <w:sz w:val="21"/>
        </w:rPr>
        <w:t>险</w:t>
      </w:r>
      <w:r>
        <w:rPr>
          <w:w w:val="95"/>
          <w:sz w:val="21"/>
        </w:rPr>
        <w:t>人</w:t>
      </w:r>
      <w:r>
        <w:rPr>
          <w:rFonts w:ascii="微软雅黑" w:eastAsia="微软雅黑"/>
          <w:b/>
          <w:w w:val="95"/>
          <w:sz w:val="21"/>
        </w:rPr>
        <w:t>酒后</w:t>
      </w:r>
      <w:r>
        <w:rPr>
          <w:rFonts w:ascii="微软雅黑" w:eastAsia="微软雅黑"/>
          <w:b/>
          <w:w w:val="95"/>
          <w:sz w:val="21"/>
        </w:rPr>
        <w:t>驾</w:t>
      </w:r>
      <w:r>
        <w:rPr>
          <w:rFonts w:ascii="微软雅黑" w:eastAsia="微软雅黑"/>
          <w:b/>
          <w:w w:val="95"/>
          <w:sz w:val="21"/>
        </w:rPr>
        <w:t>驶</w:t>
      </w:r>
      <w:r>
        <w:rPr>
          <w:rFonts w:ascii="微软雅黑" w:eastAsia="微软雅黑"/>
          <w:b/>
          <w:w w:val="95"/>
          <w:position w:val="11"/>
          <w:sz w:val="11"/>
        </w:rPr>
        <w:t>14</w:t>
      </w:r>
      <w:r>
        <w:rPr>
          <w:w w:val="95"/>
          <w:sz w:val="21"/>
        </w:rPr>
        <w:t>、</w:t>
      </w:r>
      <w:r>
        <w:rPr>
          <w:rFonts w:ascii="微软雅黑" w:eastAsia="微软雅黑"/>
          <w:b/>
          <w:w w:val="95"/>
          <w:sz w:val="21"/>
        </w:rPr>
        <w:t>无</w:t>
      </w:r>
      <w:r>
        <w:rPr>
          <w:rFonts w:ascii="微软雅黑" w:eastAsia="微软雅黑"/>
          <w:b/>
          <w:w w:val="95"/>
          <w:sz w:val="21"/>
        </w:rPr>
        <w:t>合</w:t>
      </w:r>
      <w:r>
        <w:rPr>
          <w:rFonts w:ascii="微软雅黑" w:eastAsia="微软雅黑"/>
          <w:b/>
          <w:w w:val="95"/>
          <w:sz w:val="21"/>
        </w:rPr>
        <w:t>法</w:t>
      </w:r>
      <w:r>
        <w:rPr>
          <w:rFonts w:ascii="微软雅黑" w:eastAsia="微软雅黑"/>
          <w:b/>
          <w:w w:val="95"/>
          <w:sz w:val="21"/>
        </w:rPr>
        <w:t>有</w:t>
      </w:r>
      <w:r>
        <w:rPr>
          <w:rFonts w:ascii="微软雅黑" w:eastAsia="微软雅黑"/>
          <w:b/>
          <w:w w:val="95"/>
          <w:sz w:val="21"/>
        </w:rPr>
        <w:t>效</w:t>
      </w:r>
      <w:r>
        <w:rPr>
          <w:rFonts w:ascii="微软雅黑" w:eastAsia="微软雅黑"/>
          <w:b/>
          <w:w w:val="95"/>
          <w:sz w:val="21"/>
        </w:rPr>
        <w:t>驾</w:t>
      </w:r>
      <w:r>
        <w:rPr>
          <w:rFonts w:ascii="微软雅黑" w:eastAsia="微软雅黑"/>
          <w:b/>
          <w:w w:val="95"/>
          <w:sz w:val="21"/>
        </w:rPr>
        <w:t>驶</w:t>
      </w:r>
      <w:r>
        <w:rPr>
          <w:rFonts w:ascii="微软雅黑" w:eastAsia="微软雅黑"/>
          <w:b/>
          <w:w w:val="95"/>
          <w:sz w:val="21"/>
        </w:rPr>
        <w:t>证</w:t>
      </w:r>
      <w:r>
        <w:rPr>
          <w:rFonts w:ascii="微软雅黑" w:eastAsia="微软雅黑"/>
          <w:b/>
          <w:w w:val="95"/>
          <w:sz w:val="21"/>
        </w:rPr>
        <w:t>驾</w:t>
      </w:r>
      <w:r>
        <w:rPr>
          <w:rFonts w:ascii="微软雅黑" w:eastAsia="微软雅黑"/>
          <w:b/>
          <w:w w:val="95"/>
          <w:sz w:val="21"/>
        </w:rPr>
        <w:t>驶</w:t>
      </w:r>
      <w:r>
        <w:rPr>
          <w:rFonts w:ascii="微软雅黑" w:eastAsia="微软雅黑"/>
          <w:b/>
          <w:w w:val="95"/>
          <w:position w:val="11"/>
          <w:sz w:val="11"/>
        </w:rPr>
        <w:t>15</w:t>
      </w:r>
      <w:r>
        <w:rPr>
          <w:w w:val="95"/>
          <w:sz w:val="21"/>
        </w:rPr>
        <w:t>，</w:t>
      </w:r>
      <w:r>
        <w:rPr>
          <w:w w:val="95"/>
          <w:sz w:val="21"/>
        </w:rPr>
        <w:t>或</w:t>
      </w:r>
      <w:r>
        <w:rPr>
          <w:w w:val="95"/>
          <w:sz w:val="21"/>
        </w:rPr>
        <w:t>驾</w:t>
      </w:r>
      <w:r>
        <w:rPr>
          <w:w w:val="95"/>
          <w:sz w:val="21"/>
        </w:rPr>
        <w:t>驶</w:t>
      </w:r>
      <w:r>
        <w:rPr>
          <w:rFonts w:ascii="微软雅黑" w:eastAsia="微软雅黑"/>
          <w:b/>
          <w:w w:val="95"/>
          <w:sz w:val="21"/>
        </w:rPr>
        <w:t>无</w:t>
      </w:r>
      <w:r>
        <w:rPr>
          <w:rFonts w:ascii="微软雅黑" w:eastAsia="微软雅黑"/>
          <w:b/>
          <w:w w:val="95"/>
          <w:sz w:val="21"/>
        </w:rPr>
        <w:t>合</w:t>
      </w:r>
      <w:r>
        <w:rPr>
          <w:rFonts w:ascii="微软雅黑" w:eastAsia="微软雅黑"/>
          <w:b/>
          <w:w w:val="95"/>
          <w:sz w:val="21"/>
        </w:rPr>
        <w:t>法</w:t>
      </w:r>
      <w:r>
        <w:rPr>
          <w:rFonts w:ascii="微软雅黑" w:eastAsia="微软雅黑"/>
          <w:b/>
          <w:w w:val="95"/>
          <w:sz w:val="21"/>
        </w:rPr>
        <w:t>有</w:t>
      </w:r>
      <w:r>
        <w:rPr>
          <w:rFonts w:ascii="微软雅黑" w:eastAsia="微软雅黑"/>
          <w:b/>
          <w:w w:val="95"/>
          <w:sz w:val="21"/>
        </w:rPr>
        <w:t>效</w:t>
      </w:r>
      <w:r>
        <w:rPr>
          <w:rFonts w:ascii="微软雅黑" w:eastAsia="微软雅黑"/>
          <w:b/>
          <w:spacing w:val="-4"/>
          <w:w w:val="95"/>
          <w:sz w:val="21"/>
        </w:rPr>
        <w:t>行驶证</w:t>
      </w:r>
    </w:p>
    <w:p>
      <w:pPr>
        <w:spacing w:line="329" w:lineRule="exact" w:before="0"/>
        <w:ind w:left="3466" w:right="0" w:firstLine="0"/>
        <w:jc w:val="left"/>
        <w:rPr>
          <w:sz w:val="21"/>
        </w:rPr>
      </w:pPr>
      <w:r>
        <w:rPr>
          <w:rFonts w:ascii="微软雅黑" w:eastAsia="微软雅黑"/>
          <w:b/>
          <w:w w:val="95"/>
          <w:position w:val="11"/>
          <w:sz w:val="11"/>
        </w:rPr>
        <w:t>16</w:t>
      </w:r>
      <w:r>
        <w:rPr>
          <w:w w:val="95"/>
          <w:sz w:val="21"/>
        </w:rPr>
        <w:t>的</w:t>
      </w:r>
      <w:r>
        <w:rPr>
          <w:rFonts w:ascii="微软雅黑" w:eastAsia="微软雅黑"/>
          <w:b/>
          <w:w w:val="95"/>
          <w:sz w:val="21"/>
        </w:rPr>
        <w:t>机</w:t>
      </w:r>
      <w:r>
        <w:rPr>
          <w:rFonts w:ascii="微软雅黑" w:eastAsia="微软雅黑"/>
          <w:b/>
          <w:w w:val="95"/>
          <w:sz w:val="21"/>
        </w:rPr>
        <w:t>动</w:t>
      </w:r>
      <w:r>
        <w:rPr>
          <w:rFonts w:ascii="微软雅黑" w:eastAsia="微软雅黑"/>
          <w:b/>
          <w:w w:val="95"/>
          <w:sz w:val="21"/>
        </w:rPr>
        <w:t>车</w:t>
      </w:r>
      <w:r>
        <w:rPr>
          <w:rFonts w:ascii="微软雅黑" w:eastAsia="微软雅黑"/>
          <w:b/>
          <w:spacing w:val="-5"/>
          <w:w w:val="95"/>
          <w:position w:val="11"/>
          <w:sz w:val="11"/>
        </w:rPr>
        <w:t>17</w:t>
      </w:r>
      <w:r>
        <w:rPr>
          <w:spacing w:val="-5"/>
          <w:w w:val="95"/>
          <w:sz w:val="21"/>
        </w:rPr>
        <w:t>；</w:t>
      </w:r>
    </w:p>
    <w:p>
      <w:pPr>
        <w:pStyle w:val="ListParagraph"/>
        <w:numPr>
          <w:ilvl w:val="2"/>
          <w:numId w:val="3"/>
        </w:numPr>
        <w:tabs>
          <w:tab w:pos="3467" w:val="left" w:leader="none"/>
        </w:tabs>
        <w:spacing w:line="240" w:lineRule="auto" w:before="32" w:after="0"/>
        <w:ind w:left="3466" w:right="0" w:hanging="736"/>
        <w:jc w:val="left"/>
        <w:rPr>
          <w:sz w:val="21"/>
        </w:rPr>
      </w:pPr>
      <w:r>
        <w:rPr>
          <w:spacing w:val="-3"/>
          <w:sz w:val="21"/>
        </w:rPr>
        <w:t>战争、军事冲突、暴乱或武装叛乱；</w:t>
      </w:r>
    </w:p>
    <w:p>
      <w:pPr>
        <w:pStyle w:val="ListParagraph"/>
        <w:numPr>
          <w:ilvl w:val="2"/>
          <w:numId w:val="3"/>
        </w:numPr>
        <w:tabs>
          <w:tab w:pos="3467" w:val="left" w:leader="none"/>
        </w:tabs>
        <w:spacing w:line="240" w:lineRule="auto" w:before="82" w:after="0"/>
        <w:ind w:left="3466" w:right="0" w:hanging="736"/>
        <w:jc w:val="left"/>
        <w:rPr>
          <w:sz w:val="21"/>
        </w:rPr>
      </w:pPr>
      <w:r>
        <w:rPr>
          <w:spacing w:val="-3"/>
          <w:sz w:val="21"/>
        </w:rPr>
        <w:t>核爆炸、核辐射或核污染；</w:t>
      </w:r>
    </w:p>
    <w:p>
      <w:pPr>
        <w:pStyle w:val="ListParagraph"/>
        <w:numPr>
          <w:ilvl w:val="2"/>
          <w:numId w:val="3"/>
        </w:numPr>
        <w:tabs>
          <w:tab w:pos="3467" w:val="left" w:leader="none"/>
        </w:tabs>
        <w:spacing w:line="220" w:lineRule="auto" w:before="37" w:after="0"/>
        <w:ind w:left="3469" w:right="529" w:hanging="738"/>
        <w:jc w:val="left"/>
        <w:rPr>
          <w:sz w:val="21"/>
        </w:rPr>
      </w:pPr>
      <w:r>
        <w:rPr>
          <w:spacing w:val="-2"/>
          <w:sz w:val="21"/>
        </w:rPr>
        <w:t>被保险人</w:t>
      </w:r>
      <w:r>
        <w:rPr>
          <w:rFonts w:ascii="微软雅黑" w:hAnsi="微软雅黑" w:eastAsia="微软雅黑"/>
          <w:b/>
          <w:spacing w:val="-2"/>
          <w:sz w:val="21"/>
        </w:rPr>
        <w:t>感染艾滋病病毒或患艾滋病</w:t>
      </w:r>
      <w:r>
        <w:rPr>
          <w:rFonts w:ascii="微软雅黑" w:hAnsi="微软雅黑" w:eastAsia="微软雅黑"/>
          <w:b/>
          <w:spacing w:val="-2"/>
          <w:position w:val="11"/>
          <w:sz w:val="11"/>
        </w:rPr>
        <w:t>18</w:t>
      </w:r>
      <w:r>
        <w:rPr>
          <w:spacing w:val="-2"/>
          <w:sz w:val="21"/>
        </w:rPr>
        <w:t>（</w:t>
      </w:r>
      <w:r>
        <w:rPr>
          <w:spacing w:val="-9"/>
          <w:sz w:val="21"/>
        </w:rPr>
        <w:t>但符合本合同“因职业关系导致的</w:t>
      </w:r>
      <w:r>
        <w:rPr>
          <w:spacing w:val="-10"/>
          <w:sz w:val="21"/>
        </w:rPr>
        <w:t>感染艾滋病病毒或患艾滋病”</w:t>
      </w:r>
      <w:r>
        <w:rPr>
          <w:spacing w:val="-17"/>
          <w:sz w:val="21"/>
        </w:rPr>
        <w:t>、“经输血导致的感染艾滋病病毒或患艾滋病”或“因器官移植原因导致的感染艾滋病病毒或患艾滋病”定义的不在此限</w:t>
      </w:r>
      <w:r>
        <w:rPr>
          <w:spacing w:val="-109"/>
          <w:sz w:val="21"/>
        </w:rPr>
        <w:t>）</w:t>
      </w:r>
      <w:r>
        <w:rPr>
          <w:sz w:val="21"/>
        </w:rPr>
        <w:t>；</w:t>
      </w:r>
    </w:p>
    <w:p>
      <w:pPr>
        <w:pStyle w:val="ListParagraph"/>
        <w:numPr>
          <w:ilvl w:val="2"/>
          <w:numId w:val="3"/>
        </w:numPr>
        <w:tabs>
          <w:tab w:pos="3467" w:val="left" w:leader="none"/>
        </w:tabs>
        <w:spacing w:line="240" w:lineRule="auto" w:before="19" w:after="0"/>
        <w:ind w:left="3466" w:right="0" w:hanging="736"/>
        <w:jc w:val="left"/>
        <w:rPr>
          <w:sz w:val="21"/>
        </w:rPr>
      </w:pPr>
      <w:r>
        <w:rPr>
          <w:rFonts w:ascii="微软雅黑" w:eastAsia="微软雅黑"/>
          <w:b/>
          <w:w w:val="95"/>
          <w:sz w:val="21"/>
        </w:rPr>
        <w:t>遗</w:t>
      </w:r>
      <w:r>
        <w:rPr>
          <w:rFonts w:ascii="微软雅黑" w:eastAsia="微软雅黑"/>
          <w:b/>
          <w:w w:val="95"/>
          <w:sz w:val="21"/>
        </w:rPr>
        <w:t>传</w:t>
      </w:r>
      <w:r>
        <w:rPr>
          <w:rFonts w:ascii="微软雅黑" w:eastAsia="微软雅黑"/>
          <w:b/>
          <w:w w:val="95"/>
          <w:sz w:val="21"/>
        </w:rPr>
        <w:t>性</w:t>
      </w:r>
      <w:r>
        <w:rPr>
          <w:rFonts w:ascii="微软雅黑" w:eastAsia="微软雅黑"/>
          <w:b/>
          <w:w w:val="95"/>
          <w:sz w:val="21"/>
        </w:rPr>
        <w:t>疾</w:t>
      </w:r>
      <w:r>
        <w:rPr>
          <w:rFonts w:ascii="微软雅黑" w:eastAsia="微软雅黑"/>
          <w:b/>
          <w:w w:val="95"/>
          <w:sz w:val="21"/>
        </w:rPr>
        <w:t>病</w:t>
      </w:r>
      <w:r>
        <w:rPr>
          <w:rFonts w:ascii="微软雅黑" w:eastAsia="微软雅黑"/>
          <w:b/>
          <w:w w:val="95"/>
          <w:position w:val="11"/>
          <w:sz w:val="11"/>
        </w:rPr>
        <w:t>19</w:t>
      </w:r>
      <w:r>
        <w:rPr>
          <w:w w:val="95"/>
          <w:sz w:val="21"/>
        </w:rPr>
        <w:t>，</w:t>
      </w:r>
      <w:r>
        <w:rPr>
          <w:rFonts w:ascii="微软雅黑" w:eastAsia="微软雅黑"/>
          <w:b/>
          <w:w w:val="95"/>
          <w:sz w:val="21"/>
        </w:rPr>
        <w:t>先</w:t>
      </w:r>
      <w:r>
        <w:rPr>
          <w:rFonts w:ascii="微软雅黑" w:eastAsia="微软雅黑"/>
          <w:b/>
          <w:w w:val="95"/>
          <w:sz w:val="21"/>
        </w:rPr>
        <w:t>天</w:t>
      </w:r>
      <w:r>
        <w:rPr>
          <w:rFonts w:ascii="微软雅黑" w:eastAsia="微软雅黑"/>
          <w:b/>
          <w:w w:val="95"/>
          <w:sz w:val="21"/>
        </w:rPr>
        <w:t>性</w:t>
      </w:r>
      <w:r>
        <w:rPr>
          <w:rFonts w:ascii="微软雅黑" w:eastAsia="微软雅黑"/>
          <w:b/>
          <w:w w:val="95"/>
          <w:sz w:val="21"/>
        </w:rPr>
        <w:t>畸</w:t>
      </w:r>
      <w:r>
        <w:rPr>
          <w:rFonts w:ascii="微软雅黑" w:eastAsia="微软雅黑"/>
          <w:b/>
          <w:w w:val="95"/>
          <w:sz w:val="21"/>
        </w:rPr>
        <w:t>形</w:t>
      </w:r>
      <w:r>
        <w:rPr>
          <w:rFonts w:ascii="微软雅黑" w:eastAsia="微软雅黑"/>
          <w:b/>
          <w:w w:val="95"/>
          <w:sz w:val="21"/>
        </w:rPr>
        <w:t>、</w:t>
      </w:r>
      <w:r>
        <w:rPr>
          <w:rFonts w:ascii="微软雅黑" w:eastAsia="微软雅黑"/>
          <w:b/>
          <w:w w:val="95"/>
          <w:sz w:val="21"/>
        </w:rPr>
        <w:t>变</w:t>
      </w:r>
      <w:r>
        <w:rPr>
          <w:rFonts w:ascii="微软雅黑" w:eastAsia="微软雅黑"/>
          <w:b/>
          <w:w w:val="95"/>
          <w:sz w:val="21"/>
        </w:rPr>
        <w:t>形</w:t>
      </w:r>
      <w:r>
        <w:rPr>
          <w:rFonts w:ascii="微软雅黑" w:eastAsia="微软雅黑"/>
          <w:b/>
          <w:w w:val="95"/>
          <w:sz w:val="21"/>
        </w:rPr>
        <w:t>或</w:t>
      </w:r>
      <w:r>
        <w:rPr>
          <w:rFonts w:ascii="微软雅黑" w:eastAsia="微软雅黑"/>
          <w:b/>
          <w:w w:val="95"/>
          <w:sz w:val="21"/>
        </w:rPr>
        <w:t>染</w:t>
      </w:r>
      <w:r>
        <w:rPr>
          <w:rFonts w:ascii="微软雅黑" w:eastAsia="微软雅黑"/>
          <w:b/>
          <w:w w:val="95"/>
          <w:sz w:val="21"/>
        </w:rPr>
        <w:t>色</w:t>
      </w:r>
      <w:r>
        <w:rPr>
          <w:rFonts w:ascii="微软雅黑" w:eastAsia="微软雅黑"/>
          <w:b/>
          <w:w w:val="95"/>
          <w:sz w:val="21"/>
        </w:rPr>
        <w:t>体</w:t>
      </w:r>
      <w:r>
        <w:rPr>
          <w:rFonts w:ascii="微软雅黑" w:eastAsia="微软雅黑"/>
          <w:b/>
          <w:w w:val="95"/>
          <w:sz w:val="21"/>
        </w:rPr>
        <w:t>异</w:t>
      </w:r>
      <w:r>
        <w:rPr>
          <w:rFonts w:ascii="微软雅黑" w:eastAsia="微软雅黑"/>
          <w:b/>
          <w:w w:val="95"/>
          <w:sz w:val="21"/>
        </w:rPr>
        <w:t>常</w:t>
      </w:r>
      <w:r>
        <w:rPr>
          <w:rFonts w:ascii="微软雅黑" w:eastAsia="微软雅黑"/>
          <w:b/>
          <w:w w:val="95"/>
          <w:position w:val="11"/>
          <w:sz w:val="11"/>
        </w:rPr>
        <w:t>20</w:t>
      </w:r>
      <w:r>
        <w:rPr>
          <w:spacing w:val="-10"/>
          <w:w w:val="95"/>
          <w:sz w:val="21"/>
        </w:rPr>
        <w:t>。</w:t>
      </w:r>
    </w:p>
    <w:p>
      <w:pPr>
        <w:pStyle w:val="BodyText"/>
        <w:spacing w:before="9"/>
        <w:ind w:left="0"/>
        <w:rPr>
          <w:sz w:val="15"/>
        </w:rPr>
      </w:pPr>
    </w:p>
    <w:p>
      <w:pPr>
        <w:pStyle w:val="BodyText"/>
        <w:ind w:left="2731"/>
      </w:pPr>
      <w:r>
        <w:rPr>
          <w:spacing w:val="-2"/>
        </w:rPr>
        <w:t>（此页正文完</w:t>
      </w:r>
      <w:r>
        <w:rPr>
          <w:spacing w:val="-12"/>
        </w:rPr>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24"/>
        </w:rPr>
      </w:pPr>
      <w:r>
        <w:rPr/>
        <w:drawing>
          <wp:anchor distT="0" distB="0" distL="0" distR="0" allowOverlap="1" layoutInCell="1" locked="0" behindDoc="0" simplePos="0" relativeHeight="16">
            <wp:simplePos x="0" y="0"/>
            <wp:positionH relativeFrom="page">
              <wp:posOffset>719327</wp:posOffset>
            </wp:positionH>
            <wp:positionV relativeFrom="paragraph">
              <wp:posOffset>216114</wp:posOffset>
            </wp:positionV>
            <wp:extent cx="1829511" cy="6096"/>
            <wp:effectExtent l="0" t="0" r="0" b="0"/>
            <wp:wrapTopAndBottom/>
            <wp:docPr id="31" name="image5.png"/>
            <wp:cNvGraphicFramePr>
              <a:graphicFrameLocks noChangeAspect="1"/>
            </wp:cNvGraphicFramePr>
            <a:graphic>
              <a:graphicData uri="http://schemas.openxmlformats.org/drawingml/2006/picture">
                <pic:pic>
                  <pic:nvPicPr>
                    <pic:cNvPr id="32" name="image5.png"/>
                    <pic:cNvPicPr/>
                  </pic:nvPicPr>
                  <pic:blipFill>
                    <a:blip r:embed="rId10" cstate="print"/>
                    <a:stretch>
                      <a:fillRect/>
                    </a:stretch>
                  </pic:blipFill>
                  <pic:spPr>
                    <a:xfrm>
                      <a:off x="0" y="0"/>
                      <a:ext cx="1829511" cy="6096"/>
                    </a:xfrm>
                    <a:prstGeom prst="rect">
                      <a:avLst/>
                    </a:prstGeom>
                  </pic:spPr>
                </pic:pic>
              </a:graphicData>
            </a:graphic>
          </wp:anchor>
        </w:drawing>
      </w:r>
    </w:p>
    <w:p>
      <w:pPr>
        <w:spacing w:line="312" w:lineRule="exact" w:before="36"/>
        <w:ind w:left="412" w:right="0" w:firstLine="0"/>
        <w:jc w:val="left"/>
        <w:rPr>
          <w:sz w:val="18"/>
        </w:rPr>
      </w:pPr>
      <w:r>
        <w:rPr>
          <w:spacing w:val="-2"/>
          <w:position w:val="9"/>
          <w:sz w:val="9"/>
        </w:rPr>
        <w:t>13</w:t>
      </w:r>
      <w:r>
        <w:rPr>
          <w:rFonts w:ascii="Microsoft JhengHei" w:eastAsia="Microsoft JhengHei"/>
          <w:b/>
          <w:spacing w:val="-2"/>
          <w:sz w:val="18"/>
        </w:rPr>
        <w:t>毒品</w:t>
      </w:r>
      <w:r>
        <w:rPr>
          <w:spacing w:val="-2"/>
          <w:sz w:val="18"/>
        </w:rPr>
        <w:t>指《中华人民共和国刑法》规定的鸦片、海洛因、甲基苯丙胺（冰毒</w:t>
      </w:r>
      <w:r>
        <w:rPr>
          <w:spacing w:val="-92"/>
          <w:sz w:val="18"/>
        </w:rPr>
        <w:t>）</w:t>
      </w:r>
      <w:r>
        <w:rPr>
          <w:spacing w:val="-3"/>
          <w:sz w:val="18"/>
        </w:rPr>
        <w:t>、吗啡、大麻、可卡因以及国家规定管制的其他</w:t>
      </w:r>
    </w:p>
    <w:p>
      <w:pPr>
        <w:spacing w:line="183" w:lineRule="exact" w:before="0"/>
        <w:ind w:left="504" w:right="0" w:firstLine="0"/>
        <w:jc w:val="left"/>
        <w:rPr>
          <w:sz w:val="18"/>
        </w:rPr>
      </w:pPr>
      <w:r>
        <w:rPr>
          <w:spacing w:val="-6"/>
          <w:sz w:val="18"/>
        </w:rPr>
        <w:t>能够使人形成瘾癖的麻醉药品和精神药品，但不包括由医生开具并遵医嘱使用的用于治疗疾病但含有毒品成分的处方药品。</w:t>
      </w:r>
    </w:p>
    <w:p>
      <w:pPr>
        <w:spacing w:line="283" w:lineRule="exact" w:before="0"/>
        <w:ind w:left="412" w:right="0" w:firstLine="0"/>
        <w:jc w:val="left"/>
        <w:rPr>
          <w:sz w:val="18"/>
        </w:rPr>
      </w:pPr>
      <w:r>
        <w:rPr>
          <w:position w:val="9"/>
          <w:sz w:val="9"/>
        </w:rPr>
        <w:t>14</w:t>
      </w:r>
      <w:r>
        <w:rPr>
          <w:rFonts w:ascii="Microsoft JhengHei" w:eastAsia="Microsoft JhengHei"/>
          <w:b/>
          <w:sz w:val="18"/>
        </w:rPr>
        <w:t>酒后驾驶</w:t>
      </w:r>
      <w:r>
        <w:rPr>
          <w:spacing w:val="-1"/>
          <w:sz w:val="18"/>
        </w:rPr>
        <w:t>指经检测或者鉴定，发生保险事故时每百毫升血液中的酒精含量达到或者超过一定的标准，公安机关交通管理部</w:t>
      </w:r>
    </w:p>
    <w:p>
      <w:pPr>
        <w:spacing w:line="184" w:lineRule="exact" w:before="0"/>
        <w:ind w:left="504" w:right="0" w:firstLine="0"/>
        <w:jc w:val="left"/>
        <w:rPr>
          <w:sz w:val="18"/>
        </w:rPr>
      </w:pPr>
      <w:r>
        <w:rPr>
          <w:spacing w:val="-1"/>
          <w:sz w:val="18"/>
        </w:rPr>
        <w:t>门依据《道路交通安全法》的规定认定为饮酒后驾驶或醉酒后驾驶。</w:t>
      </w:r>
    </w:p>
    <w:p>
      <w:pPr>
        <w:spacing w:line="284" w:lineRule="exact" w:before="0"/>
        <w:ind w:left="412" w:right="0" w:firstLine="0"/>
        <w:jc w:val="left"/>
        <w:rPr>
          <w:sz w:val="18"/>
        </w:rPr>
      </w:pPr>
      <w:r>
        <w:rPr>
          <w:spacing w:val="-2"/>
          <w:position w:val="9"/>
          <w:sz w:val="9"/>
        </w:rPr>
        <w:t>15</w:t>
      </w:r>
      <w:r>
        <w:rPr>
          <w:rFonts w:ascii="Microsoft JhengHei" w:eastAsia="Microsoft JhengHei"/>
          <w:b/>
          <w:spacing w:val="-2"/>
          <w:sz w:val="18"/>
        </w:rPr>
        <w:t>无合法有效驾驶证驾驶</w:t>
      </w:r>
      <w:r>
        <w:rPr>
          <w:spacing w:val="-2"/>
          <w:sz w:val="18"/>
        </w:rPr>
        <w:t>指下列情形之一：（1）</w:t>
      </w:r>
      <w:r>
        <w:rPr>
          <w:spacing w:val="-3"/>
          <w:sz w:val="18"/>
        </w:rPr>
        <w:t>没有取得中华人民共和国有关主管部门颁发或者认可的驾驶资格证书；</w:t>
      </w:r>
      <w:r>
        <w:rPr>
          <w:spacing w:val="-4"/>
          <w:sz w:val="18"/>
        </w:rPr>
        <w:t>（2）</w:t>
      </w:r>
    </w:p>
    <w:p>
      <w:pPr>
        <w:spacing w:line="212" w:lineRule="exact" w:before="0"/>
        <w:ind w:left="504" w:right="0" w:firstLine="0"/>
        <w:jc w:val="left"/>
        <w:rPr>
          <w:sz w:val="18"/>
        </w:rPr>
      </w:pPr>
      <w:r>
        <w:rPr>
          <w:spacing w:val="-4"/>
          <w:sz w:val="18"/>
        </w:rPr>
        <w:t>驾驶与合法有效驾驶证准驾车型不相符合的车辆；（3）持审验不合格的驾驶证驾驶；（4）</w:t>
      </w:r>
      <w:r>
        <w:rPr>
          <w:spacing w:val="-5"/>
          <w:sz w:val="18"/>
        </w:rPr>
        <w:t>在驾驶证有效期内未按照中华人</w:t>
      </w:r>
    </w:p>
    <w:p>
      <w:pPr>
        <w:spacing w:line="202" w:lineRule="exact" w:before="2"/>
        <w:ind w:left="504" w:right="0" w:firstLine="0"/>
        <w:jc w:val="left"/>
        <w:rPr>
          <w:sz w:val="18"/>
        </w:rPr>
      </w:pPr>
      <w:r>
        <w:rPr>
          <w:spacing w:val="-4"/>
          <w:sz w:val="18"/>
        </w:rPr>
        <w:t>民共和国法律、行政法规的规定，定期对机动车驾驶证实施审验的；（5）</w:t>
      </w:r>
      <w:r>
        <w:rPr>
          <w:spacing w:val="-5"/>
          <w:sz w:val="18"/>
        </w:rPr>
        <w:t>驾驶证已过有效期的。</w:t>
      </w:r>
    </w:p>
    <w:p>
      <w:pPr>
        <w:spacing w:line="284" w:lineRule="exact" w:before="0"/>
        <w:ind w:left="412" w:right="0" w:firstLine="0"/>
        <w:jc w:val="left"/>
        <w:rPr>
          <w:sz w:val="18"/>
        </w:rPr>
      </w:pPr>
      <w:r>
        <w:rPr>
          <w:position w:val="9"/>
          <w:sz w:val="9"/>
        </w:rPr>
        <w:t>16</w:t>
      </w:r>
      <w:r>
        <w:rPr>
          <w:rFonts w:ascii="Microsoft JhengHei" w:eastAsia="Microsoft JhengHei"/>
          <w:b/>
          <w:sz w:val="18"/>
        </w:rPr>
        <w:t>无合法有效行驶证</w:t>
      </w:r>
      <w:r>
        <w:rPr>
          <w:spacing w:val="-1"/>
          <w:sz w:val="18"/>
        </w:rPr>
        <w:t>指发生保险事故时没有按照公安机关交通管理部门机动车登记制度的规定进行登记并领取机动车行驶证</w:t>
      </w:r>
    </w:p>
    <w:p>
      <w:pPr>
        <w:spacing w:line="212" w:lineRule="exact" w:before="0"/>
        <w:ind w:left="504" w:right="0" w:firstLine="0"/>
        <w:jc w:val="left"/>
        <w:rPr>
          <w:sz w:val="18"/>
        </w:rPr>
      </w:pPr>
      <w:r>
        <w:rPr>
          <w:spacing w:val="-4"/>
          <w:sz w:val="18"/>
        </w:rPr>
        <w:t>或者临时通行牌证等法定证件。包括下列情形之一：（1）未办理行驶证或者行驶证在申办过程中的；（2）</w:t>
      </w:r>
      <w:r>
        <w:rPr>
          <w:spacing w:val="-5"/>
          <w:sz w:val="18"/>
        </w:rPr>
        <w:t>机动车行驶证被</w:t>
      </w:r>
    </w:p>
    <w:p>
      <w:pPr>
        <w:spacing w:line="202" w:lineRule="exact" w:before="3"/>
        <w:ind w:left="504" w:right="0" w:firstLine="0"/>
        <w:jc w:val="left"/>
        <w:rPr>
          <w:sz w:val="18"/>
        </w:rPr>
      </w:pPr>
      <w:r>
        <w:rPr>
          <w:spacing w:val="-4"/>
          <w:sz w:val="18"/>
        </w:rPr>
        <w:t>依法注销登记的；（3）</w:t>
      </w:r>
      <w:r>
        <w:rPr>
          <w:spacing w:val="-5"/>
          <w:sz w:val="18"/>
        </w:rPr>
        <w:t>未在行驶证检验有效期内依法按时进行或者未通过机动车安全技术检验的。</w:t>
      </w:r>
    </w:p>
    <w:p>
      <w:pPr>
        <w:spacing w:line="253" w:lineRule="exact" w:before="0"/>
        <w:ind w:left="412" w:right="0" w:firstLine="0"/>
        <w:jc w:val="left"/>
        <w:rPr>
          <w:sz w:val="18"/>
        </w:rPr>
      </w:pPr>
      <w:r>
        <w:rPr>
          <w:position w:val="9"/>
          <w:sz w:val="9"/>
        </w:rPr>
        <w:t>17</w:t>
      </w:r>
      <w:r>
        <w:rPr>
          <w:rFonts w:ascii="Microsoft JhengHei" w:eastAsia="Microsoft JhengHei"/>
          <w:b/>
          <w:sz w:val="18"/>
        </w:rPr>
        <w:t>机动车</w:t>
      </w:r>
      <w:r>
        <w:rPr>
          <w:spacing w:val="-1"/>
          <w:sz w:val="18"/>
        </w:rPr>
        <w:t>指以动力装置驱动或者牵引，上道路行驶的供人员乘用或者用于运送物品以及进行工程专项作业的轮式车辆。</w:t>
      </w:r>
    </w:p>
    <w:p>
      <w:pPr>
        <w:spacing w:line="264" w:lineRule="exact" w:before="0"/>
        <w:ind w:left="412" w:right="0" w:firstLine="0"/>
        <w:jc w:val="left"/>
        <w:rPr>
          <w:sz w:val="18"/>
        </w:rPr>
      </w:pPr>
      <w:r>
        <w:rPr>
          <w:position w:val="9"/>
          <w:sz w:val="9"/>
        </w:rPr>
        <w:t>18</w:t>
      </w:r>
      <w:r>
        <w:rPr>
          <w:rFonts w:ascii="Microsoft JhengHei" w:eastAsia="Microsoft JhengHei"/>
          <w:b/>
          <w:sz w:val="18"/>
        </w:rPr>
        <w:t>感染艾滋病病毒或患艾滋病：</w:t>
      </w:r>
      <w:r>
        <w:rPr>
          <w:sz w:val="18"/>
        </w:rPr>
        <w:t>艾滋病病毒指人类免疫缺陷病毒，英文缩写为 HIV</w:t>
      </w:r>
      <w:r>
        <w:rPr>
          <w:spacing w:val="-1"/>
          <w:sz w:val="18"/>
        </w:rPr>
        <w:t>。艾滋病指人类免疫缺陷病毒引起的获得</w:t>
      </w:r>
    </w:p>
    <w:p>
      <w:pPr>
        <w:spacing w:line="212" w:lineRule="exact" w:before="0"/>
        <w:ind w:left="504" w:right="0" w:firstLine="0"/>
        <w:jc w:val="left"/>
        <w:rPr>
          <w:sz w:val="18"/>
        </w:rPr>
      </w:pPr>
      <w:r>
        <w:rPr>
          <w:spacing w:val="-1"/>
          <w:sz w:val="18"/>
        </w:rPr>
        <w:t>性免疫缺陷综合征，英文缩写为 </w:t>
      </w:r>
      <w:r>
        <w:rPr>
          <w:spacing w:val="-2"/>
          <w:sz w:val="18"/>
        </w:rPr>
        <w:t>AIDS</w:t>
      </w:r>
      <w:r>
        <w:rPr>
          <w:spacing w:val="-3"/>
          <w:sz w:val="18"/>
        </w:rPr>
        <w:t>。在人体血液或其他样本中检测到艾滋病病毒或其抗体呈阳性，没有出现临床症状或</w:t>
      </w:r>
    </w:p>
    <w:p>
      <w:pPr>
        <w:spacing w:line="202" w:lineRule="exact" w:before="2"/>
        <w:ind w:left="504" w:right="0" w:firstLine="0"/>
        <w:jc w:val="left"/>
        <w:rPr>
          <w:sz w:val="18"/>
        </w:rPr>
      </w:pPr>
      <w:r>
        <w:rPr>
          <w:spacing w:val="-1"/>
          <w:sz w:val="18"/>
        </w:rPr>
        <w:t>体征的，为感染艾滋病病毒；如果同时出现了明显临床症状或体征的，为患艾滋病。</w:t>
      </w:r>
    </w:p>
    <w:p>
      <w:pPr>
        <w:spacing w:line="284" w:lineRule="exact" w:before="0"/>
        <w:ind w:left="412" w:right="0" w:firstLine="0"/>
        <w:jc w:val="left"/>
        <w:rPr>
          <w:sz w:val="18"/>
        </w:rPr>
      </w:pPr>
      <w:r>
        <w:rPr>
          <w:position w:val="9"/>
          <w:sz w:val="9"/>
        </w:rPr>
        <w:t>19</w:t>
      </w:r>
      <w:r>
        <w:rPr>
          <w:rFonts w:ascii="Microsoft JhengHei" w:eastAsia="Microsoft JhengHei"/>
          <w:b/>
          <w:sz w:val="18"/>
        </w:rPr>
        <w:t>遗传性疾病</w:t>
      </w:r>
      <w:r>
        <w:rPr>
          <w:sz w:val="18"/>
        </w:rPr>
        <w:t>指生殖细胞或受精卵的遗传物质（染色体和基因）</w:t>
      </w:r>
      <w:r>
        <w:rPr>
          <w:spacing w:val="-1"/>
          <w:sz w:val="18"/>
        </w:rPr>
        <w:t>发生突变或畸变所引起的疾病，通常具有由亲代传至后代的</w:t>
      </w:r>
    </w:p>
    <w:p>
      <w:pPr>
        <w:spacing w:line="184" w:lineRule="exact" w:before="0"/>
        <w:ind w:left="504" w:right="0" w:firstLine="0"/>
        <w:jc w:val="left"/>
        <w:rPr>
          <w:sz w:val="18"/>
        </w:rPr>
      </w:pPr>
      <w:r>
        <w:rPr>
          <w:spacing w:val="-2"/>
          <w:sz w:val="18"/>
        </w:rPr>
        <w:t>垂直传递的特征。</w:t>
      </w:r>
    </w:p>
    <w:p>
      <w:pPr>
        <w:spacing w:line="283" w:lineRule="exact" w:before="0"/>
        <w:ind w:left="412" w:right="0" w:firstLine="0"/>
        <w:jc w:val="left"/>
        <w:rPr>
          <w:sz w:val="18"/>
        </w:rPr>
      </w:pPr>
      <w:r>
        <w:rPr>
          <w:position w:val="9"/>
          <w:sz w:val="9"/>
        </w:rPr>
        <w:t>20</w:t>
      </w:r>
      <w:r>
        <w:rPr>
          <w:rFonts w:ascii="Microsoft JhengHei" w:eastAsia="Microsoft JhengHei"/>
          <w:b/>
          <w:sz w:val="18"/>
        </w:rPr>
        <w:t>先天性畸形、变形或染色体异常</w:t>
      </w:r>
      <w:r>
        <w:rPr>
          <w:spacing w:val="-1"/>
          <w:sz w:val="18"/>
        </w:rPr>
        <w:t>指被保险人出生时就具有的畸形、变形或染色体异常。先天性畸形、变形和染色体异常依</w:t>
      </w:r>
    </w:p>
    <w:p>
      <w:pPr>
        <w:spacing w:line="211" w:lineRule="exact" w:before="0"/>
        <w:ind w:left="504" w:right="0" w:firstLine="0"/>
        <w:jc w:val="left"/>
        <w:rPr>
          <w:sz w:val="18"/>
        </w:rPr>
      </w:pPr>
      <w:r>
        <w:rPr>
          <w:spacing w:val="-2"/>
          <w:sz w:val="18"/>
        </w:rPr>
        <w:t>照世界卫生组织《疾病和有关健康问题的国际统计分类》第十次修订版（ICD-10）</w:t>
      </w:r>
      <w:r>
        <w:rPr>
          <w:spacing w:val="-5"/>
          <w:sz w:val="18"/>
        </w:rPr>
        <w:t>确定。</w:t>
      </w:r>
    </w:p>
    <w:p>
      <w:pPr>
        <w:spacing w:after="0" w:line="211" w:lineRule="exact"/>
        <w:jc w:val="left"/>
        <w:rPr>
          <w:sz w:val="18"/>
        </w:rPr>
        <w:sectPr>
          <w:pgSz w:w="11910" w:h="16840"/>
          <w:pgMar w:header="0" w:footer="574" w:top="1200" w:bottom="760" w:left="720" w:right="340"/>
        </w:sectPr>
      </w:pPr>
    </w:p>
    <w:p>
      <w:pPr>
        <w:pStyle w:val="BodyText"/>
        <w:spacing w:before="54" w:after="33"/>
        <w:ind w:left="3757"/>
      </w:pPr>
      <w:r>
        <w:rPr>
          <w:spacing w:val="-3"/>
        </w:rPr>
        <w:t>被保险人因下列责任免除事项发生保险事故后的处理</w:t>
      </w:r>
    </w:p>
    <w:tbl>
      <w:tblPr>
        <w:tblW w:w="0" w:type="auto"/>
        <w:jc w:val="left"/>
        <w:tblInd w:w="2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66"/>
        <w:gridCol w:w="1761"/>
        <w:gridCol w:w="1063"/>
        <w:gridCol w:w="4185"/>
      </w:tblGrid>
      <w:tr>
        <w:trPr>
          <w:trHeight w:val="273" w:hRule="atLeast"/>
        </w:trPr>
        <w:tc>
          <w:tcPr>
            <w:tcW w:w="1066" w:type="dxa"/>
            <w:tcBorders>
              <w:left w:val="nil"/>
            </w:tcBorders>
            <w:shd w:val="clear" w:color="auto" w:fill="D9D9D9"/>
          </w:tcPr>
          <w:p>
            <w:pPr>
              <w:pStyle w:val="TableParagraph"/>
              <w:spacing w:line="250" w:lineRule="exact" w:before="3"/>
              <w:ind w:left="99" w:right="97"/>
              <w:jc w:val="center"/>
              <w:rPr>
                <w:sz w:val="21"/>
              </w:rPr>
            </w:pPr>
            <w:r>
              <w:rPr>
                <w:spacing w:val="-4"/>
                <w:sz w:val="21"/>
              </w:rPr>
              <w:t>保险事故</w:t>
            </w:r>
          </w:p>
        </w:tc>
        <w:tc>
          <w:tcPr>
            <w:tcW w:w="1761" w:type="dxa"/>
            <w:shd w:val="clear" w:color="auto" w:fill="D9D9D9"/>
          </w:tcPr>
          <w:p>
            <w:pPr>
              <w:pStyle w:val="TableParagraph"/>
              <w:spacing w:line="250" w:lineRule="exact" w:before="3"/>
              <w:ind w:left="238" w:right="237"/>
              <w:jc w:val="center"/>
              <w:rPr>
                <w:sz w:val="21"/>
              </w:rPr>
            </w:pPr>
            <w:r>
              <w:rPr>
                <w:spacing w:val="-4"/>
                <w:sz w:val="21"/>
              </w:rPr>
              <w:t>责任免除事项</w:t>
            </w:r>
          </w:p>
        </w:tc>
        <w:tc>
          <w:tcPr>
            <w:tcW w:w="1063" w:type="dxa"/>
            <w:shd w:val="clear" w:color="auto" w:fill="D9D9D9"/>
          </w:tcPr>
          <w:p>
            <w:pPr>
              <w:pStyle w:val="TableParagraph"/>
              <w:spacing w:line="250" w:lineRule="exact" w:before="3"/>
              <w:ind w:left="95" w:right="94"/>
              <w:jc w:val="center"/>
              <w:rPr>
                <w:sz w:val="21"/>
              </w:rPr>
            </w:pPr>
            <w:r>
              <w:rPr>
                <w:spacing w:val="-4"/>
                <w:sz w:val="21"/>
              </w:rPr>
              <w:t>合同效力</w:t>
            </w:r>
          </w:p>
        </w:tc>
        <w:tc>
          <w:tcPr>
            <w:tcW w:w="4185" w:type="dxa"/>
            <w:tcBorders>
              <w:right w:val="nil"/>
            </w:tcBorders>
            <w:shd w:val="clear" w:color="auto" w:fill="D9D9D9"/>
          </w:tcPr>
          <w:p>
            <w:pPr>
              <w:pStyle w:val="TableParagraph"/>
              <w:spacing w:line="250" w:lineRule="exact" w:before="3"/>
              <w:ind w:left="1557" w:right="1552"/>
              <w:jc w:val="center"/>
              <w:rPr>
                <w:sz w:val="21"/>
              </w:rPr>
            </w:pPr>
            <w:r>
              <w:rPr>
                <w:spacing w:val="-4"/>
                <w:sz w:val="21"/>
              </w:rPr>
              <w:t>我们的做法</w:t>
            </w:r>
          </w:p>
        </w:tc>
      </w:tr>
      <w:tr>
        <w:trPr>
          <w:trHeight w:val="623" w:hRule="atLeast"/>
        </w:trPr>
        <w:tc>
          <w:tcPr>
            <w:tcW w:w="1066" w:type="dxa"/>
            <w:tcBorders>
              <w:left w:val="nil"/>
            </w:tcBorders>
          </w:tcPr>
          <w:p>
            <w:pPr>
              <w:pStyle w:val="TableParagraph"/>
              <w:spacing w:before="12"/>
              <w:rPr>
                <w:sz w:val="16"/>
              </w:rPr>
            </w:pPr>
          </w:p>
          <w:p>
            <w:pPr>
              <w:pStyle w:val="TableParagraph"/>
              <w:spacing w:before="0"/>
              <w:ind w:left="99" w:right="97"/>
              <w:jc w:val="center"/>
              <w:rPr>
                <w:sz w:val="21"/>
              </w:rPr>
            </w:pPr>
            <w:r>
              <w:rPr>
                <w:spacing w:val="-4"/>
                <w:sz w:val="21"/>
              </w:rPr>
              <w:t>轻度疾病</w:t>
            </w:r>
          </w:p>
        </w:tc>
        <w:tc>
          <w:tcPr>
            <w:tcW w:w="1761" w:type="dxa"/>
          </w:tcPr>
          <w:p>
            <w:pPr>
              <w:pStyle w:val="TableParagraph"/>
              <w:spacing w:before="12"/>
              <w:rPr>
                <w:sz w:val="16"/>
              </w:rPr>
            </w:pPr>
          </w:p>
          <w:p>
            <w:pPr>
              <w:pStyle w:val="TableParagraph"/>
              <w:spacing w:before="0"/>
              <w:ind w:left="238" w:right="237"/>
              <w:jc w:val="center"/>
              <w:rPr>
                <w:sz w:val="21"/>
              </w:rPr>
            </w:pPr>
            <w:r>
              <w:rPr>
                <w:spacing w:val="-2"/>
                <w:sz w:val="21"/>
              </w:rPr>
              <w:t>（1）-</w:t>
            </w:r>
            <w:r>
              <w:rPr>
                <w:spacing w:val="-5"/>
                <w:sz w:val="21"/>
              </w:rPr>
              <w:t>（9）</w:t>
            </w:r>
          </w:p>
        </w:tc>
        <w:tc>
          <w:tcPr>
            <w:tcW w:w="1063" w:type="dxa"/>
          </w:tcPr>
          <w:p>
            <w:pPr>
              <w:pStyle w:val="TableParagraph"/>
              <w:spacing w:before="12"/>
              <w:rPr>
                <w:sz w:val="16"/>
              </w:rPr>
            </w:pPr>
          </w:p>
          <w:p>
            <w:pPr>
              <w:pStyle w:val="TableParagraph"/>
              <w:spacing w:before="0"/>
              <w:ind w:left="95" w:right="91"/>
              <w:jc w:val="center"/>
              <w:rPr>
                <w:sz w:val="21"/>
              </w:rPr>
            </w:pPr>
            <w:r>
              <w:rPr>
                <w:spacing w:val="-5"/>
                <w:sz w:val="21"/>
              </w:rPr>
              <w:t>有效</w:t>
            </w:r>
          </w:p>
        </w:tc>
        <w:tc>
          <w:tcPr>
            <w:tcW w:w="4185" w:type="dxa"/>
            <w:tcBorders>
              <w:right w:val="nil"/>
            </w:tcBorders>
          </w:tcPr>
          <w:p>
            <w:pPr>
              <w:pStyle w:val="TableParagraph"/>
              <w:spacing w:line="270" w:lineRule="atLeast" w:before="63"/>
              <w:ind w:left="104" w:right="914"/>
              <w:rPr>
                <w:sz w:val="21"/>
              </w:rPr>
            </w:pPr>
            <w:r>
              <w:rPr>
                <w:spacing w:val="-2"/>
                <w:sz w:val="21"/>
              </w:rPr>
              <w:t>不承担给付轻度疾病保险金的责任</w:t>
            </w:r>
            <w:r>
              <w:rPr>
                <w:spacing w:val="-3"/>
                <w:sz w:val="21"/>
              </w:rPr>
              <w:t>不承担轻度疾病豁免保险费的责任</w:t>
            </w:r>
          </w:p>
        </w:tc>
      </w:tr>
      <w:tr>
        <w:trPr>
          <w:trHeight w:val="350" w:hRule="atLeast"/>
        </w:trPr>
        <w:tc>
          <w:tcPr>
            <w:tcW w:w="1066" w:type="dxa"/>
            <w:vMerge w:val="restart"/>
            <w:tcBorders>
              <w:left w:val="nil"/>
            </w:tcBorders>
          </w:tcPr>
          <w:p>
            <w:pPr>
              <w:pStyle w:val="TableParagraph"/>
              <w:spacing w:before="3"/>
              <w:rPr>
                <w:sz w:val="20"/>
              </w:rPr>
            </w:pPr>
          </w:p>
          <w:p>
            <w:pPr>
              <w:pStyle w:val="TableParagraph"/>
              <w:spacing w:before="1"/>
              <w:ind w:left="105"/>
              <w:rPr>
                <w:sz w:val="21"/>
              </w:rPr>
            </w:pPr>
            <w:r>
              <w:rPr>
                <w:spacing w:val="-4"/>
                <w:sz w:val="21"/>
              </w:rPr>
              <w:t>重大疾病</w:t>
            </w:r>
          </w:p>
        </w:tc>
        <w:tc>
          <w:tcPr>
            <w:tcW w:w="1761" w:type="dxa"/>
          </w:tcPr>
          <w:p>
            <w:pPr>
              <w:pStyle w:val="TableParagraph"/>
              <w:spacing w:line="250" w:lineRule="exact" w:before="80"/>
              <w:ind w:left="238" w:right="237"/>
              <w:jc w:val="center"/>
              <w:rPr>
                <w:sz w:val="21"/>
              </w:rPr>
            </w:pPr>
            <w:r>
              <w:rPr>
                <w:spacing w:val="-5"/>
                <w:sz w:val="21"/>
              </w:rPr>
              <w:t>（1）</w:t>
            </w:r>
          </w:p>
        </w:tc>
        <w:tc>
          <w:tcPr>
            <w:tcW w:w="1063" w:type="dxa"/>
          </w:tcPr>
          <w:p>
            <w:pPr>
              <w:pStyle w:val="TableParagraph"/>
              <w:spacing w:line="250" w:lineRule="exact" w:before="80"/>
              <w:ind w:left="95" w:right="91"/>
              <w:jc w:val="center"/>
              <w:rPr>
                <w:sz w:val="21"/>
              </w:rPr>
            </w:pPr>
            <w:r>
              <w:rPr>
                <w:spacing w:val="-5"/>
                <w:sz w:val="21"/>
              </w:rPr>
              <w:t>终止</w:t>
            </w:r>
          </w:p>
        </w:tc>
        <w:tc>
          <w:tcPr>
            <w:tcW w:w="4185" w:type="dxa"/>
            <w:tcBorders>
              <w:right w:val="nil"/>
            </w:tcBorders>
          </w:tcPr>
          <w:p>
            <w:pPr>
              <w:pStyle w:val="TableParagraph"/>
              <w:spacing w:line="317" w:lineRule="exact" w:before="13"/>
              <w:ind w:left="104"/>
              <w:rPr>
                <w:rFonts w:ascii="微软雅黑" w:eastAsia="微软雅黑"/>
                <w:b/>
                <w:sz w:val="11"/>
              </w:rPr>
            </w:pPr>
            <w:r>
              <w:rPr>
                <w:spacing w:val="-2"/>
                <w:sz w:val="21"/>
              </w:rPr>
              <w:t>向被保险人给付本合同终止时的</w:t>
            </w:r>
            <w:r>
              <w:rPr>
                <w:rFonts w:ascii="微软雅黑" w:eastAsia="微软雅黑"/>
                <w:b/>
                <w:spacing w:val="-2"/>
                <w:sz w:val="21"/>
              </w:rPr>
              <w:t>现金价值</w:t>
            </w:r>
            <w:r>
              <w:rPr>
                <w:rFonts w:ascii="微软雅黑" w:eastAsia="微软雅黑"/>
                <w:b/>
                <w:spacing w:val="-5"/>
                <w:position w:val="11"/>
                <w:sz w:val="11"/>
              </w:rPr>
              <w:t>21</w:t>
            </w:r>
          </w:p>
        </w:tc>
      </w:tr>
      <w:tr>
        <w:trPr>
          <w:trHeight w:val="350" w:hRule="atLeast"/>
        </w:trPr>
        <w:tc>
          <w:tcPr>
            <w:tcW w:w="1066" w:type="dxa"/>
            <w:vMerge/>
            <w:tcBorders>
              <w:top w:val="nil"/>
              <w:left w:val="nil"/>
            </w:tcBorders>
          </w:tcPr>
          <w:p>
            <w:pPr>
              <w:rPr>
                <w:sz w:val="2"/>
                <w:szCs w:val="2"/>
              </w:rPr>
            </w:pPr>
          </w:p>
        </w:tc>
        <w:tc>
          <w:tcPr>
            <w:tcW w:w="1761" w:type="dxa"/>
          </w:tcPr>
          <w:p>
            <w:pPr>
              <w:pStyle w:val="TableParagraph"/>
              <w:spacing w:line="250" w:lineRule="exact" w:before="80"/>
              <w:ind w:left="238" w:right="237"/>
              <w:jc w:val="center"/>
              <w:rPr>
                <w:sz w:val="21"/>
              </w:rPr>
            </w:pPr>
            <w:r>
              <w:rPr>
                <w:spacing w:val="-2"/>
                <w:sz w:val="21"/>
              </w:rPr>
              <w:t>（2）-</w:t>
            </w:r>
            <w:r>
              <w:rPr>
                <w:spacing w:val="-5"/>
                <w:sz w:val="21"/>
              </w:rPr>
              <w:t>（9）</w:t>
            </w:r>
          </w:p>
        </w:tc>
        <w:tc>
          <w:tcPr>
            <w:tcW w:w="1063" w:type="dxa"/>
          </w:tcPr>
          <w:p>
            <w:pPr>
              <w:pStyle w:val="TableParagraph"/>
              <w:spacing w:line="250" w:lineRule="exact" w:before="80"/>
              <w:ind w:left="95" w:right="91"/>
              <w:jc w:val="center"/>
              <w:rPr>
                <w:sz w:val="21"/>
              </w:rPr>
            </w:pPr>
            <w:r>
              <w:rPr>
                <w:spacing w:val="-5"/>
                <w:sz w:val="21"/>
              </w:rPr>
              <w:t>终止</w:t>
            </w:r>
          </w:p>
        </w:tc>
        <w:tc>
          <w:tcPr>
            <w:tcW w:w="4185" w:type="dxa"/>
            <w:tcBorders>
              <w:right w:val="nil"/>
            </w:tcBorders>
          </w:tcPr>
          <w:p>
            <w:pPr>
              <w:pStyle w:val="TableParagraph"/>
              <w:spacing w:line="250" w:lineRule="exact" w:before="80"/>
              <w:ind w:left="104"/>
              <w:rPr>
                <w:sz w:val="21"/>
              </w:rPr>
            </w:pPr>
            <w:r>
              <w:rPr>
                <w:spacing w:val="-3"/>
                <w:sz w:val="21"/>
              </w:rPr>
              <w:t>向您退还本合同终止时的现金价值</w:t>
            </w:r>
          </w:p>
        </w:tc>
      </w:tr>
      <w:tr>
        <w:trPr>
          <w:trHeight w:val="623" w:hRule="atLeast"/>
        </w:trPr>
        <w:tc>
          <w:tcPr>
            <w:tcW w:w="1066" w:type="dxa"/>
            <w:vMerge w:val="restart"/>
            <w:tcBorders>
              <w:left w:val="nil"/>
            </w:tcBorders>
          </w:tcPr>
          <w:p>
            <w:pPr>
              <w:pStyle w:val="TableParagraph"/>
              <w:spacing w:before="0"/>
              <w:rPr>
                <w:sz w:val="20"/>
              </w:rPr>
            </w:pPr>
          </w:p>
          <w:p>
            <w:pPr>
              <w:pStyle w:val="TableParagraph"/>
              <w:spacing w:before="140"/>
              <w:ind w:left="316"/>
              <w:rPr>
                <w:sz w:val="21"/>
              </w:rPr>
            </w:pPr>
            <w:r>
              <w:rPr>
                <w:spacing w:val="-5"/>
                <w:sz w:val="21"/>
              </w:rPr>
              <w:t>身故</w:t>
            </w:r>
          </w:p>
        </w:tc>
        <w:tc>
          <w:tcPr>
            <w:tcW w:w="1761" w:type="dxa"/>
          </w:tcPr>
          <w:p>
            <w:pPr>
              <w:pStyle w:val="TableParagraph"/>
              <w:spacing w:before="12"/>
              <w:rPr>
                <w:sz w:val="16"/>
              </w:rPr>
            </w:pPr>
          </w:p>
          <w:p>
            <w:pPr>
              <w:pStyle w:val="TableParagraph"/>
              <w:spacing w:before="0"/>
              <w:ind w:left="238" w:right="237"/>
              <w:jc w:val="center"/>
              <w:rPr>
                <w:sz w:val="21"/>
              </w:rPr>
            </w:pPr>
            <w:r>
              <w:rPr>
                <w:spacing w:val="-5"/>
                <w:sz w:val="21"/>
              </w:rPr>
              <w:t>（1）</w:t>
            </w:r>
          </w:p>
        </w:tc>
        <w:tc>
          <w:tcPr>
            <w:tcW w:w="1063" w:type="dxa"/>
          </w:tcPr>
          <w:p>
            <w:pPr>
              <w:pStyle w:val="TableParagraph"/>
              <w:spacing w:before="12"/>
              <w:rPr>
                <w:sz w:val="16"/>
              </w:rPr>
            </w:pPr>
          </w:p>
          <w:p>
            <w:pPr>
              <w:pStyle w:val="TableParagraph"/>
              <w:spacing w:before="0"/>
              <w:ind w:left="95" w:right="91"/>
              <w:jc w:val="center"/>
              <w:rPr>
                <w:sz w:val="21"/>
              </w:rPr>
            </w:pPr>
            <w:r>
              <w:rPr>
                <w:spacing w:val="-5"/>
                <w:sz w:val="21"/>
              </w:rPr>
              <w:t>终止</w:t>
            </w:r>
          </w:p>
        </w:tc>
        <w:tc>
          <w:tcPr>
            <w:tcW w:w="4185" w:type="dxa"/>
            <w:tcBorders>
              <w:right w:val="nil"/>
            </w:tcBorders>
          </w:tcPr>
          <w:p>
            <w:pPr>
              <w:pStyle w:val="TableParagraph"/>
              <w:spacing w:line="363" w:lineRule="exact" w:before="13"/>
              <w:ind w:left="104"/>
              <w:rPr>
                <w:sz w:val="21"/>
              </w:rPr>
            </w:pPr>
            <w:r>
              <w:rPr>
                <w:w w:val="95"/>
                <w:sz w:val="21"/>
              </w:rPr>
              <w:t>向</w:t>
            </w:r>
            <w:r>
              <w:rPr>
                <w:rFonts w:ascii="微软雅黑" w:eastAsia="微软雅黑"/>
                <w:b/>
                <w:w w:val="95"/>
                <w:sz w:val="21"/>
              </w:rPr>
              <w:t>投保人之外的其他权利人</w:t>
            </w:r>
            <w:r>
              <w:rPr>
                <w:rFonts w:ascii="微软雅黑" w:eastAsia="微软雅黑"/>
                <w:b/>
                <w:w w:val="95"/>
                <w:position w:val="11"/>
                <w:sz w:val="11"/>
              </w:rPr>
              <w:t>22</w:t>
            </w:r>
            <w:r>
              <w:rPr>
                <w:w w:val="95"/>
                <w:sz w:val="21"/>
              </w:rPr>
              <w:t>给</w:t>
            </w:r>
            <w:r>
              <w:rPr>
                <w:w w:val="95"/>
                <w:sz w:val="21"/>
              </w:rPr>
              <w:t>付</w:t>
            </w:r>
            <w:r>
              <w:rPr>
                <w:w w:val="95"/>
                <w:sz w:val="21"/>
              </w:rPr>
              <w:t>本</w:t>
            </w:r>
            <w:r>
              <w:rPr>
                <w:w w:val="95"/>
                <w:sz w:val="21"/>
              </w:rPr>
              <w:t>合</w:t>
            </w:r>
            <w:r>
              <w:rPr>
                <w:w w:val="95"/>
                <w:sz w:val="21"/>
              </w:rPr>
              <w:t>同</w:t>
            </w:r>
            <w:r>
              <w:rPr>
                <w:spacing w:val="-10"/>
                <w:w w:val="95"/>
                <w:sz w:val="21"/>
              </w:rPr>
              <w:t>终</w:t>
            </w:r>
          </w:p>
          <w:p>
            <w:pPr>
              <w:pStyle w:val="TableParagraph"/>
              <w:spacing w:line="228" w:lineRule="exact" w:before="0"/>
              <w:ind w:left="104"/>
              <w:rPr>
                <w:sz w:val="21"/>
              </w:rPr>
            </w:pPr>
            <w:r>
              <w:rPr>
                <w:spacing w:val="-4"/>
                <w:sz w:val="21"/>
              </w:rPr>
              <w:t>止时的现金价值</w:t>
            </w:r>
          </w:p>
        </w:tc>
      </w:tr>
      <w:tr>
        <w:trPr>
          <w:trHeight w:val="350" w:hRule="atLeast"/>
        </w:trPr>
        <w:tc>
          <w:tcPr>
            <w:tcW w:w="1066" w:type="dxa"/>
            <w:vMerge/>
            <w:tcBorders>
              <w:top w:val="nil"/>
              <w:left w:val="nil"/>
            </w:tcBorders>
          </w:tcPr>
          <w:p>
            <w:pPr>
              <w:rPr>
                <w:sz w:val="2"/>
                <w:szCs w:val="2"/>
              </w:rPr>
            </w:pPr>
          </w:p>
        </w:tc>
        <w:tc>
          <w:tcPr>
            <w:tcW w:w="1761" w:type="dxa"/>
          </w:tcPr>
          <w:p>
            <w:pPr>
              <w:pStyle w:val="TableParagraph"/>
              <w:spacing w:line="250" w:lineRule="exact" w:before="80"/>
              <w:ind w:left="238" w:right="237"/>
              <w:jc w:val="center"/>
              <w:rPr>
                <w:sz w:val="21"/>
              </w:rPr>
            </w:pPr>
            <w:r>
              <w:rPr>
                <w:spacing w:val="-2"/>
                <w:sz w:val="21"/>
              </w:rPr>
              <w:t>（2）-</w:t>
            </w:r>
            <w:r>
              <w:rPr>
                <w:spacing w:val="-5"/>
                <w:sz w:val="21"/>
              </w:rPr>
              <w:t>（7）</w:t>
            </w:r>
          </w:p>
        </w:tc>
        <w:tc>
          <w:tcPr>
            <w:tcW w:w="1063" w:type="dxa"/>
          </w:tcPr>
          <w:p>
            <w:pPr>
              <w:pStyle w:val="TableParagraph"/>
              <w:spacing w:line="250" w:lineRule="exact" w:before="80"/>
              <w:ind w:left="95" w:right="91"/>
              <w:jc w:val="center"/>
              <w:rPr>
                <w:sz w:val="21"/>
              </w:rPr>
            </w:pPr>
            <w:r>
              <w:rPr>
                <w:spacing w:val="-5"/>
                <w:sz w:val="21"/>
              </w:rPr>
              <w:t>终止</w:t>
            </w:r>
          </w:p>
        </w:tc>
        <w:tc>
          <w:tcPr>
            <w:tcW w:w="4185" w:type="dxa"/>
            <w:tcBorders>
              <w:right w:val="nil"/>
            </w:tcBorders>
          </w:tcPr>
          <w:p>
            <w:pPr>
              <w:pStyle w:val="TableParagraph"/>
              <w:spacing w:line="250" w:lineRule="exact" w:before="80"/>
              <w:ind w:left="104"/>
              <w:rPr>
                <w:sz w:val="21"/>
              </w:rPr>
            </w:pPr>
            <w:r>
              <w:rPr>
                <w:spacing w:val="-3"/>
                <w:sz w:val="21"/>
              </w:rPr>
              <w:t>向您退还本合同终止时的现金价值</w:t>
            </w:r>
          </w:p>
        </w:tc>
      </w:tr>
    </w:tbl>
    <w:p>
      <w:pPr>
        <w:pStyle w:val="BodyText"/>
        <w:spacing w:before="8"/>
        <w:ind w:left="0"/>
        <w:rPr>
          <w:sz w:val="19"/>
        </w:rPr>
      </w:pPr>
    </w:p>
    <w:p>
      <w:pPr>
        <w:pStyle w:val="BodyText"/>
        <w:spacing w:line="242" w:lineRule="auto"/>
        <w:ind w:left="2189" w:right="615"/>
      </w:pPr>
      <w:r>
        <w:rPr/>
        <w:t>除上述“责任免除”外，本合同中还有一些免除本公司责任的条款，如“1.3</w:t>
      </w:r>
      <w:r>
        <w:rPr>
          <w:spacing w:val="-28"/>
        </w:rPr>
        <w:t> 等待期”、</w:t>
      </w:r>
      <w:r>
        <w:rPr/>
        <w:t> “3.3</w:t>
      </w:r>
      <w:r>
        <w:rPr>
          <w:spacing w:val="-31"/>
        </w:rPr>
        <w:t> 效力中止”、“</w:t>
      </w:r>
      <w:r>
        <w:rPr/>
        <w:t>8.3</w:t>
      </w:r>
      <w:r>
        <w:rPr>
          <w:spacing w:val="-5"/>
        </w:rPr>
        <w:t> 年龄性别错误”及其他以黑体字体显示的内容。</w:t>
      </w:r>
    </w:p>
    <w:p>
      <w:pPr>
        <w:pStyle w:val="BodyText"/>
        <w:spacing w:before="6"/>
        <w:ind w:left="0"/>
        <w:rPr>
          <w:sz w:val="20"/>
        </w:rPr>
      </w:pPr>
    </w:p>
    <w:p>
      <w:pPr>
        <w:pStyle w:val="Heading1"/>
        <w:numPr>
          <w:ilvl w:val="0"/>
          <w:numId w:val="3"/>
        </w:numPr>
        <w:tabs>
          <w:tab w:pos="1181" w:val="left" w:leader="none"/>
          <w:tab w:pos="1182" w:val="left" w:leader="none"/>
        </w:tabs>
        <w:spacing w:line="240" w:lineRule="auto" w:before="1" w:after="4"/>
        <w:ind w:left="1181" w:right="0" w:hanging="661"/>
        <w:jc w:val="left"/>
      </w:pPr>
      <w:r>
        <w:rPr>
          <w:spacing w:val="-2"/>
        </w:rPr>
        <w:t>如何交纳保险费</w:t>
      </w:r>
    </w:p>
    <w:p>
      <w:pPr>
        <w:pStyle w:val="BodyText"/>
        <w:spacing w:line="20" w:lineRule="exact"/>
        <w:ind w:left="412"/>
        <w:rPr>
          <w:rFonts w:ascii="微软雅黑"/>
          <w:sz w:val="2"/>
        </w:rPr>
      </w:pPr>
      <w:r>
        <w:rPr>
          <w:rFonts w:ascii="微软雅黑"/>
          <w:sz w:val="2"/>
        </w:rPr>
        <w:drawing>
          <wp:inline distT="0" distB="0" distL="0" distR="0">
            <wp:extent cx="6356798" cy="12287"/>
            <wp:effectExtent l="0" t="0" r="0" b="0"/>
            <wp:docPr id="33" name="image12.png"/>
            <wp:cNvGraphicFramePr>
              <a:graphicFrameLocks noChangeAspect="1"/>
            </wp:cNvGraphicFramePr>
            <a:graphic>
              <a:graphicData uri="http://schemas.openxmlformats.org/drawingml/2006/picture">
                <pic:pic>
                  <pic:nvPicPr>
                    <pic:cNvPr id="34" name="image12.png"/>
                    <pic:cNvPicPr/>
                  </pic:nvPicPr>
                  <pic:blipFill>
                    <a:blip r:embed="rId19" cstate="print"/>
                    <a:stretch>
                      <a:fillRect/>
                    </a:stretch>
                  </pic:blipFill>
                  <pic:spPr>
                    <a:xfrm>
                      <a:off x="0" y="0"/>
                      <a:ext cx="6356798" cy="12287"/>
                    </a:xfrm>
                    <a:prstGeom prst="rect">
                      <a:avLst/>
                    </a:prstGeom>
                  </pic:spPr>
                </pic:pic>
              </a:graphicData>
            </a:graphic>
          </wp:inline>
        </w:drawing>
      </w:r>
      <w:r>
        <w:rPr>
          <w:rFonts w:ascii="微软雅黑"/>
          <w:sz w:val="2"/>
        </w:rPr>
      </w:r>
    </w:p>
    <w:p>
      <w:pPr>
        <w:pStyle w:val="ListParagraph"/>
        <w:numPr>
          <w:ilvl w:val="1"/>
          <w:numId w:val="3"/>
        </w:numPr>
        <w:tabs>
          <w:tab w:pos="1181" w:val="left" w:leader="none"/>
          <w:tab w:pos="1182" w:val="left" w:leader="none"/>
          <w:tab w:pos="2731" w:val="left" w:leader="none"/>
        </w:tabs>
        <w:spacing w:line="240" w:lineRule="auto" w:before="163" w:after="0"/>
        <w:ind w:left="1181" w:right="0" w:hanging="661"/>
        <w:jc w:val="left"/>
        <w:rPr>
          <w:sz w:val="21"/>
        </w:rPr>
      </w:pPr>
      <w:r>
        <w:rPr>
          <w:rFonts w:ascii="微软雅黑" w:eastAsia="微软雅黑"/>
          <w:b/>
          <w:sz w:val="21"/>
        </w:rPr>
        <w:t>保险费的交</w:t>
      </w:r>
      <w:r>
        <w:rPr>
          <w:rFonts w:ascii="微软雅黑" w:eastAsia="微软雅黑"/>
          <w:b/>
          <w:spacing w:val="-10"/>
          <w:sz w:val="21"/>
        </w:rPr>
        <w:t>纳</w:t>
      </w:r>
      <w:r>
        <w:rPr>
          <w:rFonts w:ascii="微软雅黑" w:eastAsia="微软雅黑"/>
          <w:b/>
          <w:sz w:val="21"/>
        </w:rPr>
        <w:tab/>
      </w:r>
      <w:r>
        <w:rPr>
          <w:spacing w:val="-2"/>
          <w:sz w:val="21"/>
        </w:rPr>
        <w:t>本</w:t>
      </w:r>
      <w:r>
        <w:rPr>
          <w:spacing w:val="-2"/>
          <w:sz w:val="21"/>
        </w:rPr>
        <w:t>合</w:t>
      </w:r>
      <w:r>
        <w:rPr>
          <w:spacing w:val="-2"/>
          <w:sz w:val="21"/>
        </w:rPr>
        <w:t>同的交费方式和交费</w:t>
      </w:r>
      <w:r>
        <w:rPr>
          <w:spacing w:val="-2"/>
          <w:sz w:val="21"/>
        </w:rPr>
        <w:t>期</w:t>
      </w:r>
      <w:r>
        <w:rPr>
          <w:spacing w:val="-2"/>
          <w:sz w:val="21"/>
        </w:rPr>
        <w:t>间</w:t>
      </w:r>
      <w:r>
        <w:rPr>
          <w:spacing w:val="-2"/>
          <w:sz w:val="21"/>
        </w:rPr>
        <w:t>由您在投保时与我们</w:t>
      </w:r>
      <w:r>
        <w:rPr>
          <w:spacing w:val="-2"/>
          <w:sz w:val="21"/>
        </w:rPr>
        <w:t>约</w:t>
      </w:r>
      <w:r>
        <w:rPr>
          <w:spacing w:val="-2"/>
          <w:sz w:val="21"/>
        </w:rPr>
        <w:t>定</w:t>
      </w:r>
      <w:r>
        <w:rPr>
          <w:spacing w:val="-2"/>
          <w:sz w:val="21"/>
        </w:rPr>
        <w:t>，并在保险单上载明</w:t>
      </w:r>
      <w:r>
        <w:rPr>
          <w:spacing w:val="-10"/>
          <w:sz w:val="21"/>
        </w:rPr>
        <w:t>。</w:t>
      </w:r>
    </w:p>
    <w:p>
      <w:pPr>
        <w:pStyle w:val="BodyText"/>
        <w:spacing w:line="242" w:lineRule="auto" w:before="31"/>
        <w:ind w:left="2731" w:right="601"/>
      </w:pPr>
      <w:r>
        <w:rPr>
          <w:spacing w:val="-2"/>
        </w:rPr>
        <w:t>分期支付保险费的，在交纳首期保险费后，您应当在每个保险费约定交纳日交纳其</w:t>
      </w:r>
      <w:r>
        <w:rPr>
          <w:spacing w:val="-2"/>
        </w:rPr>
        <w:t>余各期的保险费。</w:t>
      </w:r>
    </w:p>
    <w:p>
      <w:pPr>
        <w:pStyle w:val="BodyText"/>
        <w:spacing w:before="11"/>
        <w:ind w:left="0"/>
        <w:rPr>
          <w:sz w:val="15"/>
        </w:rPr>
      </w:pPr>
    </w:p>
    <w:p>
      <w:pPr>
        <w:pStyle w:val="ListParagraph"/>
        <w:numPr>
          <w:ilvl w:val="1"/>
          <w:numId w:val="3"/>
        </w:numPr>
        <w:tabs>
          <w:tab w:pos="1182" w:val="left" w:leader="none"/>
          <w:tab w:pos="2731" w:val="left" w:leader="none"/>
        </w:tabs>
        <w:spacing w:line="220" w:lineRule="auto" w:before="0" w:after="0"/>
        <w:ind w:left="2731" w:right="599" w:hanging="2211"/>
        <w:jc w:val="both"/>
        <w:rPr>
          <w:sz w:val="21"/>
        </w:rPr>
      </w:pPr>
      <w:r>
        <w:rPr>
          <w:rFonts w:ascii="微软雅黑" w:eastAsia="微软雅黑"/>
          <w:b/>
          <w:spacing w:val="-4"/>
          <w:sz w:val="21"/>
        </w:rPr>
        <w:t>宽</w:t>
      </w:r>
      <w:r>
        <w:rPr>
          <w:rFonts w:ascii="微软雅黑" w:eastAsia="微软雅黑"/>
          <w:b/>
          <w:spacing w:val="-4"/>
          <w:sz w:val="21"/>
        </w:rPr>
        <w:t>限</w:t>
      </w:r>
      <w:r>
        <w:rPr>
          <w:rFonts w:ascii="微软雅黑" w:eastAsia="微软雅黑"/>
          <w:b/>
          <w:spacing w:val="-4"/>
          <w:sz w:val="21"/>
        </w:rPr>
        <w:t>期</w:t>
      </w:r>
      <w:r>
        <w:rPr>
          <w:rFonts w:ascii="微软雅黑" w:eastAsia="微软雅黑"/>
          <w:b/>
          <w:sz w:val="21"/>
        </w:rPr>
        <w:tab/>
      </w:r>
      <w:r>
        <w:rPr>
          <w:sz w:val="21"/>
        </w:rPr>
        <w:t>如果您到期未交纳保险费，自保险费约定交纳日的</w:t>
      </w:r>
      <w:r>
        <w:rPr>
          <w:sz w:val="21"/>
        </w:rPr>
        <w:t>次日零</w:t>
      </w:r>
      <w:r>
        <w:rPr>
          <w:sz w:val="21"/>
        </w:rPr>
        <w:t>时</w:t>
      </w:r>
      <w:r>
        <w:rPr>
          <w:sz w:val="21"/>
        </w:rPr>
        <w:t>起</w:t>
      </w:r>
      <w:r>
        <w:rPr>
          <w:spacing w:val="-27"/>
          <w:sz w:val="21"/>
        </w:rPr>
        <w:t> </w:t>
      </w:r>
      <w:r>
        <w:rPr>
          <w:sz w:val="21"/>
        </w:rPr>
        <w:t>60</w:t>
      </w:r>
      <w:r>
        <w:rPr>
          <w:spacing w:val="-26"/>
          <w:sz w:val="21"/>
        </w:rPr>
        <w:t> </w:t>
      </w:r>
      <w:r>
        <w:rPr>
          <w:sz w:val="21"/>
        </w:rPr>
        <w:t>日为保险</w:t>
      </w:r>
      <w:r>
        <w:rPr>
          <w:sz w:val="21"/>
        </w:rPr>
        <w:t>费交纳</w:t>
      </w:r>
      <w:r>
        <w:rPr>
          <w:spacing w:val="-2"/>
          <w:sz w:val="21"/>
        </w:rPr>
        <w:t>的</w:t>
      </w:r>
      <w:r>
        <w:rPr>
          <w:spacing w:val="-2"/>
          <w:sz w:val="21"/>
        </w:rPr>
        <w:t>宽</w:t>
      </w:r>
      <w:r>
        <w:rPr>
          <w:spacing w:val="-2"/>
          <w:sz w:val="21"/>
        </w:rPr>
        <w:t>限期。宽限期内发生</w:t>
      </w:r>
      <w:r>
        <w:rPr>
          <w:spacing w:val="-2"/>
          <w:sz w:val="21"/>
        </w:rPr>
        <w:t>的</w:t>
      </w:r>
      <w:r>
        <w:rPr>
          <w:spacing w:val="-2"/>
          <w:sz w:val="21"/>
        </w:rPr>
        <w:t>保</w:t>
      </w:r>
      <w:r>
        <w:rPr>
          <w:spacing w:val="-2"/>
          <w:sz w:val="21"/>
        </w:rPr>
        <w:t>险事故，我们仍承担</w:t>
      </w:r>
      <w:r>
        <w:rPr>
          <w:spacing w:val="-2"/>
          <w:sz w:val="21"/>
        </w:rPr>
        <w:t>保</w:t>
      </w:r>
      <w:r>
        <w:rPr>
          <w:spacing w:val="-2"/>
          <w:sz w:val="21"/>
        </w:rPr>
        <w:t>险</w:t>
      </w:r>
      <w:r>
        <w:rPr>
          <w:spacing w:val="-2"/>
          <w:sz w:val="21"/>
        </w:rPr>
        <w:t>责任，但在给付保险</w:t>
      </w:r>
      <w:r>
        <w:rPr>
          <w:spacing w:val="-2"/>
          <w:sz w:val="21"/>
        </w:rPr>
        <w:t>金</w:t>
      </w:r>
      <w:r>
        <w:rPr>
          <w:spacing w:val="-2"/>
          <w:sz w:val="21"/>
        </w:rPr>
        <w:t>时</w:t>
      </w:r>
      <w:r>
        <w:rPr>
          <w:spacing w:val="-2"/>
          <w:sz w:val="21"/>
        </w:rPr>
        <w:t>会</w:t>
      </w:r>
      <w:r>
        <w:rPr>
          <w:spacing w:val="-2"/>
          <w:sz w:val="21"/>
        </w:rPr>
        <w:t>扣</w:t>
      </w:r>
      <w:r>
        <w:rPr>
          <w:spacing w:val="-2"/>
          <w:sz w:val="21"/>
        </w:rPr>
        <w:t>除</w:t>
      </w:r>
      <w:r>
        <w:rPr>
          <w:spacing w:val="-2"/>
          <w:sz w:val="21"/>
        </w:rPr>
        <w:t>您欠交的保险费。</w:t>
      </w:r>
    </w:p>
    <w:p>
      <w:pPr>
        <w:pStyle w:val="BodyText"/>
        <w:spacing w:line="242" w:lineRule="auto" w:before="89"/>
        <w:ind w:left="2731" w:right="599"/>
        <w:jc w:val="both"/>
      </w:pPr>
      <w:r>
        <w:rPr>
          <w:spacing w:val="-1"/>
        </w:rPr>
        <w:t>如果您在宽限期内未交纳保险费，则本合同自宽限期满日的 </w:t>
      </w:r>
      <w:r>
        <w:rPr/>
        <w:t>24</w:t>
      </w:r>
      <w:r>
        <w:rPr>
          <w:spacing w:val="-5"/>
        </w:rPr>
        <w:t> 时起效力中止，但</w:t>
      </w:r>
      <w:r>
        <w:rPr>
          <w:spacing w:val="-2"/>
        </w:rPr>
        <w:t>本合同另有约定的除外。</w:t>
      </w:r>
    </w:p>
    <w:p>
      <w:pPr>
        <w:pStyle w:val="BodyText"/>
        <w:spacing w:before="4"/>
        <w:ind w:left="0"/>
        <w:rPr>
          <w:sz w:val="14"/>
        </w:rPr>
      </w:pPr>
    </w:p>
    <w:p>
      <w:pPr>
        <w:pStyle w:val="ListParagraph"/>
        <w:numPr>
          <w:ilvl w:val="1"/>
          <w:numId w:val="3"/>
        </w:numPr>
        <w:tabs>
          <w:tab w:pos="1182" w:val="left" w:leader="none"/>
          <w:tab w:pos="2731" w:val="left" w:leader="none"/>
        </w:tabs>
        <w:spacing w:line="240" w:lineRule="auto" w:before="0" w:after="0"/>
        <w:ind w:left="1181" w:right="0" w:hanging="661"/>
        <w:jc w:val="both"/>
        <w:rPr>
          <w:sz w:val="21"/>
        </w:rPr>
      </w:pPr>
      <w:r>
        <w:rPr>
          <w:rFonts w:ascii="微软雅黑" w:eastAsia="微软雅黑"/>
          <w:b/>
          <w:sz w:val="21"/>
        </w:rPr>
        <w:t>效力中</w:t>
      </w:r>
      <w:r>
        <w:rPr>
          <w:rFonts w:ascii="微软雅黑" w:eastAsia="微软雅黑"/>
          <w:b/>
          <w:spacing w:val="-10"/>
          <w:sz w:val="21"/>
        </w:rPr>
        <w:t>止</w:t>
      </w:r>
      <w:r>
        <w:rPr>
          <w:rFonts w:ascii="微软雅黑" w:eastAsia="微软雅黑"/>
          <w:b/>
          <w:sz w:val="21"/>
        </w:rPr>
        <w:tab/>
      </w:r>
      <w:r>
        <w:rPr>
          <w:spacing w:val="-2"/>
          <w:sz w:val="21"/>
        </w:rPr>
        <w:t>在</w:t>
      </w:r>
      <w:r>
        <w:rPr>
          <w:spacing w:val="-2"/>
          <w:sz w:val="21"/>
        </w:rPr>
        <w:t>本</w:t>
      </w:r>
      <w:r>
        <w:rPr>
          <w:spacing w:val="-2"/>
          <w:sz w:val="21"/>
        </w:rPr>
        <w:t>合同效力中止期间，</w:t>
      </w:r>
      <w:r>
        <w:rPr>
          <w:spacing w:val="-2"/>
          <w:sz w:val="21"/>
        </w:rPr>
        <w:t>我</w:t>
      </w:r>
      <w:r>
        <w:rPr>
          <w:spacing w:val="-2"/>
          <w:sz w:val="21"/>
        </w:rPr>
        <w:t>们</w:t>
      </w:r>
      <w:r>
        <w:rPr>
          <w:spacing w:val="-2"/>
          <w:sz w:val="21"/>
        </w:rPr>
        <w:t>不承担保险责任</w:t>
      </w:r>
      <w:r>
        <w:rPr>
          <w:spacing w:val="-10"/>
          <w:sz w:val="21"/>
        </w:rPr>
        <w:t>。</w:t>
      </w:r>
    </w:p>
    <w:p>
      <w:pPr>
        <w:pStyle w:val="ListParagraph"/>
        <w:numPr>
          <w:ilvl w:val="1"/>
          <w:numId w:val="3"/>
        </w:numPr>
        <w:tabs>
          <w:tab w:pos="1182" w:val="left" w:leader="none"/>
          <w:tab w:pos="2731" w:val="left" w:leader="none"/>
        </w:tabs>
        <w:spacing w:line="204" w:lineRule="auto" w:before="174" w:after="0"/>
        <w:ind w:left="2731" w:right="601" w:hanging="2211"/>
        <w:jc w:val="both"/>
        <w:rPr>
          <w:sz w:val="21"/>
        </w:rPr>
      </w:pPr>
      <w:r>
        <w:rPr>
          <w:rFonts w:ascii="微软雅黑" w:eastAsia="微软雅黑"/>
          <w:b/>
          <w:spacing w:val="-4"/>
          <w:sz w:val="21"/>
        </w:rPr>
        <w:t>效</w:t>
      </w:r>
      <w:r>
        <w:rPr>
          <w:rFonts w:ascii="微软雅黑" w:eastAsia="微软雅黑"/>
          <w:b/>
          <w:spacing w:val="-4"/>
          <w:sz w:val="21"/>
        </w:rPr>
        <w:t>力</w:t>
      </w:r>
      <w:r>
        <w:rPr>
          <w:rFonts w:ascii="微软雅黑" w:eastAsia="微软雅黑"/>
          <w:b/>
          <w:spacing w:val="-4"/>
          <w:sz w:val="21"/>
        </w:rPr>
        <w:t>恢</w:t>
      </w:r>
      <w:r>
        <w:rPr>
          <w:rFonts w:ascii="微软雅黑" w:eastAsia="微软雅黑"/>
          <w:b/>
          <w:spacing w:val="-4"/>
          <w:sz w:val="21"/>
        </w:rPr>
        <w:t>复</w:t>
      </w:r>
      <w:r>
        <w:rPr>
          <w:rFonts w:ascii="微软雅黑" w:eastAsia="微软雅黑"/>
          <w:b/>
          <w:sz w:val="21"/>
        </w:rPr>
        <w:tab/>
      </w:r>
      <w:r>
        <w:rPr>
          <w:spacing w:val="-4"/>
          <w:sz w:val="21"/>
        </w:rPr>
        <w:t>本</w:t>
      </w:r>
      <w:r>
        <w:rPr>
          <w:spacing w:val="-4"/>
          <w:sz w:val="21"/>
        </w:rPr>
        <w:t>合</w:t>
      </w:r>
      <w:r>
        <w:rPr>
          <w:spacing w:val="-4"/>
          <w:sz w:val="21"/>
        </w:rPr>
        <w:t>同效力中止之日起</w:t>
      </w:r>
      <w:r>
        <w:rPr>
          <w:spacing w:val="-21"/>
          <w:sz w:val="21"/>
        </w:rPr>
        <w:t> </w:t>
      </w:r>
      <w:r>
        <w:rPr>
          <w:spacing w:val="-4"/>
          <w:sz w:val="21"/>
        </w:rPr>
        <w:t>2</w:t>
      </w:r>
      <w:r>
        <w:rPr>
          <w:spacing w:val="-23"/>
          <w:sz w:val="21"/>
        </w:rPr>
        <w:t> </w:t>
      </w:r>
      <w:r>
        <w:rPr>
          <w:spacing w:val="-4"/>
          <w:sz w:val="21"/>
        </w:rPr>
        <w:t>年内，您可以申请恢复合</w:t>
      </w:r>
      <w:r>
        <w:rPr>
          <w:spacing w:val="-4"/>
          <w:sz w:val="21"/>
        </w:rPr>
        <w:t>同</w:t>
      </w:r>
      <w:r>
        <w:rPr>
          <w:spacing w:val="-4"/>
          <w:sz w:val="21"/>
        </w:rPr>
        <w:t>效</w:t>
      </w:r>
      <w:r>
        <w:rPr>
          <w:spacing w:val="-4"/>
          <w:sz w:val="21"/>
        </w:rPr>
        <w:t>力。经您与我们协商</w:t>
      </w:r>
      <w:r>
        <w:rPr>
          <w:spacing w:val="-4"/>
          <w:sz w:val="21"/>
        </w:rPr>
        <w:t>并</w:t>
      </w:r>
      <w:r>
        <w:rPr>
          <w:spacing w:val="-4"/>
          <w:sz w:val="21"/>
        </w:rPr>
        <w:t>达</w:t>
      </w:r>
      <w:r>
        <w:rPr>
          <w:spacing w:val="-4"/>
          <w:sz w:val="21"/>
        </w:rPr>
        <w:t>成</w:t>
      </w:r>
      <w:r>
        <w:rPr>
          <w:spacing w:val="-2"/>
          <w:sz w:val="21"/>
        </w:rPr>
        <w:t>协</w:t>
      </w:r>
      <w:r>
        <w:rPr>
          <w:spacing w:val="-2"/>
          <w:sz w:val="21"/>
        </w:rPr>
        <w:t>议</w:t>
      </w:r>
      <w:r>
        <w:rPr>
          <w:spacing w:val="-2"/>
          <w:sz w:val="21"/>
        </w:rPr>
        <w:t>，自您补交保险费之</w:t>
      </w:r>
      <w:r>
        <w:rPr>
          <w:spacing w:val="-2"/>
          <w:sz w:val="21"/>
        </w:rPr>
        <w:t>日</w:t>
      </w:r>
      <w:r>
        <w:rPr>
          <w:spacing w:val="-2"/>
          <w:sz w:val="21"/>
        </w:rPr>
        <w:t>起</w:t>
      </w:r>
      <w:r>
        <w:rPr>
          <w:spacing w:val="-2"/>
          <w:sz w:val="21"/>
        </w:rPr>
        <w:t>，本合同效力恢</w:t>
      </w:r>
      <w:r>
        <w:rPr>
          <w:spacing w:val="-2"/>
          <w:sz w:val="21"/>
        </w:rPr>
        <w:t>复</w:t>
      </w:r>
      <w:r>
        <w:rPr>
          <w:spacing w:val="-2"/>
          <w:sz w:val="21"/>
        </w:rPr>
        <w:t>。</w:t>
      </w:r>
    </w:p>
    <w:p>
      <w:pPr>
        <w:pStyle w:val="BodyText"/>
        <w:spacing w:line="242" w:lineRule="auto" w:before="92"/>
        <w:ind w:left="2731" w:right="601"/>
        <w:jc w:val="both"/>
      </w:pPr>
      <w:r>
        <w:rPr>
          <w:spacing w:val="-6"/>
        </w:rPr>
        <w:t>自本合同效力中止之日起满 </w:t>
      </w:r>
      <w:r>
        <w:rPr>
          <w:spacing w:val="-4"/>
        </w:rPr>
        <w:t>2</w:t>
      </w:r>
      <w:r>
        <w:rPr>
          <w:spacing w:val="-9"/>
        </w:rPr>
        <w:t> 年您和我们未达成协议的，我们有权解除本合同。我</w:t>
      </w:r>
      <w:r>
        <w:rPr>
          <w:spacing w:val="-2"/>
        </w:rPr>
        <w:t>们解除本合同的，我们向您退还本合同中止之日的现金价值。</w:t>
      </w:r>
    </w:p>
    <w:p>
      <w:pPr>
        <w:pStyle w:val="BodyText"/>
        <w:spacing w:before="12"/>
        <w:ind w:left="0"/>
        <w:rPr>
          <w:sz w:val="17"/>
        </w:rPr>
      </w:pPr>
    </w:p>
    <w:p>
      <w:pPr>
        <w:pStyle w:val="Heading1"/>
        <w:numPr>
          <w:ilvl w:val="0"/>
          <w:numId w:val="3"/>
        </w:numPr>
        <w:tabs>
          <w:tab w:pos="1182" w:val="left" w:leader="none"/>
        </w:tabs>
        <w:spacing w:line="240" w:lineRule="auto" w:before="0" w:after="7"/>
        <w:ind w:left="1181" w:right="0" w:hanging="661"/>
        <w:jc w:val="both"/>
      </w:pPr>
      <w:r>
        <w:rPr>
          <w:spacing w:val="-2"/>
        </w:rPr>
        <w:t>如何领取保险金</w:t>
      </w:r>
    </w:p>
    <w:p>
      <w:pPr>
        <w:pStyle w:val="BodyText"/>
        <w:spacing w:line="20" w:lineRule="exact"/>
        <w:ind w:left="412"/>
        <w:rPr>
          <w:rFonts w:ascii="微软雅黑"/>
          <w:sz w:val="2"/>
        </w:rPr>
      </w:pPr>
      <w:r>
        <w:rPr>
          <w:rFonts w:ascii="微软雅黑"/>
          <w:sz w:val="2"/>
        </w:rPr>
        <w:drawing>
          <wp:inline distT="0" distB="0" distL="0" distR="0">
            <wp:extent cx="6307323" cy="12191"/>
            <wp:effectExtent l="0" t="0" r="0" b="0"/>
            <wp:docPr id="35" name="image13.png"/>
            <wp:cNvGraphicFramePr>
              <a:graphicFrameLocks noChangeAspect="1"/>
            </wp:cNvGraphicFramePr>
            <a:graphic>
              <a:graphicData uri="http://schemas.openxmlformats.org/drawingml/2006/picture">
                <pic:pic>
                  <pic:nvPicPr>
                    <pic:cNvPr id="36" name="image13.png"/>
                    <pic:cNvPicPr/>
                  </pic:nvPicPr>
                  <pic:blipFill>
                    <a:blip r:embed="rId20" cstate="print"/>
                    <a:stretch>
                      <a:fillRect/>
                    </a:stretch>
                  </pic:blipFill>
                  <pic:spPr>
                    <a:xfrm>
                      <a:off x="0" y="0"/>
                      <a:ext cx="6307323" cy="12191"/>
                    </a:xfrm>
                    <a:prstGeom prst="rect">
                      <a:avLst/>
                    </a:prstGeom>
                  </pic:spPr>
                </pic:pic>
              </a:graphicData>
            </a:graphic>
          </wp:inline>
        </w:drawing>
      </w:r>
      <w:r>
        <w:rPr>
          <w:rFonts w:ascii="微软雅黑"/>
          <w:sz w:val="2"/>
        </w:rPr>
      </w:r>
    </w:p>
    <w:p>
      <w:pPr>
        <w:pStyle w:val="ListParagraph"/>
        <w:numPr>
          <w:ilvl w:val="1"/>
          <w:numId w:val="3"/>
        </w:numPr>
        <w:tabs>
          <w:tab w:pos="1181" w:val="left" w:leader="none"/>
          <w:tab w:pos="1182" w:val="left" w:leader="none"/>
          <w:tab w:pos="2731" w:val="left" w:leader="none"/>
        </w:tabs>
        <w:spacing w:line="240" w:lineRule="auto" w:before="163" w:after="0"/>
        <w:ind w:left="1181" w:right="0" w:hanging="661"/>
        <w:jc w:val="left"/>
        <w:rPr>
          <w:sz w:val="21"/>
        </w:rPr>
      </w:pPr>
      <w:r>
        <w:rPr/>
        <w:drawing>
          <wp:anchor distT="0" distB="0" distL="0" distR="0" allowOverlap="1" layoutInCell="1" locked="0" behindDoc="0" simplePos="0" relativeHeight="15737856">
            <wp:simplePos x="0" y="0"/>
            <wp:positionH relativeFrom="page">
              <wp:posOffset>1209731</wp:posOffset>
            </wp:positionH>
            <wp:positionV relativeFrom="paragraph">
              <wp:posOffset>350530</wp:posOffset>
            </wp:positionV>
            <wp:extent cx="517411" cy="521673"/>
            <wp:effectExtent l="0" t="0" r="0" b="0"/>
            <wp:wrapNone/>
            <wp:docPr id="37" name="image14.png"/>
            <wp:cNvGraphicFramePr>
              <a:graphicFrameLocks noChangeAspect="1"/>
            </wp:cNvGraphicFramePr>
            <a:graphic>
              <a:graphicData uri="http://schemas.openxmlformats.org/drawingml/2006/picture">
                <pic:pic>
                  <pic:nvPicPr>
                    <pic:cNvPr id="38" name="image14.png"/>
                    <pic:cNvPicPr/>
                  </pic:nvPicPr>
                  <pic:blipFill>
                    <a:blip r:embed="rId21" cstate="print"/>
                    <a:stretch>
                      <a:fillRect/>
                    </a:stretch>
                  </pic:blipFill>
                  <pic:spPr>
                    <a:xfrm>
                      <a:off x="0" y="0"/>
                      <a:ext cx="517411" cy="521673"/>
                    </a:xfrm>
                    <a:prstGeom prst="rect">
                      <a:avLst/>
                    </a:prstGeom>
                  </pic:spPr>
                </pic:pic>
              </a:graphicData>
            </a:graphic>
          </wp:anchor>
        </w:drawing>
      </w:r>
      <w:r>
        <w:rPr>
          <w:rFonts w:ascii="微软雅黑" w:eastAsia="微软雅黑"/>
          <w:b/>
          <w:sz w:val="21"/>
        </w:rPr>
        <w:t>受益</w:t>
      </w:r>
      <w:r>
        <w:rPr>
          <w:rFonts w:ascii="微软雅黑" w:eastAsia="微软雅黑"/>
          <w:b/>
          <w:spacing w:val="-10"/>
          <w:sz w:val="21"/>
        </w:rPr>
        <w:t>人</w:t>
      </w:r>
      <w:r>
        <w:rPr>
          <w:rFonts w:ascii="微软雅黑" w:eastAsia="微软雅黑"/>
          <w:b/>
          <w:sz w:val="21"/>
        </w:rPr>
        <w:tab/>
      </w:r>
      <w:r>
        <w:rPr>
          <w:spacing w:val="-2"/>
          <w:sz w:val="21"/>
        </w:rPr>
        <w:t>请</w:t>
      </w:r>
      <w:r>
        <w:rPr>
          <w:spacing w:val="-2"/>
          <w:sz w:val="21"/>
        </w:rPr>
        <w:t>您</w:t>
      </w:r>
      <w:r>
        <w:rPr>
          <w:spacing w:val="-2"/>
          <w:sz w:val="21"/>
        </w:rPr>
        <w:t>或者被保险人慎重选</w:t>
      </w:r>
      <w:r>
        <w:rPr>
          <w:spacing w:val="-2"/>
          <w:sz w:val="21"/>
        </w:rPr>
        <w:t>择</w:t>
      </w:r>
      <w:r>
        <w:rPr>
          <w:spacing w:val="-2"/>
          <w:sz w:val="21"/>
        </w:rPr>
        <w:t>指</w:t>
      </w:r>
      <w:r>
        <w:rPr>
          <w:spacing w:val="-2"/>
          <w:sz w:val="21"/>
        </w:rPr>
        <w:t>定身故保险金受益人</w:t>
      </w:r>
      <w:r>
        <w:rPr>
          <w:spacing w:val="-10"/>
          <w:sz w:val="21"/>
        </w:rPr>
        <w:t>。</w:t>
      </w:r>
    </w:p>
    <w:p>
      <w:pPr>
        <w:pStyle w:val="BodyText"/>
        <w:spacing w:before="31"/>
        <w:ind w:left="2731"/>
      </w:pPr>
      <w:r>
        <w:rPr>
          <w:spacing w:val="-3"/>
        </w:rPr>
        <w:t>除另有指定外，疾病保险金受益人为被保险人本人。</w:t>
      </w:r>
    </w:p>
    <w:p>
      <w:pPr>
        <w:pStyle w:val="BodyText"/>
        <w:spacing w:line="242" w:lineRule="auto" w:before="81"/>
        <w:ind w:left="2731" w:right="604"/>
      </w:pPr>
      <w:r>
        <w:rPr>
          <w:spacing w:val="-7"/>
        </w:rPr>
        <w:t>关于受益人的其他规定详见《中华人民共和国保险法》</w:t>
      </w:r>
      <w:r>
        <w:rPr>
          <w:spacing w:val="-2"/>
        </w:rPr>
        <w:t>（请扫描二维码查看相关内</w:t>
      </w:r>
      <w:r>
        <w:rPr>
          <w:spacing w:val="-6"/>
        </w:rPr>
        <w:t>容</w:t>
      </w:r>
      <w:r>
        <w:rPr>
          <w:spacing w:val="-106"/>
        </w:rPr>
        <w:t>）</w:t>
      </w:r>
      <w:r>
        <w:rPr>
          <w:spacing w:val="-6"/>
        </w:rPr>
        <w:t>。</w:t>
      </w:r>
    </w:p>
    <w:p>
      <w:pPr>
        <w:pStyle w:val="BodyText"/>
        <w:spacing w:before="3"/>
        <w:ind w:left="0"/>
        <w:rPr>
          <w:sz w:val="14"/>
        </w:rPr>
      </w:pPr>
    </w:p>
    <w:p>
      <w:pPr>
        <w:pStyle w:val="ListParagraph"/>
        <w:numPr>
          <w:ilvl w:val="1"/>
          <w:numId w:val="3"/>
        </w:numPr>
        <w:tabs>
          <w:tab w:pos="1181" w:val="left" w:leader="none"/>
          <w:tab w:pos="1182" w:val="left" w:leader="none"/>
          <w:tab w:pos="2731" w:val="left" w:leader="none"/>
        </w:tabs>
        <w:spacing w:line="240" w:lineRule="auto" w:before="0" w:after="0"/>
        <w:ind w:left="1181" w:right="0" w:hanging="661"/>
        <w:jc w:val="left"/>
        <w:rPr>
          <w:sz w:val="21"/>
        </w:rPr>
      </w:pPr>
      <w:r>
        <w:rPr/>
        <w:drawing>
          <wp:anchor distT="0" distB="0" distL="0" distR="0" allowOverlap="1" layoutInCell="1" locked="0" behindDoc="0" simplePos="0" relativeHeight="15738368">
            <wp:simplePos x="0" y="0"/>
            <wp:positionH relativeFrom="page">
              <wp:posOffset>1216036</wp:posOffset>
            </wp:positionH>
            <wp:positionV relativeFrom="paragraph">
              <wp:posOffset>234337</wp:posOffset>
            </wp:positionV>
            <wp:extent cx="524487" cy="514003"/>
            <wp:effectExtent l="0" t="0" r="0" b="0"/>
            <wp:wrapNone/>
            <wp:docPr id="39" name="image15.png"/>
            <wp:cNvGraphicFramePr>
              <a:graphicFrameLocks noChangeAspect="1"/>
            </wp:cNvGraphicFramePr>
            <a:graphic>
              <a:graphicData uri="http://schemas.openxmlformats.org/drawingml/2006/picture">
                <pic:pic>
                  <pic:nvPicPr>
                    <pic:cNvPr id="40" name="image15.png"/>
                    <pic:cNvPicPr/>
                  </pic:nvPicPr>
                  <pic:blipFill>
                    <a:blip r:embed="rId22" cstate="print"/>
                    <a:stretch>
                      <a:fillRect/>
                    </a:stretch>
                  </pic:blipFill>
                  <pic:spPr>
                    <a:xfrm>
                      <a:off x="0" y="0"/>
                      <a:ext cx="524487" cy="514003"/>
                    </a:xfrm>
                    <a:prstGeom prst="rect">
                      <a:avLst/>
                    </a:prstGeom>
                  </pic:spPr>
                </pic:pic>
              </a:graphicData>
            </a:graphic>
          </wp:anchor>
        </w:drawing>
      </w:r>
      <w:r>
        <w:rPr>
          <w:rFonts w:ascii="微软雅黑" w:eastAsia="微软雅黑"/>
          <w:b/>
          <w:sz w:val="21"/>
        </w:rPr>
        <w:t>保险事故通</w:t>
      </w:r>
      <w:r>
        <w:rPr>
          <w:rFonts w:ascii="微软雅黑" w:eastAsia="微软雅黑"/>
          <w:b/>
          <w:spacing w:val="-10"/>
          <w:sz w:val="21"/>
        </w:rPr>
        <w:t>知</w:t>
      </w:r>
      <w:r>
        <w:rPr>
          <w:rFonts w:ascii="微软雅黑" w:eastAsia="微软雅黑"/>
          <w:b/>
          <w:sz w:val="21"/>
        </w:rPr>
        <w:tab/>
      </w:r>
      <w:r>
        <w:rPr>
          <w:spacing w:val="-2"/>
          <w:sz w:val="21"/>
        </w:rPr>
        <w:t>您</w:t>
      </w:r>
      <w:r>
        <w:rPr>
          <w:spacing w:val="-2"/>
          <w:sz w:val="21"/>
        </w:rPr>
        <w:t>或</w:t>
      </w:r>
      <w:r>
        <w:rPr>
          <w:spacing w:val="-2"/>
          <w:sz w:val="21"/>
        </w:rPr>
        <w:t>者受益人知道保险事</w:t>
      </w:r>
      <w:r>
        <w:rPr>
          <w:spacing w:val="-2"/>
          <w:sz w:val="21"/>
        </w:rPr>
        <w:t>故</w:t>
      </w:r>
      <w:r>
        <w:rPr>
          <w:spacing w:val="-2"/>
          <w:sz w:val="21"/>
        </w:rPr>
        <w:t>发</w:t>
      </w:r>
      <w:r>
        <w:rPr>
          <w:spacing w:val="-2"/>
          <w:sz w:val="21"/>
        </w:rPr>
        <w:t>生后应当在</w:t>
      </w:r>
      <w:r>
        <w:rPr>
          <w:spacing w:val="-45"/>
          <w:sz w:val="21"/>
        </w:rPr>
        <w:t> </w:t>
      </w:r>
      <w:r>
        <w:rPr>
          <w:spacing w:val="-2"/>
          <w:sz w:val="21"/>
        </w:rPr>
        <w:t>10</w:t>
      </w:r>
      <w:r>
        <w:rPr>
          <w:spacing w:val="-45"/>
          <w:sz w:val="21"/>
        </w:rPr>
        <w:t> </w:t>
      </w:r>
      <w:r>
        <w:rPr>
          <w:spacing w:val="-2"/>
          <w:sz w:val="21"/>
        </w:rPr>
        <w:t>日内通</w:t>
      </w:r>
      <w:r>
        <w:rPr>
          <w:spacing w:val="-2"/>
          <w:sz w:val="21"/>
        </w:rPr>
        <w:t>知</w:t>
      </w:r>
      <w:r>
        <w:rPr>
          <w:spacing w:val="-2"/>
          <w:sz w:val="21"/>
        </w:rPr>
        <w:t>我</w:t>
      </w:r>
      <w:r>
        <w:rPr>
          <w:spacing w:val="-2"/>
          <w:sz w:val="21"/>
        </w:rPr>
        <w:t>们</w:t>
      </w:r>
      <w:r>
        <w:rPr>
          <w:spacing w:val="-10"/>
          <w:sz w:val="21"/>
        </w:rPr>
        <w:t>。</w:t>
      </w:r>
    </w:p>
    <w:p>
      <w:pPr>
        <w:pStyle w:val="BodyText"/>
        <w:spacing w:line="242" w:lineRule="auto" w:before="30"/>
        <w:ind w:left="2731" w:right="604"/>
      </w:pPr>
      <w:r>
        <w:rPr>
          <w:spacing w:val="-6"/>
        </w:rPr>
        <w:t>关于保险事故通知的其他规定详见《中华人民共和国保险法》</w:t>
      </w:r>
      <w:r>
        <w:rPr>
          <w:spacing w:val="-2"/>
        </w:rPr>
        <w:t>（请扫描二维码查看</w:t>
      </w:r>
      <w:r>
        <w:rPr>
          <w:spacing w:val="-2"/>
        </w:rPr>
        <w:t>相关内容</w:t>
      </w:r>
      <w:r>
        <w:rPr>
          <w:spacing w:val="-108"/>
        </w:rPr>
        <w:t>）</w:t>
      </w:r>
      <w:r>
        <w:rPr>
          <w:spacing w:val="-2"/>
        </w:rPr>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7"/>
        <w:ind w:left="0"/>
        <w:rPr>
          <w:sz w:val="26"/>
        </w:rPr>
      </w:pPr>
      <w:r>
        <w:rPr/>
        <w:drawing>
          <wp:anchor distT="0" distB="0" distL="0" distR="0" allowOverlap="1" layoutInCell="1" locked="0" behindDoc="0" simplePos="0" relativeHeight="17">
            <wp:simplePos x="0" y="0"/>
            <wp:positionH relativeFrom="page">
              <wp:posOffset>719327</wp:posOffset>
            </wp:positionH>
            <wp:positionV relativeFrom="paragraph">
              <wp:posOffset>231838</wp:posOffset>
            </wp:positionV>
            <wp:extent cx="1829282" cy="6096"/>
            <wp:effectExtent l="0" t="0" r="0" b="0"/>
            <wp:wrapTopAndBottom/>
            <wp:docPr id="41" name="image5.png"/>
            <wp:cNvGraphicFramePr>
              <a:graphicFrameLocks noChangeAspect="1"/>
            </wp:cNvGraphicFramePr>
            <a:graphic>
              <a:graphicData uri="http://schemas.openxmlformats.org/drawingml/2006/picture">
                <pic:pic>
                  <pic:nvPicPr>
                    <pic:cNvPr id="42" name="image5.png"/>
                    <pic:cNvPicPr/>
                  </pic:nvPicPr>
                  <pic:blipFill>
                    <a:blip r:embed="rId10" cstate="print"/>
                    <a:stretch>
                      <a:fillRect/>
                    </a:stretch>
                  </pic:blipFill>
                  <pic:spPr>
                    <a:xfrm>
                      <a:off x="0" y="0"/>
                      <a:ext cx="1829282" cy="6096"/>
                    </a:xfrm>
                    <a:prstGeom prst="rect">
                      <a:avLst/>
                    </a:prstGeom>
                  </pic:spPr>
                </pic:pic>
              </a:graphicData>
            </a:graphic>
          </wp:anchor>
        </w:drawing>
      </w:r>
    </w:p>
    <w:p>
      <w:pPr>
        <w:spacing w:line="282" w:lineRule="exact" w:before="36"/>
        <w:ind w:left="412" w:right="0" w:firstLine="0"/>
        <w:jc w:val="left"/>
        <w:rPr>
          <w:sz w:val="18"/>
        </w:rPr>
      </w:pPr>
      <w:r>
        <w:rPr>
          <w:position w:val="9"/>
          <w:sz w:val="9"/>
        </w:rPr>
        <w:t>21</w:t>
      </w:r>
      <w:r>
        <w:rPr>
          <w:rFonts w:ascii="Microsoft JhengHei" w:eastAsia="Microsoft JhengHei"/>
          <w:b/>
          <w:sz w:val="18"/>
        </w:rPr>
        <w:t>现金价值</w:t>
      </w:r>
      <w:r>
        <w:rPr>
          <w:spacing w:val="-1"/>
          <w:sz w:val="18"/>
        </w:rPr>
        <w:t>指保险合同所具有的价值。通常体现为解除合同时由我们退还的那部分金额。</w:t>
      </w:r>
    </w:p>
    <w:p>
      <w:pPr>
        <w:spacing w:line="282" w:lineRule="exact" w:before="0"/>
        <w:ind w:left="412" w:right="0" w:firstLine="0"/>
        <w:jc w:val="left"/>
        <w:rPr>
          <w:sz w:val="18"/>
        </w:rPr>
      </w:pPr>
      <w:r>
        <w:rPr>
          <w:position w:val="9"/>
          <w:sz w:val="9"/>
        </w:rPr>
        <w:t>22</w:t>
      </w:r>
      <w:r>
        <w:rPr>
          <w:rFonts w:ascii="Microsoft JhengHei" w:eastAsia="Microsoft JhengHei"/>
          <w:b/>
          <w:sz w:val="18"/>
        </w:rPr>
        <w:t>投保人之外的其他权利人</w:t>
      </w:r>
      <w:r>
        <w:rPr>
          <w:spacing w:val="-1"/>
          <w:sz w:val="18"/>
        </w:rPr>
        <w:t>：按照被保险人第一顺序法定继承人、第二顺序法定继承人的顺序确定。</w:t>
      </w:r>
    </w:p>
    <w:p>
      <w:pPr>
        <w:spacing w:after="0" w:line="282" w:lineRule="exact"/>
        <w:jc w:val="left"/>
        <w:rPr>
          <w:sz w:val="18"/>
        </w:rPr>
        <w:sectPr>
          <w:pgSz w:w="11910" w:h="16840"/>
          <w:pgMar w:header="0" w:footer="574" w:top="1140" w:bottom="760" w:left="720" w:right="340"/>
        </w:sectPr>
      </w:pPr>
    </w:p>
    <w:p>
      <w:pPr>
        <w:pStyle w:val="ListParagraph"/>
        <w:numPr>
          <w:ilvl w:val="1"/>
          <w:numId w:val="3"/>
        </w:numPr>
        <w:tabs>
          <w:tab w:pos="1181" w:val="left" w:leader="none"/>
          <w:tab w:pos="1182" w:val="left" w:leader="none"/>
          <w:tab w:pos="2731" w:val="left" w:leader="none"/>
        </w:tabs>
        <w:spacing w:line="204" w:lineRule="auto" w:before="49" w:after="0"/>
        <w:ind w:left="2731" w:right="599" w:hanging="2211"/>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申</w:t>
      </w:r>
      <w:r>
        <w:rPr>
          <w:rFonts w:ascii="微软雅黑" w:eastAsia="微软雅黑"/>
          <w:b/>
          <w:spacing w:val="-2"/>
          <w:sz w:val="21"/>
        </w:rPr>
        <w:t>请</w:t>
      </w:r>
      <w:r>
        <w:rPr>
          <w:rFonts w:ascii="微软雅黑" w:eastAsia="微软雅黑"/>
          <w:b/>
          <w:sz w:val="21"/>
        </w:rPr>
        <w:tab/>
      </w:r>
      <w:r>
        <w:rPr>
          <w:spacing w:val="-2"/>
          <w:sz w:val="21"/>
        </w:rPr>
        <w:t>在</w:t>
      </w:r>
      <w:r>
        <w:rPr>
          <w:spacing w:val="-2"/>
          <w:sz w:val="21"/>
        </w:rPr>
        <w:t>申</w:t>
      </w:r>
      <w:r>
        <w:rPr>
          <w:spacing w:val="-2"/>
          <w:sz w:val="21"/>
        </w:rPr>
        <w:t>请</w:t>
      </w:r>
      <w:r>
        <w:rPr>
          <w:spacing w:val="-2"/>
          <w:sz w:val="21"/>
        </w:rPr>
        <w:t>保</w:t>
      </w:r>
      <w:r>
        <w:rPr>
          <w:spacing w:val="-2"/>
          <w:sz w:val="21"/>
        </w:rPr>
        <w:t>险</w:t>
      </w:r>
      <w:r>
        <w:rPr>
          <w:spacing w:val="-2"/>
          <w:sz w:val="21"/>
        </w:rPr>
        <w:t>金</w:t>
      </w:r>
      <w:r>
        <w:rPr>
          <w:spacing w:val="-2"/>
          <w:sz w:val="21"/>
        </w:rPr>
        <w:t>或</w:t>
      </w:r>
      <w:r>
        <w:rPr>
          <w:spacing w:val="-2"/>
          <w:sz w:val="21"/>
        </w:rPr>
        <w:t>者</w:t>
      </w:r>
      <w:r>
        <w:rPr>
          <w:spacing w:val="-2"/>
          <w:sz w:val="21"/>
        </w:rPr>
        <w:t>申</w:t>
      </w:r>
      <w:r>
        <w:rPr>
          <w:spacing w:val="-2"/>
          <w:sz w:val="21"/>
        </w:rPr>
        <w:t>请</w:t>
      </w:r>
      <w:r>
        <w:rPr>
          <w:spacing w:val="-2"/>
          <w:sz w:val="21"/>
        </w:rPr>
        <w:t>豁</w:t>
      </w:r>
      <w:r>
        <w:rPr>
          <w:spacing w:val="-2"/>
          <w:sz w:val="21"/>
        </w:rPr>
        <w:t>免</w:t>
      </w:r>
      <w:r>
        <w:rPr>
          <w:spacing w:val="-2"/>
          <w:sz w:val="21"/>
        </w:rPr>
        <w:t>保</w:t>
      </w:r>
      <w:r>
        <w:rPr>
          <w:spacing w:val="-2"/>
          <w:sz w:val="21"/>
        </w:rPr>
        <w:t>险</w:t>
      </w:r>
      <w:r>
        <w:rPr>
          <w:spacing w:val="-2"/>
          <w:sz w:val="21"/>
        </w:rPr>
        <w:t>费</w:t>
      </w:r>
      <w:r>
        <w:rPr>
          <w:spacing w:val="-2"/>
          <w:sz w:val="21"/>
        </w:rPr>
        <w:t>时</w:t>
      </w:r>
      <w:r>
        <w:rPr>
          <w:spacing w:val="-2"/>
          <w:sz w:val="21"/>
        </w:rPr>
        <w:t>，</w:t>
      </w:r>
      <w:r>
        <w:rPr>
          <w:rFonts w:ascii="微软雅黑" w:eastAsia="微软雅黑"/>
          <w:b/>
          <w:spacing w:val="-2"/>
          <w:sz w:val="21"/>
        </w:rPr>
        <w:t>申</w:t>
      </w:r>
      <w:r>
        <w:rPr>
          <w:rFonts w:ascii="微软雅黑" w:eastAsia="微软雅黑"/>
          <w:b/>
          <w:spacing w:val="-2"/>
          <w:sz w:val="21"/>
        </w:rPr>
        <w:t>请</w:t>
      </w:r>
      <w:r>
        <w:rPr>
          <w:rFonts w:ascii="微软雅黑" w:eastAsia="微软雅黑"/>
          <w:b/>
          <w:spacing w:val="-2"/>
          <w:sz w:val="21"/>
        </w:rPr>
        <w:t>人</w:t>
      </w:r>
      <w:r>
        <w:rPr>
          <w:rFonts w:ascii="微软雅黑" w:eastAsia="微软雅黑"/>
          <w:b/>
          <w:spacing w:val="-2"/>
          <w:position w:val="11"/>
          <w:sz w:val="11"/>
        </w:rPr>
        <w:t>23</w:t>
      </w:r>
      <w:r>
        <w:rPr>
          <w:spacing w:val="-2"/>
          <w:sz w:val="21"/>
        </w:rPr>
        <w:t>须</w:t>
      </w:r>
      <w:r>
        <w:rPr>
          <w:spacing w:val="-2"/>
          <w:sz w:val="21"/>
        </w:rPr>
        <w:t>填</w:t>
      </w:r>
      <w:r>
        <w:rPr>
          <w:spacing w:val="-2"/>
          <w:sz w:val="21"/>
        </w:rPr>
        <w:t>写</w:t>
      </w:r>
      <w:r>
        <w:rPr>
          <w:spacing w:val="-2"/>
          <w:sz w:val="21"/>
        </w:rPr>
        <w:t>理</w:t>
      </w:r>
      <w:r>
        <w:rPr>
          <w:spacing w:val="-2"/>
          <w:sz w:val="21"/>
        </w:rPr>
        <w:t>赔</w:t>
      </w:r>
      <w:r>
        <w:rPr>
          <w:spacing w:val="-2"/>
          <w:sz w:val="21"/>
        </w:rPr>
        <w:t>申</w:t>
      </w:r>
      <w:r>
        <w:rPr>
          <w:spacing w:val="-2"/>
          <w:sz w:val="21"/>
        </w:rPr>
        <w:t>请</w:t>
      </w:r>
      <w:r>
        <w:rPr>
          <w:spacing w:val="-2"/>
          <w:sz w:val="21"/>
        </w:rPr>
        <w:t>书</w:t>
      </w:r>
      <w:r>
        <w:rPr>
          <w:spacing w:val="-2"/>
          <w:sz w:val="21"/>
        </w:rPr>
        <w:t>，</w:t>
      </w:r>
      <w:r>
        <w:rPr>
          <w:spacing w:val="-2"/>
          <w:sz w:val="21"/>
        </w:rPr>
        <w:t>并</w:t>
      </w:r>
      <w:r>
        <w:rPr>
          <w:spacing w:val="-2"/>
          <w:sz w:val="21"/>
        </w:rPr>
        <w:t>须</w:t>
      </w:r>
      <w:r>
        <w:rPr>
          <w:spacing w:val="-2"/>
          <w:sz w:val="21"/>
        </w:rPr>
        <w:t>提</w:t>
      </w:r>
      <w:r>
        <w:rPr>
          <w:spacing w:val="-2"/>
          <w:sz w:val="21"/>
        </w:rPr>
        <w:t>供</w:t>
      </w:r>
      <w:r>
        <w:rPr>
          <w:spacing w:val="-2"/>
          <w:sz w:val="21"/>
        </w:rPr>
        <w:t>下</w:t>
      </w:r>
      <w:r>
        <w:rPr>
          <w:spacing w:val="-2"/>
          <w:sz w:val="21"/>
        </w:rPr>
        <w:t>列</w:t>
      </w:r>
      <w:r>
        <w:rPr>
          <w:spacing w:val="-2"/>
          <w:sz w:val="21"/>
        </w:rPr>
        <w:t>证</w:t>
      </w:r>
      <w:r>
        <w:rPr>
          <w:spacing w:val="-2"/>
          <w:sz w:val="21"/>
        </w:rPr>
        <w:t>明</w:t>
      </w:r>
      <w:r>
        <w:rPr>
          <w:spacing w:val="-2"/>
          <w:sz w:val="21"/>
        </w:rPr>
        <w:t>和资料的原件：</w:t>
      </w:r>
    </w:p>
    <w:p>
      <w:pPr>
        <w:pStyle w:val="ListParagraph"/>
        <w:numPr>
          <w:ilvl w:val="0"/>
          <w:numId w:val="5"/>
        </w:numPr>
        <w:tabs>
          <w:tab w:pos="3453" w:val="left" w:leader="none"/>
        </w:tabs>
        <w:spacing w:line="240" w:lineRule="auto" w:before="92" w:after="0"/>
        <w:ind w:left="3452" w:right="0" w:hanging="722"/>
        <w:jc w:val="left"/>
        <w:rPr>
          <w:sz w:val="21"/>
        </w:rPr>
      </w:pPr>
      <w:r>
        <w:rPr>
          <w:spacing w:val="-4"/>
          <w:sz w:val="21"/>
        </w:rPr>
        <w:t>本合同；</w:t>
      </w:r>
    </w:p>
    <w:p>
      <w:pPr>
        <w:pStyle w:val="ListParagraph"/>
        <w:numPr>
          <w:ilvl w:val="0"/>
          <w:numId w:val="5"/>
        </w:numPr>
        <w:tabs>
          <w:tab w:pos="3453" w:val="left" w:leader="none"/>
        </w:tabs>
        <w:spacing w:line="240" w:lineRule="auto" w:before="14" w:after="0"/>
        <w:ind w:left="3452" w:right="0" w:hanging="722"/>
        <w:jc w:val="left"/>
        <w:rPr>
          <w:sz w:val="21"/>
        </w:rPr>
      </w:pPr>
      <w:r>
        <w:rPr>
          <w:spacing w:val="-2"/>
          <w:sz w:val="21"/>
        </w:rPr>
        <w:t>申请人的</w:t>
      </w:r>
      <w:r>
        <w:rPr>
          <w:rFonts w:ascii="微软雅黑" w:eastAsia="微软雅黑"/>
          <w:b/>
          <w:spacing w:val="-2"/>
          <w:sz w:val="21"/>
        </w:rPr>
        <w:t>有效身份证件</w:t>
      </w:r>
      <w:r>
        <w:rPr>
          <w:rFonts w:ascii="微软雅黑" w:eastAsia="微软雅黑"/>
          <w:b/>
          <w:spacing w:val="-5"/>
          <w:position w:val="11"/>
          <w:sz w:val="11"/>
        </w:rPr>
        <w:t>24</w:t>
      </w:r>
      <w:r>
        <w:rPr>
          <w:spacing w:val="-5"/>
          <w:sz w:val="21"/>
        </w:rPr>
        <w:t>；</w:t>
      </w:r>
    </w:p>
    <w:p>
      <w:pPr>
        <w:pStyle w:val="ListParagraph"/>
        <w:numPr>
          <w:ilvl w:val="0"/>
          <w:numId w:val="5"/>
        </w:numPr>
        <w:tabs>
          <w:tab w:pos="3453" w:val="left" w:leader="none"/>
        </w:tabs>
        <w:spacing w:line="240" w:lineRule="auto" w:before="31" w:after="0"/>
        <w:ind w:left="3452" w:right="0" w:hanging="722"/>
        <w:jc w:val="left"/>
        <w:rPr>
          <w:sz w:val="21"/>
        </w:rPr>
      </w:pPr>
      <w:r>
        <w:rPr>
          <w:spacing w:val="-3"/>
          <w:sz w:val="21"/>
        </w:rPr>
        <w:t>下表所示的申请各类保险金或豁免保险费时须提供的特殊证明和资料；</w:t>
      </w:r>
    </w:p>
    <w:p>
      <w:pPr>
        <w:pStyle w:val="BodyText"/>
        <w:spacing w:before="11"/>
        <w:ind w:left="0"/>
        <w:rPr>
          <w:sz w:val="8"/>
        </w:rPr>
      </w:pPr>
    </w:p>
    <w:tbl>
      <w:tblPr>
        <w:tblW w:w="0" w:type="auto"/>
        <w:jc w:val="left"/>
        <w:tblInd w:w="2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49"/>
        <w:gridCol w:w="5109"/>
      </w:tblGrid>
      <w:tr>
        <w:trPr>
          <w:trHeight w:val="350" w:hRule="atLeast"/>
        </w:trPr>
        <w:tc>
          <w:tcPr>
            <w:tcW w:w="2449" w:type="dxa"/>
            <w:tcBorders>
              <w:left w:val="nil"/>
            </w:tcBorders>
            <w:shd w:val="clear" w:color="auto" w:fill="D9D9D9"/>
          </w:tcPr>
          <w:p>
            <w:pPr>
              <w:pStyle w:val="TableParagraph"/>
              <w:spacing w:line="250" w:lineRule="exact" w:before="80"/>
              <w:ind w:left="799"/>
              <w:rPr>
                <w:sz w:val="21"/>
              </w:rPr>
            </w:pPr>
            <w:r>
              <w:rPr>
                <w:spacing w:val="-4"/>
                <w:sz w:val="21"/>
              </w:rPr>
              <w:t>申请类别</w:t>
            </w:r>
          </w:p>
        </w:tc>
        <w:tc>
          <w:tcPr>
            <w:tcW w:w="5109" w:type="dxa"/>
            <w:tcBorders>
              <w:right w:val="nil"/>
            </w:tcBorders>
            <w:shd w:val="clear" w:color="auto" w:fill="D9D9D9"/>
          </w:tcPr>
          <w:p>
            <w:pPr>
              <w:pStyle w:val="TableParagraph"/>
              <w:spacing w:line="250" w:lineRule="exact" w:before="80"/>
              <w:ind w:left="1077"/>
              <w:rPr>
                <w:sz w:val="21"/>
              </w:rPr>
            </w:pPr>
            <w:r>
              <w:rPr>
                <w:spacing w:val="-3"/>
                <w:sz w:val="21"/>
              </w:rPr>
              <w:t>申请人须提供的特殊证明和资料</w:t>
            </w:r>
          </w:p>
        </w:tc>
      </w:tr>
      <w:tr>
        <w:trPr>
          <w:trHeight w:val="350" w:hRule="atLeast"/>
        </w:trPr>
        <w:tc>
          <w:tcPr>
            <w:tcW w:w="2449" w:type="dxa"/>
            <w:tcBorders>
              <w:left w:val="nil"/>
            </w:tcBorders>
          </w:tcPr>
          <w:p>
            <w:pPr>
              <w:pStyle w:val="TableParagraph"/>
              <w:spacing w:line="250" w:lineRule="exact" w:before="80"/>
              <w:ind w:left="103"/>
              <w:rPr>
                <w:sz w:val="21"/>
              </w:rPr>
            </w:pPr>
            <w:r>
              <w:rPr>
                <w:spacing w:val="-4"/>
                <w:sz w:val="21"/>
              </w:rPr>
              <w:t>轻度疾病保险金</w:t>
            </w:r>
          </w:p>
        </w:tc>
        <w:tc>
          <w:tcPr>
            <w:tcW w:w="5109" w:type="dxa"/>
            <w:vMerge w:val="restart"/>
            <w:tcBorders>
              <w:right w:val="nil"/>
            </w:tcBorders>
          </w:tcPr>
          <w:p>
            <w:pPr>
              <w:pStyle w:val="TableParagraph"/>
              <w:spacing w:before="11"/>
              <w:rPr>
                <w:sz w:val="23"/>
              </w:rPr>
            </w:pPr>
          </w:p>
          <w:p>
            <w:pPr>
              <w:pStyle w:val="TableParagraph"/>
              <w:spacing w:line="242" w:lineRule="auto" w:before="0"/>
              <w:ind w:left="105" w:right="104"/>
              <w:rPr>
                <w:sz w:val="21"/>
              </w:rPr>
            </w:pPr>
            <w:r>
              <w:rPr>
                <w:spacing w:val="-2"/>
                <w:sz w:val="21"/>
              </w:rPr>
              <w:t>疾病诊断证明书及相关的病理显微镜检查、血液检验</w:t>
            </w:r>
            <w:r>
              <w:rPr>
                <w:spacing w:val="-2"/>
                <w:sz w:val="21"/>
              </w:rPr>
              <w:t>及其他科学方法检验报告</w:t>
            </w:r>
          </w:p>
        </w:tc>
      </w:tr>
      <w:tr>
        <w:trPr>
          <w:trHeight w:val="350" w:hRule="atLeast"/>
        </w:trPr>
        <w:tc>
          <w:tcPr>
            <w:tcW w:w="2449" w:type="dxa"/>
            <w:tcBorders>
              <w:left w:val="nil"/>
            </w:tcBorders>
          </w:tcPr>
          <w:p>
            <w:pPr>
              <w:pStyle w:val="TableParagraph"/>
              <w:spacing w:line="250" w:lineRule="exact" w:before="80"/>
              <w:ind w:left="103"/>
              <w:rPr>
                <w:sz w:val="21"/>
              </w:rPr>
            </w:pPr>
            <w:r>
              <w:rPr>
                <w:spacing w:val="-3"/>
                <w:sz w:val="21"/>
              </w:rPr>
              <w:t>轻度疾病豁免保险费</w:t>
            </w:r>
          </w:p>
        </w:tc>
        <w:tc>
          <w:tcPr>
            <w:tcW w:w="5109" w:type="dxa"/>
            <w:vMerge/>
            <w:tcBorders>
              <w:top w:val="nil"/>
              <w:right w:val="nil"/>
            </w:tcBorders>
          </w:tcPr>
          <w:p>
            <w:pPr>
              <w:rPr>
                <w:sz w:val="2"/>
                <w:szCs w:val="2"/>
              </w:rPr>
            </w:pPr>
          </w:p>
        </w:tc>
      </w:tr>
      <w:tr>
        <w:trPr>
          <w:trHeight w:val="352" w:hRule="atLeast"/>
        </w:trPr>
        <w:tc>
          <w:tcPr>
            <w:tcW w:w="2449" w:type="dxa"/>
            <w:tcBorders>
              <w:left w:val="nil"/>
            </w:tcBorders>
          </w:tcPr>
          <w:p>
            <w:pPr>
              <w:pStyle w:val="TableParagraph"/>
              <w:spacing w:line="250" w:lineRule="exact" w:before="82"/>
              <w:ind w:left="103"/>
              <w:rPr>
                <w:sz w:val="21"/>
              </w:rPr>
            </w:pPr>
            <w:r>
              <w:rPr>
                <w:spacing w:val="-4"/>
                <w:sz w:val="21"/>
              </w:rPr>
              <w:t>重大疾病保险金</w:t>
            </w:r>
          </w:p>
        </w:tc>
        <w:tc>
          <w:tcPr>
            <w:tcW w:w="5109" w:type="dxa"/>
            <w:vMerge/>
            <w:tcBorders>
              <w:top w:val="nil"/>
              <w:right w:val="nil"/>
            </w:tcBorders>
          </w:tcPr>
          <w:p>
            <w:pPr>
              <w:rPr>
                <w:sz w:val="2"/>
                <w:szCs w:val="2"/>
              </w:rPr>
            </w:pPr>
          </w:p>
        </w:tc>
      </w:tr>
      <w:tr>
        <w:trPr>
          <w:trHeight w:val="657" w:hRule="atLeast"/>
        </w:trPr>
        <w:tc>
          <w:tcPr>
            <w:tcW w:w="2449" w:type="dxa"/>
            <w:tcBorders>
              <w:left w:val="nil"/>
            </w:tcBorders>
          </w:tcPr>
          <w:p>
            <w:pPr>
              <w:pStyle w:val="TableParagraph"/>
              <w:spacing w:before="3"/>
              <w:rPr>
                <w:sz w:val="18"/>
              </w:rPr>
            </w:pPr>
          </w:p>
          <w:p>
            <w:pPr>
              <w:pStyle w:val="TableParagraph"/>
              <w:spacing w:before="0"/>
              <w:ind w:left="103"/>
              <w:rPr>
                <w:sz w:val="21"/>
              </w:rPr>
            </w:pPr>
            <w:r>
              <w:rPr>
                <w:spacing w:val="-4"/>
                <w:sz w:val="21"/>
              </w:rPr>
              <w:t>身故保险金</w:t>
            </w:r>
          </w:p>
        </w:tc>
        <w:tc>
          <w:tcPr>
            <w:tcW w:w="5109" w:type="dxa"/>
            <w:tcBorders>
              <w:right w:val="nil"/>
            </w:tcBorders>
          </w:tcPr>
          <w:p>
            <w:pPr>
              <w:pStyle w:val="TableParagraph"/>
              <w:spacing w:line="270" w:lineRule="atLeast" w:before="96"/>
              <w:ind w:left="105" w:right="104"/>
              <w:rPr>
                <w:sz w:val="21"/>
              </w:rPr>
            </w:pPr>
            <w:r>
              <w:rPr>
                <w:spacing w:val="-2"/>
                <w:sz w:val="21"/>
              </w:rPr>
              <w:t>国务院卫生行政部门规定的医疗机构、公安部门或者</w:t>
            </w:r>
            <w:r>
              <w:rPr>
                <w:spacing w:val="-2"/>
                <w:sz w:val="21"/>
              </w:rPr>
              <w:t>其他有权机构出具的被保险人的死亡证明</w:t>
            </w:r>
          </w:p>
        </w:tc>
      </w:tr>
    </w:tbl>
    <w:p>
      <w:pPr>
        <w:pStyle w:val="BodyText"/>
        <w:spacing w:before="5"/>
        <w:ind w:left="0"/>
        <w:rPr>
          <w:sz w:val="14"/>
        </w:rPr>
      </w:pPr>
    </w:p>
    <w:p>
      <w:pPr>
        <w:pStyle w:val="ListParagraph"/>
        <w:numPr>
          <w:ilvl w:val="0"/>
          <w:numId w:val="5"/>
        </w:numPr>
        <w:tabs>
          <w:tab w:pos="3469" w:val="left" w:leader="none"/>
        </w:tabs>
        <w:spacing w:line="240" w:lineRule="auto" w:before="0" w:after="0"/>
        <w:ind w:left="3469" w:right="0" w:hanging="738"/>
        <w:jc w:val="left"/>
        <w:rPr>
          <w:sz w:val="21"/>
        </w:rPr>
      </w:pPr>
      <w:r>
        <w:rPr>
          <w:spacing w:val="-3"/>
          <w:sz w:val="21"/>
        </w:rPr>
        <w:t>所能提供的与确认保险事故的性质、原因等有关的其他证明和资料。</w:t>
      </w:r>
    </w:p>
    <w:p>
      <w:pPr>
        <w:pStyle w:val="BodyText"/>
        <w:spacing w:line="242" w:lineRule="auto" w:before="81"/>
        <w:ind w:left="2731" w:right="599"/>
      </w:pPr>
      <w:r>
        <w:rPr>
          <w:spacing w:val="-7"/>
        </w:rPr>
        <w:t>以上证明和资料不完整的，我们将及时一次性通知受益人或者豁免保险费申请人补</w:t>
      </w:r>
      <w:r>
        <w:rPr>
          <w:spacing w:val="-2"/>
        </w:rPr>
        <w:t>充提供有关的证明和资料。</w:t>
      </w:r>
    </w:p>
    <w:p>
      <w:pPr>
        <w:pStyle w:val="BodyText"/>
        <w:spacing w:line="242" w:lineRule="auto" w:before="81"/>
        <w:ind w:left="2731" w:right="608"/>
      </w:pPr>
      <w:r>
        <w:rPr>
          <w:spacing w:val="1"/>
          <w:w w:val="100"/>
        </w:rPr>
        <w:t>保险金作为被保险人遗产时，继承人还须提供可证明其合法继承权的相关权利文件。</w:t>
      </w:r>
    </w:p>
    <w:p>
      <w:pPr>
        <w:pStyle w:val="BodyText"/>
        <w:spacing w:before="1"/>
        <w:ind w:left="0"/>
        <w:rPr>
          <w:sz w:val="18"/>
        </w:rPr>
      </w:pPr>
    </w:p>
    <w:p>
      <w:pPr>
        <w:pStyle w:val="ListParagraph"/>
        <w:numPr>
          <w:ilvl w:val="1"/>
          <w:numId w:val="3"/>
        </w:numPr>
        <w:tabs>
          <w:tab w:pos="1182" w:val="left" w:leader="none"/>
        </w:tabs>
        <w:spacing w:line="220" w:lineRule="auto" w:before="0" w:after="0"/>
        <w:ind w:left="2731" w:right="599" w:hanging="2211"/>
        <w:jc w:val="both"/>
        <w:rPr>
          <w:sz w:val="21"/>
        </w:rPr>
      </w:pPr>
      <w:r>
        <w:rPr>
          <w:rFonts w:ascii="微软雅黑" w:eastAsia="微软雅黑"/>
          <w:b/>
          <w:spacing w:val="30"/>
          <w:sz w:val="21"/>
        </w:rPr>
        <w:t>保险金给付   </w:t>
      </w:r>
      <w:r>
        <w:rPr>
          <w:sz w:val="21"/>
        </w:rPr>
        <w:t>我们在收到领取保险金申请书及本合同约定的证明和资料后，将在 5 日内作出核</w:t>
      </w:r>
      <w:r>
        <w:rPr>
          <w:spacing w:val="-3"/>
          <w:sz w:val="21"/>
        </w:rPr>
        <w:t>定；情形复杂的，在 </w:t>
      </w:r>
      <w:r>
        <w:rPr>
          <w:sz w:val="21"/>
        </w:rPr>
        <w:t>30</w:t>
      </w:r>
      <w:r>
        <w:rPr>
          <w:spacing w:val="-5"/>
          <w:sz w:val="21"/>
        </w:rPr>
        <w:t> 日内作出核定。对属于保险责任的，我们在与受益人达成</w:t>
      </w:r>
      <w:r>
        <w:rPr>
          <w:spacing w:val="-2"/>
          <w:sz w:val="21"/>
        </w:rPr>
        <w:t>给付保险金的协议后 </w:t>
      </w:r>
      <w:r>
        <w:rPr>
          <w:sz w:val="21"/>
        </w:rPr>
        <w:t>10</w:t>
      </w:r>
      <w:r>
        <w:rPr>
          <w:spacing w:val="-5"/>
          <w:sz w:val="21"/>
        </w:rPr>
        <w:t> 日内，履行给付保险金义务。</w:t>
      </w:r>
    </w:p>
    <w:p>
      <w:pPr>
        <w:pStyle w:val="BodyText"/>
        <w:spacing w:line="242" w:lineRule="auto" w:before="89"/>
        <w:ind w:left="2731" w:right="599"/>
        <w:jc w:val="both"/>
      </w:pPr>
      <w:r>
        <w:rPr>
          <w:spacing w:val="-2"/>
        </w:rPr>
        <w:t>我们未及时履行前款约定义务的，对属于保险责任的，除支付保险金外，应当赔偿</w:t>
      </w:r>
      <w:r>
        <w:rPr>
          <w:spacing w:val="-2"/>
        </w:rPr>
        <w:t>受益人因此受到的利息损失。利息按照我们确定的利率按单利计算，且我们确定的</w:t>
      </w:r>
      <w:r>
        <w:rPr>
          <w:spacing w:val="-2"/>
        </w:rPr>
        <w:t>利率不低于中国人民银行公布的金融机构人民币活期存款基准利率。</w:t>
      </w:r>
    </w:p>
    <w:p>
      <w:pPr>
        <w:pStyle w:val="BodyText"/>
        <w:spacing w:line="242" w:lineRule="auto" w:before="81"/>
        <w:ind w:left="2731" w:right="599"/>
        <w:jc w:val="both"/>
      </w:pPr>
      <w:r>
        <w:rPr>
          <w:spacing w:val="-9"/>
        </w:rPr>
        <w:t>对不属于保险责任的，我们自作出核定之日起 </w:t>
      </w:r>
      <w:r>
        <w:rPr>
          <w:spacing w:val="-2"/>
        </w:rPr>
        <w:t>3</w:t>
      </w:r>
      <w:r>
        <w:rPr>
          <w:spacing w:val="-7"/>
        </w:rPr>
        <w:t> 日内向受益人发出拒绝给付保险金</w:t>
      </w:r>
      <w:r>
        <w:rPr>
          <w:spacing w:val="-2"/>
        </w:rPr>
        <w:t>通知书并说明理由。</w:t>
      </w:r>
    </w:p>
    <w:p>
      <w:pPr>
        <w:pStyle w:val="BodyText"/>
        <w:spacing w:before="9"/>
        <w:ind w:left="0"/>
      </w:pPr>
    </w:p>
    <w:p>
      <w:pPr>
        <w:pStyle w:val="Heading1"/>
        <w:numPr>
          <w:ilvl w:val="0"/>
          <w:numId w:val="3"/>
        </w:numPr>
        <w:tabs>
          <w:tab w:pos="1181" w:val="left" w:leader="none"/>
          <w:tab w:pos="1182" w:val="left" w:leader="none"/>
        </w:tabs>
        <w:spacing w:line="240" w:lineRule="auto" w:before="0" w:after="4"/>
        <w:ind w:left="1181" w:right="0" w:hanging="661"/>
        <w:jc w:val="left"/>
      </w:pPr>
      <w:r>
        <w:rPr>
          <w:spacing w:val="-3"/>
        </w:rPr>
        <w:t>如何退保</w:t>
      </w:r>
    </w:p>
    <w:p>
      <w:pPr>
        <w:pStyle w:val="BodyText"/>
        <w:spacing w:line="20" w:lineRule="exact"/>
        <w:ind w:left="412"/>
        <w:rPr>
          <w:rFonts w:ascii="微软雅黑"/>
          <w:sz w:val="2"/>
        </w:rPr>
      </w:pPr>
      <w:r>
        <w:rPr>
          <w:rFonts w:ascii="微软雅黑"/>
          <w:sz w:val="2"/>
        </w:rPr>
        <w:drawing>
          <wp:inline distT="0" distB="0" distL="0" distR="0">
            <wp:extent cx="6307323" cy="12191"/>
            <wp:effectExtent l="0" t="0" r="0" b="0"/>
            <wp:docPr id="43" name="image13.png"/>
            <wp:cNvGraphicFramePr>
              <a:graphicFrameLocks noChangeAspect="1"/>
            </wp:cNvGraphicFramePr>
            <a:graphic>
              <a:graphicData uri="http://schemas.openxmlformats.org/drawingml/2006/picture">
                <pic:pic>
                  <pic:nvPicPr>
                    <pic:cNvPr id="44" name="image13.png"/>
                    <pic:cNvPicPr/>
                  </pic:nvPicPr>
                  <pic:blipFill>
                    <a:blip r:embed="rId20" cstate="print"/>
                    <a:stretch>
                      <a:fillRect/>
                    </a:stretch>
                  </pic:blipFill>
                  <pic:spPr>
                    <a:xfrm>
                      <a:off x="0" y="0"/>
                      <a:ext cx="6307323" cy="12191"/>
                    </a:xfrm>
                    <a:prstGeom prst="rect">
                      <a:avLst/>
                    </a:prstGeom>
                  </pic:spPr>
                </pic:pic>
              </a:graphicData>
            </a:graphic>
          </wp:inline>
        </w:drawing>
      </w:r>
      <w:r>
        <w:rPr>
          <w:rFonts w:ascii="微软雅黑"/>
          <w:sz w:val="2"/>
        </w:rPr>
      </w:r>
    </w:p>
    <w:p>
      <w:pPr>
        <w:pStyle w:val="ListParagraph"/>
        <w:numPr>
          <w:ilvl w:val="1"/>
          <w:numId w:val="3"/>
        </w:numPr>
        <w:tabs>
          <w:tab w:pos="1182" w:val="left" w:leader="none"/>
          <w:tab w:pos="2731" w:val="left" w:leader="none"/>
        </w:tabs>
        <w:spacing w:line="220" w:lineRule="auto" w:before="186" w:after="0"/>
        <w:ind w:left="2731" w:right="599" w:hanging="2211"/>
        <w:jc w:val="both"/>
        <w:rPr>
          <w:sz w:val="21"/>
        </w:rPr>
      </w:pPr>
      <w:r>
        <w:rPr>
          <w:rFonts w:ascii="微软雅黑" w:eastAsia="微软雅黑"/>
          <w:b/>
          <w:spacing w:val="-4"/>
          <w:sz w:val="21"/>
        </w:rPr>
        <w:t>犹</w:t>
      </w:r>
      <w:r>
        <w:rPr>
          <w:rFonts w:ascii="微软雅黑" w:eastAsia="微软雅黑"/>
          <w:b/>
          <w:spacing w:val="-4"/>
          <w:sz w:val="21"/>
        </w:rPr>
        <w:t>豫</w:t>
      </w:r>
      <w:r>
        <w:rPr>
          <w:rFonts w:ascii="微软雅黑" w:eastAsia="微软雅黑"/>
          <w:b/>
          <w:spacing w:val="-4"/>
          <w:sz w:val="21"/>
        </w:rPr>
        <w:t>期</w:t>
      </w:r>
      <w:r>
        <w:rPr>
          <w:rFonts w:ascii="微软雅黑" w:eastAsia="微软雅黑"/>
          <w:b/>
          <w:sz w:val="21"/>
        </w:rPr>
        <w:tab/>
      </w:r>
      <w:r>
        <w:rPr>
          <w:sz w:val="21"/>
        </w:rPr>
        <w:t>自您签收本合同的次日零</w:t>
      </w:r>
      <w:r>
        <w:rPr>
          <w:sz w:val="21"/>
        </w:rPr>
        <w:t>时起，有</w:t>
      </w:r>
      <w:r>
        <w:rPr>
          <w:spacing w:val="-27"/>
          <w:sz w:val="21"/>
        </w:rPr>
        <w:t> </w:t>
      </w:r>
      <w:r>
        <w:rPr>
          <w:sz w:val="21"/>
        </w:rPr>
        <w:t>15</w:t>
      </w:r>
      <w:r>
        <w:rPr>
          <w:spacing w:val="-26"/>
          <w:sz w:val="21"/>
        </w:rPr>
        <w:t> </w:t>
      </w:r>
      <w:r>
        <w:rPr>
          <w:sz w:val="21"/>
        </w:rPr>
        <w:t>日的犹豫期。您在犹豫期内要求解除</w:t>
      </w:r>
      <w:r>
        <w:rPr>
          <w:sz w:val="21"/>
        </w:rPr>
        <w:t>本合同</w:t>
      </w:r>
      <w:r>
        <w:rPr>
          <w:spacing w:val="-2"/>
          <w:sz w:val="21"/>
        </w:rPr>
        <w:t>的，须填写解除合同申请书，并提供本</w:t>
      </w:r>
      <w:r>
        <w:rPr>
          <w:spacing w:val="-2"/>
          <w:sz w:val="21"/>
        </w:rPr>
        <w:t>合</w:t>
      </w:r>
      <w:r>
        <w:rPr>
          <w:spacing w:val="-2"/>
          <w:sz w:val="21"/>
        </w:rPr>
        <w:t>同</w:t>
      </w:r>
      <w:r>
        <w:rPr>
          <w:spacing w:val="-2"/>
          <w:sz w:val="21"/>
        </w:rPr>
        <w:t>、您的</w:t>
      </w:r>
      <w:r>
        <w:rPr>
          <w:spacing w:val="-2"/>
          <w:sz w:val="21"/>
        </w:rPr>
        <w:t>有</w:t>
      </w:r>
      <w:r>
        <w:rPr>
          <w:spacing w:val="-2"/>
          <w:sz w:val="21"/>
        </w:rPr>
        <w:t>效</w:t>
      </w:r>
      <w:r>
        <w:rPr>
          <w:spacing w:val="-2"/>
          <w:sz w:val="21"/>
        </w:rPr>
        <w:t>身份证件及所交保险</w:t>
      </w:r>
      <w:r>
        <w:rPr>
          <w:spacing w:val="-2"/>
          <w:sz w:val="21"/>
        </w:rPr>
        <w:t>费</w:t>
      </w:r>
      <w:r>
        <w:rPr>
          <w:spacing w:val="-2"/>
          <w:sz w:val="21"/>
        </w:rPr>
        <w:t>的</w:t>
      </w:r>
      <w:r>
        <w:rPr>
          <w:spacing w:val="-2"/>
          <w:sz w:val="21"/>
        </w:rPr>
        <w:t>发</w:t>
      </w:r>
      <w:r>
        <w:rPr>
          <w:spacing w:val="-2"/>
          <w:sz w:val="21"/>
        </w:rPr>
        <w:t>票。自我们收到前述材料</w:t>
      </w:r>
      <w:r>
        <w:rPr>
          <w:spacing w:val="-2"/>
          <w:sz w:val="21"/>
        </w:rPr>
        <w:t>时</w:t>
      </w:r>
      <w:r>
        <w:rPr>
          <w:spacing w:val="-2"/>
          <w:sz w:val="21"/>
        </w:rPr>
        <w:t>起</w:t>
      </w:r>
      <w:r>
        <w:rPr>
          <w:spacing w:val="-2"/>
          <w:sz w:val="21"/>
        </w:rPr>
        <w:t>，本合同即被解除，</w:t>
      </w:r>
      <w:r>
        <w:rPr>
          <w:spacing w:val="-2"/>
          <w:sz w:val="21"/>
        </w:rPr>
        <w:t>我</w:t>
      </w:r>
      <w:r>
        <w:rPr>
          <w:spacing w:val="-2"/>
          <w:sz w:val="21"/>
        </w:rPr>
        <w:t>们</w:t>
      </w:r>
      <w:r>
        <w:rPr>
          <w:spacing w:val="-2"/>
          <w:sz w:val="21"/>
        </w:rPr>
        <w:t>自始不承担保险责任，</w:t>
      </w:r>
      <w:r>
        <w:rPr>
          <w:spacing w:val="-2"/>
          <w:sz w:val="21"/>
        </w:rPr>
        <w:t>无</w:t>
      </w:r>
      <w:r>
        <w:rPr>
          <w:spacing w:val="-2"/>
          <w:sz w:val="21"/>
        </w:rPr>
        <w:t>息</w:t>
      </w:r>
    </w:p>
    <w:p>
      <w:pPr>
        <w:pStyle w:val="BodyText"/>
        <w:spacing w:before="9"/>
        <w:ind w:left="2731"/>
      </w:pPr>
      <w:r>
        <w:rPr>
          <w:spacing w:val="-4"/>
        </w:rPr>
        <w:t>退还已交保险费。</w:t>
      </w:r>
    </w:p>
    <w:p>
      <w:pPr>
        <w:pStyle w:val="BodyText"/>
        <w:spacing w:before="1"/>
        <w:ind w:left="0"/>
        <w:rPr>
          <w:sz w:val="14"/>
        </w:rPr>
      </w:pPr>
    </w:p>
    <w:p>
      <w:pPr>
        <w:spacing w:after="0"/>
        <w:rPr>
          <w:sz w:val="14"/>
        </w:rPr>
        <w:sectPr>
          <w:pgSz w:w="11910" w:h="16840"/>
          <w:pgMar w:header="0" w:footer="574" w:top="1120" w:bottom="760" w:left="720" w:right="340"/>
        </w:sectPr>
      </w:pPr>
    </w:p>
    <w:p>
      <w:pPr>
        <w:pStyle w:val="Heading2"/>
        <w:numPr>
          <w:ilvl w:val="1"/>
          <w:numId w:val="3"/>
        </w:numPr>
        <w:tabs>
          <w:tab w:pos="1181" w:val="left" w:leader="none"/>
          <w:tab w:pos="1182" w:val="left" w:leader="none"/>
        </w:tabs>
        <w:spacing w:line="329" w:lineRule="exact" w:before="5" w:after="0"/>
        <w:ind w:left="1181" w:right="0" w:hanging="661"/>
        <w:jc w:val="left"/>
      </w:pPr>
      <w:r>
        <w:rPr>
          <w:spacing w:val="8"/>
        </w:rPr>
        <w:t>您解除合同的</w:t>
      </w:r>
    </w:p>
    <w:p>
      <w:pPr>
        <w:spacing w:line="329" w:lineRule="exact" w:before="0"/>
        <w:ind w:left="1181" w:right="0" w:firstLine="0"/>
        <w:jc w:val="left"/>
        <w:rPr>
          <w:rFonts w:ascii="微软雅黑" w:eastAsia="微软雅黑"/>
          <w:b/>
          <w:sz w:val="21"/>
        </w:rPr>
      </w:pPr>
      <w:r>
        <w:rPr>
          <w:rFonts w:ascii="微软雅黑" w:eastAsia="微软雅黑"/>
          <w:b/>
          <w:spacing w:val="-2"/>
          <w:sz w:val="21"/>
        </w:rPr>
        <w:t>手续及风险</w:t>
      </w:r>
    </w:p>
    <w:p>
      <w:pPr>
        <w:pStyle w:val="BodyText"/>
        <w:spacing w:line="242" w:lineRule="auto" w:before="72"/>
        <w:ind w:left="174" w:right="599"/>
        <w:jc w:val="both"/>
      </w:pPr>
      <w:r>
        <w:rPr/>
        <w:br w:type="column"/>
      </w:r>
      <w:r>
        <w:rPr>
          <w:spacing w:val="-2"/>
        </w:rPr>
        <w:t>如果您在犹豫期后要求解除本合同，您须填写解除合同申请书，并提供本合同及您</w:t>
      </w:r>
      <w:r>
        <w:rPr>
          <w:spacing w:val="-2"/>
        </w:rPr>
        <w:t>的有效身份证件的原件。自我们收到前述材料时起，本合同终止，我们自收到解除</w:t>
      </w:r>
      <w:r>
        <w:rPr>
          <w:spacing w:val="-3"/>
        </w:rPr>
        <w:t>合同申请书之日起 </w:t>
      </w:r>
      <w:r>
        <w:rPr/>
        <w:t>30</w:t>
      </w:r>
      <w:r>
        <w:rPr>
          <w:spacing w:val="-5"/>
        </w:rPr>
        <w:t> 日内向您退还本合同终止时的现金价值。</w:t>
      </w:r>
    </w:p>
    <w:p>
      <w:pPr>
        <w:pStyle w:val="BodyText"/>
        <w:spacing w:before="80"/>
        <w:ind w:left="174"/>
      </w:pPr>
      <w:r>
        <w:rPr>
          <w:spacing w:val="-3"/>
        </w:rPr>
        <w:t>您在犹豫期后解除合同会遭受一定损失。</w:t>
      </w:r>
    </w:p>
    <w:p>
      <w:pPr>
        <w:spacing w:after="0"/>
        <w:sectPr>
          <w:type w:val="continuous"/>
          <w:pgSz w:w="11910" w:h="16840"/>
          <w:pgMar w:header="0" w:footer="574" w:top="380" w:bottom="760" w:left="720" w:right="340"/>
          <w:cols w:num="2" w:equalWidth="0">
            <w:col w:w="2517" w:space="40"/>
            <w:col w:w="8293"/>
          </w:cols>
        </w:sectPr>
      </w:pPr>
    </w:p>
    <w:p>
      <w:pPr>
        <w:pStyle w:val="BodyText"/>
        <w:spacing w:before="1"/>
        <w:ind w:left="0"/>
        <w:rPr>
          <w:sz w:val="19"/>
        </w:rPr>
      </w:pPr>
    </w:p>
    <w:p>
      <w:pPr>
        <w:pStyle w:val="Heading1"/>
        <w:numPr>
          <w:ilvl w:val="0"/>
          <w:numId w:val="3"/>
        </w:numPr>
        <w:tabs>
          <w:tab w:pos="1181" w:val="left" w:leader="none"/>
          <w:tab w:pos="1182" w:val="left" w:leader="none"/>
        </w:tabs>
        <w:spacing w:line="432" w:lineRule="exact" w:before="0" w:after="6"/>
        <w:ind w:left="1181" w:right="0" w:hanging="661"/>
        <w:jc w:val="left"/>
      </w:pPr>
      <w:r>
        <w:rPr>
          <w:spacing w:val="-3"/>
        </w:rPr>
        <w:t>其他权益</w:t>
      </w:r>
    </w:p>
    <w:p>
      <w:pPr>
        <w:pStyle w:val="BodyText"/>
        <w:spacing w:line="20" w:lineRule="exact"/>
        <w:ind w:left="412"/>
        <w:rPr>
          <w:rFonts w:ascii="微软雅黑"/>
          <w:sz w:val="2"/>
        </w:rPr>
      </w:pPr>
      <w:r>
        <w:rPr>
          <w:rFonts w:ascii="微软雅黑"/>
          <w:sz w:val="2"/>
        </w:rPr>
        <w:drawing>
          <wp:inline distT="0" distB="0" distL="0" distR="0">
            <wp:extent cx="6307323" cy="12192"/>
            <wp:effectExtent l="0" t="0" r="0" b="0"/>
            <wp:docPr id="45" name="image13.png"/>
            <wp:cNvGraphicFramePr>
              <a:graphicFrameLocks noChangeAspect="1"/>
            </wp:cNvGraphicFramePr>
            <a:graphic>
              <a:graphicData uri="http://schemas.openxmlformats.org/drawingml/2006/picture">
                <pic:pic>
                  <pic:nvPicPr>
                    <pic:cNvPr id="46" name="image13.png"/>
                    <pic:cNvPicPr/>
                  </pic:nvPicPr>
                  <pic:blipFill>
                    <a:blip r:embed="rId20" cstate="print"/>
                    <a:stretch>
                      <a:fillRect/>
                    </a:stretch>
                  </pic:blipFill>
                  <pic:spPr>
                    <a:xfrm>
                      <a:off x="0" y="0"/>
                      <a:ext cx="6307323" cy="12192"/>
                    </a:xfrm>
                    <a:prstGeom prst="rect">
                      <a:avLst/>
                    </a:prstGeom>
                  </pic:spPr>
                </pic:pic>
              </a:graphicData>
            </a:graphic>
          </wp:inline>
        </w:drawing>
      </w:r>
      <w:r>
        <w:rPr>
          <w:rFonts w:ascii="微软雅黑"/>
          <w:sz w:val="2"/>
        </w:rPr>
      </w:r>
    </w:p>
    <w:p>
      <w:pPr>
        <w:pStyle w:val="ListParagraph"/>
        <w:numPr>
          <w:ilvl w:val="1"/>
          <w:numId w:val="3"/>
        </w:numPr>
        <w:tabs>
          <w:tab w:pos="1181" w:val="left" w:leader="none"/>
          <w:tab w:pos="1182" w:val="left" w:leader="none"/>
          <w:tab w:pos="2731" w:val="left" w:leader="none"/>
        </w:tabs>
        <w:spacing w:line="240" w:lineRule="auto" w:before="161" w:after="0"/>
        <w:ind w:left="1181" w:right="0" w:hanging="661"/>
        <w:jc w:val="left"/>
        <w:rPr>
          <w:sz w:val="21"/>
        </w:rPr>
      </w:pPr>
      <w:r>
        <w:rPr>
          <w:rFonts w:ascii="微软雅黑" w:eastAsia="微软雅黑"/>
          <w:b/>
          <w:sz w:val="21"/>
        </w:rPr>
        <w:t>现金价</w:t>
      </w:r>
      <w:r>
        <w:rPr>
          <w:rFonts w:ascii="微软雅黑" w:eastAsia="微软雅黑"/>
          <w:b/>
          <w:spacing w:val="-10"/>
          <w:sz w:val="21"/>
        </w:rPr>
        <w:t>值</w:t>
      </w:r>
      <w:r>
        <w:rPr>
          <w:rFonts w:ascii="微软雅黑" w:eastAsia="微软雅黑"/>
          <w:b/>
          <w:sz w:val="21"/>
        </w:rPr>
        <w:tab/>
      </w:r>
      <w:r>
        <w:rPr>
          <w:w w:val="95"/>
          <w:sz w:val="21"/>
        </w:rPr>
        <w:t>本</w:t>
      </w:r>
      <w:r>
        <w:rPr>
          <w:w w:val="95"/>
          <w:sz w:val="21"/>
        </w:rPr>
        <w:t>合</w:t>
      </w:r>
      <w:r>
        <w:rPr>
          <w:w w:val="95"/>
          <w:sz w:val="21"/>
        </w:rPr>
        <w:t>同</w:t>
      </w:r>
      <w:r>
        <w:rPr>
          <w:rFonts w:ascii="微软雅黑" w:eastAsia="微软雅黑"/>
          <w:b/>
          <w:w w:val="95"/>
          <w:sz w:val="21"/>
        </w:rPr>
        <w:t>保单</w:t>
      </w:r>
      <w:r>
        <w:rPr>
          <w:rFonts w:ascii="微软雅黑" w:eastAsia="微软雅黑"/>
          <w:b/>
          <w:w w:val="95"/>
          <w:sz w:val="21"/>
        </w:rPr>
        <w:t>年</w:t>
      </w:r>
      <w:r>
        <w:rPr>
          <w:rFonts w:ascii="微软雅黑" w:eastAsia="微软雅黑"/>
          <w:b/>
          <w:w w:val="95"/>
          <w:sz w:val="21"/>
        </w:rPr>
        <w:t>度</w:t>
      </w:r>
      <w:r>
        <w:rPr>
          <w:rFonts w:ascii="微软雅黑" w:eastAsia="微软雅黑"/>
          <w:b/>
          <w:w w:val="95"/>
          <w:position w:val="11"/>
          <w:sz w:val="11"/>
        </w:rPr>
        <w:t>25</w:t>
      </w:r>
      <w:r>
        <w:rPr>
          <w:w w:val="95"/>
          <w:sz w:val="21"/>
        </w:rPr>
        <w:t>末</w:t>
      </w:r>
      <w:r>
        <w:rPr>
          <w:w w:val="95"/>
          <w:sz w:val="21"/>
        </w:rPr>
        <w:t>的</w:t>
      </w:r>
      <w:r>
        <w:rPr>
          <w:w w:val="95"/>
          <w:sz w:val="21"/>
        </w:rPr>
        <w:t>现</w:t>
      </w:r>
      <w:r>
        <w:rPr>
          <w:w w:val="95"/>
          <w:sz w:val="21"/>
        </w:rPr>
        <w:t>金</w:t>
      </w:r>
      <w:r>
        <w:rPr>
          <w:w w:val="95"/>
          <w:sz w:val="21"/>
        </w:rPr>
        <w:t>价</w:t>
      </w:r>
      <w:r>
        <w:rPr>
          <w:w w:val="95"/>
          <w:sz w:val="21"/>
        </w:rPr>
        <w:t>值</w:t>
      </w:r>
      <w:r>
        <w:rPr>
          <w:w w:val="95"/>
          <w:sz w:val="21"/>
        </w:rPr>
        <w:t>在</w:t>
      </w:r>
      <w:r>
        <w:rPr>
          <w:w w:val="95"/>
          <w:sz w:val="21"/>
        </w:rPr>
        <w:t>保</w:t>
      </w:r>
      <w:r>
        <w:rPr>
          <w:w w:val="95"/>
          <w:sz w:val="21"/>
        </w:rPr>
        <w:t>险</w:t>
      </w:r>
      <w:r>
        <w:rPr>
          <w:w w:val="95"/>
          <w:sz w:val="21"/>
        </w:rPr>
        <w:t>单</w:t>
      </w:r>
      <w:r>
        <w:rPr>
          <w:w w:val="95"/>
          <w:sz w:val="21"/>
        </w:rPr>
        <w:t>上</w:t>
      </w:r>
      <w:r>
        <w:rPr>
          <w:w w:val="95"/>
          <w:sz w:val="21"/>
        </w:rPr>
        <w:t>载</w:t>
      </w:r>
      <w:r>
        <w:rPr>
          <w:w w:val="95"/>
          <w:sz w:val="21"/>
        </w:rPr>
        <w:t>明</w:t>
      </w:r>
      <w:r>
        <w:rPr>
          <w:w w:val="95"/>
          <w:sz w:val="21"/>
        </w:rPr>
        <w:t>，</w:t>
      </w:r>
      <w:r>
        <w:rPr>
          <w:w w:val="95"/>
          <w:sz w:val="21"/>
        </w:rPr>
        <w:t>保</w:t>
      </w:r>
      <w:r>
        <w:rPr>
          <w:w w:val="95"/>
          <w:sz w:val="21"/>
        </w:rPr>
        <w:t>单</w:t>
      </w:r>
      <w:r>
        <w:rPr>
          <w:w w:val="95"/>
          <w:sz w:val="21"/>
        </w:rPr>
        <w:t>年</w:t>
      </w:r>
      <w:r>
        <w:rPr>
          <w:w w:val="95"/>
          <w:sz w:val="21"/>
        </w:rPr>
        <w:t>度</w:t>
      </w:r>
      <w:r>
        <w:rPr>
          <w:w w:val="95"/>
          <w:sz w:val="21"/>
        </w:rPr>
        <w:t>内</w:t>
      </w:r>
      <w:r>
        <w:rPr>
          <w:w w:val="95"/>
          <w:sz w:val="21"/>
        </w:rPr>
        <w:t>的</w:t>
      </w:r>
      <w:r>
        <w:rPr>
          <w:w w:val="95"/>
          <w:sz w:val="21"/>
        </w:rPr>
        <w:t>现</w:t>
      </w:r>
      <w:r>
        <w:rPr>
          <w:w w:val="95"/>
          <w:sz w:val="21"/>
        </w:rPr>
        <w:t>金</w:t>
      </w:r>
      <w:r>
        <w:rPr>
          <w:w w:val="95"/>
          <w:sz w:val="21"/>
        </w:rPr>
        <w:t>价</w:t>
      </w:r>
      <w:r>
        <w:rPr>
          <w:w w:val="95"/>
          <w:sz w:val="21"/>
        </w:rPr>
        <w:t>值</w:t>
      </w:r>
      <w:r>
        <w:rPr>
          <w:w w:val="95"/>
          <w:sz w:val="21"/>
        </w:rPr>
        <w:t>您</w:t>
      </w:r>
      <w:r>
        <w:rPr>
          <w:w w:val="95"/>
          <w:sz w:val="21"/>
        </w:rPr>
        <w:t>可</w:t>
      </w:r>
      <w:r>
        <w:rPr>
          <w:w w:val="95"/>
          <w:sz w:val="21"/>
        </w:rPr>
        <w:t>以</w:t>
      </w:r>
      <w:r>
        <w:rPr>
          <w:spacing w:val="-10"/>
          <w:w w:val="95"/>
          <w:sz w:val="21"/>
        </w:rPr>
        <w:t>向</w:t>
      </w:r>
    </w:p>
    <w:p>
      <w:pPr>
        <w:pStyle w:val="BodyText"/>
        <w:spacing w:before="6"/>
        <w:ind w:left="0"/>
        <w:rPr>
          <w:sz w:val="25"/>
        </w:rPr>
      </w:pPr>
      <w:r>
        <w:rPr/>
        <w:drawing>
          <wp:anchor distT="0" distB="0" distL="0" distR="0" allowOverlap="1" layoutInCell="1" locked="0" behindDoc="0" simplePos="0" relativeHeight="20">
            <wp:simplePos x="0" y="0"/>
            <wp:positionH relativeFrom="page">
              <wp:posOffset>719327</wp:posOffset>
            </wp:positionH>
            <wp:positionV relativeFrom="paragraph">
              <wp:posOffset>222958</wp:posOffset>
            </wp:positionV>
            <wp:extent cx="1829511" cy="6096"/>
            <wp:effectExtent l="0" t="0" r="0" b="0"/>
            <wp:wrapTopAndBottom/>
            <wp:docPr id="47" name="image16.png"/>
            <wp:cNvGraphicFramePr>
              <a:graphicFrameLocks noChangeAspect="1"/>
            </wp:cNvGraphicFramePr>
            <a:graphic>
              <a:graphicData uri="http://schemas.openxmlformats.org/drawingml/2006/picture">
                <pic:pic>
                  <pic:nvPicPr>
                    <pic:cNvPr id="48" name="image16.png"/>
                    <pic:cNvPicPr/>
                  </pic:nvPicPr>
                  <pic:blipFill>
                    <a:blip r:embed="rId23" cstate="print"/>
                    <a:stretch>
                      <a:fillRect/>
                    </a:stretch>
                  </pic:blipFill>
                  <pic:spPr>
                    <a:xfrm>
                      <a:off x="0" y="0"/>
                      <a:ext cx="1829511" cy="6096"/>
                    </a:xfrm>
                    <a:prstGeom prst="rect">
                      <a:avLst/>
                    </a:prstGeom>
                  </pic:spPr>
                </pic:pic>
              </a:graphicData>
            </a:graphic>
          </wp:anchor>
        </w:drawing>
      </w:r>
    </w:p>
    <w:p>
      <w:pPr>
        <w:spacing w:line="312" w:lineRule="exact" w:before="36"/>
        <w:ind w:left="412" w:right="0" w:firstLine="0"/>
        <w:jc w:val="left"/>
        <w:rPr>
          <w:sz w:val="18"/>
        </w:rPr>
      </w:pPr>
      <w:r>
        <w:rPr>
          <w:position w:val="9"/>
          <w:sz w:val="9"/>
        </w:rPr>
        <w:t>23</w:t>
      </w:r>
      <w:r>
        <w:rPr>
          <w:rFonts w:ascii="Microsoft JhengHei" w:eastAsia="Microsoft JhengHei"/>
          <w:b/>
          <w:sz w:val="18"/>
        </w:rPr>
        <w:t>申请人</w:t>
      </w:r>
      <w:r>
        <w:rPr>
          <w:spacing w:val="-1"/>
          <w:sz w:val="18"/>
        </w:rPr>
        <w:t>：轻度疾病保险金及重大疾病保险金的申请人为疾病保险金受益人，身故保险金的申请人为身故保险金受益人，轻</w:t>
      </w:r>
    </w:p>
    <w:p>
      <w:pPr>
        <w:spacing w:line="184" w:lineRule="exact" w:before="0"/>
        <w:ind w:left="504" w:right="0" w:firstLine="0"/>
        <w:jc w:val="left"/>
        <w:rPr>
          <w:sz w:val="18"/>
        </w:rPr>
      </w:pPr>
      <w:r>
        <w:rPr>
          <w:spacing w:val="-3"/>
          <w:sz w:val="18"/>
        </w:rPr>
        <w:t>度疾病豁免保险费的申请人为投保人。</w:t>
      </w:r>
    </w:p>
    <w:p>
      <w:pPr>
        <w:spacing w:line="254" w:lineRule="exact" w:before="0"/>
        <w:ind w:left="412" w:right="0" w:firstLine="0"/>
        <w:jc w:val="left"/>
        <w:rPr>
          <w:sz w:val="18"/>
        </w:rPr>
      </w:pPr>
      <w:r>
        <w:rPr>
          <w:position w:val="9"/>
          <w:sz w:val="9"/>
        </w:rPr>
        <w:t>24</w:t>
      </w:r>
      <w:r>
        <w:rPr>
          <w:rFonts w:ascii="Microsoft JhengHei" w:eastAsia="Microsoft JhengHei"/>
          <w:b/>
          <w:sz w:val="18"/>
        </w:rPr>
        <w:t>有效身份证件</w:t>
      </w:r>
      <w:r>
        <w:rPr>
          <w:spacing w:val="-1"/>
          <w:sz w:val="18"/>
        </w:rPr>
        <w:t>指由政府主管部门规定的证明个人身份的证件，如：居民身份证、按规定可使用的有效护照等证件。</w:t>
      </w:r>
    </w:p>
    <w:p>
      <w:pPr>
        <w:spacing w:line="263" w:lineRule="exact" w:before="0"/>
        <w:ind w:left="412" w:right="0" w:firstLine="0"/>
        <w:jc w:val="left"/>
        <w:rPr>
          <w:sz w:val="18"/>
        </w:rPr>
      </w:pPr>
      <w:r>
        <w:rPr>
          <w:position w:val="9"/>
          <w:sz w:val="9"/>
        </w:rPr>
        <w:t>25</w:t>
      </w:r>
      <w:r>
        <w:rPr>
          <w:rFonts w:ascii="Microsoft JhengHei" w:eastAsia="Microsoft JhengHei"/>
          <w:b/>
          <w:sz w:val="18"/>
        </w:rPr>
        <w:t>保单年度</w:t>
      </w:r>
      <w:r>
        <w:rPr>
          <w:spacing w:val="-1"/>
          <w:sz w:val="18"/>
        </w:rPr>
        <w:t>：从保险合同生效日或者年生效对应日零时起至下一年度保险合同年生效对应日零时止为一个保单年度。如果当</w:t>
      </w:r>
    </w:p>
    <w:p>
      <w:pPr>
        <w:spacing w:line="211" w:lineRule="exact" w:before="0"/>
        <w:ind w:left="504" w:right="0" w:firstLine="0"/>
        <w:jc w:val="left"/>
        <w:rPr>
          <w:sz w:val="18"/>
        </w:rPr>
      </w:pPr>
      <w:r>
        <w:rPr>
          <w:spacing w:val="-1"/>
          <w:sz w:val="18"/>
        </w:rPr>
        <w:t>月无对应的同一日，则以该月最后一日为对应日。</w:t>
      </w:r>
    </w:p>
    <w:p>
      <w:pPr>
        <w:spacing w:after="0" w:line="211" w:lineRule="exact"/>
        <w:jc w:val="left"/>
        <w:rPr>
          <w:sz w:val="18"/>
        </w:rPr>
        <w:sectPr>
          <w:type w:val="continuous"/>
          <w:pgSz w:w="11910" w:h="16840"/>
          <w:pgMar w:header="0" w:footer="574" w:top="380" w:bottom="760" w:left="720" w:right="340"/>
        </w:sectPr>
      </w:pPr>
    </w:p>
    <w:p>
      <w:pPr>
        <w:pStyle w:val="BodyText"/>
        <w:spacing w:before="55"/>
        <w:ind w:left="2731"/>
      </w:pPr>
      <w:r>
        <w:rPr>
          <w:spacing w:val="-4"/>
        </w:rPr>
        <w:t>我们咨询。</w:t>
      </w:r>
    </w:p>
    <w:p>
      <w:pPr>
        <w:pStyle w:val="BodyText"/>
        <w:spacing w:before="11"/>
        <w:ind w:left="0"/>
        <w:rPr>
          <w:sz w:val="17"/>
        </w:rPr>
      </w:pPr>
    </w:p>
    <w:p>
      <w:pPr>
        <w:pStyle w:val="ListParagraph"/>
        <w:numPr>
          <w:ilvl w:val="1"/>
          <w:numId w:val="3"/>
        </w:numPr>
        <w:tabs>
          <w:tab w:pos="1182" w:val="left" w:leader="none"/>
          <w:tab w:pos="2731" w:val="left" w:leader="none"/>
        </w:tabs>
        <w:spacing w:line="204" w:lineRule="auto" w:before="0" w:after="0"/>
        <w:ind w:left="2731" w:right="600" w:hanging="2211"/>
        <w:jc w:val="both"/>
        <w:rPr>
          <w:sz w:val="21"/>
        </w:rPr>
      </w:pPr>
      <w:r>
        <w:rPr>
          <w:rFonts w:ascii="微软雅黑" w:eastAsia="微软雅黑"/>
          <w:b/>
          <w:spacing w:val="-4"/>
          <w:sz w:val="21"/>
        </w:rPr>
        <w:t>保单</w:t>
      </w:r>
      <w:r>
        <w:rPr>
          <w:rFonts w:ascii="微软雅黑" w:eastAsia="微软雅黑"/>
          <w:b/>
          <w:spacing w:val="-4"/>
          <w:sz w:val="21"/>
        </w:rPr>
        <w:t>贷</w:t>
      </w:r>
      <w:r>
        <w:rPr>
          <w:rFonts w:ascii="微软雅黑" w:eastAsia="微软雅黑"/>
          <w:b/>
          <w:spacing w:val="-4"/>
          <w:sz w:val="21"/>
        </w:rPr>
        <w:t>款</w:t>
      </w:r>
      <w:r>
        <w:rPr>
          <w:rFonts w:ascii="微软雅黑" w:eastAsia="微软雅黑"/>
          <w:b/>
          <w:sz w:val="21"/>
        </w:rPr>
        <w:tab/>
      </w:r>
      <w:r>
        <w:rPr>
          <w:spacing w:val="-2"/>
          <w:sz w:val="21"/>
        </w:rPr>
        <w:t>在</w:t>
      </w:r>
      <w:r>
        <w:rPr>
          <w:spacing w:val="-2"/>
          <w:sz w:val="21"/>
        </w:rPr>
        <w:t>本</w:t>
      </w:r>
      <w:r>
        <w:rPr>
          <w:spacing w:val="-2"/>
          <w:sz w:val="21"/>
        </w:rPr>
        <w:t>合同及附加合同（如有）的有效</w:t>
      </w:r>
      <w:r>
        <w:rPr>
          <w:spacing w:val="-2"/>
          <w:sz w:val="21"/>
        </w:rPr>
        <w:t>期</w:t>
      </w:r>
      <w:r>
        <w:rPr>
          <w:spacing w:val="-2"/>
          <w:sz w:val="21"/>
        </w:rPr>
        <w:t>内</w:t>
      </w:r>
      <w:r>
        <w:rPr>
          <w:spacing w:val="-2"/>
          <w:sz w:val="21"/>
        </w:rPr>
        <w:t>，经被保</w:t>
      </w:r>
      <w:r>
        <w:rPr>
          <w:spacing w:val="-2"/>
          <w:sz w:val="21"/>
        </w:rPr>
        <w:t>险</w:t>
      </w:r>
      <w:r>
        <w:rPr>
          <w:spacing w:val="-2"/>
          <w:sz w:val="21"/>
        </w:rPr>
        <w:t>人</w:t>
      </w:r>
      <w:r>
        <w:rPr>
          <w:spacing w:val="-2"/>
          <w:sz w:val="21"/>
        </w:rPr>
        <w:t>书面同意，您可以申</w:t>
      </w:r>
      <w:r>
        <w:rPr>
          <w:spacing w:val="-2"/>
          <w:sz w:val="21"/>
        </w:rPr>
        <w:t>请</w:t>
      </w:r>
      <w:r>
        <w:rPr>
          <w:spacing w:val="-2"/>
          <w:sz w:val="21"/>
        </w:rPr>
        <w:t>并</w:t>
      </w:r>
      <w:r>
        <w:rPr>
          <w:spacing w:val="-2"/>
          <w:sz w:val="21"/>
        </w:rPr>
        <w:t>经</w:t>
      </w:r>
      <w:r>
        <w:rPr>
          <w:sz w:val="21"/>
        </w:rPr>
        <w:t>我们审核同意后办理保单贷款。最高贷款金额不超过您申请</w:t>
      </w:r>
      <w:r>
        <w:rPr>
          <w:spacing w:val="2"/>
          <w:sz w:val="21"/>
        </w:rPr>
        <w:t>时</w:t>
      </w:r>
      <w:r>
        <w:rPr>
          <w:sz w:val="21"/>
        </w:rPr>
        <w:t>本合同及附加合同</w:t>
      </w:r>
    </w:p>
    <w:p>
      <w:pPr>
        <w:pStyle w:val="BodyText"/>
        <w:spacing w:line="242" w:lineRule="auto" w:before="11"/>
        <w:ind w:left="2731" w:right="601"/>
        <w:jc w:val="both"/>
      </w:pPr>
      <w:r>
        <w:rPr>
          <w:spacing w:val="-2"/>
        </w:rPr>
        <w:t>（如有贷款功能）的现金价值之和扣除各项欠款及应付利息后余额的80％，且具体</w:t>
      </w:r>
      <w:r>
        <w:rPr>
          <w:spacing w:val="-2"/>
        </w:rPr>
        <w:t>的贷款金额以您与我们签订的贷款协议中的约定为准。每次贷款期限最长不超过 180日，贷款利率按您与我们签订的贷款协议中约定的利率执行。</w:t>
      </w:r>
    </w:p>
    <w:p>
      <w:pPr>
        <w:pStyle w:val="BodyText"/>
        <w:spacing w:line="242" w:lineRule="auto" w:before="82"/>
        <w:ind w:left="2731" w:right="602"/>
        <w:jc w:val="both"/>
      </w:pPr>
      <w:r>
        <w:rPr/>
        <w:t>自贷款本金及利息加上其他各项欠款及应付利息达到本合同及附加合同现金价值</w:t>
      </w:r>
      <w:r>
        <w:rPr>
          <w:spacing w:val="-4"/>
        </w:rPr>
        <w:t>之和的当日 </w:t>
      </w:r>
      <w:r>
        <w:rPr/>
        <w:t>24</w:t>
      </w:r>
      <w:r>
        <w:rPr>
          <w:spacing w:val="-5"/>
        </w:rPr>
        <w:t> 时起，本合同与附加合同效力中止。</w:t>
      </w:r>
    </w:p>
    <w:p>
      <w:pPr>
        <w:pStyle w:val="BodyText"/>
        <w:spacing w:before="10"/>
        <w:ind w:left="0"/>
        <w:rPr>
          <w:sz w:val="13"/>
        </w:rPr>
      </w:pPr>
    </w:p>
    <w:p>
      <w:pPr>
        <w:spacing w:after="0"/>
        <w:rPr>
          <w:sz w:val="13"/>
        </w:rPr>
        <w:sectPr>
          <w:pgSz w:w="11910" w:h="16840"/>
          <w:pgMar w:header="0" w:footer="574" w:top="1060" w:bottom="760" w:left="720" w:right="340"/>
        </w:sectPr>
      </w:pPr>
    </w:p>
    <w:p>
      <w:pPr>
        <w:pStyle w:val="Heading2"/>
        <w:numPr>
          <w:ilvl w:val="1"/>
          <w:numId w:val="3"/>
        </w:numPr>
        <w:tabs>
          <w:tab w:pos="1181" w:val="left" w:leader="none"/>
          <w:tab w:pos="1182" w:val="left" w:leader="none"/>
        </w:tabs>
        <w:spacing w:line="218" w:lineRule="auto" w:before="30" w:after="0"/>
        <w:ind w:left="1181" w:right="0" w:hanging="660"/>
        <w:jc w:val="left"/>
      </w:pPr>
      <w:r>
        <w:rPr>
          <w:spacing w:val="-2"/>
        </w:rPr>
        <w:t>保险费自动</w:t>
      </w:r>
      <w:r>
        <w:rPr>
          <w:spacing w:val="-6"/>
        </w:rPr>
        <w:t>垫交</w:t>
      </w:r>
    </w:p>
    <w:p>
      <w:pPr>
        <w:pStyle w:val="BodyText"/>
        <w:spacing w:line="216" w:lineRule="auto" w:before="93"/>
        <w:ind w:left="454" w:right="601"/>
        <w:jc w:val="both"/>
      </w:pPr>
      <w:r>
        <w:rPr/>
        <w:br w:type="column"/>
      </w:r>
      <w:r>
        <w:rPr>
          <w:spacing w:val="-6"/>
          <w:w w:val="100"/>
        </w:rPr>
        <w:t>您可以选择保险费自动垫交功能，即如果您在宽限期结束时仍未交纳保险费，我们</w:t>
      </w:r>
      <w:r>
        <w:rPr>
          <w:spacing w:val="1"/>
          <w:w w:val="100"/>
        </w:rPr>
        <w:t>将以本合同的现金价值扣除各项欠款及应付利息后的余额自动垫交到期应交的保</w:t>
      </w:r>
      <w:r>
        <w:rPr>
          <w:spacing w:val="-3"/>
          <w:w w:val="100"/>
        </w:rPr>
        <w:t>险费，本合同继续有效。我们将对自动垫交的保险费计收</w:t>
      </w:r>
      <w:r>
        <w:rPr>
          <w:rFonts w:ascii="微软雅黑" w:eastAsia="微软雅黑"/>
          <w:b/>
          <w:spacing w:val="-1"/>
          <w:w w:val="100"/>
        </w:rPr>
        <w:t>利息</w:t>
      </w:r>
      <w:r>
        <w:rPr>
          <w:rFonts w:ascii="微软雅黑" w:eastAsia="微软雅黑"/>
          <w:b/>
          <w:spacing w:val="2"/>
          <w:w w:val="81"/>
          <w:position w:val="11"/>
          <w:sz w:val="11"/>
        </w:rPr>
        <w:t>26</w:t>
      </w:r>
      <w:r>
        <w:rPr>
          <w:w w:val="100"/>
        </w:rPr>
        <w:t>。</w:t>
      </w:r>
    </w:p>
    <w:p>
      <w:pPr>
        <w:pStyle w:val="BodyText"/>
        <w:spacing w:line="242" w:lineRule="auto" w:before="41"/>
        <w:ind w:left="454" w:right="607"/>
      </w:pPr>
      <w:r>
        <w:rPr>
          <w:spacing w:val="1"/>
          <w:w w:val="100"/>
        </w:rPr>
        <w:t>如果本合同的现金价值扣除各项欠款及应付利息后的余额不足以全额垫交到期应</w:t>
      </w:r>
      <w:r>
        <w:rPr>
          <w:spacing w:val="-3"/>
          <w:w w:val="100"/>
        </w:rPr>
        <w:t>交的保险费，则本合同自宽限期满日的</w:t>
      </w:r>
      <w:r>
        <w:rPr>
          <w:w w:val="100"/>
        </w:rPr>
        <w:t>2</w:t>
      </w:r>
      <w:r>
        <w:rPr>
          <w:spacing w:val="-3"/>
          <w:w w:val="100"/>
        </w:rPr>
        <w:t>4时起效力中止。</w:t>
      </w:r>
    </w:p>
    <w:p>
      <w:pPr>
        <w:spacing w:after="0" w:line="242" w:lineRule="auto"/>
        <w:sectPr>
          <w:type w:val="continuous"/>
          <w:pgSz w:w="11910" w:h="16840"/>
          <w:pgMar w:header="0" w:footer="574" w:top="380" w:bottom="760" w:left="720" w:right="340"/>
          <w:cols w:num="2" w:equalWidth="0">
            <w:col w:w="2238" w:space="40"/>
            <w:col w:w="8572"/>
          </w:cols>
        </w:sectPr>
      </w:pPr>
    </w:p>
    <w:p>
      <w:pPr>
        <w:pStyle w:val="ListParagraph"/>
        <w:numPr>
          <w:ilvl w:val="1"/>
          <w:numId w:val="3"/>
        </w:numPr>
        <w:tabs>
          <w:tab w:pos="1182" w:val="left" w:leader="none"/>
          <w:tab w:pos="2731" w:val="left" w:leader="none"/>
        </w:tabs>
        <w:spacing w:line="184" w:lineRule="auto" w:before="76" w:after="0"/>
        <w:ind w:left="2731" w:right="599" w:hanging="2211"/>
        <w:jc w:val="both"/>
        <w:rPr>
          <w:sz w:val="21"/>
        </w:rPr>
      </w:pPr>
      <w:r>
        <w:rPr>
          <w:rFonts w:ascii="微软雅黑" w:eastAsia="微软雅黑"/>
          <w:b/>
          <w:spacing w:val="-6"/>
          <w:sz w:val="21"/>
        </w:rPr>
        <w:t>减</w:t>
      </w:r>
      <w:r>
        <w:rPr>
          <w:rFonts w:ascii="微软雅黑" w:eastAsia="微软雅黑"/>
          <w:b/>
          <w:spacing w:val="-6"/>
          <w:sz w:val="21"/>
        </w:rPr>
        <w:t>保</w:t>
      </w:r>
      <w:r>
        <w:rPr>
          <w:rFonts w:ascii="微软雅黑" w:eastAsia="微软雅黑"/>
          <w:b/>
          <w:sz w:val="21"/>
        </w:rPr>
        <w:tab/>
      </w:r>
      <w:r>
        <w:rPr>
          <w:spacing w:val="-2"/>
          <w:sz w:val="21"/>
        </w:rPr>
        <w:t>如</w:t>
      </w:r>
      <w:r>
        <w:rPr>
          <w:spacing w:val="-2"/>
          <w:sz w:val="21"/>
        </w:rPr>
        <w:t>果</w:t>
      </w:r>
      <w:r>
        <w:rPr>
          <w:spacing w:val="-2"/>
          <w:sz w:val="21"/>
        </w:rPr>
        <w:t>被保险人未发生保险事故，您在犹豫期后可以</w:t>
      </w:r>
      <w:r>
        <w:rPr>
          <w:spacing w:val="-2"/>
          <w:sz w:val="21"/>
        </w:rPr>
        <w:t>申</w:t>
      </w:r>
      <w:r>
        <w:rPr>
          <w:spacing w:val="-2"/>
          <w:sz w:val="21"/>
        </w:rPr>
        <w:t>请</w:t>
      </w:r>
      <w:r>
        <w:rPr>
          <w:spacing w:val="-2"/>
          <w:sz w:val="21"/>
        </w:rPr>
        <w:t>减保，将基本保险金</w:t>
      </w:r>
      <w:r>
        <w:rPr>
          <w:spacing w:val="-2"/>
          <w:sz w:val="21"/>
        </w:rPr>
        <w:t>额</w:t>
      </w:r>
      <w:r>
        <w:rPr>
          <w:spacing w:val="-2"/>
          <w:sz w:val="21"/>
        </w:rPr>
        <w:t>和</w:t>
      </w:r>
      <w:r>
        <w:rPr>
          <w:spacing w:val="-2"/>
          <w:sz w:val="21"/>
        </w:rPr>
        <w:t>保</w:t>
      </w:r>
      <w:r>
        <w:rPr>
          <w:spacing w:val="-2"/>
          <w:sz w:val="21"/>
        </w:rPr>
        <w:t>险</w:t>
      </w:r>
      <w:r>
        <w:rPr>
          <w:spacing w:val="-2"/>
          <w:sz w:val="21"/>
        </w:rPr>
        <w:t>费</w:t>
      </w:r>
      <w:r>
        <w:rPr>
          <w:spacing w:val="-2"/>
          <w:sz w:val="21"/>
        </w:rPr>
        <w:t>按</w:t>
      </w:r>
      <w:r>
        <w:rPr>
          <w:spacing w:val="-2"/>
          <w:sz w:val="21"/>
        </w:rPr>
        <w:t>比</w:t>
      </w:r>
      <w:r>
        <w:rPr>
          <w:spacing w:val="-2"/>
          <w:sz w:val="21"/>
        </w:rPr>
        <w:t>例</w:t>
      </w:r>
      <w:r>
        <w:rPr>
          <w:spacing w:val="-2"/>
          <w:sz w:val="21"/>
        </w:rPr>
        <w:t>减</w:t>
      </w:r>
      <w:r>
        <w:rPr>
          <w:spacing w:val="-2"/>
          <w:sz w:val="21"/>
        </w:rPr>
        <w:t>少</w:t>
      </w:r>
      <w:r>
        <w:rPr>
          <w:spacing w:val="-2"/>
          <w:sz w:val="21"/>
        </w:rPr>
        <w:t>，</w:t>
      </w:r>
      <w:r>
        <w:rPr>
          <w:spacing w:val="-2"/>
          <w:sz w:val="21"/>
        </w:rPr>
        <w:t>并</w:t>
      </w:r>
      <w:r>
        <w:rPr>
          <w:spacing w:val="-2"/>
          <w:sz w:val="21"/>
        </w:rPr>
        <w:t>领取</w:t>
      </w:r>
      <w:r>
        <w:rPr>
          <w:rFonts w:ascii="微软雅黑" w:eastAsia="微软雅黑"/>
          <w:b/>
          <w:spacing w:val="-2"/>
          <w:sz w:val="21"/>
        </w:rPr>
        <w:t>与基</w:t>
      </w:r>
      <w:r>
        <w:rPr>
          <w:rFonts w:ascii="微软雅黑" w:eastAsia="微软雅黑"/>
          <w:b/>
          <w:spacing w:val="-2"/>
          <w:sz w:val="21"/>
        </w:rPr>
        <w:t>本</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额</w:t>
      </w:r>
      <w:r>
        <w:rPr>
          <w:rFonts w:ascii="微软雅黑" w:eastAsia="微软雅黑"/>
          <w:b/>
          <w:spacing w:val="-2"/>
          <w:sz w:val="21"/>
        </w:rPr>
        <w:t>减</w:t>
      </w:r>
      <w:r>
        <w:rPr>
          <w:rFonts w:ascii="微软雅黑" w:eastAsia="微软雅黑"/>
          <w:b/>
          <w:spacing w:val="-2"/>
          <w:sz w:val="21"/>
        </w:rPr>
        <w:t>少</w:t>
      </w:r>
      <w:r>
        <w:rPr>
          <w:rFonts w:ascii="微软雅黑" w:eastAsia="微软雅黑"/>
          <w:b/>
          <w:spacing w:val="-2"/>
          <w:sz w:val="21"/>
        </w:rPr>
        <w:t>部</w:t>
      </w:r>
      <w:r>
        <w:rPr>
          <w:rFonts w:ascii="微软雅黑" w:eastAsia="微软雅黑"/>
          <w:b/>
          <w:spacing w:val="-2"/>
          <w:sz w:val="21"/>
        </w:rPr>
        <w:t>分</w:t>
      </w:r>
      <w:r>
        <w:rPr>
          <w:rFonts w:ascii="微软雅黑" w:eastAsia="微软雅黑"/>
          <w:b/>
          <w:spacing w:val="-2"/>
          <w:sz w:val="21"/>
        </w:rPr>
        <w:t>相</w:t>
      </w:r>
      <w:r>
        <w:rPr>
          <w:rFonts w:ascii="微软雅黑" w:eastAsia="微软雅黑"/>
          <w:b/>
          <w:spacing w:val="-2"/>
          <w:sz w:val="21"/>
        </w:rPr>
        <w:t>对</w:t>
      </w:r>
      <w:r>
        <w:rPr>
          <w:rFonts w:ascii="微软雅黑" w:eastAsia="微软雅黑"/>
          <w:b/>
          <w:spacing w:val="-2"/>
          <w:sz w:val="21"/>
        </w:rPr>
        <w:t>应</w:t>
      </w:r>
      <w:r>
        <w:rPr>
          <w:rFonts w:ascii="微软雅黑" w:eastAsia="微软雅黑"/>
          <w:b/>
          <w:spacing w:val="-2"/>
          <w:sz w:val="21"/>
        </w:rPr>
        <w:t>的</w:t>
      </w:r>
      <w:r>
        <w:rPr>
          <w:rFonts w:ascii="微软雅黑" w:eastAsia="微软雅黑"/>
          <w:b/>
          <w:spacing w:val="-2"/>
          <w:sz w:val="21"/>
        </w:rPr>
        <w:t>现</w:t>
      </w:r>
      <w:r>
        <w:rPr>
          <w:rFonts w:ascii="微软雅黑" w:eastAsia="微软雅黑"/>
          <w:b/>
          <w:spacing w:val="-2"/>
          <w:sz w:val="21"/>
        </w:rPr>
        <w:t>金</w:t>
      </w:r>
      <w:r>
        <w:rPr>
          <w:rFonts w:ascii="微软雅黑" w:eastAsia="微软雅黑"/>
          <w:b/>
          <w:spacing w:val="-2"/>
          <w:sz w:val="21"/>
        </w:rPr>
        <w:t>价值</w:t>
      </w:r>
      <w:r>
        <w:rPr>
          <w:rFonts w:ascii="微软雅黑" w:eastAsia="微软雅黑"/>
          <w:b/>
          <w:spacing w:val="-2"/>
          <w:position w:val="11"/>
          <w:sz w:val="11"/>
        </w:rPr>
        <w:t>27</w:t>
      </w:r>
      <w:r>
        <w:rPr>
          <w:spacing w:val="-2"/>
          <w:sz w:val="21"/>
        </w:rPr>
        <w:t>。</w:t>
      </w:r>
      <w:r>
        <w:rPr>
          <w:spacing w:val="-2"/>
          <w:sz w:val="21"/>
        </w:rPr>
        <w:t>减</w:t>
      </w:r>
      <w:r>
        <w:rPr>
          <w:spacing w:val="-2"/>
          <w:sz w:val="21"/>
        </w:rPr>
        <w:t>保</w:t>
      </w:r>
      <w:r>
        <w:rPr>
          <w:spacing w:val="-2"/>
          <w:sz w:val="21"/>
        </w:rPr>
        <w:t>后</w:t>
      </w:r>
      <w:r>
        <w:rPr>
          <w:spacing w:val="-2"/>
          <w:sz w:val="21"/>
        </w:rPr>
        <w:t>，</w:t>
      </w:r>
      <w:r>
        <w:rPr>
          <w:spacing w:val="-2"/>
          <w:sz w:val="21"/>
        </w:rPr>
        <w:t>基</w:t>
      </w:r>
      <w:r>
        <w:rPr>
          <w:spacing w:val="-2"/>
          <w:sz w:val="21"/>
        </w:rPr>
        <w:t>本</w:t>
      </w:r>
      <w:r>
        <w:rPr>
          <w:spacing w:val="-2"/>
          <w:sz w:val="21"/>
        </w:rPr>
        <w:t>保险金额和保险费需</w:t>
      </w:r>
      <w:r>
        <w:rPr>
          <w:spacing w:val="-2"/>
          <w:sz w:val="21"/>
        </w:rPr>
        <w:t>符</w:t>
      </w:r>
      <w:r>
        <w:rPr>
          <w:spacing w:val="-2"/>
          <w:sz w:val="21"/>
        </w:rPr>
        <w:t>合</w:t>
      </w:r>
      <w:r>
        <w:rPr>
          <w:spacing w:val="-2"/>
          <w:sz w:val="21"/>
        </w:rPr>
        <w:t>我们的约定。</w:t>
      </w:r>
    </w:p>
    <w:p>
      <w:pPr>
        <w:pStyle w:val="BodyText"/>
        <w:spacing w:before="95"/>
        <w:ind w:left="2731"/>
        <w:jc w:val="both"/>
      </w:pPr>
      <w:r>
        <w:rPr>
          <w:spacing w:val="-10"/>
        </w:rPr>
        <w:t>本合同第 </w:t>
      </w:r>
      <w:r>
        <w:rPr>
          <w:spacing w:val="-2"/>
        </w:rPr>
        <w:t>1.4</w:t>
      </w:r>
      <w:r>
        <w:rPr>
          <w:spacing w:val="-9"/>
        </w:rPr>
        <w:t> 条约定的保险责任根据减保后的基本保险金额和保险费进行计算。</w:t>
      </w:r>
    </w:p>
    <w:p>
      <w:pPr>
        <w:pStyle w:val="BodyText"/>
        <w:spacing w:before="2"/>
        <w:ind w:left="0"/>
        <w:rPr>
          <w:sz w:val="16"/>
        </w:rPr>
      </w:pPr>
    </w:p>
    <w:p>
      <w:pPr>
        <w:pStyle w:val="Heading1"/>
        <w:numPr>
          <w:ilvl w:val="0"/>
          <w:numId w:val="3"/>
        </w:numPr>
        <w:tabs>
          <w:tab w:pos="1181" w:val="left" w:leader="none"/>
          <w:tab w:pos="1182" w:val="left" w:leader="none"/>
        </w:tabs>
        <w:spacing w:line="240" w:lineRule="auto" w:before="0" w:after="4"/>
        <w:ind w:left="1181" w:right="0" w:hanging="661"/>
        <w:jc w:val="left"/>
      </w:pPr>
      <w:r>
        <w:rPr>
          <w:spacing w:val="-2"/>
        </w:rPr>
        <w:t>合同的构成与生效</w:t>
      </w:r>
    </w:p>
    <w:p>
      <w:pPr>
        <w:pStyle w:val="BodyText"/>
        <w:spacing w:line="20" w:lineRule="exact"/>
        <w:ind w:left="412"/>
        <w:rPr>
          <w:rFonts w:ascii="微软雅黑"/>
          <w:sz w:val="2"/>
        </w:rPr>
      </w:pPr>
      <w:r>
        <w:rPr>
          <w:rFonts w:ascii="微软雅黑"/>
          <w:sz w:val="2"/>
        </w:rPr>
        <w:drawing>
          <wp:inline distT="0" distB="0" distL="0" distR="0">
            <wp:extent cx="6356798" cy="12287"/>
            <wp:effectExtent l="0" t="0" r="0" b="0"/>
            <wp:docPr id="49" name="image12.png"/>
            <wp:cNvGraphicFramePr>
              <a:graphicFrameLocks noChangeAspect="1"/>
            </wp:cNvGraphicFramePr>
            <a:graphic>
              <a:graphicData uri="http://schemas.openxmlformats.org/drawingml/2006/picture">
                <pic:pic>
                  <pic:nvPicPr>
                    <pic:cNvPr id="50" name="image12.png"/>
                    <pic:cNvPicPr/>
                  </pic:nvPicPr>
                  <pic:blipFill>
                    <a:blip r:embed="rId19" cstate="print"/>
                    <a:stretch>
                      <a:fillRect/>
                    </a:stretch>
                  </pic:blipFill>
                  <pic:spPr>
                    <a:xfrm>
                      <a:off x="0" y="0"/>
                      <a:ext cx="6356798" cy="12287"/>
                    </a:xfrm>
                    <a:prstGeom prst="rect">
                      <a:avLst/>
                    </a:prstGeom>
                  </pic:spPr>
                </pic:pic>
              </a:graphicData>
            </a:graphic>
          </wp:inline>
        </w:drawing>
      </w:r>
      <w:r>
        <w:rPr>
          <w:rFonts w:ascii="微软雅黑"/>
          <w:sz w:val="2"/>
        </w:rPr>
      </w:r>
    </w:p>
    <w:p>
      <w:pPr>
        <w:pStyle w:val="ListParagraph"/>
        <w:numPr>
          <w:ilvl w:val="1"/>
          <w:numId w:val="3"/>
        </w:numPr>
        <w:tabs>
          <w:tab w:pos="1182" w:val="left" w:leader="none"/>
          <w:tab w:pos="2731" w:val="left" w:leader="none"/>
        </w:tabs>
        <w:spacing w:line="220" w:lineRule="auto" w:before="186" w:after="0"/>
        <w:ind w:left="2731" w:right="601" w:hanging="2211"/>
        <w:jc w:val="both"/>
        <w:rPr>
          <w:sz w:val="21"/>
        </w:rPr>
      </w:pPr>
      <w:r>
        <w:rPr>
          <w:rFonts w:ascii="微软雅黑" w:eastAsia="微软雅黑"/>
          <w:b/>
          <w:spacing w:val="-4"/>
          <w:sz w:val="21"/>
        </w:rPr>
        <w:t>合</w:t>
      </w:r>
      <w:r>
        <w:rPr>
          <w:rFonts w:ascii="微软雅黑" w:eastAsia="微软雅黑"/>
          <w:b/>
          <w:spacing w:val="-4"/>
          <w:sz w:val="21"/>
        </w:rPr>
        <w:t>同</w:t>
      </w:r>
      <w:r>
        <w:rPr>
          <w:rFonts w:ascii="微软雅黑" w:eastAsia="微软雅黑"/>
          <w:b/>
          <w:spacing w:val="-4"/>
          <w:sz w:val="21"/>
        </w:rPr>
        <w:t>构</w:t>
      </w:r>
      <w:r>
        <w:rPr>
          <w:rFonts w:ascii="微软雅黑" w:eastAsia="微软雅黑"/>
          <w:b/>
          <w:spacing w:val="-4"/>
          <w:sz w:val="21"/>
        </w:rPr>
        <w:t>成</w:t>
      </w:r>
      <w:r>
        <w:rPr>
          <w:rFonts w:ascii="微软雅黑" w:eastAsia="微软雅黑"/>
          <w:b/>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2"/>
          <w:sz w:val="21"/>
        </w:rPr>
        <w:t>包</w:t>
      </w:r>
      <w:r>
        <w:rPr>
          <w:spacing w:val="-2"/>
          <w:sz w:val="21"/>
        </w:rPr>
        <w:t>括</w:t>
      </w:r>
      <w:r>
        <w:rPr>
          <w:spacing w:val="-2"/>
          <w:sz w:val="21"/>
        </w:rPr>
        <w:t>本保险条款、保险单</w:t>
      </w:r>
      <w:r>
        <w:rPr>
          <w:spacing w:val="-2"/>
          <w:sz w:val="21"/>
        </w:rPr>
        <w:t>或</w:t>
      </w:r>
      <w:r>
        <w:rPr>
          <w:spacing w:val="-2"/>
          <w:sz w:val="21"/>
        </w:rPr>
        <w:t>者</w:t>
      </w:r>
      <w:r>
        <w:rPr>
          <w:spacing w:val="-2"/>
          <w:sz w:val="21"/>
        </w:rPr>
        <w:t>其</w:t>
      </w:r>
      <w:r>
        <w:rPr>
          <w:spacing w:val="-2"/>
          <w:sz w:val="21"/>
        </w:rPr>
        <w:t>他</w:t>
      </w:r>
      <w:r>
        <w:rPr>
          <w:spacing w:val="-2"/>
          <w:sz w:val="21"/>
        </w:rPr>
        <w:t>保</w:t>
      </w:r>
      <w:r>
        <w:rPr>
          <w:spacing w:val="-2"/>
          <w:sz w:val="21"/>
        </w:rPr>
        <w:t>险凭证、投</w:t>
      </w:r>
      <w:r>
        <w:rPr>
          <w:spacing w:val="-2"/>
          <w:sz w:val="21"/>
        </w:rPr>
        <w:t>保</w:t>
      </w:r>
      <w:r>
        <w:rPr>
          <w:spacing w:val="-2"/>
          <w:sz w:val="21"/>
        </w:rPr>
        <w:t>单</w:t>
      </w:r>
      <w:r>
        <w:rPr>
          <w:spacing w:val="-2"/>
          <w:sz w:val="21"/>
        </w:rPr>
        <w:t>、与</w:t>
      </w:r>
      <w:r>
        <w:rPr>
          <w:spacing w:val="-2"/>
          <w:sz w:val="21"/>
        </w:rPr>
        <w:t>本</w:t>
      </w:r>
      <w:r>
        <w:rPr>
          <w:spacing w:val="-2"/>
          <w:sz w:val="21"/>
        </w:rPr>
        <w:t>合</w:t>
      </w:r>
      <w:r>
        <w:rPr>
          <w:spacing w:val="-2"/>
          <w:sz w:val="21"/>
        </w:rPr>
        <w:t>同有关的投保文件、</w:t>
      </w:r>
      <w:r>
        <w:rPr>
          <w:spacing w:val="-2"/>
          <w:sz w:val="21"/>
        </w:rPr>
        <w:t>合</w:t>
      </w:r>
      <w:r>
        <w:rPr>
          <w:spacing w:val="-2"/>
          <w:sz w:val="21"/>
        </w:rPr>
        <w:t>法</w:t>
      </w:r>
      <w:r>
        <w:rPr>
          <w:spacing w:val="-2"/>
          <w:sz w:val="21"/>
        </w:rPr>
        <w:t>有效的声明、批单及</w:t>
      </w:r>
      <w:r>
        <w:rPr>
          <w:spacing w:val="-2"/>
          <w:sz w:val="21"/>
        </w:rPr>
        <w:t>其</w:t>
      </w:r>
      <w:r>
        <w:rPr>
          <w:spacing w:val="-2"/>
          <w:sz w:val="21"/>
        </w:rPr>
        <w:t>他</w:t>
      </w:r>
      <w:r>
        <w:rPr>
          <w:spacing w:val="-2"/>
          <w:sz w:val="21"/>
        </w:rPr>
        <w:t>您</w:t>
      </w:r>
      <w:r>
        <w:rPr>
          <w:spacing w:val="-2"/>
          <w:sz w:val="21"/>
        </w:rPr>
        <w:t>与</w:t>
      </w:r>
      <w:r>
        <w:rPr>
          <w:spacing w:val="-2"/>
          <w:sz w:val="21"/>
        </w:rPr>
        <w:t>我</w:t>
      </w:r>
      <w:r>
        <w:rPr>
          <w:spacing w:val="-2"/>
          <w:sz w:val="21"/>
        </w:rPr>
        <w:t>们共同认可的书面协</w:t>
      </w:r>
      <w:r>
        <w:rPr>
          <w:spacing w:val="-2"/>
          <w:sz w:val="21"/>
        </w:rPr>
        <w:t>议</w:t>
      </w:r>
      <w:r>
        <w:rPr>
          <w:spacing w:val="-2"/>
          <w:sz w:val="21"/>
        </w:rPr>
        <w:t>。</w:t>
      </w:r>
    </w:p>
    <w:p>
      <w:pPr>
        <w:pStyle w:val="BodyText"/>
        <w:spacing w:before="8"/>
        <w:ind w:left="0"/>
        <w:rPr>
          <w:sz w:val="14"/>
        </w:rPr>
      </w:pPr>
    </w:p>
    <w:p>
      <w:pPr>
        <w:spacing w:after="0"/>
        <w:rPr>
          <w:sz w:val="14"/>
        </w:rPr>
        <w:sectPr>
          <w:type w:val="continuous"/>
          <w:pgSz w:w="11910" w:h="16840"/>
          <w:pgMar w:header="0" w:footer="574" w:top="380" w:bottom="760" w:left="720" w:right="340"/>
        </w:sectPr>
      </w:pPr>
    </w:p>
    <w:p>
      <w:pPr>
        <w:pStyle w:val="Heading2"/>
        <w:numPr>
          <w:ilvl w:val="1"/>
          <w:numId w:val="3"/>
        </w:numPr>
        <w:tabs>
          <w:tab w:pos="1181" w:val="left" w:leader="none"/>
          <w:tab w:pos="1182" w:val="left" w:leader="none"/>
        </w:tabs>
        <w:spacing w:line="216" w:lineRule="auto" w:before="32" w:after="0"/>
        <w:ind w:left="1181" w:right="0" w:hanging="660"/>
        <w:jc w:val="left"/>
      </w:pPr>
      <w:r>
        <w:rPr>
          <w:spacing w:val="-2"/>
        </w:rPr>
        <w:t>合同成立及</w:t>
      </w:r>
      <w:r>
        <w:rPr>
          <w:spacing w:val="-6"/>
        </w:rPr>
        <w:t>生效</w:t>
      </w:r>
    </w:p>
    <w:p>
      <w:pPr>
        <w:pStyle w:val="BodyText"/>
        <w:spacing w:before="72"/>
        <w:ind w:left="454"/>
      </w:pPr>
      <w:r>
        <w:rPr/>
        <w:br w:type="column"/>
      </w:r>
      <w:r>
        <w:rPr>
          <w:spacing w:val="-3"/>
        </w:rPr>
        <w:t>您提出保险申请且我们同意承保，本合同成立。</w:t>
      </w:r>
    </w:p>
    <w:p>
      <w:pPr>
        <w:pStyle w:val="BodyText"/>
        <w:spacing w:line="242" w:lineRule="auto" w:before="79"/>
        <w:ind w:left="454" w:right="599"/>
      </w:pPr>
      <w:r>
        <w:rPr>
          <w:spacing w:val="-2"/>
        </w:rPr>
        <w:t>本合同的成立日、生效日以保险单记载的日期为准。保单年度、保险费约定交纳日</w:t>
      </w:r>
      <w:r>
        <w:rPr>
          <w:spacing w:val="-2"/>
        </w:rPr>
        <w:t>均依据本合同的生效日为基础进行计算。</w:t>
      </w:r>
    </w:p>
    <w:p>
      <w:pPr>
        <w:spacing w:after="0" w:line="242" w:lineRule="auto"/>
        <w:sectPr>
          <w:type w:val="continuous"/>
          <w:pgSz w:w="11910" w:h="16840"/>
          <w:pgMar w:header="0" w:footer="574" w:top="380" w:bottom="760" w:left="720" w:right="340"/>
          <w:cols w:num="2" w:equalWidth="0">
            <w:col w:w="2238" w:space="40"/>
            <w:col w:w="8572"/>
          </w:cols>
        </w:sectPr>
      </w:pPr>
    </w:p>
    <w:p>
      <w:pPr>
        <w:pStyle w:val="BodyText"/>
        <w:ind w:left="0"/>
        <w:rPr>
          <w:sz w:val="19"/>
        </w:rPr>
      </w:pPr>
    </w:p>
    <w:p>
      <w:pPr>
        <w:pStyle w:val="Heading1"/>
        <w:numPr>
          <w:ilvl w:val="0"/>
          <w:numId w:val="3"/>
        </w:numPr>
        <w:tabs>
          <w:tab w:pos="1181" w:val="left" w:leader="none"/>
          <w:tab w:pos="1182" w:val="left" w:leader="none"/>
        </w:tabs>
        <w:spacing w:line="432" w:lineRule="exact" w:before="0" w:after="4"/>
        <w:ind w:left="1181" w:right="0" w:hanging="661"/>
        <w:jc w:val="left"/>
      </w:pPr>
      <w:r>
        <w:rPr>
          <w:spacing w:val="-2"/>
        </w:rPr>
        <w:t>需关注的其他事项</w:t>
      </w:r>
    </w:p>
    <w:p>
      <w:pPr>
        <w:pStyle w:val="BodyText"/>
        <w:spacing w:line="20" w:lineRule="exact"/>
        <w:ind w:left="412"/>
        <w:rPr>
          <w:rFonts w:ascii="微软雅黑"/>
          <w:sz w:val="2"/>
        </w:rPr>
      </w:pPr>
      <w:r>
        <w:rPr>
          <w:rFonts w:ascii="微软雅黑"/>
          <w:sz w:val="2"/>
        </w:rPr>
        <w:drawing>
          <wp:inline distT="0" distB="0" distL="0" distR="0">
            <wp:extent cx="6356849" cy="12287"/>
            <wp:effectExtent l="0" t="0" r="0" b="0"/>
            <wp:docPr id="51" name="image17.png"/>
            <wp:cNvGraphicFramePr>
              <a:graphicFrameLocks noChangeAspect="1"/>
            </wp:cNvGraphicFramePr>
            <a:graphic>
              <a:graphicData uri="http://schemas.openxmlformats.org/drawingml/2006/picture">
                <pic:pic>
                  <pic:nvPicPr>
                    <pic:cNvPr id="52" name="image17.png"/>
                    <pic:cNvPicPr/>
                  </pic:nvPicPr>
                  <pic:blipFill>
                    <a:blip r:embed="rId24" cstate="print"/>
                    <a:stretch>
                      <a:fillRect/>
                    </a:stretch>
                  </pic:blipFill>
                  <pic:spPr>
                    <a:xfrm>
                      <a:off x="0" y="0"/>
                      <a:ext cx="6356849" cy="12287"/>
                    </a:xfrm>
                    <a:prstGeom prst="rect">
                      <a:avLst/>
                    </a:prstGeom>
                  </pic:spPr>
                </pic:pic>
              </a:graphicData>
            </a:graphic>
          </wp:inline>
        </w:drawing>
      </w:r>
      <w:r>
        <w:rPr>
          <w:rFonts w:ascii="微软雅黑"/>
          <w:sz w:val="2"/>
        </w:rPr>
      </w:r>
    </w:p>
    <w:p>
      <w:pPr>
        <w:pStyle w:val="BodyText"/>
        <w:spacing w:before="11"/>
        <w:ind w:left="0"/>
        <w:rPr>
          <w:rFonts w:ascii="微软雅黑"/>
          <w:b/>
          <w:sz w:val="8"/>
        </w:rPr>
      </w:pPr>
    </w:p>
    <w:p>
      <w:pPr>
        <w:spacing w:after="0"/>
        <w:rPr>
          <w:rFonts w:ascii="微软雅黑"/>
          <w:sz w:val="8"/>
        </w:rPr>
        <w:sectPr>
          <w:type w:val="continuous"/>
          <w:pgSz w:w="11910" w:h="16840"/>
          <w:pgMar w:header="0" w:footer="574" w:top="380" w:bottom="760" w:left="720" w:right="340"/>
        </w:sectPr>
      </w:pPr>
    </w:p>
    <w:p>
      <w:pPr>
        <w:pStyle w:val="Heading2"/>
        <w:numPr>
          <w:ilvl w:val="1"/>
          <w:numId w:val="3"/>
        </w:numPr>
        <w:tabs>
          <w:tab w:pos="1181" w:val="left" w:leader="none"/>
          <w:tab w:pos="1182" w:val="left" w:leader="none"/>
        </w:tabs>
        <w:spacing w:line="218" w:lineRule="auto" w:before="30" w:after="0"/>
        <w:ind w:left="1181" w:right="0" w:hanging="660"/>
        <w:jc w:val="left"/>
      </w:pPr>
      <w:r>
        <w:rPr>
          <w:spacing w:val="-2"/>
        </w:rPr>
        <w:t>明确说明与</w:t>
      </w:r>
      <w:r>
        <w:rPr>
          <w:spacing w:val="-4"/>
        </w:rPr>
        <w:t>如实告知</w:t>
      </w:r>
    </w:p>
    <w:p>
      <w:pPr>
        <w:pStyle w:val="BodyText"/>
        <w:spacing w:line="242" w:lineRule="auto" w:before="72"/>
        <w:ind w:left="454" w:right="601"/>
        <w:jc w:val="both"/>
      </w:pPr>
      <w:r>
        <w:rPr/>
        <w:br w:type="column"/>
      </w:r>
      <w:r>
        <w:rPr>
          <w:spacing w:val="-2"/>
        </w:rPr>
        <w:t>订立本合同时，我们应当向您说明本合同的内容。对保险条款中免除我们责任的条</w:t>
      </w:r>
      <w:r>
        <w:rPr>
          <w:spacing w:val="-2"/>
        </w:rPr>
        <w:t>款，我们在订立合同时应当在投保单、保险单或者其他保险凭证上作出足以引起您</w:t>
      </w:r>
      <w:r>
        <w:rPr>
          <w:spacing w:val="-2"/>
        </w:rPr>
        <w:t>注意的提示，并对该条款的内容以书面或者口头形式向您作出明确说明，未作提示</w:t>
      </w:r>
      <w:r>
        <w:rPr>
          <w:spacing w:val="-2"/>
        </w:rPr>
        <w:t>或者明确说明的，该条款不产生效力。</w:t>
      </w:r>
    </w:p>
    <w:p>
      <w:pPr>
        <w:pStyle w:val="BodyText"/>
        <w:spacing w:before="82"/>
        <w:ind w:left="454"/>
      </w:pPr>
      <w:r>
        <w:rPr>
          <w:spacing w:val="-3"/>
        </w:rPr>
        <w:t>我们会就您和被保险人的有关情况提出书面询问，您应当如实告知。</w:t>
      </w:r>
    </w:p>
    <w:p>
      <w:pPr>
        <w:pStyle w:val="BodyText"/>
        <w:spacing w:line="242" w:lineRule="auto" w:before="79"/>
        <w:ind w:left="454" w:right="599"/>
      </w:pPr>
      <w:r>
        <w:rPr>
          <w:spacing w:val="-4"/>
        </w:rPr>
        <w:t>如果您故意或者因重大过失未履行前款约定的如实告知义务，足以影响我们决定是</w:t>
      </w:r>
      <w:r>
        <w:rPr>
          <w:spacing w:val="-2"/>
        </w:rPr>
        <w:t>否同意承保或者提高保险费率的，我们有权解除本合同。</w:t>
      </w:r>
    </w:p>
    <w:p>
      <w:pPr>
        <w:pStyle w:val="BodyText"/>
        <w:spacing w:line="242" w:lineRule="auto" w:before="81"/>
        <w:ind w:left="454" w:right="601"/>
      </w:pPr>
      <w:r>
        <w:rPr>
          <w:spacing w:val="-2"/>
        </w:rPr>
        <w:t>如果您故意不履行如实告知义务，对于本合同解除前发生的保险事故，我们不承担</w:t>
      </w:r>
      <w:r>
        <w:rPr>
          <w:spacing w:val="-2"/>
        </w:rPr>
        <w:t>保险责任，并不退还保险费。</w:t>
      </w:r>
    </w:p>
    <w:p>
      <w:pPr>
        <w:pStyle w:val="BodyText"/>
        <w:spacing w:line="242" w:lineRule="auto" w:before="78"/>
        <w:ind w:left="454" w:right="601"/>
      </w:pPr>
      <w:r>
        <w:rPr>
          <w:spacing w:val="-2"/>
        </w:rPr>
        <w:t>如果您因重大过失未履行如实告知义务，对保险事故的发生有严重影响的，对于本</w:t>
      </w:r>
      <w:r>
        <w:rPr>
          <w:spacing w:val="-2"/>
        </w:rPr>
        <w:t>合同解除前发生的保险事故，我们不承担保险责任，但应当向您退还保险费。</w:t>
      </w:r>
    </w:p>
    <w:p>
      <w:pPr>
        <w:spacing w:after="0" w:line="242" w:lineRule="auto"/>
        <w:sectPr>
          <w:type w:val="continuous"/>
          <w:pgSz w:w="11910" w:h="16840"/>
          <w:pgMar w:header="0" w:footer="574" w:top="380" w:bottom="760" w:left="720" w:right="340"/>
          <w:cols w:num="2" w:equalWidth="0">
            <w:col w:w="2238" w:space="40"/>
            <w:col w:w="8572"/>
          </w:cols>
        </w:sectPr>
      </w:pPr>
    </w:p>
    <w:p>
      <w:pPr>
        <w:pStyle w:val="BodyText"/>
        <w:spacing w:after="1"/>
        <w:ind w:left="0"/>
        <w:rPr>
          <w:sz w:val="23"/>
        </w:rPr>
      </w:pPr>
    </w:p>
    <w:p>
      <w:pPr>
        <w:pStyle w:val="BodyText"/>
        <w:spacing w:line="20" w:lineRule="exact"/>
        <w:ind w:left="412"/>
        <w:rPr>
          <w:sz w:val="2"/>
        </w:rPr>
      </w:pPr>
      <w:r>
        <w:rPr>
          <w:sz w:val="2"/>
        </w:rPr>
        <w:drawing>
          <wp:inline distT="0" distB="0" distL="0" distR="0">
            <wp:extent cx="1829282" cy="6095"/>
            <wp:effectExtent l="0" t="0" r="0" b="0"/>
            <wp:docPr id="53" name="image5.png"/>
            <wp:cNvGraphicFramePr>
              <a:graphicFrameLocks noChangeAspect="1"/>
            </wp:cNvGraphicFramePr>
            <a:graphic>
              <a:graphicData uri="http://schemas.openxmlformats.org/drawingml/2006/picture">
                <pic:pic>
                  <pic:nvPicPr>
                    <pic:cNvPr id="54" name="image5.png"/>
                    <pic:cNvPicPr/>
                  </pic:nvPicPr>
                  <pic:blipFill>
                    <a:blip r:embed="rId10" cstate="print"/>
                    <a:stretch>
                      <a:fillRect/>
                    </a:stretch>
                  </pic:blipFill>
                  <pic:spPr>
                    <a:xfrm>
                      <a:off x="0" y="0"/>
                      <a:ext cx="1829282" cy="6095"/>
                    </a:xfrm>
                    <a:prstGeom prst="rect">
                      <a:avLst/>
                    </a:prstGeom>
                  </pic:spPr>
                </pic:pic>
              </a:graphicData>
            </a:graphic>
          </wp:inline>
        </w:drawing>
      </w:r>
      <w:r>
        <w:rPr>
          <w:sz w:val="2"/>
        </w:rPr>
      </w:r>
    </w:p>
    <w:p>
      <w:pPr>
        <w:spacing w:line="313" w:lineRule="exact" w:before="26"/>
        <w:ind w:left="412" w:right="0" w:firstLine="0"/>
        <w:jc w:val="left"/>
        <w:rPr>
          <w:sz w:val="18"/>
        </w:rPr>
      </w:pPr>
      <w:r>
        <w:rPr>
          <w:position w:val="9"/>
          <w:sz w:val="9"/>
        </w:rPr>
        <w:t>26</w:t>
      </w:r>
      <w:r>
        <w:rPr>
          <w:rFonts w:ascii="Microsoft JhengHei" w:eastAsia="Microsoft JhengHei"/>
          <w:b/>
          <w:sz w:val="18"/>
        </w:rPr>
        <w:t>利息</w:t>
      </w:r>
      <w:r>
        <w:rPr>
          <w:spacing w:val="-1"/>
          <w:sz w:val="18"/>
        </w:rPr>
        <w:t>：以垫交的保险费数额为基数，自宽限期满的次日零时起，至本合同效力中止、终止或者您补齐垫交的保险费之日的</w:t>
      </w:r>
    </w:p>
    <w:p>
      <w:pPr>
        <w:spacing w:line="212" w:lineRule="exact" w:before="0"/>
        <w:ind w:left="504" w:right="0" w:firstLine="0"/>
        <w:jc w:val="left"/>
        <w:rPr>
          <w:sz w:val="18"/>
        </w:rPr>
      </w:pPr>
      <w:r>
        <w:rPr>
          <w:spacing w:val="-2"/>
          <w:sz w:val="18"/>
        </w:rPr>
        <w:t>24 时止，按“同期中国人民银行两年期居民定期储蓄存款利率+2</w:t>
      </w:r>
      <w:r>
        <w:rPr>
          <w:spacing w:val="-3"/>
          <w:sz w:val="18"/>
        </w:rPr>
        <w:t>％”的年复利计算。如果没有中国人民银行相应存款利率</w:t>
      </w:r>
    </w:p>
    <w:p>
      <w:pPr>
        <w:spacing w:line="202" w:lineRule="exact" w:before="2"/>
        <w:ind w:left="504" w:right="0" w:firstLine="0"/>
        <w:jc w:val="left"/>
        <w:rPr>
          <w:sz w:val="18"/>
        </w:rPr>
      </w:pPr>
      <w:r>
        <w:rPr>
          <w:spacing w:val="-1"/>
          <w:sz w:val="18"/>
        </w:rPr>
        <w:t>作为参照，我们将按照国家相关法律法规确定适用利率。</w:t>
      </w:r>
    </w:p>
    <w:p>
      <w:pPr>
        <w:spacing w:line="284" w:lineRule="exact" w:before="0"/>
        <w:ind w:left="412" w:right="0" w:firstLine="0"/>
        <w:jc w:val="left"/>
        <w:rPr>
          <w:sz w:val="18"/>
        </w:rPr>
      </w:pPr>
      <w:r>
        <w:rPr>
          <w:position w:val="9"/>
          <w:sz w:val="9"/>
        </w:rPr>
        <w:t>27</w:t>
      </w:r>
      <w:r>
        <w:rPr>
          <w:rFonts w:ascii="Microsoft JhengHei" w:eastAsia="Microsoft JhengHei"/>
          <w:b/>
          <w:sz w:val="18"/>
        </w:rPr>
        <w:t>与基本保险金额减少部分相对应的现金价值</w:t>
      </w:r>
      <w:r>
        <w:rPr>
          <w:spacing w:val="-1"/>
          <w:sz w:val="18"/>
        </w:rPr>
        <w:t>指您减保时我们退还的那部分金额，额度等于您申请减保时保险合同的现金价</w:t>
      </w:r>
    </w:p>
    <w:p>
      <w:pPr>
        <w:spacing w:line="212" w:lineRule="exact" w:before="0"/>
        <w:ind w:left="504" w:right="0" w:firstLine="0"/>
        <w:jc w:val="left"/>
        <w:rPr>
          <w:sz w:val="18"/>
        </w:rPr>
      </w:pPr>
      <w:r>
        <w:rPr>
          <w:spacing w:val="-3"/>
          <w:sz w:val="18"/>
        </w:rPr>
        <w:t>值乘以减少的基本保险金额与减保前的基本保险金额的比例。例如：您减保前的基本保险金额是 </w:t>
      </w:r>
      <w:r>
        <w:rPr>
          <w:spacing w:val="-2"/>
          <w:sz w:val="18"/>
        </w:rPr>
        <w:t>10</w:t>
      </w:r>
      <w:r>
        <w:rPr>
          <w:spacing w:val="-9"/>
          <w:sz w:val="18"/>
        </w:rPr>
        <w:t> 万元，对应的现金价值</w:t>
      </w:r>
    </w:p>
    <w:p>
      <w:pPr>
        <w:spacing w:before="2"/>
        <w:ind w:left="504" w:right="0" w:firstLine="0"/>
        <w:jc w:val="left"/>
        <w:rPr>
          <w:sz w:val="18"/>
        </w:rPr>
      </w:pPr>
      <w:r>
        <w:rPr>
          <w:spacing w:val="-15"/>
          <w:sz w:val="18"/>
        </w:rPr>
        <w:t>为 </w:t>
      </w:r>
      <w:r>
        <w:rPr>
          <w:spacing w:val="-2"/>
          <w:sz w:val="18"/>
        </w:rPr>
        <w:t>8</w:t>
      </w:r>
      <w:r>
        <w:rPr>
          <w:spacing w:val="-10"/>
          <w:sz w:val="18"/>
        </w:rPr>
        <w:t> 万元，您申请将基本保险金额从 </w:t>
      </w:r>
      <w:r>
        <w:rPr>
          <w:spacing w:val="-2"/>
          <w:sz w:val="18"/>
        </w:rPr>
        <w:t>10</w:t>
      </w:r>
      <w:r>
        <w:rPr>
          <w:spacing w:val="-11"/>
          <w:sz w:val="18"/>
        </w:rPr>
        <w:t> 万元减保至 </w:t>
      </w:r>
      <w:r>
        <w:rPr>
          <w:spacing w:val="-2"/>
          <w:sz w:val="18"/>
        </w:rPr>
        <w:t>6</w:t>
      </w:r>
      <w:r>
        <w:rPr>
          <w:spacing w:val="-10"/>
          <w:sz w:val="18"/>
        </w:rPr>
        <w:t> 万元，由于减保金额为 </w:t>
      </w:r>
      <w:r>
        <w:rPr>
          <w:spacing w:val="-2"/>
          <w:sz w:val="18"/>
        </w:rPr>
        <w:t>4</w:t>
      </w:r>
      <w:r>
        <w:rPr>
          <w:spacing w:val="-10"/>
          <w:sz w:val="18"/>
        </w:rPr>
        <w:t> 万元，即原基本保险金额的 </w:t>
      </w:r>
      <w:r>
        <w:rPr>
          <w:spacing w:val="-2"/>
          <w:sz w:val="18"/>
        </w:rPr>
        <w:t>40</w:t>
      </w:r>
      <w:r>
        <w:rPr>
          <w:spacing w:val="-4"/>
          <w:sz w:val="18"/>
        </w:rPr>
        <w:t>％，减保时</w:t>
      </w:r>
    </w:p>
    <w:p>
      <w:pPr>
        <w:spacing w:before="2"/>
        <w:ind w:left="504" w:right="0" w:firstLine="0"/>
        <w:jc w:val="left"/>
        <w:rPr>
          <w:sz w:val="18"/>
        </w:rPr>
      </w:pPr>
      <w:r>
        <w:rPr>
          <w:spacing w:val="-5"/>
          <w:sz w:val="18"/>
        </w:rPr>
        <w:t>您可以领取原现金价值 </w:t>
      </w:r>
      <w:r>
        <w:rPr>
          <w:spacing w:val="-2"/>
          <w:sz w:val="18"/>
        </w:rPr>
        <w:t>8</w:t>
      </w:r>
      <w:r>
        <w:rPr>
          <w:spacing w:val="-16"/>
          <w:sz w:val="18"/>
        </w:rPr>
        <w:t> 万元的 </w:t>
      </w:r>
      <w:r>
        <w:rPr>
          <w:spacing w:val="-2"/>
          <w:sz w:val="18"/>
        </w:rPr>
        <w:t>40</w:t>
      </w:r>
      <w:r>
        <w:rPr>
          <w:spacing w:val="-11"/>
          <w:sz w:val="18"/>
        </w:rPr>
        <w:t>％，即 </w:t>
      </w:r>
      <w:r>
        <w:rPr>
          <w:spacing w:val="-2"/>
          <w:sz w:val="18"/>
        </w:rPr>
        <w:t>3.2</w:t>
      </w:r>
      <w:r>
        <w:rPr>
          <w:spacing w:val="-13"/>
          <w:sz w:val="18"/>
        </w:rPr>
        <w:t> 万元。</w:t>
      </w:r>
    </w:p>
    <w:p>
      <w:pPr>
        <w:spacing w:after="0"/>
        <w:jc w:val="left"/>
        <w:rPr>
          <w:sz w:val="18"/>
        </w:rPr>
        <w:sectPr>
          <w:type w:val="continuous"/>
          <w:pgSz w:w="11910" w:h="16840"/>
          <w:pgMar w:header="0" w:footer="574" w:top="380" w:bottom="760" w:left="720" w:right="340"/>
        </w:sectPr>
      </w:pPr>
    </w:p>
    <w:p>
      <w:pPr>
        <w:pStyle w:val="BodyText"/>
        <w:spacing w:line="242" w:lineRule="auto" w:before="54"/>
        <w:ind w:left="2731" w:right="599"/>
        <w:jc w:val="both"/>
      </w:pPr>
      <w:r>
        <w:rPr>
          <w:spacing w:val="-5"/>
        </w:rPr>
        <w:t>我们在合同订立时已经知道您未如实告知的情况的，我们不得以您未履行如实告知</w:t>
      </w:r>
      <w:r>
        <w:rPr>
          <w:spacing w:val="-2"/>
        </w:rPr>
        <w:t>义务为由解除合同；发生保险事故的，我们不得以您未履行如实告知义务为由不承</w:t>
      </w:r>
      <w:r>
        <w:rPr>
          <w:spacing w:val="-2"/>
        </w:rPr>
        <w:t>担保险责任。</w:t>
      </w:r>
    </w:p>
    <w:p>
      <w:pPr>
        <w:pStyle w:val="BodyText"/>
        <w:spacing w:before="81"/>
        <w:ind w:left="2731"/>
        <w:jc w:val="both"/>
      </w:pPr>
      <w:r>
        <w:rPr>
          <w:spacing w:val="-3"/>
        </w:rPr>
        <w:t>上述合同解除权，自我们知道有解除事由之日起，超过 </w:t>
      </w:r>
      <w:r>
        <w:rPr>
          <w:spacing w:val="-2"/>
        </w:rPr>
        <w:t>30</w:t>
      </w:r>
      <w:r>
        <w:rPr>
          <w:spacing w:val="-7"/>
        </w:rPr>
        <w:t> 日不行使而消灭。自本</w:t>
      </w:r>
    </w:p>
    <w:p>
      <w:pPr>
        <w:pStyle w:val="BodyText"/>
        <w:spacing w:line="244" w:lineRule="auto" w:before="2"/>
        <w:ind w:left="2731" w:right="599"/>
        <w:jc w:val="both"/>
      </w:pPr>
      <w:r>
        <w:rPr>
          <w:spacing w:val="-6"/>
        </w:rPr>
        <w:t>合同成立之日起超过 </w:t>
      </w:r>
      <w:r>
        <w:rPr>
          <w:spacing w:val="-4"/>
        </w:rPr>
        <w:t>2</w:t>
      </w:r>
      <w:r>
        <w:rPr>
          <w:spacing w:val="-8"/>
        </w:rPr>
        <w:t> 年的，我们不得解除合同；发生保险事故的，我们承担保险</w:t>
      </w:r>
      <w:r>
        <w:rPr>
          <w:spacing w:val="-4"/>
        </w:rPr>
        <w:t>责任。</w:t>
      </w:r>
    </w:p>
    <w:p>
      <w:pPr>
        <w:pStyle w:val="ListParagraph"/>
        <w:numPr>
          <w:ilvl w:val="1"/>
          <w:numId w:val="3"/>
        </w:numPr>
        <w:tabs>
          <w:tab w:pos="1182" w:val="left" w:leader="none"/>
          <w:tab w:pos="2731" w:val="left" w:leader="none"/>
        </w:tabs>
        <w:spacing w:line="240" w:lineRule="auto" w:before="178" w:after="0"/>
        <w:ind w:left="1181" w:right="0" w:hanging="661"/>
        <w:jc w:val="both"/>
        <w:rPr>
          <w:sz w:val="21"/>
        </w:rPr>
      </w:pPr>
      <w:r>
        <w:rPr>
          <w:rFonts w:ascii="微软雅黑" w:eastAsia="微软雅黑"/>
          <w:b/>
          <w:sz w:val="21"/>
        </w:rPr>
        <w:t>投保年</w:t>
      </w:r>
      <w:r>
        <w:rPr>
          <w:rFonts w:ascii="微软雅黑" w:eastAsia="微软雅黑"/>
          <w:b/>
          <w:spacing w:val="-10"/>
          <w:sz w:val="21"/>
        </w:rPr>
        <w:t>龄</w:t>
      </w:r>
      <w:r>
        <w:rPr>
          <w:rFonts w:ascii="微软雅黑" w:eastAsia="微软雅黑"/>
          <w:b/>
          <w:sz w:val="21"/>
        </w:rPr>
        <w:tab/>
      </w:r>
      <w:r>
        <w:rPr>
          <w:spacing w:val="-2"/>
          <w:sz w:val="21"/>
        </w:rPr>
        <w:t>投</w:t>
      </w:r>
      <w:r>
        <w:rPr>
          <w:spacing w:val="-2"/>
          <w:sz w:val="21"/>
        </w:rPr>
        <w:t>保</w:t>
      </w:r>
      <w:r>
        <w:rPr>
          <w:spacing w:val="-2"/>
          <w:sz w:val="21"/>
        </w:rPr>
        <w:t>年龄指您投保时被保</w:t>
      </w:r>
      <w:r>
        <w:rPr>
          <w:spacing w:val="-2"/>
          <w:sz w:val="21"/>
        </w:rPr>
        <w:t>险</w:t>
      </w:r>
      <w:r>
        <w:rPr>
          <w:spacing w:val="-2"/>
          <w:sz w:val="21"/>
        </w:rPr>
        <w:t>人</w:t>
      </w:r>
      <w:r>
        <w:rPr>
          <w:spacing w:val="-2"/>
          <w:sz w:val="21"/>
        </w:rPr>
        <w:t>的年龄，以周岁计算</w:t>
      </w:r>
      <w:r>
        <w:rPr>
          <w:spacing w:val="-10"/>
          <w:sz w:val="21"/>
        </w:rPr>
        <w:t>。</w:t>
      </w:r>
    </w:p>
    <w:p>
      <w:pPr>
        <w:pStyle w:val="ListParagraph"/>
        <w:numPr>
          <w:ilvl w:val="1"/>
          <w:numId w:val="3"/>
        </w:numPr>
        <w:tabs>
          <w:tab w:pos="1182" w:val="left" w:leader="none"/>
        </w:tabs>
        <w:spacing w:line="220" w:lineRule="auto" w:before="156" w:after="0"/>
        <w:ind w:left="2731" w:right="599" w:hanging="2211"/>
        <w:jc w:val="both"/>
        <w:rPr>
          <w:sz w:val="21"/>
        </w:rPr>
      </w:pPr>
      <w:r>
        <w:rPr/>
        <w:drawing>
          <wp:anchor distT="0" distB="0" distL="0" distR="0" allowOverlap="1" layoutInCell="1" locked="0" behindDoc="1" simplePos="0" relativeHeight="485847552">
            <wp:simplePos x="0" y="0"/>
            <wp:positionH relativeFrom="page">
              <wp:posOffset>1209726</wp:posOffset>
            </wp:positionH>
            <wp:positionV relativeFrom="paragraph">
              <wp:posOffset>312332</wp:posOffset>
            </wp:positionV>
            <wp:extent cx="517142" cy="514003"/>
            <wp:effectExtent l="0" t="0" r="0" b="0"/>
            <wp:wrapNone/>
            <wp:docPr id="55" name="image18.png"/>
            <wp:cNvGraphicFramePr>
              <a:graphicFrameLocks noChangeAspect="1"/>
            </wp:cNvGraphicFramePr>
            <a:graphic>
              <a:graphicData uri="http://schemas.openxmlformats.org/drawingml/2006/picture">
                <pic:pic>
                  <pic:nvPicPr>
                    <pic:cNvPr id="56" name="image18.png"/>
                    <pic:cNvPicPr/>
                  </pic:nvPicPr>
                  <pic:blipFill>
                    <a:blip r:embed="rId25" cstate="print"/>
                    <a:stretch>
                      <a:fillRect/>
                    </a:stretch>
                  </pic:blipFill>
                  <pic:spPr>
                    <a:xfrm>
                      <a:off x="0" y="0"/>
                      <a:ext cx="517142" cy="514003"/>
                    </a:xfrm>
                    <a:prstGeom prst="rect">
                      <a:avLst/>
                    </a:prstGeom>
                  </pic:spPr>
                </pic:pic>
              </a:graphicData>
            </a:graphic>
          </wp:anchor>
        </w:drawing>
      </w:r>
      <w:r>
        <w:rPr>
          <w:rFonts w:ascii="微软雅黑" w:eastAsia="微软雅黑"/>
          <w:b/>
          <w:spacing w:val="29"/>
          <w:sz w:val="21"/>
        </w:rPr>
        <w:t>年龄性别错误 </w:t>
      </w:r>
      <w:r>
        <w:rPr>
          <w:spacing w:val="-8"/>
          <w:sz w:val="21"/>
        </w:rPr>
        <w:t>您在申请投保时，应将与有效身份证件相符的被保险人的出生日期和性别在投保单</w:t>
      </w:r>
      <w:r>
        <w:rPr>
          <w:spacing w:val="-2"/>
          <w:sz w:val="21"/>
        </w:rPr>
        <w:t>上填明。您申报的被保险人年龄或者性别不真实，致使您实交保险费少于应交保险</w:t>
      </w:r>
      <w:r>
        <w:rPr>
          <w:spacing w:val="-2"/>
          <w:sz w:val="21"/>
        </w:rPr>
        <w:t>费的，我们有权更正并要求您补交保险费。如果已经发生保险事故，在给付保险金</w:t>
      </w:r>
    </w:p>
    <w:p>
      <w:pPr>
        <w:pStyle w:val="BodyText"/>
        <w:spacing w:before="10"/>
        <w:ind w:left="2731"/>
      </w:pPr>
      <w:r>
        <w:rPr>
          <w:spacing w:val="-3"/>
        </w:rPr>
        <w:t>时按实交保险费和应交保险费的比例给付。</w:t>
      </w:r>
    </w:p>
    <w:p>
      <w:pPr>
        <w:pStyle w:val="BodyText"/>
        <w:spacing w:line="242" w:lineRule="auto" w:before="81"/>
        <w:ind w:left="2731" w:right="652"/>
      </w:pPr>
      <w:r>
        <w:rPr>
          <w:spacing w:val="-7"/>
        </w:rPr>
        <w:t>关于年龄错误的其他规定详见《中华人民共和国保险法》</w:t>
      </w:r>
      <w:r>
        <w:rPr>
          <w:spacing w:val="-2"/>
        </w:rPr>
        <w:t>（请扫描二维码查看相关</w:t>
      </w:r>
      <w:r>
        <w:rPr>
          <w:spacing w:val="-4"/>
        </w:rPr>
        <w:t>内容</w:t>
      </w:r>
      <w:r>
        <w:rPr>
          <w:spacing w:val="-108"/>
        </w:rPr>
        <w:t>）</w:t>
      </w:r>
      <w:r>
        <w:rPr>
          <w:spacing w:val="-4"/>
        </w:rPr>
        <w:t>。</w:t>
      </w:r>
    </w:p>
    <w:p>
      <w:pPr>
        <w:pStyle w:val="BodyText"/>
        <w:spacing w:before="81"/>
        <w:ind w:left="2731"/>
      </w:pPr>
      <w:r>
        <w:rPr>
          <w:spacing w:val="-3"/>
        </w:rPr>
        <w:t>发生性别错误的情形，参照发生年龄错误的情形时的处理方法进行处理。</w:t>
      </w:r>
    </w:p>
    <w:p>
      <w:pPr>
        <w:pStyle w:val="BodyText"/>
        <w:spacing w:before="2"/>
        <w:ind w:left="0"/>
        <w:rPr>
          <w:sz w:val="16"/>
        </w:rPr>
      </w:pPr>
    </w:p>
    <w:p>
      <w:pPr>
        <w:pStyle w:val="ListParagraph"/>
        <w:numPr>
          <w:ilvl w:val="1"/>
          <w:numId w:val="3"/>
        </w:numPr>
        <w:tabs>
          <w:tab w:pos="1181" w:val="left" w:leader="none"/>
          <w:tab w:pos="1182" w:val="left" w:leader="none"/>
          <w:tab w:pos="2731" w:val="left" w:leader="none"/>
        </w:tabs>
        <w:spacing w:line="220" w:lineRule="auto" w:before="0" w:after="0"/>
        <w:ind w:left="2731" w:right="496" w:hanging="2211"/>
        <w:jc w:val="left"/>
        <w:rPr>
          <w:sz w:val="21"/>
        </w:rPr>
      </w:pPr>
      <w:r>
        <w:rPr>
          <w:rFonts w:ascii="微软雅黑" w:eastAsia="微软雅黑"/>
          <w:b/>
          <w:spacing w:val="-4"/>
          <w:sz w:val="21"/>
        </w:rPr>
        <w:t>未</w:t>
      </w:r>
      <w:r>
        <w:rPr>
          <w:rFonts w:ascii="微软雅黑" w:eastAsia="微软雅黑"/>
          <w:b/>
          <w:spacing w:val="-4"/>
          <w:sz w:val="21"/>
        </w:rPr>
        <w:t>还</w:t>
      </w:r>
      <w:r>
        <w:rPr>
          <w:rFonts w:ascii="微软雅黑" w:eastAsia="微软雅黑"/>
          <w:b/>
          <w:spacing w:val="-4"/>
          <w:sz w:val="21"/>
        </w:rPr>
        <w:t>款</w:t>
      </w:r>
      <w:r>
        <w:rPr>
          <w:rFonts w:ascii="微软雅黑" w:eastAsia="微软雅黑"/>
          <w:b/>
          <w:spacing w:val="-4"/>
          <w:sz w:val="21"/>
        </w:rPr>
        <w:t>项</w:t>
      </w:r>
      <w:r>
        <w:rPr>
          <w:rFonts w:ascii="微软雅黑" w:eastAsia="微软雅黑"/>
          <w:b/>
          <w:sz w:val="21"/>
        </w:rPr>
        <w:tab/>
      </w:r>
      <w:r>
        <w:rPr>
          <w:spacing w:val="-2"/>
          <w:sz w:val="21"/>
        </w:rPr>
        <w:t>我</w:t>
      </w:r>
      <w:r>
        <w:rPr>
          <w:spacing w:val="-2"/>
          <w:sz w:val="21"/>
        </w:rPr>
        <w:t>们</w:t>
      </w:r>
      <w:r>
        <w:rPr>
          <w:spacing w:val="-2"/>
          <w:sz w:val="21"/>
        </w:rPr>
        <w:t>在给付各项保险金</w:t>
      </w:r>
      <w:r>
        <w:rPr>
          <w:spacing w:val="-80"/>
          <w:sz w:val="21"/>
        </w:rPr>
        <w:t>、</w:t>
      </w:r>
      <w:r>
        <w:rPr>
          <w:spacing w:val="-2"/>
          <w:sz w:val="21"/>
        </w:rPr>
        <w:t>退</w:t>
      </w:r>
      <w:r>
        <w:rPr>
          <w:spacing w:val="-2"/>
          <w:sz w:val="21"/>
        </w:rPr>
        <w:t>还</w:t>
      </w:r>
      <w:r>
        <w:rPr>
          <w:spacing w:val="-2"/>
          <w:sz w:val="21"/>
        </w:rPr>
        <w:t>现</w:t>
      </w:r>
      <w:r>
        <w:rPr>
          <w:spacing w:val="-2"/>
          <w:sz w:val="21"/>
        </w:rPr>
        <w:t>金价值或者返还保险费时</w:t>
      </w:r>
      <w:r>
        <w:rPr>
          <w:spacing w:val="-80"/>
          <w:sz w:val="21"/>
        </w:rPr>
        <w:t>，</w:t>
      </w:r>
      <w:r>
        <w:rPr>
          <w:spacing w:val="-2"/>
          <w:sz w:val="21"/>
        </w:rPr>
        <w:t>如果您有欠交的保险</w:t>
      </w:r>
      <w:r>
        <w:rPr>
          <w:spacing w:val="-2"/>
          <w:sz w:val="21"/>
        </w:rPr>
        <w:t>费</w:t>
      </w:r>
      <w:r>
        <w:rPr>
          <w:spacing w:val="-2"/>
          <w:sz w:val="21"/>
        </w:rPr>
        <w:t>、</w:t>
      </w:r>
      <w:r>
        <w:rPr>
          <w:spacing w:val="-2"/>
          <w:sz w:val="21"/>
        </w:rPr>
        <w:t>保</w:t>
      </w:r>
      <w:r>
        <w:rPr>
          <w:spacing w:val="-2"/>
          <w:sz w:val="21"/>
        </w:rPr>
        <w:t>单</w:t>
      </w:r>
      <w:r>
        <w:rPr>
          <w:spacing w:val="-2"/>
          <w:sz w:val="21"/>
        </w:rPr>
        <w:t>贷款或者其他各项欠款，我们按照您和其他权</w:t>
      </w:r>
      <w:r>
        <w:rPr>
          <w:spacing w:val="-2"/>
          <w:sz w:val="21"/>
        </w:rPr>
        <w:t>利</w:t>
      </w:r>
      <w:r>
        <w:rPr>
          <w:spacing w:val="-2"/>
          <w:sz w:val="21"/>
        </w:rPr>
        <w:t>人</w:t>
      </w:r>
      <w:r>
        <w:rPr>
          <w:spacing w:val="-2"/>
          <w:sz w:val="21"/>
        </w:rPr>
        <w:t>与我们的约定，在扣</w:t>
      </w:r>
      <w:r>
        <w:rPr>
          <w:spacing w:val="-2"/>
          <w:sz w:val="21"/>
        </w:rPr>
        <w:t>除</w:t>
      </w:r>
      <w:r>
        <w:rPr>
          <w:spacing w:val="-2"/>
          <w:sz w:val="21"/>
        </w:rPr>
        <w:t>上</w:t>
      </w:r>
      <w:r>
        <w:rPr>
          <w:spacing w:val="-2"/>
          <w:sz w:val="21"/>
        </w:rPr>
        <w:t>述</w:t>
      </w:r>
      <w:r>
        <w:rPr>
          <w:spacing w:val="-2"/>
          <w:sz w:val="21"/>
        </w:rPr>
        <w:t>各</w:t>
      </w:r>
      <w:r>
        <w:rPr>
          <w:spacing w:val="-2"/>
          <w:sz w:val="21"/>
        </w:rPr>
        <w:t>项</w:t>
      </w:r>
      <w:r>
        <w:rPr>
          <w:spacing w:val="-2"/>
          <w:sz w:val="21"/>
        </w:rPr>
        <w:t>欠款及应付利息后给</w:t>
      </w:r>
      <w:r>
        <w:rPr>
          <w:spacing w:val="-2"/>
          <w:sz w:val="21"/>
        </w:rPr>
        <w:t>付</w:t>
      </w:r>
      <w:r>
        <w:rPr>
          <w:spacing w:val="-2"/>
          <w:sz w:val="21"/>
        </w:rPr>
        <w:t>。</w:t>
      </w:r>
    </w:p>
    <w:p>
      <w:pPr>
        <w:pStyle w:val="BodyText"/>
        <w:spacing w:before="10"/>
        <w:ind w:left="0"/>
        <w:rPr>
          <w:sz w:val="14"/>
        </w:rPr>
      </w:pPr>
    </w:p>
    <w:p>
      <w:pPr>
        <w:pStyle w:val="ListParagraph"/>
        <w:numPr>
          <w:ilvl w:val="1"/>
          <w:numId w:val="3"/>
        </w:numPr>
        <w:tabs>
          <w:tab w:pos="1181" w:val="left" w:leader="none"/>
          <w:tab w:pos="1182" w:val="left" w:leader="none"/>
          <w:tab w:pos="2731" w:val="left" w:leader="none"/>
        </w:tabs>
        <w:spacing w:line="240" w:lineRule="auto" w:before="1" w:after="0"/>
        <w:ind w:left="1181" w:right="0" w:hanging="661"/>
        <w:jc w:val="left"/>
        <w:rPr>
          <w:sz w:val="21"/>
        </w:rPr>
      </w:pPr>
      <w:r>
        <w:rPr>
          <w:rFonts w:ascii="微软雅黑" w:eastAsia="微软雅黑"/>
          <w:b/>
          <w:sz w:val="21"/>
        </w:rPr>
        <w:t>合同内容变</w:t>
      </w:r>
      <w:r>
        <w:rPr>
          <w:rFonts w:ascii="微软雅黑" w:eastAsia="微软雅黑"/>
          <w:b/>
          <w:spacing w:val="-10"/>
          <w:sz w:val="21"/>
        </w:rPr>
        <w:t>更</w:t>
      </w:r>
      <w:r>
        <w:rPr>
          <w:rFonts w:ascii="微软雅黑" w:eastAsia="微软雅黑"/>
          <w:b/>
          <w:sz w:val="21"/>
        </w:rPr>
        <w:tab/>
      </w:r>
      <w:r>
        <w:rPr>
          <w:spacing w:val="-2"/>
          <w:sz w:val="21"/>
        </w:rPr>
        <w:t>在</w:t>
      </w:r>
      <w:r>
        <w:rPr>
          <w:spacing w:val="-2"/>
          <w:sz w:val="21"/>
        </w:rPr>
        <w:t>本</w:t>
      </w:r>
      <w:r>
        <w:rPr>
          <w:spacing w:val="-2"/>
          <w:sz w:val="21"/>
        </w:rPr>
        <w:t>合同有效期内，经您</w:t>
      </w:r>
      <w:r>
        <w:rPr>
          <w:spacing w:val="-2"/>
          <w:sz w:val="21"/>
        </w:rPr>
        <w:t>与</w:t>
      </w:r>
      <w:r>
        <w:rPr>
          <w:spacing w:val="-2"/>
          <w:sz w:val="21"/>
        </w:rPr>
        <w:t>我</w:t>
      </w:r>
      <w:r>
        <w:rPr>
          <w:spacing w:val="-2"/>
          <w:sz w:val="21"/>
        </w:rPr>
        <w:t>们协商一致，可以变</w:t>
      </w:r>
      <w:r>
        <w:rPr>
          <w:spacing w:val="-2"/>
          <w:sz w:val="21"/>
        </w:rPr>
        <w:t>更</w:t>
      </w:r>
      <w:r>
        <w:rPr>
          <w:spacing w:val="-2"/>
          <w:sz w:val="21"/>
        </w:rPr>
        <w:t>本</w:t>
      </w:r>
      <w:r>
        <w:rPr>
          <w:spacing w:val="-2"/>
          <w:sz w:val="21"/>
        </w:rPr>
        <w:t>合同的有关内容</w:t>
      </w:r>
      <w:r>
        <w:rPr>
          <w:spacing w:val="-10"/>
          <w:sz w:val="21"/>
        </w:rPr>
        <w:t>。</w:t>
      </w:r>
    </w:p>
    <w:p>
      <w:pPr>
        <w:pStyle w:val="BodyText"/>
        <w:spacing w:line="242" w:lineRule="auto" w:before="30"/>
        <w:ind w:left="2731" w:right="599"/>
        <w:jc w:val="both"/>
      </w:pPr>
      <w:r>
        <w:rPr>
          <w:spacing w:val="-2"/>
        </w:rPr>
        <w:t>当您的住所、通讯地址、电话或者电子邮件等联系方式变更时，请及时以书面形式</w:t>
      </w:r>
      <w:r>
        <w:rPr>
          <w:spacing w:val="-2"/>
        </w:rPr>
        <w:t>或者双方认可的其他形式通知我们。我们按最后知道的住所、通讯地址、电话或者</w:t>
      </w:r>
      <w:r>
        <w:rPr>
          <w:spacing w:val="-2"/>
        </w:rPr>
        <w:t>电子邮件发送的有关通知，均视为已送达给您。</w:t>
      </w:r>
    </w:p>
    <w:p>
      <w:pPr>
        <w:pStyle w:val="BodyText"/>
        <w:spacing w:before="7"/>
        <w:ind w:left="0"/>
        <w:rPr>
          <w:sz w:val="17"/>
        </w:rPr>
      </w:pPr>
    </w:p>
    <w:p>
      <w:pPr>
        <w:pStyle w:val="ListParagraph"/>
        <w:numPr>
          <w:ilvl w:val="1"/>
          <w:numId w:val="3"/>
        </w:numPr>
        <w:tabs>
          <w:tab w:pos="1181" w:val="left" w:leader="none"/>
          <w:tab w:pos="1182" w:val="left" w:leader="none"/>
          <w:tab w:pos="2731" w:val="left" w:leader="none"/>
        </w:tabs>
        <w:spacing w:line="204" w:lineRule="auto" w:before="0" w:after="0"/>
        <w:ind w:left="2731" w:right="601" w:hanging="2211"/>
        <w:jc w:val="left"/>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争议不能协商解决的，可以达成仲裁协议通过</w:t>
      </w:r>
      <w:r>
        <w:rPr>
          <w:spacing w:val="-2"/>
          <w:sz w:val="21"/>
        </w:rPr>
        <w:t>仲</w:t>
      </w:r>
      <w:r>
        <w:rPr>
          <w:spacing w:val="-2"/>
          <w:sz w:val="21"/>
        </w:rPr>
        <w:t>裁</w:t>
      </w:r>
      <w:r>
        <w:rPr>
          <w:spacing w:val="-2"/>
          <w:sz w:val="21"/>
        </w:rPr>
        <w:t>解</w:t>
      </w:r>
      <w:r>
        <w:rPr>
          <w:spacing w:val="-2"/>
          <w:sz w:val="21"/>
        </w:rPr>
        <w:t>决</w:t>
      </w:r>
      <w:r>
        <w:rPr>
          <w:spacing w:val="-2"/>
          <w:sz w:val="21"/>
        </w:rPr>
        <w:t>，也可依法直接向法院</w:t>
      </w:r>
      <w:r>
        <w:rPr>
          <w:spacing w:val="-2"/>
          <w:sz w:val="21"/>
        </w:rPr>
        <w:t>提</w:t>
      </w:r>
      <w:r>
        <w:rPr>
          <w:spacing w:val="-2"/>
          <w:sz w:val="21"/>
        </w:rPr>
        <w:t>起</w:t>
      </w:r>
      <w:r>
        <w:rPr>
          <w:spacing w:val="-2"/>
          <w:sz w:val="21"/>
        </w:rPr>
        <w:t>诉</w:t>
      </w:r>
      <w:r>
        <w:rPr>
          <w:spacing w:val="-2"/>
          <w:sz w:val="21"/>
        </w:rPr>
        <w:t>讼</w:t>
      </w:r>
      <w:r>
        <w:rPr>
          <w:spacing w:val="-2"/>
          <w:sz w:val="21"/>
        </w:rPr>
        <w:t>。</w:t>
      </w:r>
    </w:p>
    <w:p>
      <w:pPr>
        <w:pStyle w:val="BodyText"/>
        <w:spacing w:before="4"/>
        <w:ind w:left="0"/>
        <w:rPr>
          <w:sz w:val="20"/>
        </w:rPr>
      </w:pPr>
    </w:p>
    <w:p>
      <w:pPr>
        <w:pStyle w:val="BodyText"/>
        <w:ind w:left="2618"/>
      </w:pPr>
      <w:r>
        <w:rPr>
          <w:spacing w:val="-2"/>
        </w:rPr>
        <w:t>（此页正文完</w:t>
      </w:r>
      <w:r>
        <w:rPr>
          <w:spacing w:val="-12"/>
        </w:rPr>
        <w:t>）</w:t>
      </w:r>
    </w:p>
    <w:p>
      <w:pPr>
        <w:spacing w:after="0"/>
        <w:sectPr>
          <w:pgSz w:w="11910" w:h="16840"/>
          <w:pgMar w:header="0" w:footer="574" w:top="1140" w:bottom="760" w:left="720" w:right="340"/>
        </w:sectPr>
      </w:pPr>
    </w:p>
    <w:p>
      <w:pPr>
        <w:pStyle w:val="Heading1"/>
        <w:spacing w:line="422" w:lineRule="exact"/>
        <w:ind w:left="364" w:firstLine="0"/>
        <w:jc w:val="both"/>
      </w:pPr>
      <w:r>
        <w:rPr>
          <w:spacing w:val="3"/>
        </w:rPr>
        <w:t>附件一 轻度疾病定义</w:t>
      </w:r>
    </w:p>
    <w:p>
      <w:pPr>
        <w:pStyle w:val="BodyText"/>
        <w:spacing w:line="20" w:lineRule="exact"/>
        <w:ind w:left="254"/>
        <w:rPr>
          <w:rFonts w:ascii="微软雅黑"/>
          <w:sz w:val="2"/>
        </w:rPr>
      </w:pPr>
      <w:r>
        <w:rPr>
          <w:rFonts w:ascii="微软雅黑"/>
          <w:sz w:val="2"/>
        </w:rPr>
        <w:drawing>
          <wp:inline distT="0" distB="0" distL="0" distR="0">
            <wp:extent cx="6458162" cy="12287"/>
            <wp:effectExtent l="0" t="0" r="0" b="0"/>
            <wp:docPr id="57" name="image19.png"/>
            <wp:cNvGraphicFramePr>
              <a:graphicFrameLocks noChangeAspect="1"/>
            </wp:cNvGraphicFramePr>
            <a:graphic>
              <a:graphicData uri="http://schemas.openxmlformats.org/drawingml/2006/picture">
                <pic:pic>
                  <pic:nvPicPr>
                    <pic:cNvPr id="58" name="image19.png"/>
                    <pic:cNvPicPr/>
                  </pic:nvPicPr>
                  <pic:blipFill>
                    <a:blip r:embed="rId26" cstate="print"/>
                    <a:stretch>
                      <a:fillRect/>
                    </a:stretch>
                  </pic:blipFill>
                  <pic:spPr>
                    <a:xfrm>
                      <a:off x="0" y="0"/>
                      <a:ext cx="6458162" cy="12287"/>
                    </a:xfrm>
                    <a:prstGeom prst="rect">
                      <a:avLst/>
                    </a:prstGeom>
                  </pic:spPr>
                </pic:pic>
              </a:graphicData>
            </a:graphic>
          </wp:inline>
        </w:drawing>
      </w:r>
      <w:r>
        <w:rPr>
          <w:rFonts w:ascii="微软雅黑"/>
          <w:sz w:val="2"/>
        </w:rPr>
      </w:r>
    </w:p>
    <w:p>
      <w:pPr>
        <w:pStyle w:val="BodyText"/>
        <w:spacing w:line="242" w:lineRule="auto" w:before="152"/>
        <w:ind w:left="364" w:right="599"/>
        <w:jc w:val="both"/>
      </w:pPr>
      <w:r>
        <w:rPr>
          <w:w w:val="95"/>
        </w:rPr>
        <w:t>本</w:t>
      </w:r>
      <w:r>
        <w:rPr>
          <w:w w:val="95"/>
        </w:rPr>
        <w:t>合</w:t>
      </w:r>
      <w:r>
        <w:rPr>
          <w:w w:val="95"/>
        </w:rPr>
        <w:t>同所定义的轻度疾病</w:t>
      </w:r>
      <w:r>
        <w:rPr>
          <w:w w:val="95"/>
        </w:rPr>
        <w:t>共</w:t>
      </w:r>
      <w:r>
        <w:rPr>
          <w:w w:val="95"/>
        </w:rPr>
        <w:t>有</w:t>
      </w:r>
      <w:r>
        <w:rPr>
          <w:spacing w:val="40"/>
        </w:rPr>
        <w:t> </w:t>
      </w:r>
      <w:r>
        <w:rPr>
          <w:w w:val="95"/>
        </w:rPr>
        <w:t>60</w:t>
      </w:r>
      <w:r>
        <w:rPr>
          <w:spacing w:val="40"/>
        </w:rPr>
        <w:t> </w:t>
      </w:r>
      <w:r>
        <w:rPr>
          <w:w w:val="95"/>
        </w:rPr>
        <w:t>种，其中加“*”的</w:t>
      </w:r>
      <w:r>
        <w:rPr>
          <w:spacing w:val="40"/>
        </w:rPr>
        <w:t> </w:t>
      </w:r>
      <w:r>
        <w:rPr>
          <w:w w:val="95"/>
        </w:rPr>
        <w:t>3</w:t>
      </w:r>
      <w:r>
        <w:rPr>
          <w:spacing w:val="40"/>
        </w:rPr>
        <w:t> </w:t>
      </w:r>
      <w:r>
        <w:rPr>
          <w:w w:val="95"/>
        </w:rPr>
        <w:t>种轻度疾病为中</w:t>
      </w:r>
      <w:r>
        <w:rPr>
          <w:w w:val="95"/>
        </w:rPr>
        <w:t>国</w:t>
      </w:r>
      <w:r>
        <w:rPr>
          <w:w w:val="95"/>
        </w:rPr>
        <w:t>保</w:t>
      </w:r>
      <w:r>
        <w:rPr>
          <w:w w:val="95"/>
        </w:rPr>
        <w:t>险</w:t>
      </w:r>
      <w:r>
        <w:rPr>
          <w:w w:val="95"/>
        </w:rPr>
        <w:t>行</w:t>
      </w:r>
      <w:r>
        <w:rPr>
          <w:w w:val="95"/>
        </w:rPr>
        <w:t>业协会发布的《重大</w:t>
      </w:r>
      <w:r>
        <w:rPr>
          <w:w w:val="95"/>
        </w:rPr>
        <w:t>疾</w:t>
      </w:r>
      <w:r>
        <w:rPr>
          <w:w w:val="95"/>
        </w:rPr>
        <w:t>病</w:t>
      </w:r>
      <w:r>
        <w:rPr>
          <w:w w:val="95"/>
        </w:rPr>
        <w:t>保</w:t>
      </w:r>
      <w:r>
        <w:rPr/>
        <w:t>险的疾病定义使用规范（2020</w:t>
      </w:r>
      <w:r>
        <w:rPr>
          <w:spacing w:val="-4"/>
        </w:rPr>
        <w:t> 年修订版</w:t>
      </w:r>
      <w:r>
        <w:rPr>
          <w:spacing w:val="-106"/>
        </w:rPr>
        <w:t>）</w:t>
      </w:r>
      <w:r>
        <w:rPr>
          <w:spacing w:val="-108"/>
        </w:rPr>
        <w:t>》</w:t>
      </w:r>
      <w:r>
        <w:rPr/>
        <w:t>（</w:t>
      </w:r>
      <w:r>
        <w:rPr>
          <w:spacing w:val="-14"/>
        </w:rPr>
        <w:t>以下简称“规范”</w:t>
      </w:r>
      <w:r>
        <w:rPr>
          <w:spacing w:val="-3"/>
        </w:rPr>
        <w:t>）</w:t>
      </w:r>
      <w:r>
        <w:rPr/>
        <w:t>规定的轻度疾病，且疾病名称和疾病定义与 </w:t>
      </w:r>
      <w:r>
        <w:rPr>
          <w:spacing w:val="-2"/>
        </w:rPr>
        <w:t>“规范”一致，其他轻度疾病为“规范”规定范围之外的疾病。</w:t>
      </w:r>
    </w:p>
    <w:p>
      <w:pPr>
        <w:pStyle w:val="Heading2"/>
        <w:numPr>
          <w:ilvl w:val="0"/>
          <w:numId w:val="6"/>
        </w:numPr>
        <w:tabs>
          <w:tab w:pos="919" w:val="left" w:leader="none"/>
          <w:tab w:pos="920" w:val="left" w:leader="none"/>
        </w:tabs>
        <w:spacing w:line="364" w:lineRule="exact" w:before="104" w:after="0"/>
        <w:ind w:left="919" w:right="0" w:hanging="556"/>
        <w:jc w:val="left"/>
        <w:rPr>
          <w:rFonts w:ascii="宋体" w:hAnsi="宋体" w:eastAsia="宋体" w:hint="eastAsia"/>
          <w:b w:val="0"/>
          <w:sz w:val="11"/>
        </w:rPr>
      </w:pPr>
      <w:r>
        <w:rPr>
          <w:w w:val="95"/>
        </w:rPr>
        <w:t>恶</w:t>
      </w:r>
      <w:r>
        <w:rPr>
          <w:w w:val="95"/>
        </w:rPr>
        <w:t>性</w:t>
      </w:r>
      <w:r>
        <w:rPr>
          <w:w w:val="95"/>
        </w:rPr>
        <w:t>肿</w:t>
      </w:r>
      <w:r>
        <w:rPr>
          <w:w w:val="95"/>
        </w:rPr>
        <w:t>瘤——</w:t>
      </w:r>
      <w:r>
        <w:rPr>
          <w:w w:val="95"/>
        </w:rPr>
        <w:t>轻</w:t>
      </w:r>
      <w:r>
        <w:rPr>
          <w:w w:val="95"/>
        </w:rPr>
        <w:t>度</w:t>
      </w:r>
      <w:r>
        <w:rPr>
          <w:rFonts w:ascii="宋体" w:hAnsi="宋体" w:eastAsia="宋体" w:hint="eastAsia"/>
          <w:b w:val="0"/>
          <w:spacing w:val="-10"/>
          <w:w w:val="95"/>
          <w:position w:val="11"/>
          <w:sz w:val="11"/>
        </w:rPr>
        <w:t>*</w:t>
      </w:r>
    </w:p>
    <w:p>
      <w:pPr>
        <w:pStyle w:val="BodyText"/>
        <w:spacing w:line="199" w:lineRule="auto" w:before="12"/>
        <w:ind w:left="919" w:right="661"/>
        <w:jc w:val="both"/>
      </w:pPr>
      <w:r>
        <w:rPr>
          <w:spacing w:val="-3"/>
          <w:w w:val="100"/>
        </w:rPr>
        <w:t>指恶性细胞不受控制的进行性增长和扩散，浸润和破坏周围正常组织，可以经血管、淋巴管和体腔扩</w:t>
      </w:r>
      <w:r>
        <w:rPr>
          <w:spacing w:val="-6"/>
          <w:w w:val="100"/>
        </w:rPr>
        <w:t>散转移到身体其他部位，病灶经</w:t>
      </w:r>
      <w:r>
        <w:rPr>
          <w:rFonts w:ascii="微软雅黑" w:hAnsi="微软雅黑" w:eastAsia="微软雅黑"/>
          <w:b/>
          <w:spacing w:val="-2"/>
          <w:w w:val="100"/>
        </w:rPr>
        <w:t>组织病理学检查</w:t>
      </w:r>
      <w:r>
        <w:rPr>
          <w:rFonts w:ascii="微软雅黑" w:hAnsi="微软雅黑" w:eastAsia="微软雅黑"/>
          <w:b/>
          <w:spacing w:val="2"/>
          <w:w w:val="81"/>
          <w:position w:val="11"/>
          <w:sz w:val="11"/>
        </w:rPr>
        <w:t>2</w:t>
      </w:r>
      <w:r>
        <w:rPr>
          <w:rFonts w:ascii="微软雅黑" w:hAnsi="微软雅黑" w:eastAsia="微软雅黑"/>
          <w:b/>
          <w:spacing w:val="-22"/>
          <w:w w:val="81"/>
          <w:position w:val="11"/>
          <w:sz w:val="11"/>
        </w:rPr>
        <w:t>8</w:t>
      </w:r>
      <w:r>
        <w:rPr>
          <w:w w:val="100"/>
        </w:rPr>
        <w:t>（</w:t>
      </w:r>
      <w:r>
        <w:rPr>
          <w:spacing w:val="-3"/>
          <w:w w:val="100"/>
        </w:rPr>
        <w:t>涵盖骨髓病理学检查</w:t>
      </w:r>
      <w:r>
        <w:rPr>
          <w:spacing w:val="-27"/>
          <w:w w:val="100"/>
        </w:rPr>
        <w:t>）</w:t>
      </w:r>
      <w:r>
        <w:rPr>
          <w:spacing w:val="-7"/>
          <w:w w:val="100"/>
        </w:rPr>
        <w:t>结果明确诊断，临床诊断属于世界卫生组织</w:t>
      </w:r>
      <w:r>
        <w:rPr>
          <w:spacing w:val="-1"/>
          <w:w w:val="100"/>
        </w:rPr>
        <w:t>（</w:t>
      </w:r>
      <w:r>
        <w:rPr>
          <w:w w:val="100"/>
        </w:rPr>
        <w:t>WHO</w:t>
      </w:r>
      <w:r>
        <w:rPr>
          <w:spacing w:val="-12"/>
          <w:w w:val="100"/>
        </w:rPr>
        <w:t>，</w:t>
      </w:r>
      <w:r>
        <w:rPr>
          <w:w w:val="100"/>
        </w:rPr>
        <w:t>W</w:t>
      </w:r>
      <w:r>
        <w:rPr>
          <w:spacing w:val="-3"/>
          <w:w w:val="100"/>
        </w:rPr>
        <w:t>o</w:t>
      </w:r>
      <w:r>
        <w:rPr>
          <w:w w:val="100"/>
        </w:rPr>
        <w:t>rld</w:t>
      </w:r>
      <w:r>
        <w:rPr>
          <w:spacing w:val="-26"/>
        </w:rPr>
        <w:t> </w:t>
      </w:r>
      <w:r>
        <w:rPr>
          <w:w w:val="100"/>
        </w:rPr>
        <w:t>H</w:t>
      </w:r>
      <w:r>
        <w:rPr>
          <w:spacing w:val="-3"/>
          <w:w w:val="100"/>
        </w:rPr>
        <w:t>e</w:t>
      </w:r>
      <w:r>
        <w:rPr>
          <w:w w:val="100"/>
        </w:rPr>
        <w:t>alth</w:t>
      </w:r>
      <w:r>
        <w:rPr>
          <w:spacing w:val="-29"/>
        </w:rPr>
        <w:t> </w:t>
      </w:r>
      <w:r>
        <w:rPr>
          <w:w w:val="100"/>
        </w:rPr>
        <w:t>Or</w:t>
      </w:r>
      <w:r>
        <w:rPr>
          <w:spacing w:val="-3"/>
          <w:w w:val="100"/>
        </w:rPr>
        <w:t>g</w:t>
      </w:r>
      <w:r>
        <w:rPr>
          <w:w w:val="100"/>
        </w:rPr>
        <w:t>ani</w:t>
      </w:r>
      <w:r>
        <w:rPr>
          <w:spacing w:val="-3"/>
          <w:w w:val="100"/>
        </w:rPr>
        <w:t>z</w:t>
      </w:r>
      <w:r>
        <w:rPr>
          <w:w w:val="100"/>
        </w:rPr>
        <w:t>ati</w:t>
      </w:r>
      <w:r>
        <w:rPr>
          <w:spacing w:val="-3"/>
          <w:w w:val="100"/>
        </w:rPr>
        <w:t>on</w:t>
      </w:r>
      <w:r>
        <w:rPr>
          <w:spacing w:val="-116"/>
          <w:w w:val="100"/>
        </w:rPr>
        <w:t>）</w:t>
      </w:r>
      <w:r>
        <w:rPr>
          <w:spacing w:val="-4"/>
          <w:w w:val="100"/>
        </w:rPr>
        <w:t>《疾病和有关健康问题的国际统计分类》第十次</w:t>
      </w:r>
      <w:r>
        <w:rPr>
          <w:spacing w:val="-10"/>
          <w:w w:val="100"/>
        </w:rPr>
        <w:t>修订版</w:t>
      </w:r>
      <w:r>
        <w:rPr>
          <w:spacing w:val="-1"/>
          <w:w w:val="100"/>
        </w:rPr>
        <w:t>（</w:t>
      </w:r>
      <w:r>
        <w:rPr>
          <w:rFonts w:ascii="微软雅黑" w:hAnsi="微软雅黑" w:eastAsia="微软雅黑"/>
          <w:b/>
          <w:w w:val="83"/>
        </w:rPr>
        <w:t>ICD</w:t>
      </w:r>
      <w:r>
        <w:rPr>
          <w:rFonts w:ascii="微软雅黑" w:hAnsi="微软雅黑" w:eastAsia="微软雅黑"/>
          <w:b/>
          <w:w w:val="115"/>
        </w:rPr>
        <w:t>-</w:t>
      </w:r>
      <w:r>
        <w:rPr>
          <w:rFonts w:ascii="微软雅黑" w:hAnsi="微软雅黑" w:eastAsia="微软雅黑"/>
          <w:b/>
          <w:w w:val="81"/>
        </w:rPr>
        <w:t>10</w:t>
      </w:r>
      <w:r>
        <w:rPr>
          <w:rFonts w:ascii="微软雅黑" w:hAnsi="微软雅黑" w:eastAsia="微软雅黑"/>
          <w:b/>
          <w:spacing w:val="2"/>
          <w:w w:val="81"/>
          <w:position w:val="11"/>
          <w:sz w:val="11"/>
        </w:rPr>
        <w:t>29</w:t>
      </w:r>
      <w:r>
        <w:rPr>
          <w:spacing w:val="-20"/>
          <w:w w:val="100"/>
        </w:rPr>
        <w:t>）</w:t>
      </w:r>
      <w:r>
        <w:rPr>
          <w:spacing w:val="-8"/>
          <w:w w:val="100"/>
        </w:rPr>
        <w:t>的恶性肿瘤类别及《国际疾病分类肿瘤学专辑》第三版</w:t>
      </w:r>
      <w:r>
        <w:rPr>
          <w:spacing w:val="-3"/>
          <w:w w:val="100"/>
        </w:rPr>
        <w:t>（</w:t>
      </w:r>
      <w:r>
        <w:rPr>
          <w:rFonts w:ascii="微软雅黑" w:hAnsi="微软雅黑" w:eastAsia="微软雅黑"/>
          <w:b/>
          <w:w w:val="83"/>
        </w:rPr>
        <w:t>ICD</w:t>
      </w:r>
      <w:r>
        <w:rPr>
          <w:rFonts w:ascii="微软雅黑" w:hAnsi="微软雅黑" w:eastAsia="微软雅黑"/>
          <w:b/>
          <w:w w:val="115"/>
        </w:rPr>
        <w:t>-</w:t>
      </w:r>
      <w:r>
        <w:rPr>
          <w:rFonts w:ascii="微软雅黑" w:hAnsi="微软雅黑" w:eastAsia="微软雅黑"/>
          <w:b/>
          <w:w w:val="61"/>
        </w:rPr>
        <w:t>O</w:t>
      </w:r>
      <w:r>
        <w:rPr>
          <w:rFonts w:ascii="微软雅黑" w:hAnsi="微软雅黑" w:eastAsia="微软雅黑"/>
          <w:b/>
          <w:spacing w:val="2"/>
          <w:w w:val="115"/>
        </w:rPr>
        <w:t>-</w:t>
      </w:r>
      <w:r>
        <w:rPr>
          <w:rFonts w:ascii="微软雅黑" w:hAnsi="微软雅黑" w:eastAsia="微软雅黑"/>
          <w:b/>
          <w:w w:val="81"/>
        </w:rPr>
        <w:t>3</w:t>
      </w:r>
      <w:r>
        <w:rPr>
          <w:rFonts w:ascii="微软雅黑" w:hAnsi="微软雅黑" w:eastAsia="微软雅黑"/>
          <w:b/>
          <w:spacing w:val="2"/>
          <w:w w:val="81"/>
          <w:position w:val="11"/>
          <w:sz w:val="11"/>
        </w:rPr>
        <w:t>30</w:t>
      </w:r>
      <w:r>
        <w:rPr>
          <w:spacing w:val="-20"/>
          <w:w w:val="100"/>
        </w:rPr>
        <w:t>）</w:t>
      </w:r>
      <w:r>
        <w:rPr>
          <w:spacing w:val="-4"/>
          <w:w w:val="100"/>
        </w:rPr>
        <w:t>的肿瘤形态学</w:t>
      </w:r>
      <w:r>
        <w:rPr>
          <w:spacing w:val="-3"/>
          <w:w w:val="100"/>
        </w:rPr>
        <w:t>编码属于</w:t>
      </w:r>
      <w:r>
        <w:rPr>
          <w:spacing w:val="-53"/>
        </w:rPr>
        <w:t> </w:t>
      </w:r>
      <w:r>
        <w:rPr>
          <w:spacing w:val="-3"/>
          <w:w w:val="100"/>
        </w:rPr>
        <w:t>3</w:t>
      </w:r>
      <w:r>
        <w:rPr>
          <w:spacing w:val="-17"/>
          <w:w w:val="100"/>
        </w:rPr>
        <w:t>、</w:t>
      </w:r>
      <w:r>
        <w:rPr>
          <w:spacing w:val="-3"/>
          <w:w w:val="100"/>
        </w:rPr>
        <w:t>6</w:t>
      </w:r>
      <w:r>
        <w:rPr>
          <w:spacing w:val="-17"/>
          <w:w w:val="100"/>
        </w:rPr>
        <w:t>、</w:t>
      </w:r>
      <w:r>
        <w:rPr>
          <w:spacing w:val="-20"/>
          <w:w w:val="100"/>
        </w:rPr>
        <w:t>9</w:t>
      </w:r>
      <w:r>
        <w:rPr>
          <w:spacing w:val="-3"/>
          <w:w w:val="100"/>
        </w:rPr>
        <w:t>（恶性肿瘤</w:t>
      </w:r>
      <w:r>
        <w:rPr>
          <w:spacing w:val="-20"/>
          <w:w w:val="100"/>
        </w:rPr>
        <w:t>）</w:t>
      </w:r>
      <w:r>
        <w:rPr>
          <w:spacing w:val="-9"/>
          <w:w w:val="100"/>
        </w:rPr>
        <w:t>范畴，但不在“恶性肿瘤——重度”保障范围的疾病。且特指下列六项</w:t>
      </w:r>
    </w:p>
    <w:p>
      <w:pPr>
        <w:pStyle w:val="BodyText"/>
        <w:spacing w:line="237" w:lineRule="exact" w:before="13"/>
        <w:ind w:left="919"/>
      </w:pPr>
      <w:r>
        <w:rPr>
          <w:spacing w:val="-4"/>
        </w:rPr>
        <w:t>之一：</w:t>
      </w:r>
    </w:p>
    <w:p>
      <w:pPr>
        <w:pStyle w:val="ListParagraph"/>
        <w:numPr>
          <w:ilvl w:val="1"/>
          <w:numId w:val="6"/>
        </w:numPr>
        <w:tabs>
          <w:tab w:pos="1657" w:val="left" w:leader="none"/>
        </w:tabs>
        <w:spacing w:line="331" w:lineRule="exact" w:before="0" w:after="0"/>
        <w:ind w:left="1656" w:right="0" w:hanging="738"/>
        <w:jc w:val="left"/>
        <w:rPr>
          <w:sz w:val="21"/>
        </w:rPr>
      </w:pPr>
      <w:r>
        <w:rPr>
          <w:rFonts w:ascii="微软雅黑" w:hAnsi="微软雅黑" w:eastAsia="微软雅黑"/>
          <w:b/>
          <w:w w:val="90"/>
          <w:sz w:val="21"/>
        </w:rPr>
        <w:t>TNM</w:t>
      </w:r>
      <w:r>
        <w:rPr>
          <w:rFonts w:ascii="微软雅黑" w:hAnsi="微软雅黑" w:eastAsia="微软雅黑"/>
          <w:b/>
          <w:spacing w:val="22"/>
          <w:sz w:val="21"/>
        </w:rPr>
        <w:t> </w:t>
      </w:r>
      <w:r>
        <w:rPr>
          <w:rFonts w:ascii="微软雅黑" w:hAnsi="微软雅黑" w:eastAsia="微软雅黑"/>
          <w:b/>
          <w:w w:val="90"/>
          <w:sz w:val="21"/>
        </w:rPr>
        <w:t>分</w:t>
      </w:r>
      <w:r>
        <w:rPr>
          <w:rFonts w:ascii="微软雅黑" w:hAnsi="微软雅黑" w:eastAsia="微软雅黑"/>
          <w:b/>
          <w:w w:val="90"/>
          <w:sz w:val="21"/>
        </w:rPr>
        <w:t>期</w:t>
      </w:r>
      <w:r>
        <w:rPr>
          <w:rFonts w:ascii="微软雅黑" w:hAnsi="微软雅黑" w:eastAsia="微软雅黑"/>
          <w:b/>
          <w:w w:val="90"/>
          <w:position w:val="11"/>
          <w:sz w:val="11"/>
        </w:rPr>
        <w:t>31</w:t>
      </w:r>
      <w:r>
        <w:rPr>
          <w:w w:val="90"/>
          <w:sz w:val="21"/>
        </w:rPr>
        <w:t>为Ⅰ期的甲状腺</w:t>
      </w:r>
      <w:r>
        <w:rPr>
          <w:w w:val="90"/>
          <w:sz w:val="21"/>
        </w:rPr>
        <w:t>癌</w:t>
      </w:r>
      <w:r>
        <w:rPr>
          <w:spacing w:val="-10"/>
          <w:w w:val="90"/>
          <w:sz w:val="21"/>
        </w:rPr>
        <w:t>；</w:t>
      </w:r>
    </w:p>
    <w:p>
      <w:pPr>
        <w:pStyle w:val="ListParagraph"/>
        <w:numPr>
          <w:ilvl w:val="1"/>
          <w:numId w:val="6"/>
        </w:numPr>
        <w:tabs>
          <w:tab w:pos="1657" w:val="left" w:leader="none"/>
        </w:tabs>
        <w:spacing w:line="246" w:lineRule="exact" w:before="0" w:after="0"/>
        <w:ind w:left="1656" w:right="0" w:hanging="738"/>
        <w:jc w:val="left"/>
        <w:rPr>
          <w:sz w:val="21"/>
        </w:rPr>
      </w:pPr>
      <w:r>
        <w:rPr>
          <w:position w:val="1"/>
          <w:sz w:val="21"/>
        </w:rPr>
        <w:t>TNM</w:t>
      </w:r>
      <w:r>
        <w:rPr>
          <w:spacing w:val="-4"/>
          <w:position w:val="1"/>
          <w:sz w:val="21"/>
        </w:rPr>
        <w:t> 分期为</w:t>
      </w:r>
      <w:r>
        <w:rPr>
          <w:position w:val="1"/>
          <w:sz w:val="21"/>
        </w:rPr>
        <w:t>T</w:t>
      </w:r>
      <w:r>
        <w:rPr>
          <w:sz w:val="11"/>
        </w:rPr>
        <w:t>1</w:t>
      </w:r>
      <w:r>
        <w:rPr>
          <w:position w:val="1"/>
          <w:sz w:val="21"/>
        </w:rPr>
        <w:t>N</w:t>
      </w:r>
      <w:r>
        <w:rPr>
          <w:sz w:val="11"/>
        </w:rPr>
        <w:t>0</w:t>
      </w:r>
      <w:r>
        <w:rPr>
          <w:position w:val="1"/>
          <w:sz w:val="21"/>
        </w:rPr>
        <w:t>M</w:t>
      </w:r>
      <w:r>
        <w:rPr>
          <w:sz w:val="11"/>
        </w:rPr>
        <w:t>0</w:t>
      </w:r>
      <w:r>
        <w:rPr>
          <w:spacing w:val="-29"/>
          <w:sz w:val="11"/>
        </w:rPr>
        <w:t> </w:t>
      </w:r>
      <w:r>
        <w:rPr>
          <w:spacing w:val="-2"/>
          <w:position w:val="1"/>
          <w:sz w:val="21"/>
        </w:rPr>
        <w:t>期的前列腺癌；</w:t>
      </w:r>
    </w:p>
    <w:p>
      <w:pPr>
        <w:pStyle w:val="ListParagraph"/>
        <w:numPr>
          <w:ilvl w:val="1"/>
          <w:numId w:val="6"/>
        </w:numPr>
        <w:tabs>
          <w:tab w:pos="1657" w:val="left" w:leader="none"/>
        </w:tabs>
        <w:spacing w:line="240" w:lineRule="auto" w:before="3" w:after="0"/>
        <w:ind w:left="1656" w:right="0" w:hanging="738"/>
        <w:jc w:val="left"/>
        <w:rPr>
          <w:sz w:val="21"/>
        </w:rPr>
      </w:pPr>
      <w:r>
        <w:rPr>
          <w:spacing w:val="-3"/>
          <w:sz w:val="21"/>
        </w:rPr>
        <w:t>黑色素瘤以外的未发生淋巴结和远处转移的皮肤恶性肿瘤；</w:t>
      </w:r>
    </w:p>
    <w:p>
      <w:pPr>
        <w:pStyle w:val="ListParagraph"/>
        <w:numPr>
          <w:ilvl w:val="1"/>
          <w:numId w:val="6"/>
        </w:numPr>
        <w:tabs>
          <w:tab w:pos="1657" w:val="left" w:leader="none"/>
        </w:tabs>
        <w:spacing w:line="240" w:lineRule="auto" w:before="4" w:after="0"/>
        <w:ind w:left="1656" w:right="0" w:hanging="738"/>
        <w:jc w:val="left"/>
        <w:rPr>
          <w:sz w:val="21"/>
        </w:rPr>
      </w:pPr>
      <w:r>
        <w:rPr>
          <w:spacing w:val="-14"/>
          <w:sz w:val="21"/>
        </w:rPr>
        <w:t>相当于 </w:t>
      </w:r>
      <w:r>
        <w:rPr>
          <w:spacing w:val="-2"/>
          <w:sz w:val="21"/>
        </w:rPr>
        <w:t>Binet</w:t>
      </w:r>
      <w:r>
        <w:rPr>
          <w:spacing w:val="-18"/>
          <w:sz w:val="21"/>
        </w:rPr>
        <w:t> 分期方案 </w:t>
      </w:r>
      <w:r>
        <w:rPr>
          <w:spacing w:val="-2"/>
          <w:sz w:val="21"/>
        </w:rPr>
        <w:t>A</w:t>
      </w:r>
      <w:r>
        <w:rPr>
          <w:spacing w:val="-10"/>
          <w:sz w:val="21"/>
        </w:rPr>
        <w:t> 期程度的慢性淋巴细胞白血病；</w:t>
      </w:r>
    </w:p>
    <w:p>
      <w:pPr>
        <w:pStyle w:val="ListParagraph"/>
        <w:numPr>
          <w:ilvl w:val="1"/>
          <w:numId w:val="6"/>
        </w:numPr>
        <w:tabs>
          <w:tab w:pos="1657" w:val="left" w:leader="none"/>
        </w:tabs>
        <w:spacing w:line="240" w:lineRule="auto" w:before="3" w:after="0"/>
        <w:ind w:left="1656" w:right="0" w:hanging="738"/>
        <w:jc w:val="left"/>
        <w:rPr>
          <w:sz w:val="21"/>
        </w:rPr>
      </w:pPr>
      <w:r>
        <w:rPr>
          <w:spacing w:val="-14"/>
          <w:sz w:val="21"/>
        </w:rPr>
        <w:t>相当于 </w:t>
      </w:r>
      <w:r>
        <w:rPr>
          <w:spacing w:val="-2"/>
          <w:sz w:val="21"/>
        </w:rPr>
        <w:t>Ann</w:t>
      </w:r>
      <w:r>
        <w:rPr>
          <w:spacing w:val="10"/>
          <w:sz w:val="21"/>
        </w:rPr>
        <w:t> </w:t>
      </w:r>
      <w:r>
        <w:rPr>
          <w:spacing w:val="-2"/>
          <w:sz w:val="21"/>
        </w:rPr>
        <w:t>Arbor</w:t>
      </w:r>
      <w:r>
        <w:rPr>
          <w:spacing w:val="-10"/>
          <w:sz w:val="21"/>
        </w:rPr>
        <w:t> 分期方案Ⅰ期程度的何杰金氏病；</w:t>
      </w:r>
    </w:p>
    <w:p>
      <w:pPr>
        <w:pStyle w:val="ListParagraph"/>
        <w:numPr>
          <w:ilvl w:val="1"/>
          <w:numId w:val="6"/>
        </w:numPr>
        <w:tabs>
          <w:tab w:pos="1657" w:val="left" w:leader="none"/>
        </w:tabs>
        <w:spacing w:line="242" w:lineRule="auto" w:before="4" w:after="0"/>
        <w:ind w:left="1656" w:right="661" w:hanging="737"/>
        <w:jc w:val="left"/>
        <w:rPr>
          <w:sz w:val="21"/>
        </w:rPr>
      </w:pPr>
      <w:r>
        <w:rPr>
          <w:spacing w:val="-4"/>
          <w:sz w:val="21"/>
        </w:rPr>
        <w:t>未发生淋巴结和远处转移且 </w:t>
      </w:r>
      <w:r>
        <w:rPr>
          <w:sz w:val="21"/>
        </w:rPr>
        <w:t>WHO</w:t>
      </w:r>
      <w:r>
        <w:rPr>
          <w:spacing w:val="-23"/>
          <w:sz w:val="21"/>
        </w:rPr>
        <w:t> 分级为 </w:t>
      </w:r>
      <w:r>
        <w:rPr>
          <w:sz w:val="21"/>
        </w:rPr>
        <w:t>G1</w:t>
      </w:r>
      <w:r>
        <w:rPr>
          <w:spacing w:val="-18"/>
          <w:sz w:val="21"/>
        </w:rPr>
        <w:t> 级别</w:t>
      </w:r>
      <w:r>
        <w:rPr>
          <w:sz w:val="21"/>
        </w:rPr>
        <w:t>（核分裂像＜10/50</w:t>
      </w:r>
      <w:r>
        <w:rPr>
          <w:spacing w:val="-8"/>
          <w:sz w:val="21"/>
        </w:rPr>
        <w:t> </w:t>
      </w:r>
      <w:r>
        <w:rPr>
          <w:sz w:val="21"/>
        </w:rPr>
        <w:t>HPF</w:t>
      </w:r>
      <w:r>
        <w:rPr>
          <w:spacing w:val="-36"/>
          <w:sz w:val="21"/>
        </w:rPr>
        <w:t> 和 </w:t>
      </w:r>
      <w:r>
        <w:rPr>
          <w:sz w:val="21"/>
        </w:rPr>
        <w:t>ki-67≤2％）的神</w:t>
      </w:r>
      <w:r>
        <w:rPr>
          <w:spacing w:val="-2"/>
          <w:sz w:val="21"/>
        </w:rPr>
        <w:t>经内分泌肿瘤。</w:t>
      </w:r>
    </w:p>
    <w:p>
      <w:pPr>
        <w:pStyle w:val="BodyText"/>
        <w:spacing w:before="1"/>
        <w:ind w:left="919"/>
      </w:pPr>
      <w:r>
        <w:rPr>
          <w:spacing w:val="-10"/>
        </w:rPr>
        <w:t>下列疾病不属于“恶性肿瘤——轻度”，不在保障范围内：</w:t>
      </w:r>
    </w:p>
    <w:p>
      <w:pPr>
        <w:pStyle w:val="BodyText"/>
        <w:spacing w:line="244" w:lineRule="auto" w:before="3"/>
        <w:ind w:left="919" w:right="661"/>
      </w:pPr>
      <w:r>
        <w:rPr>
          <w:spacing w:val="-2"/>
        </w:rPr>
        <w:t>ICD-O-3</w:t>
      </w:r>
      <w:r>
        <w:rPr>
          <w:spacing w:val="-14"/>
        </w:rPr>
        <w:t> 肿瘤形态学编码属于 </w:t>
      </w:r>
      <w:r>
        <w:rPr>
          <w:spacing w:val="-2"/>
        </w:rPr>
        <w:t>0（良性肿瘤</w:t>
      </w:r>
      <w:r>
        <w:rPr>
          <w:spacing w:val="-108"/>
        </w:rPr>
        <w:t>）</w:t>
      </w:r>
      <w:r>
        <w:rPr>
          <w:spacing w:val="-2"/>
        </w:rPr>
        <w:t>、1（动态未定性肿瘤</w:t>
      </w:r>
      <w:r>
        <w:rPr>
          <w:spacing w:val="-108"/>
        </w:rPr>
        <w:t>）</w:t>
      </w:r>
      <w:r>
        <w:rPr>
          <w:spacing w:val="-2"/>
        </w:rPr>
        <w:t>、2（原位癌和非侵袭性癌）范畴的</w:t>
      </w:r>
      <w:r>
        <w:rPr>
          <w:spacing w:val="-2"/>
        </w:rPr>
        <w:t>疾病，如：</w:t>
      </w:r>
    </w:p>
    <w:p>
      <w:pPr>
        <w:pStyle w:val="ListParagraph"/>
        <w:numPr>
          <w:ilvl w:val="0"/>
          <w:numId w:val="7"/>
        </w:numPr>
        <w:tabs>
          <w:tab w:pos="1132" w:val="left" w:leader="none"/>
        </w:tabs>
        <w:spacing w:line="244" w:lineRule="auto" w:before="0" w:after="0"/>
        <w:ind w:left="919" w:right="666" w:firstLine="0"/>
        <w:jc w:val="left"/>
        <w:rPr>
          <w:sz w:val="21"/>
        </w:rPr>
      </w:pPr>
      <w:r>
        <w:rPr>
          <w:spacing w:val="-2"/>
          <w:sz w:val="21"/>
        </w:rPr>
        <w:t>原位癌，癌前病变，非浸润性癌，非侵袭性癌，肿瘤细胞未侵犯基底层，上皮内瘤变，细胞不典型</w:t>
      </w:r>
      <w:r>
        <w:rPr>
          <w:spacing w:val="-2"/>
          <w:sz w:val="21"/>
        </w:rPr>
        <w:t>性增生等；</w:t>
      </w:r>
    </w:p>
    <w:p>
      <w:pPr>
        <w:pStyle w:val="ListParagraph"/>
        <w:numPr>
          <w:ilvl w:val="0"/>
          <w:numId w:val="7"/>
        </w:numPr>
        <w:tabs>
          <w:tab w:pos="1132" w:val="left" w:leader="none"/>
        </w:tabs>
        <w:spacing w:line="265" w:lineRule="exact" w:before="0" w:after="0"/>
        <w:ind w:left="1131" w:right="0" w:hanging="213"/>
        <w:jc w:val="left"/>
        <w:rPr>
          <w:sz w:val="21"/>
        </w:rPr>
      </w:pPr>
      <w:r>
        <w:rPr>
          <w:spacing w:val="-3"/>
          <w:sz w:val="21"/>
        </w:rPr>
        <w:t>交界性肿瘤，交界恶性肿瘤，肿瘤低度恶性潜能，潜在低度恶性肿瘤等。</w:t>
      </w:r>
    </w:p>
    <w:p>
      <w:pPr>
        <w:pStyle w:val="Heading2"/>
        <w:numPr>
          <w:ilvl w:val="0"/>
          <w:numId w:val="6"/>
        </w:numPr>
        <w:tabs>
          <w:tab w:pos="919" w:val="left" w:leader="none"/>
          <w:tab w:pos="920" w:val="left" w:leader="none"/>
        </w:tabs>
        <w:spacing w:line="364" w:lineRule="exact" w:before="101" w:after="0"/>
        <w:ind w:left="919" w:right="0" w:hanging="556"/>
        <w:jc w:val="left"/>
        <w:rPr>
          <w:rFonts w:ascii="宋体" w:eastAsia="宋体" w:hint="eastAsia"/>
          <w:b w:val="0"/>
          <w:sz w:val="11"/>
        </w:rPr>
      </w:pPr>
      <w:r>
        <w:rPr>
          <w:spacing w:val="-2"/>
        </w:rPr>
        <w:t>较轻急性心肌梗死</w:t>
      </w:r>
      <w:r>
        <w:rPr>
          <w:rFonts w:ascii="宋体" w:eastAsia="宋体" w:hint="eastAsia"/>
          <w:b w:val="0"/>
          <w:spacing w:val="-10"/>
          <w:position w:val="11"/>
          <w:sz w:val="11"/>
        </w:rPr>
        <w:t>*</w:t>
      </w:r>
    </w:p>
    <w:p>
      <w:pPr>
        <w:pStyle w:val="BodyText"/>
        <w:spacing w:line="246" w:lineRule="exact"/>
        <w:ind w:left="919"/>
      </w:pPr>
      <w:r>
        <w:rPr>
          <w:spacing w:val="-3"/>
        </w:rPr>
        <w:t>急性心肌梗死指由于冠状动脉闭塞或梗阻引起部分心肌严重的持久性缺血造成急性心肌坏死。</w:t>
      </w:r>
    </w:p>
    <w:p>
      <w:pPr>
        <w:pStyle w:val="BodyText"/>
        <w:spacing w:before="2"/>
        <w:ind w:left="919"/>
      </w:pPr>
      <w:r>
        <w:rPr>
          <w:spacing w:val="-3"/>
        </w:rPr>
        <w:t>急性心肌梗死的诊断必须依据国际国内诊断标准，符合</w:t>
      </w:r>
    </w:p>
    <w:p>
      <w:pPr>
        <w:pStyle w:val="ListParagraph"/>
        <w:numPr>
          <w:ilvl w:val="0"/>
          <w:numId w:val="8"/>
        </w:numPr>
        <w:tabs>
          <w:tab w:pos="1657" w:val="left" w:leader="none"/>
        </w:tabs>
        <w:spacing w:line="242" w:lineRule="auto" w:before="5" w:after="0"/>
        <w:ind w:left="1656" w:right="664" w:hanging="737"/>
        <w:jc w:val="both"/>
        <w:rPr>
          <w:sz w:val="21"/>
        </w:rPr>
      </w:pPr>
      <w:r>
        <w:rPr>
          <w:spacing w:val="-2"/>
          <w:sz w:val="21"/>
        </w:rPr>
        <w:t>检测到肌酸激酶同工酶（CK-MB）或肌钙蛋白（cTn）升高和/或降低的动态变化，至少一次达</w:t>
      </w:r>
      <w:r>
        <w:rPr>
          <w:spacing w:val="-2"/>
          <w:sz w:val="21"/>
        </w:rPr>
        <w:t>到或超过心肌梗死的临床诊断标准；</w:t>
      </w:r>
    </w:p>
    <w:p>
      <w:pPr>
        <w:pStyle w:val="ListParagraph"/>
        <w:numPr>
          <w:ilvl w:val="0"/>
          <w:numId w:val="8"/>
        </w:numPr>
        <w:tabs>
          <w:tab w:pos="1657" w:val="left" w:leader="none"/>
        </w:tabs>
        <w:spacing w:line="242" w:lineRule="auto" w:before="1" w:after="0"/>
        <w:ind w:left="1656" w:right="661" w:hanging="737"/>
        <w:jc w:val="both"/>
        <w:rPr>
          <w:sz w:val="21"/>
        </w:rPr>
      </w:pPr>
      <w:r>
        <w:rPr>
          <w:spacing w:val="-4"/>
          <w:sz w:val="21"/>
        </w:rPr>
        <w:t>同时存在下列之一的证据，包括：缺血性胸痛症状、新发生的缺血性心电图改变、新生成的病</w:t>
      </w:r>
      <w:r>
        <w:rPr>
          <w:spacing w:val="-11"/>
          <w:sz w:val="21"/>
        </w:rPr>
        <w:t>理性 </w:t>
      </w:r>
      <w:r>
        <w:rPr>
          <w:spacing w:val="-4"/>
          <w:sz w:val="21"/>
        </w:rPr>
        <w:t>Q</w:t>
      </w:r>
      <w:r>
        <w:rPr>
          <w:spacing w:val="-8"/>
          <w:sz w:val="21"/>
        </w:rPr>
        <w:t> 波、影像学证据显示有新出现的心肌活性丧失或新出现局部室壁运动异常、冠脉造影证</w:t>
      </w:r>
      <w:r>
        <w:rPr>
          <w:spacing w:val="-2"/>
          <w:sz w:val="21"/>
        </w:rPr>
        <w:t>实存在冠状动脉血栓。</w:t>
      </w:r>
    </w:p>
    <w:p>
      <w:pPr>
        <w:pStyle w:val="BodyText"/>
        <w:spacing w:line="244" w:lineRule="auto" w:before="1"/>
        <w:ind w:left="919" w:right="666"/>
      </w:pPr>
      <w:r>
        <w:rPr>
          <w:spacing w:val="-2"/>
        </w:rPr>
        <w:t>较轻急性心肌梗死指依照上述标准被明确诊断为急性心肌梗死，但未达到“较重急性心肌梗死”的给</w:t>
      </w:r>
      <w:r>
        <w:rPr>
          <w:spacing w:val="-4"/>
        </w:rPr>
        <w:t>付标准。</w:t>
      </w:r>
    </w:p>
    <w:p>
      <w:pPr>
        <w:pStyle w:val="BodyText"/>
        <w:spacing w:line="265" w:lineRule="exact"/>
        <w:ind w:left="919"/>
      </w:pPr>
      <w:r>
        <w:rPr>
          <w:spacing w:val="-2"/>
        </w:rPr>
        <w:t>其他非冠状动脉阻塞性疾病引起的肌钙蛋白（cTn）</w:t>
      </w:r>
      <w:r>
        <w:rPr>
          <w:spacing w:val="-3"/>
        </w:rPr>
        <w:t>升高不在保障范围内。</w:t>
      </w:r>
    </w:p>
    <w:p>
      <w:pPr>
        <w:pStyle w:val="Heading2"/>
        <w:numPr>
          <w:ilvl w:val="0"/>
          <w:numId w:val="6"/>
        </w:numPr>
        <w:tabs>
          <w:tab w:pos="919" w:val="left" w:leader="none"/>
          <w:tab w:pos="920" w:val="left" w:leader="none"/>
        </w:tabs>
        <w:spacing w:line="363" w:lineRule="exact" w:before="108" w:after="0"/>
        <w:ind w:left="919" w:right="0" w:hanging="556"/>
        <w:jc w:val="left"/>
        <w:rPr>
          <w:rFonts w:ascii="宋体" w:eastAsia="宋体" w:hint="eastAsia"/>
          <w:b w:val="0"/>
          <w:sz w:val="11"/>
        </w:rPr>
      </w:pPr>
      <w:r>
        <w:rPr>
          <w:spacing w:val="-2"/>
        </w:rPr>
        <w:t>轻度脑中风后遗症</w:t>
      </w:r>
      <w:r>
        <w:rPr>
          <w:rFonts w:ascii="宋体" w:eastAsia="宋体" w:hint="eastAsia"/>
          <w:b w:val="0"/>
          <w:spacing w:val="-10"/>
          <w:position w:val="11"/>
          <w:sz w:val="11"/>
        </w:rPr>
        <w:t>*</w:t>
      </w:r>
    </w:p>
    <w:p>
      <w:pPr>
        <w:pStyle w:val="BodyText"/>
        <w:spacing w:line="245" w:lineRule="exact"/>
        <w:ind w:left="919"/>
      </w:pPr>
      <w:r>
        <w:rPr>
          <w:spacing w:val="-6"/>
        </w:rPr>
        <w:t>指因脑血管的突发病变引起脑血管出血、栓塞或梗塞，须由头颅断层扫描</w:t>
      </w:r>
      <w:r>
        <w:rPr>
          <w:spacing w:val="20"/>
        </w:rPr>
        <w:t>（</w:t>
      </w:r>
      <w:r>
        <w:rPr>
          <w:spacing w:val="18"/>
        </w:rPr>
        <w:t>C</w:t>
      </w:r>
      <w:r>
        <w:rPr>
          <w:spacing w:val="21"/>
        </w:rPr>
        <w:t>T</w:t>
      </w:r>
      <w:r>
        <w:rPr>
          <w:spacing w:val="-85"/>
        </w:rPr>
        <w:t>）</w:t>
      </w:r>
      <w:r>
        <w:rPr>
          <w:spacing w:val="-6"/>
        </w:rPr>
        <w:t>、核磁共振检查（MRI）</w:t>
      </w:r>
    </w:p>
    <w:p>
      <w:pPr>
        <w:pStyle w:val="BodyText"/>
        <w:spacing w:line="244" w:lineRule="auto" w:before="2"/>
        <w:ind w:left="919" w:right="555"/>
      </w:pPr>
      <w:r>
        <w:rPr>
          <w:spacing w:val="-2"/>
        </w:rPr>
        <w:t>等影像学检查证实，并导致神经系统永久性的功能障碍，但未达到“严重脑中风后遗症”的给付标准，</w:t>
      </w:r>
      <w:r>
        <w:rPr>
          <w:spacing w:val="-4"/>
        </w:rPr>
        <w:t>在疾病确诊 </w:t>
      </w:r>
      <w:r>
        <w:rPr/>
        <w:t>180</w:t>
      </w:r>
      <w:r>
        <w:rPr>
          <w:spacing w:val="-5"/>
        </w:rPr>
        <w:t> 天后，仍遗留下列至少一种障碍：</w:t>
      </w:r>
    </w:p>
    <w:p>
      <w:pPr>
        <w:pStyle w:val="ListParagraph"/>
        <w:numPr>
          <w:ilvl w:val="0"/>
          <w:numId w:val="9"/>
        </w:numPr>
        <w:tabs>
          <w:tab w:pos="1657" w:val="left" w:leader="none"/>
        </w:tabs>
        <w:spacing w:line="260" w:lineRule="exact" w:before="0" w:after="0"/>
        <w:ind w:left="1656" w:right="0" w:hanging="738"/>
        <w:jc w:val="left"/>
        <w:rPr>
          <w:sz w:val="21"/>
        </w:rPr>
      </w:pPr>
      <w:r>
        <w:rPr>
          <w:w w:val="95"/>
          <w:sz w:val="21"/>
        </w:rPr>
        <w:t>一</w:t>
      </w:r>
      <w:r>
        <w:rPr>
          <w:w w:val="95"/>
          <w:sz w:val="21"/>
        </w:rPr>
        <w:t>肢</w:t>
      </w:r>
      <w:r>
        <w:rPr>
          <w:w w:val="95"/>
          <w:sz w:val="21"/>
        </w:rPr>
        <w:t>（含）以上</w:t>
      </w:r>
      <w:r>
        <w:rPr>
          <w:rFonts w:ascii="微软雅黑" w:eastAsia="微软雅黑"/>
          <w:b/>
          <w:w w:val="95"/>
          <w:sz w:val="21"/>
        </w:rPr>
        <w:t>肢体</w:t>
      </w:r>
      <w:r>
        <w:rPr>
          <w:rFonts w:ascii="微软雅黑" w:eastAsia="微软雅黑"/>
          <w:b/>
          <w:w w:val="95"/>
          <w:position w:val="11"/>
          <w:sz w:val="11"/>
        </w:rPr>
        <w:t>32</w:t>
      </w:r>
      <w:r>
        <w:rPr>
          <w:rFonts w:ascii="微软雅黑" w:eastAsia="微软雅黑"/>
          <w:b/>
          <w:w w:val="95"/>
          <w:sz w:val="21"/>
        </w:rPr>
        <w:t>肌</w:t>
      </w:r>
      <w:r>
        <w:rPr>
          <w:rFonts w:ascii="微软雅黑" w:eastAsia="微软雅黑"/>
          <w:b/>
          <w:w w:val="95"/>
          <w:sz w:val="21"/>
        </w:rPr>
        <w:t>力</w:t>
      </w:r>
      <w:r>
        <w:rPr>
          <w:rFonts w:ascii="微软雅黑" w:eastAsia="微软雅黑"/>
          <w:b/>
          <w:w w:val="95"/>
          <w:position w:val="11"/>
          <w:sz w:val="11"/>
        </w:rPr>
        <w:t>33</w:t>
      </w:r>
      <w:r>
        <w:rPr>
          <w:w w:val="95"/>
          <w:sz w:val="21"/>
        </w:rPr>
        <w:t>为</w:t>
      </w:r>
      <w:r>
        <w:rPr>
          <w:spacing w:val="-5"/>
          <w:sz w:val="21"/>
        </w:rPr>
        <w:t> </w:t>
      </w:r>
      <w:r>
        <w:rPr>
          <w:w w:val="95"/>
          <w:sz w:val="21"/>
        </w:rPr>
        <w:t>3</w:t>
      </w:r>
      <w:r>
        <w:rPr>
          <w:spacing w:val="-4"/>
          <w:sz w:val="21"/>
        </w:rPr>
        <w:t> </w:t>
      </w:r>
      <w:r>
        <w:rPr>
          <w:w w:val="95"/>
          <w:sz w:val="21"/>
        </w:rPr>
        <w:t>级</w:t>
      </w:r>
      <w:r>
        <w:rPr>
          <w:spacing w:val="-10"/>
          <w:w w:val="95"/>
          <w:sz w:val="21"/>
        </w:rPr>
        <w:t>；</w:t>
      </w:r>
    </w:p>
    <w:p>
      <w:pPr>
        <w:pStyle w:val="ListParagraph"/>
        <w:numPr>
          <w:ilvl w:val="0"/>
          <w:numId w:val="9"/>
        </w:numPr>
        <w:tabs>
          <w:tab w:pos="1657" w:val="left" w:leader="none"/>
        </w:tabs>
        <w:spacing w:line="330" w:lineRule="exact" w:before="0" w:after="0"/>
        <w:ind w:left="1656" w:right="0" w:hanging="738"/>
        <w:jc w:val="left"/>
        <w:rPr>
          <w:sz w:val="21"/>
        </w:rPr>
      </w:pPr>
      <w:r>
        <w:rPr>
          <w:w w:val="95"/>
          <w:sz w:val="21"/>
        </w:rPr>
        <w:t>自</w:t>
      </w:r>
      <w:r>
        <w:rPr>
          <w:w w:val="95"/>
          <w:sz w:val="21"/>
        </w:rPr>
        <w:t>主</w:t>
      </w:r>
      <w:r>
        <w:rPr>
          <w:w w:val="95"/>
          <w:sz w:val="21"/>
        </w:rPr>
        <w:t>生活能力部分丧失，</w:t>
      </w:r>
      <w:r>
        <w:rPr>
          <w:w w:val="95"/>
          <w:sz w:val="21"/>
        </w:rPr>
        <w:t>无</w:t>
      </w:r>
      <w:r>
        <w:rPr>
          <w:w w:val="95"/>
          <w:sz w:val="21"/>
        </w:rPr>
        <w:t>法</w:t>
      </w:r>
      <w:r>
        <w:rPr>
          <w:w w:val="95"/>
          <w:sz w:val="21"/>
        </w:rPr>
        <w:t>独立完成</w:t>
      </w:r>
      <w:r>
        <w:rPr>
          <w:rFonts w:ascii="微软雅黑" w:eastAsia="微软雅黑"/>
          <w:b/>
          <w:w w:val="95"/>
          <w:sz w:val="21"/>
        </w:rPr>
        <w:t>六</w:t>
      </w:r>
      <w:r>
        <w:rPr>
          <w:rFonts w:ascii="微软雅黑" w:eastAsia="微软雅黑"/>
          <w:b/>
          <w:w w:val="95"/>
          <w:sz w:val="21"/>
        </w:rPr>
        <w:t>项</w:t>
      </w:r>
      <w:r>
        <w:rPr>
          <w:rFonts w:ascii="微软雅黑" w:eastAsia="微软雅黑"/>
          <w:b/>
          <w:w w:val="95"/>
          <w:sz w:val="21"/>
        </w:rPr>
        <w:t>基</w:t>
      </w:r>
      <w:r>
        <w:rPr>
          <w:rFonts w:ascii="微软雅黑" w:eastAsia="微软雅黑"/>
          <w:b/>
          <w:w w:val="95"/>
          <w:sz w:val="21"/>
        </w:rPr>
        <w:t>本</w:t>
      </w:r>
      <w:r>
        <w:rPr>
          <w:rFonts w:ascii="微软雅黑" w:eastAsia="微软雅黑"/>
          <w:b/>
          <w:w w:val="95"/>
          <w:sz w:val="21"/>
        </w:rPr>
        <w:t>日</w:t>
      </w:r>
      <w:r>
        <w:rPr>
          <w:rFonts w:ascii="微软雅黑" w:eastAsia="微软雅黑"/>
          <w:b/>
          <w:w w:val="95"/>
          <w:sz w:val="21"/>
        </w:rPr>
        <w:t>常</w:t>
      </w:r>
      <w:r>
        <w:rPr>
          <w:rFonts w:ascii="微软雅黑" w:eastAsia="微软雅黑"/>
          <w:b/>
          <w:w w:val="95"/>
          <w:sz w:val="21"/>
        </w:rPr>
        <w:t>生</w:t>
      </w:r>
      <w:r>
        <w:rPr>
          <w:rFonts w:ascii="微软雅黑" w:eastAsia="微软雅黑"/>
          <w:b/>
          <w:w w:val="95"/>
          <w:sz w:val="21"/>
        </w:rPr>
        <w:t>活</w:t>
      </w:r>
      <w:r>
        <w:rPr>
          <w:rFonts w:ascii="微软雅黑" w:eastAsia="微软雅黑"/>
          <w:b/>
          <w:w w:val="95"/>
          <w:sz w:val="21"/>
        </w:rPr>
        <w:t>活</w:t>
      </w:r>
      <w:r>
        <w:rPr>
          <w:rFonts w:ascii="微软雅黑" w:eastAsia="微软雅黑"/>
          <w:b/>
          <w:w w:val="95"/>
          <w:sz w:val="21"/>
        </w:rPr>
        <w:t>动</w:t>
      </w:r>
      <w:r>
        <w:rPr>
          <w:rFonts w:ascii="微软雅黑" w:eastAsia="微软雅黑"/>
          <w:b/>
          <w:w w:val="95"/>
          <w:position w:val="11"/>
          <w:sz w:val="11"/>
        </w:rPr>
        <w:t>34</w:t>
      </w:r>
      <w:r>
        <w:rPr>
          <w:w w:val="95"/>
          <w:sz w:val="21"/>
        </w:rPr>
        <w:t>中</w:t>
      </w:r>
      <w:r>
        <w:rPr>
          <w:w w:val="95"/>
          <w:sz w:val="21"/>
        </w:rPr>
        <w:t>的</w:t>
      </w:r>
      <w:r>
        <w:rPr>
          <w:w w:val="95"/>
          <w:sz w:val="21"/>
        </w:rPr>
        <w:t>两</w:t>
      </w:r>
      <w:r>
        <w:rPr>
          <w:w w:val="95"/>
          <w:sz w:val="21"/>
        </w:rPr>
        <w:t>项</w:t>
      </w:r>
      <w:r>
        <w:rPr>
          <w:spacing w:val="-10"/>
          <w:w w:val="95"/>
          <w:sz w:val="21"/>
        </w:rPr>
        <w:t>。</w:t>
      </w:r>
    </w:p>
    <w:p>
      <w:pPr>
        <w:pStyle w:val="BodyText"/>
        <w:ind w:left="0"/>
        <w:rPr>
          <w:sz w:val="20"/>
        </w:rPr>
      </w:pPr>
    </w:p>
    <w:p>
      <w:pPr>
        <w:pStyle w:val="BodyText"/>
        <w:ind w:left="0"/>
        <w:rPr>
          <w:sz w:val="20"/>
        </w:rPr>
      </w:pPr>
    </w:p>
    <w:p>
      <w:pPr>
        <w:pStyle w:val="BodyText"/>
        <w:spacing w:before="6"/>
        <w:ind w:left="0"/>
        <w:rPr>
          <w:sz w:val="12"/>
        </w:rPr>
      </w:pPr>
      <w:r>
        <w:rPr/>
        <w:drawing>
          <wp:anchor distT="0" distB="0" distL="0" distR="0" allowOverlap="1" layoutInCell="1" locked="0" behindDoc="0" simplePos="0" relativeHeight="22">
            <wp:simplePos x="0" y="0"/>
            <wp:positionH relativeFrom="page">
              <wp:posOffset>719327</wp:posOffset>
            </wp:positionH>
            <wp:positionV relativeFrom="paragraph">
              <wp:posOffset>116939</wp:posOffset>
            </wp:positionV>
            <wp:extent cx="1829282" cy="6095"/>
            <wp:effectExtent l="0" t="0" r="0" b="0"/>
            <wp:wrapTopAndBottom/>
            <wp:docPr id="59" name="image5.png"/>
            <wp:cNvGraphicFramePr>
              <a:graphicFrameLocks noChangeAspect="1"/>
            </wp:cNvGraphicFramePr>
            <a:graphic>
              <a:graphicData uri="http://schemas.openxmlformats.org/drawingml/2006/picture">
                <pic:pic>
                  <pic:nvPicPr>
                    <pic:cNvPr id="60" name="image5.png"/>
                    <pic:cNvPicPr/>
                  </pic:nvPicPr>
                  <pic:blipFill>
                    <a:blip r:embed="rId10" cstate="print"/>
                    <a:stretch>
                      <a:fillRect/>
                    </a:stretch>
                  </pic:blipFill>
                  <pic:spPr>
                    <a:xfrm>
                      <a:off x="0" y="0"/>
                      <a:ext cx="1829282" cy="6095"/>
                    </a:xfrm>
                    <a:prstGeom prst="rect">
                      <a:avLst/>
                    </a:prstGeom>
                  </pic:spPr>
                </pic:pic>
              </a:graphicData>
            </a:graphic>
          </wp:anchor>
        </w:drawing>
      </w:r>
    </w:p>
    <w:p>
      <w:pPr>
        <w:spacing w:line="283" w:lineRule="exact" w:before="36"/>
        <w:ind w:left="412" w:right="0" w:firstLine="0"/>
        <w:jc w:val="left"/>
        <w:rPr>
          <w:sz w:val="18"/>
        </w:rPr>
      </w:pPr>
      <w:r>
        <w:rPr>
          <w:position w:val="9"/>
          <w:sz w:val="9"/>
        </w:rPr>
        <w:t>28</w:t>
      </w:r>
      <w:r>
        <w:rPr>
          <w:rFonts w:ascii="Microsoft JhengHei" w:hAnsi="Microsoft JhengHei" w:eastAsia="Microsoft JhengHei"/>
          <w:b/>
          <w:sz w:val="18"/>
        </w:rPr>
        <w:t>组织病理学检查</w:t>
      </w:r>
      <w:r>
        <w:rPr>
          <w:spacing w:val="-13"/>
          <w:sz w:val="18"/>
        </w:rPr>
        <w:t>具体释义见“附件三 术语释义”。</w:t>
      </w:r>
    </w:p>
    <w:p>
      <w:pPr>
        <w:spacing w:line="234" w:lineRule="exact" w:before="0"/>
        <w:ind w:left="412" w:right="0" w:firstLine="0"/>
        <w:jc w:val="left"/>
        <w:rPr>
          <w:sz w:val="18"/>
        </w:rPr>
      </w:pPr>
      <w:r>
        <w:rPr>
          <w:w w:val="95"/>
          <w:position w:val="9"/>
          <w:sz w:val="9"/>
        </w:rPr>
        <w:t>29</w:t>
      </w:r>
      <w:r>
        <w:rPr>
          <w:rFonts w:ascii="Microsoft JhengHei" w:hAnsi="Microsoft JhengHei" w:eastAsia="Microsoft JhengHei"/>
          <w:b/>
          <w:w w:val="95"/>
          <w:sz w:val="18"/>
        </w:rPr>
        <w:t>ICD-10</w:t>
      </w:r>
      <w:r>
        <w:rPr>
          <w:rFonts w:ascii="Microsoft JhengHei" w:hAnsi="Microsoft JhengHei" w:eastAsia="Microsoft JhengHei"/>
          <w:b/>
          <w:spacing w:val="34"/>
          <w:sz w:val="18"/>
        </w:rPr>
        <w:t> </w:t>
      </w:r>
      <w:r>
        <w:rPr>
          <w:w w:val="95"/>
          <w:sz w:val="18"/>
        </w:rPr>
        <w:t>具</w:t>
      </w:r>
      <w:r>
        <w:rPr>
          <w:w w:val="95"/>
          <w:sz w:val="18"/>
        </w:rPr>
        <w:t>体</w:t>
      </w:r>
      <w:r>
        <w:rPr>
          <w:w w:val="95"/>
          <w:sz w:val="18"/>
        </w:rPr>
        <w:t>释</w:t>
      </w:r>
      <w:r>
        <w:rPr>
          <w:w w:val="95"/>
          <w:sz w:val="18"/>
        </w:rPr>
        <w:t>义</w:t>
      </w:r>
      <w:r>
        <w:rPr>
          <w:w w:val="95"/>
          <w:sz w:val="18"/>
        </w:rPr>
        <w:t>见</w:t>
      </w:r>
      <w:r>
        <w:rPr>
          <w:w w:val="95"/>
          <w:sz w:val="18"/>
        </w:rPr>
        <w:t>“</w:t>
      </w:r>
      <w:r>
        <w:rPr>
          <w:w w:val="95"/>
          <w:sz w:val="18"/>
        </w:rPr>
        <w:t>附</w:t>
      </w:r>
      <w:r>
        <w:rPr>
          <w:w w:val="95"/>
          <w:sz w:val="18"/>
        </w:rPr>
        <w:t>件</w:t>
      </w:r>
      <w:r>
        <w:rPr>
          <w:w w:val="95"/>
          <w:sz w:val="18"/>
        </w:rPr>
        <w:t>三</w:t>
      </w:r>
      <w:r>
        <w:rPr>
          <w:spacing w:val="59"/>
          <w:sz w:val="18"/>
        </w:rPr>
        <w:t> </w:t>
      </w:r>
      <w:r>
        <w:rPr>
          <w:w w:val="95"/>
          <w:sz w:val="18"/>
        </w:rPr>
        <w:t>术</w:t>
      </w:r>
      <w:r>
        <w:rPr>
          <w:w w:val="95"/>
          <w:sz w:val="18"/>
        </w:rPr>
        <w:t>语</w:t>
      </w:r>
      <w:r>
        <w:rPr>
          <w:w w:val="95"/>
          <w:sz w:val="18"/>
        </w:rPr>
        <w:t>释</w:t>
      </w:r>
      <w:r>
        <w:rPr>
          <w:spacing w:val="-34"/>
          <w:w w:val="95"/>
          <w:sz w:val="18"/>
        </w:rPr>
        <w:t>义”。</w:t>
      </w:r>
    </w:p>
    <w:p>
      <w:pPr>
        <w:spacing w:line="233" w:lineRule="exact" w:before="0"/>
        <w:ind w:left="412" w:right="0" w:firstLine="0"/>
        <w:jc w:val="left"/>
        <w:rPr>
          <w:sz w:val="18"/>
        </w:rPr>
      </w:pPr>
      <w:r>
        <w:rPr>
          <w:w w:val="95"/>
          <w:position w:val="9"/>
          <w:sz w:val="9"/>
        </w:rPr>
        <w:t>30</w:t>
      </w:r>
      <w:r>
        <w:rPr>
          <w:rFonts w:ascii="Microsoft JhengHei" w:hAnsi="Microsoft JhengHei" w:eastAsia="Microsoft JhengHei"/>
          <w:b/>
          <w:w w:val="95"/>
          <w:sz w:val="18"/>
        </w:rPr>
        <w:t>ICD-0-3</w:t>
      </w:r>
      <w:r>
        <w:rPr>
          <w:rFonts w:ascii="Microsoft JhengHei" w:hAnsi="Microsoft JhengHei" w:eastAsia="Microsoft JhengHei"/>
          <w:b/>
          <w:spacing w:val="38"/>
          <w:sz w:val="18"/>
        </w:rPr>
        <w:t> </w:t>
      </w:r>
      <w:r>
        <w:rPr>
          <w:w w:val="95"/>
          <w:sz w:val="18"/>
        </w:rPr>
        <w:t>具</w:t>
      </w:r>
      <w:r>
        <w:rPr>
          <w:w w:val="95"/>
          <w:sz w:val="18"/>
        </w:rPr>
        <w:t>体</w:t>
      </w:r>
      <w:r>
        <w:rPr>
          <w:w w:val="95"/>
          <w:sz w:val="18"/>
        </w:rPr>
        <w:t>释</w:t>
      </w:r>
      <w:r>
        <w:rPr>
          <w:w w:val="95"/>
          <w:sz w:val="18"/>
        </w:rPr>
        <w:t>义</w:t>
      </w:r>
      <w:r>
        <w:rPr>
          <w:w w:val="95"/>
          <w:sz w:val="18"/>
        </w:rPr>
        <w:t>见</w:t>
      </w:r>
      <w:r>
        <w:rPr>
          <w:w w:val="95"/>
          <w:sz w:val="18"/>
        </w:rPr>
        <w:t>“</w:t>
      </w:r>
      <w:r>
        <w:rPr>
          <w:w w:val="95"/>
          <w:sz w:val="18"/>
        </w:rPr>
        <w:t>附</w:t>
      </w:r>
      <w:r>
        <w:rPr>
          <w:w w:val="95"/>
          <w:sz w:val="18"/>
        </w:rPr>
        <w:t>件</w:t>
      </w:r>
      <w:r>
        <w:rPr>
          <w:w w:val="95"/>
          <w:sz w:val="18"/>
        </w:rPr>
        <w:t>三</w:t>
      </w:r>
      <w:r>
        <w:rPr>
          <w:spacing w:val="71"/>
          <w:sz w:val="18"/>
        </w:rPr>
        <w:t> </w:t>
      </w:r>
      <w:r>
        <w:rPr>
          <w:w w:val="95"/>
          <w:sz w:val="18"/>
        </w:rPr>
        <w:t>术</w:t>
      </w:r>
      <w:r>
        <w:rPr>
          <w:w w:val="95"/>
          <w:sz w:val="18"/>
        </w:rPr>
        <w:t>语</w:t>
      </w:r>
      <w:r>
        <w:rPr>
          <w:w w:val="95"/>
          <w:sz w:val="18"/>
        </w:rPr>
        <w:t>释</w:t>
      </w:r>
      <w:r>
        <w:rPr>
          <w:spacing w:val="-34"/>
          <w:w w:val="95"/>
          <w:sz w:val="18"/>
        </w:rPr>
        <w:t>义”。</w:t>
      </w:r>
    </w:p>
    <w:p>
      <w:pPr>
        <w:spacing w:line="234" w:lineRule="exact" w:before="0"/>
        <w:ind w:left="412" w:right="0" w:firstLine="0"/>
        <w:jc w:val="left"/>
        <w:rPr>
          <w:sz w:val="18"/>
        </w:rPr>
      </w:pPr>
      <w:r>
        <w:rPr>
          <w:w w:val="95"/>
          <w:position w:val="9"/>
          <w:sz w:val="9"/>
        </w:rPr>
        <w:t>31</w:t>
      </w:r>
      <w:r>
        <w:rPr>
          <w:rFonts w:ascii="Microsoft JhengHei" w:hAnsi="Microsoft JhengHei" w:eastAsia="Microsoft JhengHei"/>
          <w:b/>
          <w:w w:val="95"/>
          <w:sz w:val="18"/>
        </w:rPr>
        <w:t>TNM</w:t>
      </w:r>
      <w:r>
        <w:rPr>
          <w:rFonts w:ascii="Microsoft JhengHei" w:hAnsi="Microsoft JhengHei" w:eastAsia="Microsoft JhengHei"/>
          <w:b/>
          <w:spacing w:val="5"/>
          <w:sz w:val="18"/>
        </w:rPr>
        <w:t> </w:t>
      </w:r>
      <w:r>
        <w:rPr>
          <w:rFonts w:ascii="Microsoft JhengHei" w:hAnsi="Microsoft JhengHei" w:eastAsia="Microsoft JhengHei"/>
          <w:b/>
          <w:w w:val="95"/>
          <w:sz w:val="18"/>
        </w:rPr>
        <w:t>分期</w:t>
      </w:r>
      <w:r>
        <w:rPr>
          <w:w w:val="95"/>
          <w:sz w:val="18"/>
        </w:rPr>
        <w:t>具</w:t>
      </w:r>
      <w:r>
        <w:rPr>
          <w:w w:val="95"/>
          <w:sz w:val="18"/>
        </w:rPr>
        <w:t>体</w:t>
      </w:r>
      <w:r>
        <w:rPr>
          <w:w w:val="95"/>
          <w:sz w:val="18"/>
        </w:rPr>
        <w:t>释</w:t>
      </w:r>
      <w:r>
        <w:rPr>
          <w:w w:val="95"/>
          <w:sz w:val="18"/>
        </w:rPr>
        <w:t>义</w:t>
      </w:r>
      <w:r>
        <w:rPr>
          <w:w w:val="95"/>
          <w:sz w:val="18"/>
        </w:rPr>
        <w:t>见</w:t>
      </w:r>
      <w:r>
        <w:rPr>
          <w:w w:val="95"/>
          <w:sz w:val="18"/>
        </w:rPr>
        <w:t>“</w:t>
      </w:r>
      <w:r>
        <w:rPr>
          <w:w w:val="95"/>
          <w:sz w:val="18"/>
        </w:rPr>
        <w:t>附</w:t>
      </w:r>
      <w:r>
        <w:rPr>
          <w:w w:val="95"/>
          <w:sz w:val="18"/>
        </w:rPr>
        <w:t>件</w:t>
      </w:r>
      <w:r>
        <w:rPr>
          <w:w w:val="95"/>
          <w:sz w:val="18"/>
        </w:rPr>
        <w:t>三</w:t>
      </w:r>
      <w:r>
        <w:rPr>
          <w:spacing w:val="4"/>
          <w:sz w:val="18"/>
        </w:rPr>
        <w:t> </w:t>
      </w:r>
      <w:r>
        <w:rPr>
          <w:w w:val="95"/>
          <w:sz w:val="18"/>
        </w:rPr>
        <w:t>术</w:t>
      </w:r>
      <w:r>
        <w:rPr>
          <w:w w:val="95"/>
          <w:sz w:val="18"/>
        </w:rPr>
        <w:t>语</w:t>
      </w:r>
      <w:r>
        <w:rPr>
          <w:w w:val="95"/>
          <w:sz w:val="18"/>
        </w:rPr>
        <w:t>释</w:t>
      </w:r>
      <w:r>
        <w:rPr>
          <w:spacing w:val="-34"/>
          <w:w w:val="95"/>
          <w:sz w:val="18"/>
        </w:rPr>
        <w:t>义”。</w:t>
      </w:r>
    </w:p>
    <w:p>
      <w:pPr>
        <w:spacing w:line="234" w:lineRule="exact" w:before="0"/>
        <w:ind w:left="412" w:right="0" w:firstLine="0"/>
        <w:jc w:val="left"/>
        <w:rPr>
          <w:sz w:val="18"/>
        </w:rPr>
      </w:pPr>
      <w:r>
        <w:rPr>
          <w:position w:val="9"/>
          <w:sz w:val="9"/>
        </w:rPr>
        <w:t>32</w:t>
      </w:r>
      <w:r>
        <w:rPr>
          <w:rFonts w:ascii="Microsoft JhengHei" w:hAnsi="Microsoft JhengHei" w:eastAsia="Microsoft JhengHei"/>
          <w:b/>
          <w:sz w:val="18"/>
        </w:rPr>
        <w:t>肢体</w:t>
      </w:r>
      <w:r>
        <w:rPr>
          <w:spacing w:val="-13"/>
          <w:sz w:val="18"/>
        </w:rPr>
        <w:t>具体释义见“附件三 术语释义”。</w:t>
      </w:r>
    </w:p>
    <w:p>
      <w:pPr>
        <w:spacing w:line="233" w:lineRule="exact" w:before="0"/>
        <w:ind w:left="412" w:right="0" w:firstLine="0"/>
        <w:jc w:val="left"/>
        <w:rPr>
          <w:sz w:val="18"/>
        </w:rPr>
      </w:pPr>
      <w:r>
        <w:rPr>
          <w:position w:val="9"/>
          <w:sz w:val="9"/>
        </w:rPr>
        <w:t>33</w:t>
      </w:r>
      <w:r>
        <w:rPr>
          <w:rFonts w:ascii="Microsoft JhengHei" w:hAnsi="Microsoft JhengHei" w:eastAsia="Microsoft JhengHei"/>
          <w:b/>
          <w:sz w:val="18"/>
        </w:rPr>
        <w:t>肌力</w:t>
      </w:r>
      <w:r>
        <w:rPr>
          <w:spacing w:val="-13"/>
          <w:sz w:val="18"/>
        </w:rPr>
        <w:t>具体释义见“附件三 术语释义”。</w:t>
      </w:r>
    </w:p>
    <w:p>
      <w:pPr>
        <w:spacing w:line="282" w:lineRule="exact" w:before="0"/>
        <w:ind w:left="412" w:right="0" w:firstLine="0"/>
        <w:jc w:val="left"/>
        <w:rPr>
          <w:sz w:val="18"/>
        </w:rPr>
      </w:pPr>
      <w:r>
        <w:rPr>
          <w:position w:val="9"/>
          <w:sz w:val="9"/>
        </w:rPr>
        <w:t>34</w:t>
      </w:r>
      <w:r>
        <w:rPr>
          <w:rFonts w:ascii="Microsoft JhengHei" w:hAnsi="Microsoft JhengHei" w:eastAsia="Microsoft JhengHei"/>
          <w:b/>
          <w:sz w:val="18"/>
        </w:rPr>
        <w:t>六项基本日常生活活动</w:t>
      </w:r>
      <w:r>
        <w:rPr>
          <w:spacing w:val="-13"/>
          <w:sz w:val="18"/>
        </w:rPr>
        <w:t>具体释义见“附件三 术语释义”。</w:t>
      </w:r>
    </w:p>
    <w:p>
      <w:pPr>
        <w:spacing w:after="0" w:line="282" w:lineRule="exact"/>
        <w:jc w:val="left"/>
        <w:rPr>
          <w:sz w:val="18"/>
        </w:rPr>
        <w:sectPr>
          <w:pgSz w:w="11910" w:h="16840"/>
          <w:pgMar w:header="0" w:footer="574" w:top="1200" w:bottom="760" w:left="720" w:right="340"/>
        </w:sectPr>
      </w:pPr>
    </w:p>
    <w:p>
      <w:pPr>
        <w:pStyle w:val="Heading2"/>
        <w:numPr>
          <w:ilvl w:val="0"/>
          <w:numId w:val="6"/>
        </w:numPr>
        <w:tabs>
          <w:tab w:pos="919" w:val="left" w:leader="none"/>
          <w:tab w:pos="920" w:val="left" w:leader="none"/>
        </w:tabs>
        <w:spacing w:line="352" w:lineRule="exact" w:before="0" w:after="0"/>
        <w:ind w:left="919" w:right="0" w:hanging="556"/>
        <w:jc w:val="left"/>
      </w:pPr>
      <w:r>
        <w:rPr>
          <w:spacing w:val="-4"/>
        </w:rPr>
        <w:t>原位癌</w:t>
      </w:r>
    </w:p>
    <w:p>
      <w:pPr>
        <w:pStyle w:val="BodyText"/>
        <w:spacing w:line="246" w:lineRule="exact"/>
        <w:ind w:left="919"/>
      </w:pPr>
      <w:r>
        <w:rPr>
          <w:spacing w:val="-3"/>
        </w:rPr>
        <w:t>指恶性细胞局限于上皮内尚未穿破基底膜浸润周围正常组织的癌细胞新生物。病灶经组织病理学检查</w:t>
      </w:r>
    </w:p>
    <w:p>
      <w:pPr>
        <w:pStyle w:val="BodyText"/>
        <w:spacing w:line="242" w:lineRule="auto" w:before="2"/>
        <w:ind w:left="919" w:right="628"/>
        <w:jc w:val="both"/>
      </w:pPr>
      <w:r>
        <w:rPr>
          <w:w w:val="95"/>
        </w:rPr>
        <w:t>（</w:t>
      </w:r>
      <w:r>
        <w:rPr>
          <w:spacing w:val="-21"/>
          <w:w w:val="95"/>
        </w:rPr>
        <w:t> </w:t>
      </w:r>
      <w:r>
        <w:rPr>
          <w:spacing w:val="26"/>
          <w:w w:val="95"/>
        </w:rPr>
        <w:t>涵</w:t>
      </w:r>
      <w:r>
        <w:rPr>
          <w:spacing w:val="26"/>
          <w:w w:val="95"/>
        </w:rPr>
        <w:t>盖</w:t>
      </w:r>
      <w:r>
        <w:rPr>
          <w:spacing w:val="26"/>
          <w:w w:val="95"/>
        </w:rPr>
        <w:t>骨</w:t>
      </w:r>
      <w:r>
        <w:rPr>
          <w:spacing w:val="23"/>
          <w:w w:val="95"/>
        </w:rPr>
        <w:t>髓</w:t>
      </w:r>
      <w:r>
        <w:rPr>
          <w:spacing w:val="26"/>
          <w:w w:val="95"/>
        </w:rPr>
        <w:t>病</w:t>
      </w:r>
      <w:r>
        <w:rPr>
          <w:spacing w:val="26"/>
          <w:w w:val="95"/>
        </w:rPr>
        <w:t>理</w:t>
      </w:r>
      <w:r>
        <w:rPr>
          <w:spacing w:val="23"/>
          <w:w w:val="95"/>
        </w:rPr>
        <w:t>学检查</w:t>
      </w:r>
      <w:r>
        <w:rPr>
          <w:w w:val="95"/>
        </w:rPr>
        <w:t>）</w:t>
      </w:r>
      <w:r>
        <w:rPr>
          <w:spacing w:val="-21"/>
          <w:w w:val="95"/>
        </w:rPr>
        <w:t> </w:t>
      </w:r>
      <w:r>
        <w:rPr>
          <w:spacing w:val="26"/>
          <w:w w:val="95"/>
        </w:rPr>
        <w:t>结</w:t>
      </w:r>
      <w:r>
        <w:rPr>
          <w:spacing w:val="26"/>
          <w:w w:val="95"/>
        </w:rPr>
        <w:t>果</w:t>
      </w:r>
      <w:r>
        <w:rPr>
          <w:spacing w:val="26"/>
          <w:w w:val="95"/>
        </w:rPr>
        <w:t>明</w:t>
      </w:r>
      <w:r>
        <w:rPr>
          <w:spacing w:val="23"/>
          <w:w w:val="95"/>
        </w:rPr>
        <w:t>确</w:t>
      </w:r>
      <w:r>
        <w:rPr>
          <w:spacing w:val="26"/>
          <w:w w:val="95"/>
        </w:rPr>
        <w:t>诊</w:t>
      </w:r>
      <w:r>
        <w:rPr>
          <w:spacing w:val="26"/>
          <w:w w:val="95"/>
        </w:rPr>
        <w:t>断</w:t>
      </w:r>
      <w:r>
        <w:rPr>
          <w:spacing w:val="6"/>
          <w:w w:val="95"/>
        </w:rPr>
        <w:t>， 临床</w:t>
      </w:r>
      <w:r>
        <w:rPr>
          <w:spacing w:val="26"/>
          <w:w w:val="95"/>
        </w:rPr>
        <w:t>诊</w:t>
      </w:r>
      <w:r>
        <w:rPr>
          <w:spacing w:val="26"/>
          <w:w w:val="95"/>
        </w:rPr>
        <w:t>断</w:t>
      </w:r>
      <w:r>
        <w:rPr>
          <w:spacing w:val="26"/>
          <w:w w:val="95"/>
        </w:rPr>
        <w:t>属</w:t>
      </w:r>
      <w:r>
        <w:rPr>
          <w:spacing w:val="26"/>
          <w:w w:val="95"/>
        </w:rPr>
        <w:t>于</w:t>
      </w:r>
      <w:r>
        <w:rPr>
          <w:spacing w:val="23"/>
          <w:w w:val="95"/>
        </w:rPr>
        <w:t>世</w:t>
      </w:r>
      <w:r>
        <w:rPr>
          <w:spacing w:val="26"/>
          <w:w w:val="95"/>
        </w:rPr>
        <w:t>界</w:t>
      </w:r>
      <w:r>
        <w:rPr>
          <w:spacing w:val="26"/>
          <w:w w:val="95"/>
        </w:rPr>
        <w:t>卫</w:t>
      </w:r>
      <w:r>
        <w:rPr>
          <w:spacing w:val="23"/>
          <w:w w:val="95"/>
        </w:rPr>
        <w:t>生组织</w:t>
      </w:r>
      <w:r>
        <w:rPr>
          <w:w w:val="95"/>
        </w:rPr>
        <w:t>（</w:t>
      </w:r>
      <w:r>
        <w:rPr>
          <w:spacing w:val="-21"/>
          <w:w w:val="95"/>
        </w:rPr>
        <w:t> </w:t>
      </w:r>
      <w:r>
        <w:rPr>
          <w:w w:val="95"/>
        </w:rPr>
        <w:t>WHO</w:t>
      </w:r>
      <w:r>
        <w:rPr>
          <w:spacing w:val="-15"/>
          <w:w w:val="95"/>
        </w:rPr>
        <w:t> ， </w:t>
      </w:r>
      <w:r>
        <w:rPr>
          <w:w w:val="95"/>
        </w:rPr>
        <w:t>World</w:t>
      </w:r>
      <w:r>
        <w:rPr>
          <w:spacing w:val="60"/>
        </w:rPr>
        <w:t>  </w:t>
      </w:r>
      <w:r>
        <w:rPr>
          <w:w w:val="95"/>
        </w:rPr>
        <w:t>Health </w:t>
      </w:r>
      <w:r>
        <w:rPr>
          <w:spacing w:val="9"/>
        </w:rPr>
        <w:t>Organ</w:t>
      </w:r>
      <w:r>
        <w:rPr>
          <w:spacing w:val="6"/>
        </w:rPr>
        <w:t>i</w:t>
      </w:r>
      <w:r>
        <w:rPr>
          <w:spacing w:val="9"/>
        </w:rPr>
        <w:t>zat</w:t>
      </w:r>
      <w:r>
        <w:rPr>
          <w:spacing w:val="6"/>
        </w:rPr>
        <w:t>i</w:t>
      </w:r>
      <w:r>
        <w:rPr>
          <w:spacing w:val="9"/>
        </w:rPr>
        <w:t>o</w:t>
      </w:r>
      <w:r>
        <w:rPr>
          <w:spacing w:val="8"/>
        </w:rPr>
        <w:t>n</w:t>
      </w:r>
      <w:r>
        <w:rPr>
          <w:spacing w:val="-157"/>
        </w:rPr>
        <w:t>）</w:t>
      </w:r>
      <w:r>
        <w:rPr>
          <w:spacing w:val="-11"/>
        </w:rPr>
        <w:t>《疾病和有关健康问题的国际统计分类》第十次修订版</w:t>
      </w:r>
      <w:r>
        <w:rPr>
          <w:spacing w:val="-4"/>
        </w:rPr>
        <w:t>（ICD-10）</w:t>
      </w:r>
      <w:r>
        <w:rPr>
          <w:spacing w:val="-11"/>
        </w:rPr>
        <w:t>的原位肿瘤类别及《国</w:t>
      </w:r>
      <w:r>
        <w:rPr>
          <w:spacing w:val="-2"/>
        </w:rPr>
        <w:t>际疾病分类肿瘤学专辑》第三版（ICD-O-3）</w:t>
      </w:r>
      <w:r>
        <w:rPr>
          <w:spacing w:val="-4"/>
        </w:rPr>
        <w:t>的肿瘤形态学编码属于 </w:t>
      </w:r>
      <w:r>
        <w:rPr>
          <w:spacing w:val="-2"/>
        </w:rPr>
        <w:t>2（原位癌和非侵袭性癌）</w:t>
      </w:r>
      <w:r>
        <w:rPr>
          <w:spacing w:val="-5"/>
        </w:rPr>
        <w:t>范畴。</w:t>
      </w:r>
    </w:p>
    <w:p>
      <w:pPr>
        <w:pStyle w:val="Heading2"/>
        <w:numPr>
          <w:ilvl w:val="0"/>
          <w:numId w:val="6"/>
        </w:numPr>
        <w:tabs>
          <w:tab w:pos="919" w:val="left" w:leader="none"/>
          <w:tab w:pos="920" w:val="left" w:leader="none"/>
        </w:tabs>
        <w:spacing w:line="363" w:lineRule="exact" w:before="107" w:after="0"/>
        <w:ind w:left="919" w:right="0" w:hanging="556"/>
        <w:jc w:val="left"/>
      </w:pPr>
      <w:r>
        <w:rPr>
          <w:spacing w:val="-3"/>
        </w:rPr>
        <w:t>脑垂体瘤、脑囊肿及颅内血管性疾病</w:t>
      </w:r>
    </w:p>
    <w:p>
      <w:pPr>
        <w:pStyle w:val="BodyText"/>
        <w:spacing w:line="245" w:lineRule="exact"/>
        <w:ind w:left="919"/>
      </w:pPr>
      <w:r>
        <w:rPr>
          <w:spacing w:val="-4"/>
        </w:rPr>
        <w:t>指经头颅断层扫描</w:t>
      </w:r>
      <w:r>
        <w:rPr>
          <w:spacing w:val="22"/>
        </w:rPr>
        <w:t>（</w:t>
      </w:r>
      <w:r>
        <w:rPr>
          <w:spacing w:val="23"/>
        </w:rPr>
        <w:t>CT</w:t>
      </w:r>
      <w:r>
        <w:rPr>
          <w:spacing w:val="-85"/>
        </w:rPr>
        <w:t>）</w:t>
      </w:r>
      <w:r>
        <w:rPr>
          <w:spacing w:val="-4"/>
        </w:rPr>
        <w:t>、核磁共振（MRI）</w:t>
      </w:r>
      <w:r>
        <w:rPr>
          <w:spacing w:val="-5"/>
        </w:rPr>
        <w:t>或其他影像学检查被确诊为下列病变，并已经实施了手术</w:t>
      </w:r>
    </w:p>
    <w:p>
      <w:pPr>
        <w:pStyle w:val="BodyText"/>
        <w:spacing w:before="4"/>
        <w:ind w:left="919"/>
      </w:pPr>
      <w:r>
        <w:rPr>
          <w:spacing w:val="-4"/>
        </w:rPr>
        <w:t>或放射治疗。</w:t>
      </w:r>
    </w:p>
    <w:p>
      <w:pPr>
        <w:pStyle w:val="ListParagraph"/>
        <w:numPr>
          <w:ilvl w:val="0"/>
          <w:numId w:val="10"/>
        </w:numPr>
        <w:tabs>
          <w:tab w:pos="1657" w:val="left" w:leader="none"/>
        </w:tabs>
        <w:spacing w:line="240" w:lineRule="auto" w:before="2" w:after="0"/>
        <w:ind w:left="1656" w:right="0" w:hanging="738"/>
        <w:jc w:val="left"/>
        <w:rPr>
          <w:sz w:val="21"/>
        </w:rPr>
      </w:pPr>
      <w:r>
        <w:rPr>
          <w:spacing w:val="-4"/>
          <w:sz w:val="21"/>
        </w:rPr>
        <w:t>脑垂体瘤；</w:t>
      </w:r>
    </w:p>
    <w:p>
      <w:pPr>
        <w:pStyle w:val="ListParagraph"/>
        <w:numPr>
          <w:ilvl w:val="0"/>
          <w:numId w:val="10"/>
        </w:numPr>
        <w:tabs>
          <w:tab w:pos="1657" w:val="left" w:leader="none"/>
        </w:tabs>
        <w:spacing w:line="240" w:lineRule="auto" w:before="5" w:after="0"/>
        <w:ind w:left="1656" w:right="0" w:hanging="738"/>
        <w:jc w:val="left"/>
        <w:rPr>
          <w:sz w:val="21"/>
        </w:rPr>
      </w:pPr>
      <w:r>
        <w:rPr>
          <w:spacing w:val="-4"/>
          <w:sz w:val="21"/>
        </w:rPr>
        <w:t>脑囊肿；</w:t>
      </w:r>
    </w:p>
    <w:p>
      <w:pPr>
        <w:pStyle w:val="ListParagraph"/>
        <w:numPr>
          <w:ilvl w:val="0"/>
          <w:numId w:val="10"/>
        </w:numPr>
        <w:tabs>
          <w:tab w:pos="1657" w:val="left" w:leader="none"/>
        </w:tabs>
        <w:spacing w:line="240" w:lineRule="auto" w:before="2" w:after="0"/>
        <w:ind w:left="1656" w:right="0" w:hanging="738"/>
        <w:jc w:val="left"/>
        <w:rPr>
          <w:sz w:val="21"/>
        </w:rPr>
      </w:pPr>
      <w:r>
        <w:rPr>
          <w:spacing w:val="-2"/>
          <w:sz w:val="21"/>
        </w:rPr>
        <w:t>颅内血管性疾病（如脑动脉瘤、海绵状血管瘤、毛细血管扩张症等</w:t>
      </w:r>
      <w:r>
        <w:rPr>
          <w:spacing w:val="-106"/>
          <w:sz w:val="21"/>
        </w:rPr>
        <w:t>）</w:t>
      </w:r>
      <w:r>
        <w:rPr>
          <w:spacing w:val="-10"/>
          <w:sz w:val="21"/>
        </w:rPr>
        <w:t>。</w:t>
      </w:r>
    </w:p>
    <w:p>
      <w:pPr>
        <w:pStyle w:val="Heading2"/>
        <w:numPr>
          <w:ilvl w:val="0"/>
          <w:numId w:val="6"/>
        </w:numPr>
        <w:tabs>
          <w:tab w:pos="919" w:val="left" w:leader="none"/>
          <w:tab w:pos="920" w:val="left" w:leader="none"/>
        </w:tabs>
        <w:spacing w:line="364" w:lineRule="exact" w:before="105" w:after="0"/>
        <w:ind w:left="919" w:right="0" w:hanging="556"/>
        <w:jc w:val="left"/>
      </w:pPr>
      <w:r>
        <w:rPr>
          <w:spacing w:val="-2"/>
        </w:rPr>
        <w:t>冠状动脉介入手术（非开胸手术</w:t>
      </w:r>
      <w:r>
        <w:rPr>
          <w:spacing w:val="-10"/>
        </w:rPr>
        <w:t>）</w:t>
      </w:r>
    </w:p>
    <w:p>
      <w:pPr>
        <w:pStyle w:val="BodyText"/>
        <w:spacing w:line="246" w:lineRule="exact"/>
        <w:ind w:left="919"/>
      </w:pPr>
      <w:r>
        <w:rPr>
          <w:spacing w:val="-3"/>
        </w:rPr>
        <w:t>指为治疗明显的冠状动脉狭窄性疾病，已经实施了冠状动脉球囊扩张成形术、冠状动脉支架植入术、</w:t>
      </w:r>
    </w:p>
    <w:p>
      <w:pPr>
        <w:pStyle w:val="BodyText"/>
        <w:spacing w:before="2"/>
        <w:ind w:left="919"/>
      </w:pPr>
      <w:r>
        <w:rPr>
          <w:spacing w:val="-3"/>
        </w:rPr>
        <w:t>冠状动脉粥样斑块切除术或激光冠状动脉成形术。</w:t>
      </w:r>
    </w:p>
    <w:p>
      <w:pPr>
        <w:pStyle w:val="Heading2"/>
        <w:numPr>
          <w:ilvl w:val="0"/>
          <w:numId w:val="6"/>
        </w:numPr>
        <w:tabs>
          <w:tab w:pos="919" w:val="left" w:leader="none"/>
          <w:tab w:pos="920" w:val="left" w:leader="none"/>
        </w:tabs>
        <w:spacing w:line="363" w:lineRule="exact" w:before="109" w:after="0"/>
        <w:ind w:left="919" w:right="0" w:hanging="556"/>
        <w:jc w:val="left"/>
      </w:pPr>
      <w:r>
        <w:rPr>
          <w:spacing w:val="-2"/>
        </w:rPr>
        <w:t>心脏瓣膜介入手术（非开胸手术</w:t>
      </w:r>
      <w:r>
        <w:rPr>
          <w:spacing w:val="-10"/>
        </w:rPr>
        <w:t>）</w:t>
      </w:r>
    </w:p>
    <w:p>
      <w:pPr>
        <w:pStyle w:val="BodyText"/>
        <w:spacing w:line="245" w:lineRule="exact"/>
        <w:ind w:left="919"/>
      </w:pPr>
      <w:r>
        <w:rPr>
          <w:spacing w:val="-3"/>
        </w:rPr>
        <w:t>指为治疗心脏瓣膜疾病，已经实施了非开胸的经皮经导管介入手术进行的心脏瓣膜置换或修复手术。</w:t>
      </w:r>
    </w:p>
    <w:p>
      <w:pPr>
        <w:pStyle w:val="Heading2"/>
        <w:numPr>
          <w:ilvl w:val="0"/>
          <w:numId w:val="6"/>
        </w:numPr>
        <w:tabs>
          <w:tab w:pos="919" w:val="left" w:leader="none"/>
          <w:tab w:pos="920" w:val="left" w:leader="none"/>
        </w:tabs>
        <w:spacing w:line="364" w:lineRule="exact" w:before="105" w:after="0"/>
        <w:ind w:left="919" w:right="0" w:hanging="556"/>
        <w:jc w:val="left"/>
      </w:pPr>
      <w:r>
        <w:rPr>
          <w:spacing w:val="-2"/>
        </w:rPr>
        <w:t>主动脉内手术（非开胸/开腹手术</w:t>
      </w:r>
      <w:r>
        <w:rPr>
          <w:spacing w:val="-10"/>
        </w:rPr>
        <w:t>）</w:t>
      </w:r>
    </w:p>
    <w:p>
      <w:pPr>
        <w:pStyle w:val="BodyText"/>
        <w:spacing w:line="246" w:lineRule="exact"/>
        <w:ind w:left="919"/>
      </w:pPr>
      <w:r>
        <w:rPr>
          <w:spacing w:val="-3"/>
        </w:rPr>
        <w:t>指为治疗主动脉疾病已经实施了经皮经导管进行的主动脉内手术。主动脉指升主动脉、主动脉弓和降</w:t>
      </w:r>
    </w:p>
    <w:p>
      <w:pPr>
        <w:pStyle w:val="BodyText"/>
        <w:spacing w:before="2"/>
        <w:ind w:left="919"/>
      </w:pPr>
      <w:r>
        <w:rPr>
          <w:spacing w:val="-2"/>
        </w:rPr>
        <w:t>主动脉（含胸主动脉和腹主动脉</w:t>
      </w:r>
      <w:r>
        <w:rPr>
          <w:spacing w:val="-106"/>
        </w:rPr>
        <w:t>）</w:t>
      </w:r>
      <w:r>
        <w:rPr>
          <w:spacing w:val="-4"/>
        </w:rPr>
        <w:t>，不包括升主动脉、主动脉弓和降主动脉的分支血管。</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3"/>
        </w:rPr>
        <w:t>特定周围动脉疾病的血管介入治疗</w:t>
      </w:r>
    </w:p>
    <w:p>
      <w:pPr>
        <w:pStyle w:val="BodyText"/>
        <w:spacing w:line="245" w:lineRule="exact"/>
        <w:ind w:left="919"/>
      </w:pPr>
      <w:r>
        <w:rPr>
          <w:spacing w:val="-3"/>
        </w:rPr>
        <w:t>指为治疗一条或一条以上的下列动脉狭窄而实施的血管介入治疗：</w:t>
      </w:r>
    </w:p>
    <w:p>
      <w:pPr>
        <w:pStyle w:val="ListParagraph"/>
        <w:numPr>
          <w:ilvl w:val="0"/>
          <w:numId w:val="11"/>
        </w:numPr>
        <w:tabs>
          <w:tab w:pos="1657" w:val="left" w:leader="none"/>
        </w:tabs>
        <w:spacing w:line="240" w:lineRule="auto" w:before="5" w:after="0"/>
        <w:ind w:left="1656" w:right="0" w:hanging="738"/>
        <w:jc w:val="left"/>
        <w:rPr>
          <w:sz w:val="21"/>
        </w:rPr>
      </w:pPr>
      <w:r>
        <w:rPr>
          <w:spacing w:val="-3"/>
          <w:sz w:val="21"/>
        </w:rPr>
        <w:t>上肢动脉或下肢动脉；</w:t>
      </w:r>
    </w:p>
    <w:p>
      <w:pPr>
        <w:pStyle w:val="ListParagraph"/>
        <w:numPr>
          <w:ilvl w:val="0"/>
          <w:numId w:val="11"/>
        </w:numPr>
        <w:tabs>
          <w:tab w:pos="1657" w:val="left" w:leader="none"/>
        </w:tabs>
        <w:spacing w:line="240" w:lineRule="auto" w:before="2" w:after="0"/>
        <w:ind w:left="1656" w:right="0" w:hanging="738"/>
        <w:jc w:val="left"/>
        <w:rPr>
          <w:sz w:val="21"/>
        </w:rPr>
      </w:pPr>
      <w:r>
        <w:rPr>
          <w:spacing w:val="-4"/>
          <w:sz w:val="21"/>
        </w:rPr>
        <w:t>肾动脉；</w:t>
      </w:r>
    </w:p>
    <w:p>
      <w:pPr>
        <w:pStyle w:val="ListParagraph"/>
        <w:numPr>
          <w:ilvl w:val="0"/>
          <w:numId w:val="11"/>
        </w:numPr>
        <w:tabs>
          <w:tab w:pos="1657" w:val="left" w:leader="none"/>
        </w:tabs>
        <w:spacing w:line="240" w:lineRule="auto" w:before="4" w:after="0"/>
        <w:ind w:left="1656" w:right="0" w:hanging="738"/>
        <w:jc w:val="left"/>
        <w:rPr>
          <w:sz w:val="21"/>
        </w:rPr>
      </w:pPr>
      <w:r>
        <w:rPr>
          <w:spacing w:val="-4"/>
          <w:sz w:val="21"/>
        </w:rPr>
        <w:t>肠系膜动脉。</w:t>
      </w:r>
    </w:p>
    <w:p>
      <w:pPr>
        <w:pStyle w:val="BodyText"/>
        <w:spacing w:before="2"/>
        <w:ind w:left="919"/>
      </w:pPr>
      <w:r>
        <w:rPr>
          <w:spacing w:val="-3"/>
        </w:rPr>
        <w:t>疾病的诊断及治疗均须由相关专科医生认为是医学必需的，且须满足下列全部条件：</w:t>
      </w:r>
    </w:p>
    <w:p>
      <w:pPr>
        <w:pStyle w:val="ListParagraph"/>
        <w:numPr>
          <w:ilvl w:val="0"/>
          <w:numId w:val="12"/>
        </w:numPr>
        <w:tabs>
          <w:tab w:pos="1657" w:val="left" w:leader="none"/>
        </w:tabs>
        <w:spacing w:line="240" w:lineRule="auto" w:before="5" w:after="0"/>
        <w:ind w:left="1656" w:right="0" w:hanging="738"/>
        <w:jc w:val="left"/>
        <w:rPr>
          <w:sz w:val="21"/>
        </w:rPr>
      </w:pPr>
      <w:r>
        <w:rPr>
          <w:spacing w:val="-4"/>
          <w:sz w:val="21"/>
        </w:rPr>
        <w:t>经血管造影术证实一条或一条以上的上述动脉狭窄达到 </w:t>
      </w:r>
      <w:r>
        <w:rPr>
          <w:spacing w:val="-2"/>
          <w:sz w:val="21"/>
        </w:rPr>
        <w:t>50</w:t>
      </w:r>
      <w:r>
        <w:rPr>
          <w:spacing w:val="-4"/>
          <w:sz w:val="21"/>
        </w:rPr>
        <w:t>％或以上；</w:t>
      </w:r>
    </w:p>
    <w:p>
      <w:pPr>
        <w:pStyle w:val="ListParagraph"/>
        <w:numPr>
          <w:ilvl w:val="0"/>
          <w:numId w:val="12"/>
        </w:numPr>
        <w:tabs>
          <w:tab w:pos="1657" w:val="left" w:leader="none"/>
        </w:tabs>
        <w:spacing w:line="244" w:lineRule="auto" w:before="3" w:after="0"/>
        <w:ind w:left="1656" w:right="661" w:hanging="737"/>
        <w:jc w:val="left"/>
        <w:rPr>
          <w:sz w:val="21"/>
        </w:rPr>
      </w:pPr>
      <w:r>
        <w:rPr>
          <w:spacing w:val="-6"/>
          <w:sz w:val="21"/>
        </w:rPr>
        <w:t>对一条或一条以上的上述动脉施行了血管介入治疗，如血管成形术或进行植入支架或动脉粥样</w:t>
      </w:r>
      <w:r>
        <w:rPr>
          <w:spacing w:val="-2"/>
          <w:sz w:val="21"/>
        </w:rPr>
        <w:t>瘤清除手术。</w:t>
      </w:r>
    </w:p>
    <w:p>
      <w:pPr>
        <w:pStyle w:val="Heading2"/>
        <w:numPr>
          <w:ilvl w:val="0"/>
          <w:numId w:val="6"/>
        </w:numPr>
        <w:tabs>
          <w:tab w:pos="919" w:val="left" w:leader="none"/>
          <w:tab w:pos="920" w:val="left" w:leader="none"/>
        </w:tabs>
        <w:spacing w:line="329" w:lineRule="exact" w:before="99" w:after="0"/>
        <w:ind w:left="919" w:right="0" w:hanging="556"/>
        <w:jc w:val="left"/>
      </w:pPr>
      <w:r>
        <w:rPr>
          <w:spacing w:val="-2"/>
        </w:rPr>
        <w:t>特发性肺动脉高压</w:t>
      </w:r>
    </w:p>
    <w:p>
      <w:pPr>
        <w:spacing w:line="184" w:lineRule="auto" w:before="6"/>
        <w:ind w:left="919" w:right="661" w:firstLine="0"/>
        <w:jc w:val="both"/>
        <w:rPr>
          <w:sz w:val="21"/>
        </w:rPr>
      </w:pPr>
      <w:r>
        <w:rPr>
          <w:spacing w:val="-5"/>
          <w:sz w:val="21"/>
        </w:rPr>
        <w:t>指不明原因的肺动脉压力持续性增高，进行性发展而导致的慢性疾病，已经造成</w:t>
      </w:r>
      <w:r>
        <w:rPr>
          <w:rFonts w:ascii="微软雅黑" w:hAnsi="微软雅黑" w:eastAsia="微软雅黑"/>
          <w:b/>
          <w:spacing w:val="-2"/>
          <w:sz w:val="21"/>
        </w:rPr>
        <w:t>永久不可逆</w:t>
      </w:r>
      <w:r>
        <w:rPr>
          <w:rFonts w:ascii="微软雅黑" w:hAnsi="微软雅黑" w:eastAsia="微软雅黑"/>
          <w:b/>
          <w:spacing w:val="-2"/>
          <w:position w:val="11"/>
          <w:sz w:val="11"/>
        </w:rPr>
        <w:t>35</w:t>
      </w:r>
      <w:r>
        <w:rPr>
          <w:spacing w:val="-2"/>
          <w:sz w:val="21"/>
        </w:rPr>
        <w:t>性的体力</w:t>
      </w:r>
      <w:r>
        <w:rPr>
          <w:spacing w:val="-2"/>
          <w:w w:val="95"/>
          <w:sz w:val="21"/>
        </w:rPr>
        <w:t>活</w:t>
      </w:r>
      <w:r>
        <w:rPr>
          <w:spacing w:val="-2"/>
          <w:w w:val="95"/>
          <w:sz w:val="21"/>
        </w:rPr>
        <w:t>动</w:t>
      </w:r>
      <w:r>
        <w:rPr>
          <w:spacing w:val="-2"/>
          <w:w w:val="95"/>
          <w:sz w:val="21"/>
        </w:rPr>
        <w:t>能力受限，达到</w:t>
      </w:r>
      <w:r>
        <w:rPr>
          <w:rFonts w:ascii="微软雅黑" w:hAnsi="微软雅黑" w:eastAsia="微软雅黑"/>
          <w:b/>
          <w:spacing w:val="-2"/>
          <w:w w:val="95"/>
          <w:sz w:val="21"/>
        </w:rPr>
        <w:t>美</w:t>
      </w:r>
      <w:r>
        <w:rPr>
          <w:rFonts w:ascii="微软雅黑" w:hAnsi="微软雅黑" w:eastAsia="微软雅黑"/>
          <w:b/>
          <w:spacing w:val="-2"/>
          <w:w w:val="95"/>
          <w:sz w:val="21"/>
        </w:rPr>
        <w:t>国</w:t>
      </w:r>
      <w:r>
        <w:rPr>
          <w:rFonts w:ascii="微软雅黑" w:hAnsi="微软雅黑" w:eastAsia="微软雅黑"/>
          <w:b/>
          <w:spacing w:val="-2"/>
          <w:w w:val="95"/>
          <w:sz w:val="21"/>
        </w:rPr>
        <w:t>纽</w:t>
      </w:r>
      <w:r>
        <w:rPr>
          <w:rFonts w:ascii="微软雅黑" w:hAnsi="微软雅黑" w:eastAsia="微软雅黑"/>
          <w:b/>
          <w:spacing w:val="-2"/>
          <w:w w:val="95"/>
          <w:sz w:val="21"/>
        </w:rPr>
        <w:t>约</w:t>
      </w:r>
      <w:r>
        <w:rPr>
          <w:rFonts w:ascii="微软雅黑" w:hAnsi="微软雅黑" w:eastAsia="微软雅黑"/>
          <w:b/>
          <w:spacing w:val="-2"/>
          <w:w w:val="95"/>
          <w:sz w:val="21"/>
        </w:rPr>
        <w:t>心</w:t>
      </w:r>
      <w:r>
        <w:rPr>
          <w:rFonts w:ascii="微软雅黑" w:hAnsi="微软雅黑" w:eastAsia="微软雅黑"/>
          <w:b/>
          <w:spacing w:val="-2"/>
          <w:w w:val="95"/>
          <w:sz w:val="21"/>
        </w:rPr>
        <w:t>脏</w:t>
      </w:r>
      <w:r>
        <w:rPr>
          <w:rFonts w:ascii="微软雅黑" w:hAnsi="微软雅黑" w:eastAsia="微软雅黑"/>
          <w:b/>
          <w:spacing w:val="-2"/>
          <w:w w:val="95"/>
          <w:sz w:val="21"/>
        </w:rPr>
        <w:t>病</w:t>
      </w:r>
      <w:r>
        <w:rPr>
          <w:rFonts w:ascii="微软雅黑" w:hAnsi="微软雅黑" w:eastAsia="微软雅黑"/>
          <w:b/>
          <w:spacing w:val="-2"/>
          <w:w w:val="95"/>
          <w:sz w:val="21"/>
        </w:rPr>
        <w:t>学</w:t>
      </w:r>
      <w:r>
        <w:rPr>
          <w:rFonts w:ascii="微软雅黑" w:hAnsi="微软雅黑" w:eastAsia="微软雅黑"/>
          <w:b/>
          <w:spacing w:val="-2"/>
          <w:w w:val="95"/>
          <w:sz w:val="21"/>
        </w:rPr>
        <w:t>会（New York Heart Association，NYHA）</w:t>
      </w:r>
      <w:r>
        <w:rPr>
          <w:rFonts w:ascii="微软雅黑" w:hAnsi="微软雅黑" w:eastAsia="微软雅黑"/>
          <w:b/>
          <w:spacing w:val="-2"/>
          <w:w w:val="95"/>
          <w:sz w:val="21"/>
        </w:rPr>
        <w:t>心</w:t>
      </w:r>
      <w:r>
        <w:rPr>
          <w:rFonts w:ascii="微软雅黑" w:hAnsi="微软雅黑" w:eastAsia="微软雅黑"/>
          <w:b/>
          <w:spacing w:val="-2"/>
          <w:w w:val="95"/>
          <w:sz w:val="21"/>
        </w:rPr>
        <w:t>功</w:t>
      </w:r>
      <w:r>
        <w:rPr>
          <w:rFonts w:ascii="微软雅黑" w:hAnsi="微软雅黑" w:eastAsia="微软雅黑"/>
          <w:b/>
          <w:spacing w:val="-2"/>
          <w:w w:val="95"/>
          <w:sz w:val="21"/>
        </w:rPr>
        <w:t>能</w:t>
      </w:r>
      <w:r>
        <w:rPr>
          <w:rFonts w:ascii="微软雅黑" w:hAnsi="微软雅黑" w:eastAsia="微软雅黑"/>
          <w:b/>
          <w:spacing w:val="-2"/>
          <w:w w:val="95"/>
          <w:sz w:val="21"/>
        </w:rPr>
        <w:t>状</w:t>
      </w:r>
      <w:r>
        <w:rPr>
          <w:rFonts w:ascii="微软雅黑" w:hAnsi="微软雅黑" w:eastAsia="微软雅黑"/>
          <w:b/>
          <w:spacing w:val="-2"/>
          <w:w w:val="95"/>
          <w:sz w:val="21"/>
        </w:rPr>
        <w:t>态</w:t>
      </w:r>
      <w:r>
        <w:rPr>
          <w:rFonts w:ascii="微软雅黑" w:hAnsi="微软雅黑" w:eastAsia="微软雅黑"/>
          <w:b/>
          <w:spacing w:val="-2"/>
          <w:w w:val="95"/>
          <w:sz w:val="21"/>
        </w:rPr>
        <w:t>分级</w:t>
      </w:r>
      <w:r>
        <w:rPr>
          <w:rFonts w:ascii="微软雅黑" w:hAnsi="微软雅黑" w:eastAsia="微软雅黑"/>
          <w:b/>
          <w:spacing w:val="-2"/>
          <w:w w:val="95"/>
          <w:position w:val="11"/>
          <w:sz w:val="11"/>
        </w:rPr>
        <w:t>36</w:t>
      </w:r>
      <w:r>
        <w:rPr>
          <w:spacing w:val="-2"/>
          <w:w w:val="95"/>
          <w:sz w:val="21"/>
        </w:rPr>
        <w:t>Ⅲ</w:t>
      </w:r>
      <w:r>
        <w:rPr>
          <w:spacing w:val="-1"/>
          <w:sz w:val="21"/>
        </w:rPr>
        <w:t>级及以上，但尚未达到Ⅳ级，且静息状态下肺动脉平均压超过 </w:t>
      </w:r>
      <w:r>
        <w:rPr>
          <w:sz w:val="21"/>
        </w:rPr>
        <w:t>25mmHg</w:t>
      </w:r>
      <w:r>
        <w:rPr>
          <w:spacing w:val="-3"/>
          <w:sz w:val="21"/>
        </w:rPr>
        <w:t>，但尚未超过 </w:t>
      </w:r>
      <w:r>
        <w:rPr>
          <w:sz w:val="21"/>
        </w:rPr>
        <w:t>36mmHg。</w:t>
      </w:r>
    </w:p>
    <w:p>
      <w:pPr>
        <w:pStyle w:val="Heading2"/>
        <w:numPr>
          <w:ilvl w:val="0"/>
          <w:numId w:val="6"/>
        </w:numPr>
        <w:tabs>
          <w:tab w:pos="919" w:val="left" w:leader="none"/>
          <w:tab w:pos="920" w:val="left" w:leader="none"/>
        </w:tabs>
        <w:spacing w:line="363" w:lineRule="exact" w:before="121" w:after="0"/>
        <w:ind w:left="919" w:right="0" w:hanging="556"/>
        <w:jc w:val="left"/>
      </w:pPr>
      <w:r>
        <w:rPr>
          <w:spacing w:val="-3"/>
        </w:rPr>
        <w:t>轻度瘫痪</w:t>
      </w:r>
    </w:p>
    <w:p>
      <w:pPr>
        <w:pStyle w:val="BodyText"/>
        <w:spacing w:line="245" w:lineRule="exact"/>
        <w:ind w:left="919"/>
      </w:pPr>
      <w:r>
        <w:rPr>
          <w:spacing w:val="-3"/>
        </w:rPr>
        <w:t>指因疾病或意外伤害导致一肢肢体随意运动功能永久完全丧失。肢体随意运动功能永久完全丧失，指</w:t>
      </w:r>
    </w:p>
    <w:p>
      <w:pPr>
        <w:pStyle w:val="BodyText"/>
        <w:spacing w:before="5"/>
        <w:ind w:left="919"/>
      </w:pPr>
      <w:r>
        <w:rPr>
          <w:spacing w:val="-10"/>
        </w:rPr>
        <w:t>疾病确诊 </w:t>
      </w:r>
      <w:r>
        <w:rPr>
          <w:spacing w:val="-2"/>
        </w:rPr>
        <w:t>180</w:t>
      </w:r>
      <w:r>
        <w:rPr>
          <w:spacing w:val="-12"/>
        </w:rPr>
        <w:t> 天后或意外伤害发生 </w:t>
      </w:r>
      <w:r>
        <w:rPr>
          <w:spacing w:val="-2"/>
        </w:rPr>
        <w:t>180</w:t>
      </w:r>
      <w:r>
        <w:rPr>
          <w:spacing w:val="-10"/>
        </w:rPr>
        <w:t> 天后，每肢三大关节中的两大关节仍然完全僵硬，或肢体肌力</w:t>
      </w:r>
    </w:p>
    <w:p>
      <w:pPr>
        <w:pStyle w:val="BodyText"/>
        <w:spacing w:before="2"/>
        <w:ind w:left="919"/>
      </w:pPr>
      <w:r>
        <w:rPr>
          <w:spacing w:val="-26"/>
        </w:rPr>
        <w:t>在 </w:t>
      </w:r>
      <w:r>
        <w:rPr>
          <w:spacing w:val="-2"/>
        </w:rPr>
        <w:t>2</w:t>
      </w:r>
      <w:r>
        <w:rPr>
          <w:spacing w:val="-26"/>
        </w:rPr>
        <w:t> 级</w:t>
      </w:r>
      <w:r>
        <w:rPr>
          <w:spacing w:val="-2"/>
        </w:rPr>
        <w:t>（含）</w:t>
      </w:r>
      <w:r>
        <w:rPr>
          <w:spacing w:val="-5"/>
        </w:rPr>
        <w:t>以下。</w:t>
      </w:r>
    </w:p>
    <w:p>
      <w:pPr>
        <w:pStyle w:val="Heading2"/>
        <w:numPr>
          <w:ilvl w:val="0"/>
          <w:numId w:val="6"/>
        </w:numPr>
        <w:tabs>
          <w:tab w:pos="919" w:val="left" w:leader="none"/>
          <w:tab w:pos="920" w:val="left" w:leader="none"/>
        </w:tabs>
        <w:spacing w:line="364" w:lineRule="exact" w:before="105" w:after="0"/>
        <w:ind w:left="919" w:right="0" w:hanging="556"/>
        <w:jc w:val="left"/>
      </w:pPr>
      <w:r>
        <w:rPr>
          <w:spacing w:val="-2"/>
        </w:rPr>
        <w:t>胆道重建手术</w:t>
      </w:r>
    </w:p>
    <w:p>
      <w:pPr>
        <w:pStyle w:val="BodyText"/>
        <w:spacing w:line="246" w:lineRule="exact"/>
        <w:ind w:left="919"/>
      </w:pPr>
      <w:r>
        <w:rPr>
          <w:spacing w:val="-3"/>
        </w:rPr>
        <w:t>指为治疗疾病或意外损伤，已经实施了胆总管小肠吻合术的胆道重建手术。手术必须由相关专科医生</w:t>
      </w:r>
    </w:p>
    <w:p>
      <w:pPr>
        <w:pStyle w:val="BodyText"/>
        <w:spacing w:before="2"/>
        <w:ind w:left="919"/>
      </w:pPr>
      <w:r>
        <w:rPr>
          <w:spacing w:val="-3"/>
        </w:rPr>
        <w:t>认为是医疗所需的情况下进行。</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2"/>
        </w:rPr>
        <w:t>视力严重受损</w:t>
      </w:r>
    </w:p>
    <w:p>
      <w:pPr>
        <w:pStyle w:val="BodyText"/>
        <w:spacing w:line="245" w:lineRule="exact"/>
        <w:ind w:left="919"/>
      </w:pPr>
      <w:r>
        <w:rPr>
          <w:spacing w:val="-3"/>
        </w:rPr>
        <w:t>指因疾病或意外伤害导致双眼视力永久不可逆性丧失，双眼中较好眼须满足下列至少一项条件：</w:t>
      </w:r>
    </w:p>
    <w:p>
      <w:pPr>
        <w:pStyle w:val="ListParagraph"/>
        <w:numPr>
          <w:ilvl w:val="0"/>
          <w:numId w:val="13"/>
        </w:numPr>
        <w:tabs>
          <w:tab w:pos="1657" w:val="left" w:leader="none"/>
        </w:tabs>
        <w:spacing w:line="240" w:lineRule="auto" w:before="5" w:after="0"/>
        <w:ind w:left="1656" w:right="0" w:hanging="738"/>
        <w:jc w:val="left"/>
        <w:rPr>
          <w:sz w:val="21"/>
        </w:rPr>
      </w:pPr>
      <w:r>
        <w:rPr>
          <w:spacing w:val="-6"/>
          <w:sz w:val="21"/>
        </w:rPr>
        <w:t>矫正视力低于 </w:t>
      </w:r>
      <w:r>
        <w:rPr>
          <w:spacing w:val="-2"/>
          <w:sz w:val="21"/>
        </w:rPr>
        <w:t>0.1（采用国际标准视力表，如果使用其他视力表应进行换算</w:t>
      </w:r>
      <w:r>
        <w:rPr>
          <w:spacing w:val="-113"/>
          <w:sz w:val="21"/>
        </w:rPr>
        <w:t>）</w:t>
      </w:r>
      <w:r>
        <w:rPr>
          <w:spacing w:val="-5"/>
          <w:sz w:val="21"/>
        </w:rPr>
        <w:t>；</w:t>
      </w:r>
    </w:p>
    <w:p>
      <w:pPr>
        <w:pStyle w:val="ListParagraph"/>
        <w:numPr>
          <w:ilvl w:val="0"/>
          <w:numId w:val="13"/>
        </w:numPr>
        <w:tabs>
          <w:tab w:pos="1657" w:val="left" w:leader="none"/>
        </w:tabs>
        <w:spacing w:line="240" w:lineRule="auto" w:before="2" w:after="0"/>
        <w:ind w:left="1656" w:right="0" w:hanging="738"/>
        <w:jc w:val="left"/>
        <w:rPr>
          <w:sz w:val="21"/>
        </w:rPr>
      </w:pPr>
      <w:r>
        <w:rPr>
          <w:spacing w:val="-9"/>
          <w:sz w:val="21"/>
        </w:rPr>
        <w:t>视野半径小于 </w:t>
      </w:r>
      <w:r>
        <w:rPr>
          <w:spacing w:val="-2"/>
          <w:sz w:val="21"/>
        </w:rPr>
        <w:t>20</w:t>
      </w:r>
      <w:r>
        <w:rPr>
          <w:spacing w:val="-20"/>
          <w:sz w:val="21"/>
        </w:rPr>
        <w:t> 度。</w:t>
      </w:r>
    </w:p>
    <w:p>
      <w:pPr>
        <w:pStyle w:val="BodyText"/>
        <w:spacing w:before="2"/>
        <w:ind w:left="919"/>
      </w:pPr>
      <w:r>
        <w:rPr>
          <w:spacing w:val="-10"/>
        </w:rPr>
        <w:t>被保险人在 </w:t>
      </w:r>
      <w:r>
        <w:rPr>
          <w:spacing w:val="-2"/>
        </w:rPr>
        <w:t>3</w:t>
      </w:r>
      <w:r>
        <w:rPr>
          <w:spacing w:val="-10"/>
        </w:rPr>
        <w:t> 周岁之前因疾病导致视力严重受损不在保障范围内。</w:t>
      </w:r>
    </w:p>
    <w:p>
      <w:pPr>
        <w:pStyle w:val="BodyText"/>
        <w:ind w:left="0"/>
        <w:rPr>
          <w:sz w:val="20"/>
        </w:rPr>
      </w:pPr>
    </w:p>
    <w:p>
      <w:pPr>
        <w:pStyle w:val="BodyText"/>
        <w:spacing w:before="3"/>
        <w:ind w:left="0"/>
        <w:rPr>
          <w:sz w:val="16"/>
        </w:rPr>
      </w:pPr>
      <w:r>
        <w:rPr/>
        <w:drawing>
          <wp:anchor distT="0" distB="0" distL="0" distR="0" allowOverlap="1" layoutInCell="1" locked="0" behindDoc="0" simplePos="0" relativeHeight="23">
            <wp:simplePos x="0" y="0"/>
            <wp:positionH relativeFrom="page">
              <wp:posOffset>719327</wp:posOffset>
            </wp:positionH>
            <wp:positionV relativeFrom="paragraph">
              <wp:posOffset>147421</wp:posOffset>
            </wp:positionV>
            <wp:extent cx="1829282" cy="6096"/>
            <wp:effectExtent l="0" t="0" r="0" b="0"/>
            <wp:wrapTopAndBottom/>
            <wp:docPr id="61" name="image5.png"/>
            <wp:cNvGraphicFramePr>
              <a:graphicFrameLocks noChangeAspect="1"/>
            </wp:cNvGraphicFramePr>
            <a:graphic>
              <a:graphicData uri="http://schemas.openxmlformats.org/drawingml/2006/picture">
                <pic:pic>
                  <pic:nvPicPr>
                    <pic:cNvPr id="62" name="image5.png"/>
                    <pic:cNvPicPr/>
                  </pic:nvPicPr>
                  <pic:blipFill>
                    <a:blip r:embed="rId10" cstate="print"/>
                    <a:stretch>
                      <a:fillRect/>
                    </a:stretch>
                  </pic:blipFill>
                  <pic:spPr>
                    <a:xfrm>
                      <a:off x="0" y="0"/>
                      <a:ext cx="1829282" cy="6096"/>
                    </a:xfrm>
                    <a:prstGeom prst="rect">
                      <a:avLst/>
                    </a:prstGeom>
                  </pic:spPr>
                </pic:pic>
              </a:graphicData>
            </a:graphic>
          </wp:anchor>
        </w:drawing>
      </w:r>
    </w:p>
    <w:p>
      <w:pPr>
        <w:spacing w:line="282" w:lineRule="exact" w:before="36"/>
        <w:ind w:left="412" w:right="0" w:firstLine="0"/>
        <w:jc w:val="left"/>
        <w:rPr>
          <w:sz w:val="18"/>
        </w:rPr>
      </w:pPr>
      <w:r>
        <w:rPr>
          <w:position w:val="9"/>
          <w:sz w:val="9"/>
        </w:rPr>
        <w:t>35</w:t>
      </w:r>
      <w:r>
        <w:rPr>
          <w:rFonts w:ascii="Microsoft JhengHei" w:hAnsi="Microsoft JhengHei" w:eastAsia="Microsoft JhengHei"/>
          <w:b/>
          <w:sz w:val="18"/>
        </w:rPr>
        <w:t>永久不可逆</w:t>
      </w:r>
      <w:r>
        <w:rPr>
          <w:spacing w:val="-13"/>
          <w:sz w:val="18"/>
        </w:rPr>
        <w:t>具体释义见“附件三 术语释义”。</w:t>
      </w:r>
    </w:p>
    <w:p>
      <w:pPr>
        <w:spacing w:line="282" w:lineRule="exact" w:before="0"/>
        <w:ind w:left="412" w:right="0" w:firstLine="0"/>
        <w:jc w:val="left"/>
        <w:rPr>
          <w:sz w:val="18"/>
        </w:rPr>
      </w:pPr>
      <w:r>
        <w:rPr>
          <w:w w:val="95"/>
          <w:position w:val="9"/>
          <w:sz w:val="9"/>
        </w:rPr>
        <w:t>36</w:t>
      </w:r>
      <w:r>
        <w:rPr>
          <w:rFonts w:ascii="Microsoft JhengHei" w:hAnsi="Microsoft JhengHei" w:eastAsia="Microsoft JhengHei"/>
          <w:b/>
          <w:w w:val="95"/>
          <w:sz w:val="18"/>
        </w:rPr>
        <w:t>美</w:t>
      </w:r>
      <w:r>
        <w:rPr>
          <w:rFonts w:ascii="Microsoft JhengHei" w:hAnsi="Microsoft JhengHei" w:eastAsia="Microsoft JhengHei"/>
          <w:b/>
          <w:w w:val="95"/>
          <w:sz w:val="18"/>
        </w:rPr>
        <w:t>国</w:t>
      </w:r>
      <w:r>
        <w:rPr>
          <w:rFonts w:ascii="Microsoft JhengHei" w:hAnsi="Microsoft JhengHei" w:eastAsia="Microsoft JhengHei"/>
          <w:b/>
          <w:w w:val="95"/>
          <w:sz w:val="18"/>
        </w:rPr>
        <w:t>纽</w:t>
      </w:r>
      <w:r>
        <w:rPr>
          <w:rFonts w:ascii="Microsoft JhengHei" w:hAnsi="Microsoft JhengHei" w:eastAsia="Microsoft JhengHei"/>
          <w:b/>
          <w:w w:val="95"/>
          <w:sz w:val="18"/>
        </w:rPr>
        <w:t>约</w:t>
      </w:r>
      <w:r>
        <w:rPr>
          <w:rFonts w:ascii="Microsoft JhengHei" w:hAnsi="Microsoft JhengHei" w:eastAsia="Microsoft JhengHei"/>
          <w:b/>
          <w:w w:val="95"/>
          <w:sz w:val="18"/>
        </w:rPr>
        <w:t>心</w:t>
      </w:r>
      <w:r>
        <w:rPr>
          <w:rFonts w:ascii="Microsoft JhengHei" w:hAnsi="Microsoft JhengHei" w:eastAsia="Microsoft JhengHei"/>
          <w:b/>
          <w:w w:val="95"/>
          <w:sz w:val="18"/>
        </w:rPr>
        <w:t>脏</w:t>
      </w:r>
      <w:r>
        <w:rPr>
          <w:rFonts w:ascii="Microsoft JhengHei" w:hAnsi="Microsoft JhengHei" w:eastAsia="Microsoft JhengHei"/>
          <w:b/>
          <w:w w:val="95"/>
          <w:sz w:val="18"/>
        </w:rPr>
        <w:t>病</w:t>
      </w:r>
      <w:r>
        <w:rPr>
          <w:rFonts w:ascii="Microsoft JhengHei" w:hAnsi="Microsoft JhengHei" w:eastAsia="Microsoft JhengHei"/>
          <w:b/>
          <w:w w:val="95"/>
          <w:sz w:val="18"/>
        </w:rPr>
        <w:t>学会（New</w:t>
      </w:r>
      <w:r>
        <w:rPr>
          <w:rFonts w:ascii="Microsoft JhengHei" w:hAnsi="Microsoft JhengHei" w:eastAsia="Microsoft JhengHei"/>
          <w:b/>
          <w:spacing w:val="34"/>
          <w:sz w:val="18"/>
        </w:rPr>
        <w:t>  </w:t>
      </w:r>
      <w:r>
        <w:rPr>
          <w:rFonts w:ascii="Microsoft JhengHei" w:hAnsi="Microsoft JhengHei" w:eastAsia="Microsoft JhengHei"/>
          <w:b/>
          <w:w w:val="95"/>
          <w:sz w:val="18"/>
        </w:rPr>
        <w:t>York</w:t>
      </w:r>
      <w:r>
        <w:rPr>
          <w:rFonts w:ascii="Microsoft JhengHei" w:hAnsi="Microsoft JhengHei" w:eastAsia="Microsoft JhengHei"/>
          <w:b/>
          <w:spacing w:val="34"/>
          <w:sz w:val="18"/>
        </w:rPr>
        <w:t>  </w:t>
      </w:r>
      <w:r>
        <w:rPr>
          <w:rFonts w:ascii="Microsoft JhengHei" w:hAnsi="Microsoft JhengHei" w:eastAsia="Microsoft JhengHei"/>
          <w:b/>
          <w:w w:val="59"/>
          <w:sz w:val="18"/>
        </w:rPr>
        <w:t>H</w:t>
      </w:r>
      <w:r>
        <w:rPr>
          <w:rFonts w:ascii="Microsoft JhengHei" w:hAnsi="Microsoft JhengHei" w:eastAsia="Microsoft JhengHei"/>
          <w:b/>
          <w:w w:val="83"/>
          <w:sz w:val="18"/>
        </w:rPr>
        <w:t>e</w:t>
      </w:r>
      <w:r>
        <w:rPr>
          <w:rFonts w:ascii="Microsoft JhengHei" w:hAnsi="Microsoft JhengHei" w:eastAsia="Microsoft JhengHei"/>
          <w:b/>
          <w:w w:val="85"/>
          <w:sz w:val="18"/>
        </w:rPr>
        <w:t>a</w:t>
      </w:r>
      <w:r>
        <w:rPr>
          <w:rFonts w:ascii="Microsoft JhengHei" w:hAnsi="Microsoft JhengHei" w:eastAsia="Microsoft JhengHei"/>
          <w:b/>
          <w:w w:val="122"/>
          <w:sz w:val="18"/>
        </w:rPr>
        <w:t>r</w:t>
      </w:r>
      <w:r>
        <w:rPr>
          <w:rFonts w:ascii="Microsoft JhengHei" w:hAnsi="Microsoft JhengHei" w:eastAsia="Microsoft JhengHei"/>
          <w:b/>
          <w:spacing w:val="-1"/>
          <w:w w:val="125"/>
          <w:sz w:val="18"/>
        </w:rPr>
        <w:t>t</w:t>
      </w:r>
      <w:r>
        <w:rPr>
          <w:rFonts w:ascii="Microsoft JhengHei" w:hAnsi="Microsoft JhengHei" w:eastAsia="Microsoft JhengHei"/>
          <w:b/>
          <w:spacing w:val="32"/>
          <w:sz w:val="18"/>
        </w:rPr>
        <w:t>  </w:t>
      </w:r>
      <w:r>
        <w:rPr>
          <w:rFonts w:ascii="Microsoft JhengHei" w:hAnsi="Microsoft JhengHei" w:eastAsia="Microsoft JhengHei"/>
          <w:b/>
          <w:w w:val="66"/>
          <w:sz w:val="18"/>
        </w:rPr>
        <w:t>A</w:t>
      </w:r>
      <w:r>
        <w:rPr>
          <w:rFonts w:ascii="Microsoft JhengHei" w:hAnsi="Microsoft JhengHei" w:eastAsia="Microsoft JhengHei"/>
          <w:b/>
          <w:w w:val="102"/>
          <w:sz w:val="18"/>
        </w:rPr>
        <w:t>ss</w:t>
      </w:r>
      <w:r>
        <w:rPr>
          <w:rFonts w:ascii="Microsoft JhengHei" w:hAnsi="Microsoft JhengHei" w:eastAsia="Microsoft JhengHei"/>
          <w:b/>
          <w:spacing w:val="-3"/>
          <w:w w:val="74"/>
          <w:sz w:val="18"/>
        </w:rPr>
        <w:t>o</w:t>
      </w:r>
      <w:r>
        <w:rPr>
          <w:rFonts w:ascii="Microsoft JhengHei" w:hAnsi="Microsoft JhengHei" w:eastAsia="Microsoft JhengHei"/>
          <w:b/>
          <w:w w:val="95"/>
          <w:sz w:val="18"/>
        </w:rPr>
        <w:t>c</w:t>
      </w:r>
      <w:r>
        <w:rPr>
          <w:rFonts w:ascii="Microsoft JhengHei" w:hAnsi="Microsoft JhengHei" w:eastAsia="Microsoft JhengHei"/>
          <w:b/>
          <w:w w:val="178"/>
          <w:sz w:val="18"/>
        </w:rPr>
        <w:t>i</w:t>
      </w:r>
      <w:r>
        <w:rPr>
          <w:rFonts w:ascii="Microsoft JhengHei" w:hAnsi="Microsoft JhengHei" w:eastAsia="Microsoft JhengHei"/>
          <w:b/>
          <w:w w:val="86"/>
          <w:sz w:val="18"/>
        </w:rPr>
        <w:t>a</w:t>
      </w:r>
      <w:r>
        <w:rPr>
          <w:rFonts w:ascii="Microsoft JhengHei" w:hAnsi="Microsoft JhengHei" w:eastAsia="Microsoft JhengHei"/>
          <w:b/>
          <w:w w:val="126"/>
          <w:sz w:val="18"/>
        </w:rPr>
        <w:t>t</w:t>
      </w:r>
      <w:r>
        <w:rPr>
          <w:rFonts w:ascii="Microsoft JhengHei" w:hAnsi="Microsoft JhengHei" w:eastAsia="Microsoft JhengHei"/>
          <w:b/>
          <w:spacing w:val="-3"/>
          <w:w w:val="178"/>
          <w:sz w:val="18"/>
        </w:rPr>
        <w:t>i</w:t>
      </w:r>
      <w:r>
        <w:rPr>
          <w:rFonts w:ascii="Microsoft JhengHei" w:hAnsi="Microsoft JhengHei" w:eastAsia="Microsoft JhengHei"/>
          <w:b/>
          <w:w w:val="74"/>
          <w:sz w:val="18"/>
        </w:rPr>
        <w:t>o</w:t>
      </w:r>
      <w:r>
        <w:rPr>
          <w:rFonts w:ascii="Microsoft JhengHei" w:hAnsi="Microsoft JhengHei" w:eastAsia="Microsoft JhengHei"/>
          <w:b/>
          <w:spacing w:val="1"/>
          <w:w w:val="76"/>
          <w:sz w:val="18"/>
        </w:rPr>
        <w:t>n</w:t>
      </w:r>
      <w:r>
        <w:rPr>
          <w:rFonts w:ascii="Microsoft JhengHei" w:hAnsi="Microsoft JhengHei" w:eastAsia="Microsoft JhengHei"/>
          <w:b/>
          <w:spacing w:val="1"/>
          <w:w w:val="97"/>
          <w:sz w:val="18"/>
        </w:rPr>
        <w:t>，</w:t>
      </w:r>
      <w:r>
        <w:rPr>
          <w:rFonts w:ascii="Microsoft JhengHei" w:hAnsi="Microsoft JhengHei" w:eastAsia="Microsoft JhengHei"/>
          <w:b/>
          <w:w w:val="64"/>
          <w:sz w:val="18"/>
        </w:rPr>
        <w:t>NYH</w:t>
      </w:r>
      <w:r>
        <w:rPr>
          <w:rFonts w:ascii="Microsoft JhengHei" w:hAnsi="Microsoft JhengHei" w:eastAsia="Microsoft JhengHei"/>
          <w:b/>
          <w:spacing w:val="-3"/>
          <w:w w:val="64"/>
          <w:sz w:val="18"/>
        </w:rPr>
        <w:t>A</w:t>
      </w:r>
      <w:r>
        <w:rPr>
          <w:rFonts w:ascii="Microsoft JhengHei" w:hAnsi="Microsoft JhengHei" w:eastAsia="Microsoft JhengHei"/>
          <w:b/>
          <w:spacing w:val="-1"/>
          <w:w w:val="97"/>
          <w:sz w:val="18"/>
        </w:rPr>
        <w:t>）</w:t>
      </w:r>
      <w:r>
        <w:rPr>
          <w:rFonts w:ascii="Microsoft JhengHei" w:hAnsi="Microsoft JhengHei" w:eastAsia="Microsoft JhengHei"/>
          <w:b/>
          <w:w w:val="95"/>
          <w:sz w:val="18"/>
        </w:rPr>
        <w:t>心</w:t>
      </w:r>
      <w:r>
        <w:rPr>
          <w:rFonts w:ascii="Microsoft JhengHei" w:hAnsi="Microsoft JhengHei" w:eastAsia="Microsoft JhengHei"/>
          <w:b/>
          <w:w w:val="95"/>
          <w:sz w:val="18"/>
        </w:rPr>
        <w:t>功</w:t>
      </w:r>
      <w:r>
        <w:rPr>
          <w:rFonts w:ascii="Microsoft JhengHei" w:hAnsi="Microsoft JhengHei" w:eastAsia="Microsoft JhengHei"/>
          <w:b/>
          <w:w w:val="95"/>
          <w:sz w:val="18"/>
        </w:rPr>
        <w:t>能</w:t>
      </w:r>
      <w:r>
        <w:rPr>
          <w:rFonts w:ascii="Microsoft JhengHei" w:hAnsi="Microsoft JhengHei" w:eastAsia="Microsoft JhengHei"/>
          <w:b/>
          <w:w w:val="95"/>
          <w:sz w:val="18"/>
        </w:rPr>
        <w:t>状</w:t>
      </w:r>
      <w:r>
        <w:rPr>
          <w:rFonts w:ascii="Microsoft JhengHei" w:hAnsi="Microsoft JhengHei" w:eastAsia="Microsoft JhengHei"/>
          <w:b/>
          <w:w w:val="95"/>
          <w:sz w:val="18"/>
        </w:rPr>
        <w:t>态分级</w:t>
      </w:r>
      <w:r>
        <w:rPr>
          <w:w w:val="95"/>
          <w:sz w:val="18"/>
        </w:rPr>
        <w:t>具</w:t>
      </w:r>
      <w:r>
        <w:rPr>
          <w:w w:val="95"/>
          <w:sz w:val="18"/>
        </w:rPr>
        <w:t>体</w:t>
      </w:r>
      <w:r>
        <w:rPr>
          <w:w w:val="95"/>
          <w:sz w:val="18"/>
        </w:rPr>
        <w:t>释</w:t>
      </w:r>
      <w:r>
        <w:rPr>
          <w:w w:val="95"/>
          <w:sz w:val="18"/>
        </w:rPr>
        <w:t>义</w:t>
      </w:r>
      <w:r>
        <w:rPr>
          <w:w w:val="95"/>
          <w:sz w:val="18"/>
        </w:rPr>
        <w:t>见</w:t>
      </w:r>
      <w:r>
        <w:rPr>
          <w:w w:val="95"/>
          <w:sz w:val="18"/>
        </w:rPr>
        <w:t>“</w:t>
      </w:r>
      <w:r>
        <w:rPr>
          <w:w w:val="95"/>
          <w:sz w:val="18"/>
        </w:rPr>
        <w:t>附</w:t>
      </w:r>
      <w:r>
        <w:rPr>
          <w:w w:val="95"/>
          <w:sz w:val="18"/>
        </w:rPr>
        <w:t>件</w:t>
      </w:r>
      <w:r>
        <w:rPr>
          <w:w w:val="95"/>
          <w:sz w:val="18"/>
        </w:rPr>
        <w:t>三</w:t>
      </w:r>
      <w:r>
        <w:rPr>
          <w:spacing w:val="68"/>
          <w:sz w:val="18"/>
        </w:rPr>
        <w:t> </w:t>
      </w:r>
      <w:r>
        <w:rPr>
          <w:w w:val="95"/>
          <w:sz w:val="18"/>
        </w:rPr>
        <w:t>术</w:t>
      </w:r>
      <w:r>
        <w:rPr>
          <w:w w:val="95"/>
          <w:sz w:val="18"/>
        </w:rPr>
        <w:t>语</w:t>
      </w:r>
      <w:r>
        <w:rPr>
          <w:w w:val="95"/>
          <w:sz w:val="18"/>
        </w:rPr>
        <w:t>释</w:t>
      </w:r>
      <w:r>
        <w:rPr>
          <w:w w:val="95"/>
          <w:sz w:val="18"/>
        </w:rPr>
        <w:t>义</w:t>
      </w:r>
      <w:r>
        <w:rPr>
          <w:spacing w:val="-51"/>
          <w:w w:val="95"/>
          <w:sz w:val="18"/>
        </w:rPr>
        <w:t>”。</w:t>
      </w:r>
    </w:p>
    <w:p>
      <w:pPr>
        <w:spacing w:after="0" w:line="282" w:lineRule="exact"/>
        <w:jc w:val="left"/>
        <w:rPr>
          <w:sz w:val="18"/>
        </w:rPr>
        <w:sectPr>
          <w:pgSz w:w="11910" w:h="16840"/>
          <w:pgMar w:header="0" w:footer="574" w:top="1060" w:bottom="760" w:left="720" w:right="340"/>
        </w:sectPr>
      </w:pPr>
    </w:p>
    <w:p>
      <w:pPr>
        <w:pStyle w:val="Heading2"/>
        <w:numPr>
          <w:ilvl w:val="0"/>
          <w:numId w:val="6"/>
        </w:numPr>
        <w:tabs>
          <w:tab w:pos="919" w:val="left" w:leader="none"/>
          <w:tab w:pos="920" w:val="left" w:leader="none"/>
        </w:tabs>
        <w:spacing w:line="352" w:lineRule="exact" w:before="0" w:after="0"/>
        <w:ind w:left="919" w:right="0" w:hanging="556"/>
        <w:jc w:val="left"/>
      </w:pPr>
      <w:r>
        <w:rPr>
          <w:spacing w:val="-3"/>
        </w:rPr>
        <w:t>单目失明</w:t>
      </w:r>
    </w:p>
    <w:p>
      <w:pPr>
        <w:pStyle w:val="BodyText"/>
        <w:spacing w:line="246" w:lineRule="exact"/>
        <w:ind w:left="919"/>
      </w:pPr>
      <w:r>
        <w:rPr>
          <w:spacing w:val="-3"/>
        </w:rPr>
        <w:t>指因疾病或意外伤害导致单眼视力永久不可逆性丧失，且须满足下列至少一项条件：</w:t>
      </w:r>
    </w:p>
    <w:p>
      <w:pPr>
        <w:pStyle w:val="ListParagraph"/>
        <w:numPr>
          <w:ilvl w:val="0"/>
          <w:numId w:val="14"/>
        </w:numPr>
        <w:tabs>
          <w:tab w:pos="1657" w:val="left" w:leader="none"/>
        </w:tabs>
        <w:spacing w:line="240" w:lineRule="auto" w:before="2" w:after="0"/>
        <w:ind w:left="1656" w:right="0" w:hanging="738"/>
        <w:jc w:val="left"/>
        <w:rPr>
          <w:sz w:val="21"/>
        </w:rPr>
      </w:pPr>
      <w:r>
        <w:rPr>
          <w:spacing w:val="-4"/>
          <w:sz w:val="21"/>
        </w:rPr>
        <w:t>眼球缺失或摘除；</w:t>
      </w:r>
    </w:p>
    <w:p>
      <w:pPr>
        <w:pStyle w:val="ListParagraph"/>
        <w:numPr>
          <w:ilvl w:val="0"/>
          <w:numId w:val="14"/>
        </w:numPr>
        <w:tabs>
          <w:tab w:pos="1657" w:val="left" w:leader="none"/>
        </w:tabs>
        <w:spacing w:line="240" w:lineRule="auto" w:before="5" w:after="0"/>
        <w:ind w:left="1656" w:right="0" w:hanging="738"/>
        <w:jc w:val="left"/>
        <w:rPr>
          <w:sz w:val="21"/>
        </w:rPr>
      </w:pPr>
      <w:r>
        <w:rPr>
          <w:spacing w:val="-6"/>
          <w:sz w:val="21"/>
        </w:rPr>
        <w:t>矫正视力低于 </w:t>
      </w:r>
      <w:r>
        <w:rPr>
          <w:spacing w:val="-2"/>
          <w:sz w:val="21"/>
        </w:rPr>
        <w:t>0.02（采用国际标准视力表，如果使用其他视力表应进行换算</w:t>
      </w:r>
      <w:r>
        <w:rPr>
          <w:spacing w:val="-113"/>
          <w:sz w:val="21"/>
        </w:rPr>
        <w:t>）</w:t>
      </w:r>
      <w:r>
        <w:rPr>
          <w:spacing w:val="-5"/>
          <w:sz w:val="21"/>
        </w:rPr>
        <w:t>；</w:t>
      </w:r>
    </w:p>
    <w:p>
      <w:pPr>
        <w:pStyle w:val="ListParagraph"/>
        <w:numPr>
          <w:ilvl w:val="0"/>
          <w:numId w:val="14"/>
        </w:numPr>
        <w:tabs>
          <w:tab w:pos="1657" w:val="left" w:leader="none"/>
        </w:tabs>
        <w:spacing w:line="240" w:lineRule="auto" w:before="2" w:after="0"/>
        <w:ind w:left="1656" w:right="0" w:hanging="738"/>
        <w:jc w:val="left"/>
        <w:rPr>
          <w:sz w:val="21"/>
        </w:rPr>
      </w:pPr>
      <w:r>
        <w:rPr>
          <w:spacing w:val="-9"/>
          <w:sz w:val="21"/>
        </w:rPr>
        <w:t>视野半径小于 </w:t>
      </w:r>
      <w:r>
        <w:rPr>
          <w:spacing w:val="-2"/>
          <w:sz w:val="21"/>
        </w:rPr>
        <w:t>5</w:t>
      </w:r>
      <w:r>
        <w:rPr>
          <w:spacing w:val="-21"/>
          <w:sz w:val="21"/>
        </w:rPr>
        <w:t> 度。</w:t>
      </w:r>
    </w:p>
    <w:p>
      <w:pPr>
        <w:pStyle w:val="BodyText"/>
        <w:spacing w:before="4"/>
        <w:ind w:left="919"/>
      </w:pPr>
      <w:r>
        <w:rPr>
          <w:spacing w:val="-10"/>
        </w:rPr>
        <w:t>被保险人在 </w:t>
      </w:r>
      <w:r>
        <w:rPr>
          <w:spacing w:val="-2"/>
        </w:rPr>
        <w:t>3</w:t>
      </w:r>
      <w:r>
        <w:rPr>
          <w:spacing w:val="-10"/>
        </w:rPr>
        <w:t> 周岁之前因疾病导致单眼视力丧失不在保障范围内。</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2"/>
        </w:rPr>
        <w:t>运动神经元病</w:t>
      </w:r>
    </w:p>
    <w:p>
      <w:pPr>
        <w:pStyle w:val="BodyText"/>
        <w:spacing w:line="246" w:lineRule="exact"/>
        <w:ind w:left="919"/>
      </w:pPr>
      <w:r>
        <w:rPr>
          <w:spacing w:val="-3"/>
        </w:rPr>
        <w:t>是一组中枢神经系统运动神经元的进行性变性疾病，包括进行性脊肌萎缩症、进行性延髓麻痹症、原</w:t>
      </w:r>
    </w:p>
    <w:p>
      <w:pPr>
        <w:pStyle w:val="BodyText"/>
        <w:spacing w:line="244" w:lineRule="auto" w:before="2"/>
        <w:ind w:left="919" w:right="666"/>
      </w:pPr>
      <w:r>
        <w:rPr>
          <w:spacing w:val="-2"/>
        </w:rPr>
        <w:t>发性侧索硬化症、肌萎缩性侧索硬化症，经相关专科医生确诊，且须满足自主生活能力部分丧失，无</w:t>
      </w:r>
      <w:r>
        <w:rPr>
          <w:spacing w:val="-2"/>
        </w:rPr>
        <w:t>法独立完成六项基本日常生活活动中的两项条件。</w:t>
      </w:r>
    </w:p>
    <w:p>
      <w:pPr>
        <w:pStyle w:val="Heading2"/>
        <w:numPr>
          <w:ilvl w:val="0"/>
          <w:numId w:val="6"/>
        </w:numPr>
        <w:tabs>
          <w:tab w:pos="919" w:val="left" w:leader="none"/>
          <w:tab w:pos="920" w:val="left" w:leader="none"/>
        </w:tabs>
        <w:spacing w:line="363" w:lineRule="exact" w:before="99" w:after="0"/>
        <w:ind w:left="919" w:right="0" w:hanging="556"/>
        <w:jc w:val="left"/>
      </w:pPr>
      <w:r>
        <w:rPr>
          <w:spacing w:val="-2"/>
        </w:rPr>
        <w:t>微创颅脑手术</w:t>
      </w:r>
    </w:p>
    <w:p>
      <w:pPr>
        <w:pStyle w:val="BodyText"/>
        <w:spacing w:line="245" w:lineRule="exact"/>
        <w:ind w:left="919"/>
      </w:pPr>
      <w:r>
        <w:rPr>
          <w:spacing w:val="-3"/>
        </w:rPr>
        <w:t>指被保险人因疾病已经实施全麻下的颅骨钻孔手术或经鼻蝶窦入颅手术。</w:t>
      </w:r>
    </w:p>
    <w:p>
      <w:pPr>
        <w:pStyle w:val="BodyText"/>
        <w:spacing w:before="5"/>
        <w:ind w:left="919"/>
      </w:pPr>
      <w:r>
        <w:rPr>
          <w:spacing w:val="-3"/>
        </w:rPr>
        <w:t>因外伤而实施的颅脑手术不在保障范围内。</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4"/>
        </w:rPr>
        <w:t>脑损伤</w:t>
      </w:r>
    </w:p>
    <w:p>
      <w:pPr>
        <w:pStyle w:val="BodyText"/>
        <w:spacing w:line="246" w:lineRule="exact"/>
        <w:ind w:left="919"/>
      </w:pPr>
      <w:r>
        <w:rPr>
          <w:spacing w:val="-3"/>
        </w:rPr>
        <w:t>指因头部遭受机械性外力，引起脑重要部位损伤，导致神经系统永久性的功能障碍。须由头颅断层扫</w:t>
      </w:r>
    </w:p>
    <w:p>
      <w:pPr>
        <w:pStyle w:val="BodyText"/>
        <w:spacing w:line="244" w:lineRule="auto" w:before="2"/>
        <w:ind w:left="919" w:right="661"/>
      </w:pPr>
      <w:r>
        <w:rPr>
          <w:spacing w:val="-4"/>
        </w:rPr>
        <w:t>描</w:t>
      </w:r>
      <w:r>
        <w:rPr>
          <w:spacing w:val="23"/>
        </w:rPr>
        <w:t>（</w:t>
      </w:r>
      <w:r>
        <w:rPr>
          <w:spacing w:val="21"/>
        </w:rPr>
        <w:t>C</w:t>
      </w:r>
      <w:r>
        <w:rPr>
          <w:spacing w:val="24"/>
        </w:rPr>
        <w:t>T</w:t>
      </w:r>
      <w:r>
        <w:rPr>
          <w:spacing w:val="-84"/>
        </w:rPr>
        <w:t>）</w:t>
      </w:r>
      <w:r>
        <w:rPr>
          <w:spacing w:val="-4"/>
        </w:rPr>
        <w:t>、核磁共振检查（MRI）或正电子发射断层扫描（PET）等影像学检查证实，且须满足下列条件</w:t>
      </w:r>
      <w:r>
        <w:rPr>
          <w:spacing w:val="-4"/>
        </w:rPr>
        <w:t>之一：</w:t>
      </w:r>
    </w:p>
    <w:p>
      <w:pPr>
        <w:pStyle w:val="ListParagraph"/>
        <w:numPr>
          <w:ilvl w:val="0"/>
          <w:numId w:val="15"/>
        </w:numPr>
        <w:tabs>
          <w:tab w:pos="1657" w:val="left" w:leader="none"/>
        </w:tabs>
        <w:spacing w:line="265" w:lineRule="exact" w:before="0" w:after="0"/>
        <w:ind w:left="1656" w:right="0" w:hanging="738"/>
        <w:jc w:val="left"/>
        <w:rPr>
          <w:sz w:val="21"/>
        </w:rPr>
      </w:pPr>
      <w:r>
        <w:rPr>
          <w:spacing w:val="-3"/>
          <w:sz w:val="21"/>
        </w:rPr>
        <w:t>已接受全麻下颅骨切开颅内血肿清除术或颅骨钻孔术；</w:t>
      </w:r>
    </w:p>
    <w:p>
      <w:pPr>
        <w:pStyle w:val="ListParagraph"/>
        <w:numPr>
          <w:ilvl w:val="0"/>
          <w:numId w:val="15"/>
        </w:numPr>
        <w:tabs>
          <w:tab w:pos="1657" w:val="left" w:leader="none"/>
        </w:tabs>
        <w:spacing w:line="240" w:lineRule="auto" w:before="4" w:after="0"/>
        <w:ind w:left="1656" w:right="0" w:hanging="738"/>
        <w:jc w:val="left"/>
        <w:rPr>
          <w:sz w:val="21"/>
        </w:rPr>
      </w:pPr>
      <w:r>
        <w:rPr>
          <w:spacing w:val="-14"/>
          <w:sz w:val="21"/>
        </w:rPr>
        <w:t>脑损伤 </w:t>
      </w:r>
      <w:r>
        <w:rPr>
          <w:spacing w:val="-2"/>
          <w:sz w:val="21"/>
        </w:rPr>
        <w:t>180</w:t>
      </w:r>
      <w:r>
        <w:rPr>
          <w:spacing w:val="-9"/>
          <w:sz w:val="21"/>
        </w:rPr>
        <w:t> 天后，仍遗留一肢</w:t>
      </w:r>
      <w:r>
        <w:rPr>
          <w:spacing w:val="-2"/>
          <w:sz w:val="21"/>
        </w:rPr>
        <w:t>（含）</w:t>
      </w:r>
      <w:r>
        <w:rPr>
          <w:spacing w:val="-9"/>
          <w:sz w:val="21"/>
        </w:rPr>
        <w:t>以上肢体肌力 </w:t>
      </w:r>
      <w:r>
        <w:rPr>
          <w:spacing w:val="-2"/>
          <w:sz w:val="21"/>
        </w:rPr>
        <w:t>3</w:t>
      </w:r>
      <w:r>
        <w:rPr>
          <w:spacing w:val="-20"/>
          <w:sz w:val="21"/>
        </w:rPr>
        <w:t> 级。</w:t>
      </w:r>
    </w:p>
    <w:p>
      <w:pPr>
        <w:pStyle w:val="Heading2"/>
        <w:numPr>
          <w:ilvl w:val="0"/>
          <w:numId w:val="6"/>
        </w:numPr>
        <w:tabs>
          <w:tab w:pos="919" w:val="left" w:leader="none"/>
          <w:tab w:pos="920" w:val="left" w:leader="none"/>
        </w:tabs>
        <w:spacing w:line="363" w:lineRule="exact" w:before="106" w:after="0"/>
        <w:ind w:left="919" w:right="0" w:hanging="556"/>
        <w:jc w:val="left"/>
      </w:pPr>
      <w:r>
        <w:rPr>
          <w:spacing w:val="-2"/>
        </w:rPr>
        <w:t>面部重建手术</w:t>
      </w:r>
    </w:p>
    <w:p>
      <w:pPr>
        <w:pStyle w:val="BodyText"/>
        <w:spacing w:line="245" w:lineRule="exact"/>
        <w:ind w:left="919"/>
      </w:pPr>
      <w:r>
        <w:rPr>
          <w:spacing w:val="-7"/>
        </w:rPr>
        <w:t>指因疾病或意外伤害导致颈部以上的面部构造不完整、缺失或受损而对其形态及外观进行修复或重建，</w:t>
      </w:r>
    </w:p>
    <w:p>
      <w:pPr>
        <w:pStyle w:val="BodyText"/>
        <w:spacing w:before="4"/>
        <w:ind w:left="919"/>
      </w:pPr>
      <w:r>
        <w:rPr>
          <w:spacing w:val="-3"/>
        </w:rPr>
        <w:t>已经实施了面部重建手术。</w:t>
      </w:r>
    </w:p>
    <w:p>
      <w:pPr>
        <w:pStyle w:val="BodyText"/>
        <w:spacing w:before="2"/>
        <w:ind w:left="919"/>
      </w:pPr>
      <w:r>
        <w:rPr>
          <w:spacing w:val="-5"/>
        </w:rPr>
        <w:t>因纯粹整容原因、独立的牙齿修复、独立的鼻骨折断或独立的皮肤伤口所进行的手术不在保障范围内。</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2"/>
        </w:rPr>
        <w:t>双侧睾丸切除手术</w:t>
      </w:r>
    </w:p>
    <w:p>
      <w:pPr>
        <w:pStyle w:val="BodyText"/>
        <w:spacing w:line="245" w:lineRule="exact"/>
        <w:ind w:left="919"/>
      </w:pPr>
      <w:r>
        <w:rPr>
          <w:spacing w:val="-3"/>
        </w:rPr>
        <w:t>指为治疗疾病或意外损伤，已经实施了双侧睾丸完全切除手术。</w:t>
      </w:r>
    </w:p>
    <w:p>
      <w:pPr>
        <w:pStyle w:val="BodyText"/>
        <w:spacing w:before="5"/>
        <w:ind w:left="919"/>
      </w:pPr>
      <w:r>
        <w:rPr>
          <w:spacing w:val="-3"/>
        </w:rPr>
        <w:t>部分睾丸切除不在保障范围内。</w:t>
      </w:r>
    </w:p>
    <w:p>
      <w:pPr>
        <w:pStyle w:val="Heading2"/>
        <w:numPr>
          <w:ilvl w:val="0"/>
          <w:numId w:val="6"/>
        </w:numPr>
        <w:tabs>
          <w:tab w:pos="919" w:val="left" w:leader="none"/>
          <w:tab w:pos="920" w:val="left" w:leader="none"/>
        </w:tabs>
        <w:spacing w:line="363" w:lineRule="exact" w:before="105" w:after="0"/>
        <w:ind w:left="919" w:right="0" w:hanging="556"/>
        <w:jc w:val="left"/>
      </w:pPr>
      <w:r>
        <w:rPr>
          <w:spacing w:val="-2"/>
        </w:rPr>
        <w:t>单侧肾脏切除手术</w:t>
      </w:r>
    </w:p>
    <w:p>
      <w:pPr>
        <w:pStyle w:val="BodyText"/>
        <w:spacing w:line="245" w:lineRule="exact"/>
        <w:ind w:left="919"/>
      </w:pPr>
      <w:r>
        <w:rPr>
          <w:spacing w:val="-3"/>
        </w:rPr>
        <w:t>指为治疗疾病或意外损伤，已经实施了单侧肾脏完全切除手术。</w:t>
      </w:r>
    </w:p>
    <w:p>
      <w:pPr>
        <w:pStyle w:val="BodyText"/>
        <w:spacing w:before="5"/>
        <w:ind w:left="919"/>
      </w:pPr>
      <w:r>
        <w:rPr>
          <w:spacing w:val="-3"/>
        </w:rPr>
        <w:t>肾脏部分切除手术或因捐赠肾脏而进行的肾脏切除手术不在保障范围内。</w:t>
      </w:r>
    </w:p>
    <w:p>
      <w:pPr>
        <w:pStyle w:val="Heading2"/>
        <w:numPr>
          <w:ilvl w:val="0"/>
          <w:numId w:val="6"/>
        </w:numPr>
        <w:tabs>
          <w:tab w:pos="919" w:val="left" w:leader="none"/>
          <w:tab w:pos="920" w:val="left" w:leader="none"/>
        </w:tabs>
        <w:spacing w:line="364" w:lineRule="exact" w:before="105" w:after="0"/>
        <w:ind w:left="919" w:right="0" w:hanging="556"/>
        <w:jc w:val="left"/>
      </w:pPr>
      <w:r>
        <w:rPr>
          <w:spacing w:val="-2"/>
        </w:rPr>
        <w:t>单个肢体缺失</w:t>
      </w:r>
    </w:p>
    <w:p>
      <w:pPr>
        <w:pStyle w:val="BodyText"/>
        <w:spacing w:line="246" w:lineRule="exact"/>
        <w:ind w:left="919"/>
      </w:pPr>
      <w:r>
        <w:rPr>
          <w:spacing w:val="-2"/>
        </w:rPr>
        <w:t>指一个肢体自腕关节或踝关节近端（靠近躯干端）</w:t>
      </w:r>
      <w:r>
        <w:rPr>
          <w:spacing w:val="-4"/>
        </w:rPr>
        <w:t>以上完全性断离。</w:t>
      </w:r>
    </w:p>
    <w:p>
      <w:pPr>
        <w:pStyle w:val="Heading2"/>
        <w:numPr>
          <w:ilvl w:val="0"/>
          <w:numId w:val="6"/>
        </w:numPr>
        <w:tabs>
          <w:tab w:pos="919" w:val="left" w:leader="none"/>
          <w:tab w:pos="920" w:val="left" w:leader="none"/>
        </w:tabs>
        <w:spacing w:line="363" w:lineRule="exact" w:before="106" w:after="0"/>
        <w:ind w:left="919" w:right="0" w:hanging="556"/>
        <w:jc w:val="left"/>
      </w:pPr>
      <w:r>
        <w:rPr>
          <w:spacing w:val="-2"/>
        </w:rPr>
        <w:t>肝叶切除手术</w:t>
      </w:r>
    </w:p>
    <w:p>
      <w:pPr>
        <w:pStyle w:val="BodyText"/>
        <w:spacing w:line="245" w:lineRule="exact"/>
        <w:ind w:left="919"/>
      </w:pPr>
      <w:r>
        <w:rPr>
          <w:spacing w:val="-3"/>
        </w:rPr>
        <w:t>指为治疗疾病或意外损伤，已经实施了一整叶肝脏切除。</w:t>
      </w:r>
    </w:p>
    <w:p>
      <w:pPr>
        <w:pStyle w:val="BodyText"/>
        <w:spacing w:before="4"/>
        <w:ind w:left="919"/>
      </w:pPr>
      <w:r>
        <w:rPr>
          <w:spacing w:val="-3"/>
        </w:rPr>
        <w:t>因酒精或滥用药物引致的疾病或紊乱，或因捐赠肝脏而进行的肝脏切除均不在保障范围内。</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2"/>
        </w:rPr>
        <w:t>单侧肺脏切除手术</w:t>
      </w:r>
    </w:p>
    <w:p>
      <w:pPr>
        <w:pStyle w:val="BodyText"/>
        <w:spacing w:line="246" w:lineRule="exact"/>
        <w:ind w:left="919"/>
      </w:pPr>
      <w:r>
        <w:rPr>
          <w:spacing w:val="-3"/>
        </w:rPr>
        <w:t>指为治疗疾病或意外损伤，已经实施了一侧肺脏完全切除手术。</w:t>
      </w:r>
    </w:p>
    <w:p>
      <w:pPr>
        <w:pStyle w:val="BodyText"/>
        <w:spacing w:before="2"/>
        <w:ind w:left="919"/>
      </w:pPr>
      <w:r>
        <w:rPr>
          <w:spacing w:val="-3"/>
        </w:rPr>
        <w:t>肺脏部分切除手术或因捐献肺脏而进行的肺脏切除手术不在保障范围内。</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3"/>
        </w:rPr>
        <w:t>单耳失聪</w:t>
      </w:r>
    </w:p>
    <w:p>
      <w:pPr>
        <w:pStyle w:val="BodyText"/>
        <w:spacing w:line="246" w:lineRule="exact"/>
        <w:ind w:left="919"/>
      </w:pPr>
      <w:r>
        <w:rPr>
          <w:spacing w:val="-4"/>
        </w:rPr>
        <w:t>指因疾病或意外伤害导致单耳听力永久不可逆性丧失，在 </w:t>
      </w:r>
      <w:r>
        <w:rPr>
          <w:spacing w:val="-2"/>
        </w:rPr>
        <w:t>500</w:t>
      </w:r>
      <w:r>
        <w:rPr>
          <w:spacing w:val="-10"/>
        </w:rPr>
        <w:t> 赫兹、</w:t>
      </w:r>
      <w:r>
        <w:rPr>
          <w:spacing w:val="-2"/>
        </w:rPr>
        <w:t>1000</w:t>
      </w:r>
      <w:r>
        <w:rPr>
          <w:spacing w:val="-15"/>
        </w:rPr>
        <w:t> 赫兹和 </w:t>
      </w:r>
      <w:r>
        <w:rPr>
          <w:spacing w:val="-2"/>
        </w:rPr>
        <w:t>2000</w:t>
      </w:r>
      <w:r>
        <w:rPr>
          <w:spacing w:val="-10"/>
        </w:rPr>
        <w:t> 赫兹语音频率</w:t>
      </w:r>
    </w:p>
    <w:p>
      <w:pPr>
        <w:pStyle w:val="BodyText"/>
        <w:spacing w:before="2"/>
        <w:ind w:left="919"/>
      </w:pPr>
      <w:r>
        <w:rPr>
          <w:spacing w:val="-6"/>
        </w:rPr>
        <w:t>下，平均听阈大于等于 </w:t>
      </w:r>
      <w:r>
        <w:rPr>
          <w:spacing w:val="-2"/>
        </w:rPr>
        <w:t>91</w:t>
      </w:r>
      <w:r>
        <w:rPr>
          <w:spacing w:val="-9"/>
        </w:rPr>
        <w:t> 分贝，且经纯音听力测试、声导抗检测或听觉诱发电位检测等证实。</w:t>
      </w:r>
    </w:p>
    <w:p>
      <w:pPr>
        <w:pStyle w:val="BodyText"/>
        <w:spacing w:before="4"/>
        <w:ind w:left="919"/>
      </w:pPr>
      <w:r>
        <w:rPr>
          <w:spacing w:val="-10"/>
        </w:rPr>
        <w:t>被保险人在 </w:t>
      </w:r>
      <w:r>
        <w:rPr>
          <w:spacing w:val="-2"/>
        </w:rPr>
        <w:t>3</w:t>
      </w:r>
      <w:r>
        <w:rPr>
          <w:spacing w:val="-10"/>
        </w:rPr>
        <w:t> 周岁之前因疾病导致的单耳失聪不在保障范围内。</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3"/>
        </w:rPr>
        <w:t>Ⅲ度烧伤</w:t>
      </w:r>
    </w:p>
    <w:p>
      <w:pPr>
        <w:pStyle w:val="BodyText"/>
        <w:spacing w:line="246" w:lineRule="exact"/>
        <w:ind w:left="919"/>
      </w:pPr>
      <w:r>
        <w:rPr>
          <w:spacing w:val="-3"/>
        </w:rPr>
        <w:t>指烧伤程度为Ⅲ度，且Ⅲ度烧伤面积为全身体表面积的 </w:t>
      </w:r>
      <w:r>
        <w:rPr>
          <w:spacing w:val="-2"/>
        </w:rPr>
        <w:t>10</w:t>
      </w:r>
      <w:r>
        <w:rPr>
          <w:spacing w:val="-8"/>
        </w:rPr>
        <w:t>％或 </w:t>
      </w:r>
      <w:r>
        <w:rPr>
          <w:spacing w:val="-2"/>
        </w:rPr>
        <w:t>10</w:t>
      </w:r>
      <w:r>
        <w:rPr>
          <w:spacing w:val="-4"/>
        </w:rPr>
        <w:t>％以上，但尚未达到 </w:t>
      </w:r>
      <w:r>
        <w:rPr>
          <w:spacing w:val="-2"/>
        </w:rPr>
        <w:t>20</w:t>
      </w:r>
      <w:r>
        <w:rPr>
          <w:spacing w:val="-4"/>
        </w:rPr>
        <w:t>％。体表面</w:t>
      </w:r>
    </w:p>
    <w:p>
      <w:pPr>
        <w:pStyle w:val="BodyText"/>
        <w:spacing w:before="2"/>
        <w:ind w:left="919"/>
      </w:pPr>
      <w:r>
        <w:rPr>
          <w:spacing w:val="-3"/>
        </w:rPr>
        <w:t>积根据《中国新九分法》计算。</w:t>
      </w:r>
    </w:p>
    <w:p>
      <w:pPr>
        <w:spacing w:after="0"/>
        <w:sectPr>
          <w:pgSz w:w="11910" w:h="16840"/>
          <w:pgMar w:header="0" w:footer="574" w:top="1060" w:bottom="760" w:left="720" w:right="340"/>
        </w:sectPr>
      </w:pPr>
    </w:p>
    <w:p>
      <w:pPr>
        <w:pStyle w:val="Heading2"/>
        <w:numPr>
          <w:ilvl w:val="0"/>
          <w:numId w:val="6"/>
        </w:numPr>
        <w:tabs>
          <w:tab w:pos="919" w:val="left" w:leader="none"/>
          <w:tab w:pos="920" w:val="left" w:leader="none"/>
        </w:tabs>
        <w:spacing w:line="352" w:lineRule="exact" w:before="0" w:after="0"/>
        <w:ind w:left="919" w:right="0" w:hanging="556"/>
        <w:jc w:val="left"/>
      </w:pPr>
      <w:r>
        <w:rPr>
          <w:spacing w:val="-3"/>
        </w:rPr>
        <w:t>面部烧伤</w:t>
      </w:r>
    </w:p>
    <w:p>
      <w:pPr>
        <w:pStyle w:val="BodyText"/>
        <w:spacing w:line="246" w:lineRule="exact"/>
        <w:ind w:left="919"/>
      </w:pPr>
      <w:r>
        <w:rPr>
          <w:spacing w:val="-1"/>
        </w:rPr>
        <w:t>指烧伤程度为Ⅲ度，且Ⅲ度烧伤的面积达到面部表面积的 </w:t>
      </w:r>
      <w:r>
        <w:rPr/>
        <w:t>30</w:t>
      </w:r>
      <w:r>
        <w:rPr>
          <w:spacing w:val="-6"/>
        </w:rPr>
        <w:t>％或 </w:t>
      </w:r>
      <w:r>
        <w:rPr/>
        <w:t>30</w:t>
      </w:r>
      <w:r>
        <w:rPr>
          <w:spacing w:val="-1"/>
        </w:rPr>
        <w:t>％以上，但未达到面部表面积的</w:t>
      </w:r>
    </w:p>
    <w:p>
      <w:pPr>
        <w:pStyle w:val="BodyText"/>
        <w:spacing w:before="2"/>
        <w:ind w:left="919"/>
      </w:pPr>
      <w:r>
        <w:rPr/>
        <w:t>80％</w:t>
      </w:r>
      <w:r>
        <w:rPr>
          <w:spacing w:val="-10"/>
        </w:rPr>
        <w:t>。</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2"/>
        </w:rPr>
        <w:t>Ⅲ度房室传导阻滞</w:t>
      </w:r>
    </w:p>
    <w:p>
      <w:pPr>
        <w:pStyle w:val="BodyText"/>
        <w:spacing w:line="245" w:lineRule="exact"/>
        <w:ind w:left="919"/>
      </w:pPr>
      <w:r>
        <w:rPr>
          <w:spacing w:val="-3"/>
        </w:rPr>
        <w:t>指心房激动在房室交界区、房室束及其分支内发生阻滞，不能正常地传到心室的心脏传导性疾病。且</w:t>
      </w:r>
    </w:p>
    <w:p>
      <w:pPr>
        <w:pStyle w:val="BodyText"/>
        <w:spacing w:before="5"/>
        <w:ind w:left="919"/>
      </w:pPr>
      <w:r>
        <w:rPr>
          <w:spacing w:val="-3"/>
        </w:rPr>
        <w:t>须满足下列全部条件：</w:t>
      </w:r>
    </w:p>
    <w:p>
      <w:pPr>
        <w:pStyle w:val="ListParagraph"/>
        <w:numPr>
          <w:ilvl w:val="0"/>
          <w:numId w:val="16"/>
        </w:numPr>
        <w:tabs>
          <w:tab w:pos="1657" w:val="left" w:leader="none"/>
        </w:tabs>
        <w:spacing w:line="240" w:lineRule="auto" w:before="2" w:after="0"/>
        <w:ind w:left="1656" w:right="0" w:hanging="738"/>
        <w:jc w:val="left"/>
        <w:rPr>
          <w:sz w:val="21"/>
        </w:rPr>
      </w:pPr>
      <w:r>
        <w:rPr>
          <w:spacing w:val="-2"/>
          <w:sz w:val="21"/>
        </w:rPr>
        <w:t>心电图显示房室搏动彼此独立，心室率＜50</w:t>
      </w:r>
      <w:r>
        <w:rPr>
          <w:spacing w:val="-10"/>
          <w:sz w:val="21"/>
        </w:rPr>
        <w:t> 次/分钟；</w:t>
      </w:r>
    </w:p>
    <w:p>
      <w:pPr>
        <w:pStyle w:val="ListParagraph"/>
        <w:numPr>
          <w:ilvl w:val="0"/>
          <w:numId w:val="16"/>
        </w:numPr>
        <w:tabs>
          <w:tab w:pos="1657" w:val="left" w:leader="none"/>
        </w:tabs>
        <w:spacing w:line="240" w:lineRule="auto" w:before="4" w:after="0"/>
        <w:ind w:left="1656" w:right="0" w:hanging="738"/>
        <w:jc w:val="left"/>
        <w:rPr>
          <w:sz w:val="21"/>
        </w:rPr>
      </w:pPr>
      <w:r>
        <w:rPr>
          <w:spacing w:val="-3"/>
          <w:sz w:val="21"/>
        </w:rPr>
        <w:t>出现阿-斯综合征或心力衰竭的表现；</w:t>
      </w:r>
    </w:p>
    <w:p>
      <w:pPr>
        <w:pStyle w:val="ListParagraph"/>
        <w:numPr>
          <w:ilvl w:val="0"/>
          <w:numId w:val="16"/>
        </w:numPr>
        <w:tabs>
          <w:tab w:pos="1657" w:val="left" w:leader="none"/>
        </w:tabs>
        <w:spacing w:line="240" w:lineRule="auto" w:before="2" w:after="0"/>
        <w:ind w:left="1656" w:right="0" w:hanging="738"/>
        <w:jc w:val="left"/>
        <w:rPr>
          <w:sz w:val="21"/>
        </w:rPr>
      </w:pPr>
      <w:r>
        <w:rPr>
          <w:spacing w:val="-3"/>
          <w:sz w:val="21"/>
        </w:rPr>
        <w:t>已经植入永久性心脏起搏器。</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2"/>
        </w:rPr>
        <w:t>慢性呼吸衰竭</w:t>
      </w:r>
    </w:p>
    <w:p>
      <w:pPr>
        <w:pStyle w:val="BodyText"/>
        <w:spacing w:line="246" w:lineRule="exact"/>
        <w:ind w:left="919"/>
      </w:pPr>
      <w:r>
        <w:rPr>
          <w:spacing w:val="-4"/>
        </w:rPr>
        <w:t>指因慢性呼吸系统疾病导致永久不可逆性的呼吸衰竭，经过积极治疗 </w:t>
      </w:r>
      <w:r>
        <w:rPr>
          <w:spacing w:val="-2"/>
        </w:rPr>
        <w:t>180</w:t>
      </w:r>
      <w:r>
        <w:rPr>
          <w:spacing w:val="-9"/>
        </w:rPr>
        <w:t> 天后满足以下所有条件：</w:t>
      </w:r>
    </w:p>
    <w:p>
      <w:pPr>
        <w:pStyle w:val="ListParagraph"/>
        <w:numPr>
          <w:ilvl w:val="0"/>
          <w:numId w:val="17"/>
        </w:numPr>
        <w:tabs>
          <w:tab w:pos="1657" w:val="left" w:leader="none"/>
        </w:tabs>
        <w:spacing w:line="240" w:lineRule="auto" w:before="2" w:after="0"/>
        <w:ind w:left="1656" w:right="0" w:hanging="738"/>
        <w:jc w:val="left"/>
        <w:rPr>
          <w:sz w:val="21"/>
        </w:rPr>
      </w:pPr>
      <w:r>
        <w:rPr>
          <w:spacing w:val="-3"/>
          <w:sz w:val="21"/>
        </w:rPr>
        <w:t>静息时出现呼吸困难；</w:t>
      </w:r>
    </w:p>
    <w:p>
      <w:pPr>
        <w:pStyle w:val="ListParagraph"/>
        <w:numPr>
          <w:ilvl w:val="0"/>
          <w:numId w:val="17"/>
        </w:numPr>
        <w:tabs>
          <w:tab w:pos="1657" w:val="left" w:leader="none"/>
        </w:tabs>
        <w:spacing w:line="240" w:lineRule="auto" w:before="4" w:after="0"/>
        <w:ind w:left="1656" w:right="0" w:hanging="738"/>
        <w:jc w:val="left"/>
        <w:rPr>
          <w:sz w:val="21"/>
        </w:rPr>
      </w:pPr>
      <w:r>
        <w:rPr>
          <w:spacing w:val="-2"/>
          <w:position w:val="1"/>
          <w:sz w:val="21"/>
        </w:rPr>
        <w:t>30％≤肺功能第一秒用力呼气容积（FEV</w:t>
      </w:r>
      <w:r>
        <w:rPr>
          <w:spacing w:val="-2"/>
          <w:sz w:val="11"/>
        </w:rPr>
        <w:t>1</w:t>
      </w:r>
      <w:r>
        <w:rPr>
          <w:spacing w:val="-2"/>
          <w:position w:val="1"/>
          <w:sz w:val="21"/>
        </w:rPr>
        <w:t>）占预计值的百分比＜50％；</w:t>
      </w:r>
    </w:p>
    <w:p>
      <w:pPr>
        <w:pStyle w:val="ListParagraph"/>
        <w:numPr>
          <w:ilvl w:val="0"/>
          <w:numId w:val="17"/>
        </w:numPr>
        <w:tabs>
          <w:tab w:pos="1657" w:val="left" w:leader="none"/>
        </w:tabs>
        <w:spacing w:line="240" w:lineRule="auto" w:before="2" w:after="0"/>
        <w:ind w:left="1656" w:right="0" w:hanging="738"/>
        <w:jc w:val="left"/>
        <w:rPr>
          <w:sz w:val="21"/>
        </w:rPr>
      </w:pPr>
      <w:r>
        <w:rPr>
          <w:spacing w:val="-2"/>
          <w:position w:val="1"/>
          <w:sz w:val="21"/>
        </w:rPr>
        <w:t>在静息状态、呼吸空气条件下，动脉血氧分压（PaO</w:t>
      </w:r>
      <w:r>
        <w:rPr>
          <w:spacing w:val="-2"/>
          <w:sz w:val="11"/>
        </w:rPr>
        <w:t>2</w:t>
      </w:r>
      <w:r>
        <w:rPr>
          <w:spacing w:val="-2"/>
          <w:position w:val="1"/>
          <w:sz w:val="21"/>
        </w:rPr>
        <w:t>）＜60mmHg</w:t>
      </w:r>
      <w:r>
        <w:rPr>
          <w:spacing w:val="-10"/>
          <w:position w:val="1"/>
          <w:sz w:val="21"/>
        </w:rPr>
        <w:t>。</w:t>
      </w:r>
    </w:p>
    <w:p>
      <w:pPr>
        <w:pStyle w:val="Heading2"/>
        <w:numPr>
          <w:ilvl w:val="0"/>
          <w:numId w:val="6"/>
        </w:numPr>
        <w:tabs>
          <w:tab w:pos="919" w:val="left" w:leader="none"/>
          <w:tab w:pos="920" w:val="left" w:leader="none"/>
        </w:tabs>
        <w:spacing w:line="363" w:lineRule="exact" w:before="109" w:after="0"/>
        <w:ind w:left="919" w:right="0" w:hanging="556"/>
        <w:jc w:val="left"/>
      </w:pPr>
      <w:r>
        <w:rPr>
          <w:spacing w:val="-3"/>
        </w:rPr>
        <w:t>阻塞性睡眠呼吸暂停综合征</w:t>
      </w:r>
    </w:p>
    <w:p>
      <w:pPr>
        <w:pStyle w:val="BodyText"/>
        <w:spacing w:line="245" w:lineRule="exact"/>
        <w:ind w:left="919"/>
      </w:pPr>
      <w:r>
        <w:rPr>
          <w:spacing w:val="-4"/>
        </w:rPr>
        <w:t>指由相关专科医生，经多导睡眠监测仪监测诊断为阻塞性睡眠呼吸暂停综合征</w:t>
      </w:r>
      <w:r>
        <w:rPr>
          <w:spacing w:val="14"/>
        </w:rPr>
        <w:t>（OSA</w:t>
      </w:r>
      <w:r>
        <w:rPr>
          <w:spacing w:val="-94"/>
        </w:rPr>
        <w:t>）</w:t>
      </w:r>
      <w:r>
        <w:rPr>
          <w:spacing w:val="-4"/>
        </w:rPr>
        <w:t>，且须满足下列</w:t>
      </w:r>
    </w:p>
    <w:p>
      <w:pPr>
        <w:pStyle w:val="BodyText"/>
        <w:spacing w:before="4"/>
        <w:ind w:left="919"/>
      </w:pPr>
      <w:r>
        <w:rPr>
          <w:spacing w:val="-4"/>
        </w:rPr>
        <w:t>全部条件：</w:t>
      </w:r>
    </w:p>
    <w:p>
      <w:pPr>
        <w:pStyle w:val="ListParagraph"/>
        <w:numPr>
          <w:ilvl w:val="0"/>
          <w:numId w:val="18"/>
        </w:numPr>
        <w:tabs>
          <w:tab w:pos="1657" w:val="left" w:leader="none"/>
        </w:tabs>
        <w:spacing w:line="240" w:lineRule="auto" w:before="3" w:after="0"/>
        <w:ind w:left="1656" w:right="0" w:hanging="738"/>
        <w:jc w:val="left"/>
        <w:rPr>
          <w:sz w:val="21"/>
        </w:rPr>
      </w:pPr>
      <w:r>
        <w:rPr>
          <w:spacing w:val="-2"/>
          <w:sz w:val="21"/>
        </w:rPr>
        <w:t>必须正在接受持续正压通气（CPAP）</w:t>
      </w:r>
      <w:r>
        <w:rPr>
          <w:spacing w:val="-3"/>
          <w:sz w:val="21"/>
        </w:rPr>
        <w:t>呼吸器之夜间治疗；</w:t>
      </w:r>
    </w:p>
    <w:p>
      <w:pPr>
        <w:pStyle w:val="ListParagraph"/>
        <w:numPr>
          <w:ilvl w:val="0"/>
          <w:numId w:val="18"/>
        </w:numPr>
        <w:tabs>
          <w:tab w:pos="1657" w:val="left" w:leader="none"/>
        </w:tabs>
        <w:spacing w:line="242" w:lineRule="auto" w:before="4" w:after="0"/>
        <w:ind w:left="1656" w:right="661" w:hanging="737"/>
        <w:jc w:val="left"/>
        <w:rPr>
          <w:sz w:val="21"/>
        </w:rPr>
      </w:pPr>
      <w:r>
        <w:rPr>
          <w:spacing w:val="-2"/>
          <w:sz w:val="21"/>
        </w:rPr>
        <w:t>必须提供睡眠测试的文件证明，显示呼吸暂停低通气指数（AHI）＞30</w:t>
      </w:r>
      <w:r>
        <w:rPr>
          <w:spacing w:val="-9"/>
          <w:sz w:val="21"/>
        </w:rPr>
        <w:t> 及夜间血氧饱和度平均</w:t>
      </w:r>
      <w:r>
        <w:rPr>
          <w:spacing w:val="-8"/>
          <w:sz w:val="21"/>
        </w:rPr>
        <w:t>值持续小于 </w:t>
      </w:r>
      <w:r>
        <w:rPr>
          <w:sz w:val="21"/>
        </w:rPr>
        <w:t>85％。</w:t>
      </w:r>
    </w:p>
    <w:p>
      <w:pPr>
        <w:pStyle w:val="Heading2"/>
        <w:numPr>
          <w:ilvl w:val="0"/>
          <w:numId w:val="6"/>
        </w:numPr>
        <w:tabs>
          <w:tab w:pos="919" w:val="left" w:leader="none"/>
          <w:tab w:pos="920" w:val="left" w:leader="none"/>
        </w:tabs>
        <w:spacing w:line="364" w:lineRule="exact" w:before="102" w:after="0"/>
        <w:ind w:left="919" w:right="0" w:hanging="556"/>
        <w:jc w:val="left"/>
      </w:pPr>
      <w:r>
        <w:rPr>
          <w:spacing w:val="-2"/>
        </w:rPr>
        <w:t>慢性肾衰竭</w:t>
      </w:r>
    </w:p>
    <w:p>
      <w:pPr>
        <w:pStyle w:val="BodyText"/>
        <w:spacing w:line="246" w:lineRule="exact"/>
        <w:ind w:left="919"/>
      </w:pPr>
      <w:r>
        <w:rPr>
          <w:spacing w:val="-3"/>
        </w:rPr>
        <w:t>指双肾功能慢性不可逆性衰竭，且须满足下列全部条件：</w:t>
      </w:r>
    </w:p>
    <w:p>
      <w:pPr>
        <w:pStyle w:val="ListParagraph"/>
        <w:numPr>
          <w:ilvl w:val="0"/>
          <w:numId w:val="19"/>
        </w:numPr>
        <w:tabs>
          <w:tab w:pos="1657" w:val="left" w:leader="none"/>
        </w:tabs>
        <w:spacing w:line="240" w:lineRule="auto" w:before="2" w:after="0"/>
        <w:ind w:left="1656" w:right="0" w:hanging="738"/>
        <w:jc w:val="left"/>
        <w:rPr>
          <w:sz w:val="21"/>
        </w:rPr>
      </w:pPr>
      <w:r>
        <w:rPr>
          <w:spacing w:val="-2"/>
          <w:sz w:val="21"/>
        </w:rPr>
        <w:t>肌酐清除率（Ccr）</w:t>
      </w:r>
      <w:r>
        <w:rPr>
          <w:spacing w:val="-18"/>
          <w:sz w:val="21"/>
        </w:rPr>
        <w:t>低于 </w:t>
      </w:r>
      <w:r>
        <w:rPr>
          <w:spacing w:val="-2"/>
          <w:sz w:val="21"/>
        </w:rPr>
        <w:t>30ml/min</w:t>
      </w:r>
      <w:r>
        <w:rPr>
          <w:spacing w:val="-10"/>
          <w:sz w:val="21"/>
        </w:rPr>
        <w:t>，持续超过 </w:t>
      </w:r>
      <w:r>
        <w:rPr>
          <w:spacing w:val="-2"/>
          <w:sz w:val="21"/>
        </w:rPr>
        <w:t>90</w:t>
      </w:r>
      <w:r>
        <w:rPr>
          <w:spacing w:val="-19"/>
          <w:sz w:val="21"/>
        </w:rPr>
        <w:t> 日；</w:t>
      </w:r>
    </w:p>
    <w:p>
      <w:pPr>
        <w:pStyle w:val="ListParagraph"/>
        <w:numPr>
          <w:ilvl w:val="0"/>
          <w:numId w:val="19"/>
        </w:numPr>
        <w:tabs>
          <w:tab w:pos="1657" w:val="left" w:leader="none"/>
        </w:tabs>
        <w:spacing w:line="240" w:lineRule="auto" w:before="5" w:after="0"/>
        <w:ind w:left="1656" w:right="0" w:hanging="738"/>
        <w:jc w:val="left"/>
        <w:rPr>
          <w:sz w:val="21"/>
        </w:rPr>
      </w:pPr>
      <w:r>
        <w:rPr>
          <w:spacing w:val="-2"/>
          <w:sz w:val="21"/>
        </w:rPr>
        <w:t>血肌酐（Scr）＞5mg/dl</w:t>
      </w:r>
      <w:r>
        <w:rPr>
          <w:spacing w:val="-24"/>
          <w:sz w:val="21"/>
        </w:rPr>
        <w:t> 或</w:t>
      </w:r>
      <w:r>
        <w:rPr>
          <w:spacing w:val="-2"/>
          <w:sz w:val="21"/>
        </w:rPr>
        <w:t>＞442μmol/L</w:t>
      </w:r>
      <w:r>
        <w:rPr>
          <w:spacing w:val="-9"/>
          <w:sz w:val="21"/>
        </w:rPr>
        <w:t>，持续超过 </w:t>
      </w:r>
      <w:r>
        <w:rPr>
          <w:spacing w:val="-2"/>
          <w:sz w:val="21"/>
        </w:rPr>
        <w:t>90</w:t>
      </w:r>
      <w:r>
        <w:rPr>
          <w:spacing w:val="-18"/>
          <w:sz w:val="21"/>
        </w:rPr>
        <w:t> 日。</w:t>
      </w:r>
    </w:p>
    <w:p>
      <w:pPr>
        <w:pStyle w:val="Heading2"/>
        <w:numPr>
          <w:ilvl w:val="0"/>
          <w:numId w:val="6"/>
        </w:numPr>
        <w:tabs>
          <w:tab w:pos="919" w:val="left" w:leader="none"/>
          <w:tab w:pos="920" w:val="left" w:leader="none"/>
        </w:tabs>
        <w:spacing w:line="364" w:lineRule="exact" w:before="105" w:after="0"/>
        <w:ind w:left="919" w:right="0" w:hanging="556"/>
        <w:jc w:val="left"/>
      </w:pPr>
      <w:r>
        <w:rPr>
          <w:spacing w:val="-3"/>
        </w:rPr>
        <w:t>克罗恩病</w:t>
      </w:r>
    </w:p>
    <w:p>
      <w:pPr>
        <w:pStyle w:val="BodyText"/>
        <w:spacing w:line="246" w:lineRule="exact"/>
        <w:ind w:left="919"/>
      </w:pPr>
      <w:r>
        <w:rPr>
          <w:spacing w:val="-6"/>
        </w:rPr>
        <w:t>指一种慢性肉芽肿性肠炎，具有特征性的克罗恩病（Crohn</w:t>
      </w:r>
      <w:r>
        <w:rPr>
          <w:spacing w:val="8"/>
        </w:rPr>
        <w:t> 病</w:t>
      </w:r>
      <w:r>
        <w:rPr>
          <w:spacing w:val="-6"/>
        </w:rPr>
        <w:t>）</w:t>
      </w:r>
      <w:r>
        <w:rPr>
          <w:spacing w:val="-7"/>
        </w:rPr>
        <w:t>病理组织学变化。且须满足下列全部条</w:t>
      </w:r>
    </w:p>
    <w:p>
      <w:pPr>
        <w:pStyle w:val="BodyText"/>
        <w:spacing w:before="2"/>
        <w:ind w:left="919"/>
      </w:pPr>
      <w:r>
        <w:rPr>
          <w:spacing w:val="-5"/>
        </w:rPr>
        <w:t>件：</w:t>
      </w:r>
    </w:p>
    <w:p>
      <w:pPr>
        <w:pStyle w:val="ListParagraph"/>
        <w:numPr>
          <w:ilvl w:val="0"/>
          <w:numId w:val="20"/>
        </w:numPr>
        <w:tabs>
          <w:tab w:pos="1657" w:val="left" w:leader="none"/>
        </w:tabs>
        <w:spacing w:line="240" w:lineRule="auto" w:before="5" w:after="0"/>
        <w:ind w:left="1656" w:right="0" w:hanging="738"/>
        <w:jc w:val="left"/>
        <w:rPr>
          <w:sz w:val="21"/>
        </w:rPr>
      </w:pPr>
      <w:r>
        <w:rPr>
          <w:spacing w:val="-3"/>
          <w:sz w:val="21"/>
        </w:rPr>
        <w:t>诊断必须由相关专科医生经过病理检查结果证实；</w:t>
      </w:r>
    </w:p>
    <w:p>
      <w:pPr>
        <w:pStyle w:val="ListParagraph"/>
        <w:numPr>
          <w:ilvl w:val="0"/>
          <w:numId w:val="20"/>
        </w:numPr>
        <w:tabs>
          <w:tab w:pos="1657" w:val="left" w:leader="none"/>
        </w:tabs>
        <w:spacing w:line="240" w:lineRule="auto" w:before="2" w:after="0"/>
        <w:ind w:left="1656" w:right="0" w:hanging="738"/>
        <w:jc w:val="left"/>
        <w:rPr>
          <w:sz w:val="21"/>
        </w:rPr>
      </w:pPr>
      <w:r>
        <w:rPr>
          <w:spacing w:val="-5"/>
          <w:sz w:val="21"/>
        </w:rPr>
        <w:t>已经实施了类固醇或免疫抑制剂连续治疗 </w:t>
      </w:r>
      <w:r>
        <w:rPr>
          <w:spacing w:val="-2"/>
          <w:sz w:val="21"/>
        </w:rPr>
        <w:t>6</w:t>
      </w:r>
      <w:r>
        <w:rPr>
          <w:spacing w:val="-16"/>
          <w:sz w:val="21"/>
        </w:rPr>
        <w:t> 个月。</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3"/>
        </w:rPr>
        <w:t>颈动脉血管内膜切除术</w:t>
      </w:r>
    </w:p>
    <w:p>
      <w:pPr>
        <w:pStyle w:val="BodyText"/>
        <w:spacing w:line="246" w:lineRule="exact"/>
        <w:ind w:left="919"/>
      </w:pPr>
      <w:r>
        <w:rPr>
          <w:spacing w:val="-5"/>
        </w:rPr>
        <w:t>指颈动脉狭窄超过 </w:t>
      </w:r>
      <w:r>
        <w:rPr>
          <w:spacing w:val="-2"/>
        </w:rPr>
        <w:t>80</w:t>
      </w:r>
      <w:r>
        <w:rPr>
          <w:spacing w:val="-3"/>
        </w:rPr>
        <w:t>％且已经实施了颈动脉内膜切除手术，颈动脉狭窄程度必须经颈动脉造影证实。</w:t>
      </w:r>
    </w:p>
    <w:p>
      <w:pPr>
        <w:pStyle w:val="BodyText"/>
        <w:spacing w:before="2"/>
        <w:ind w:left="919"/>
      </w:pPr>
      <w:r>
        <w:rPr>
          <w:spacing w:val="-3"/>
        </w:rPr>
        <w:t>针对颈动脉狭窄介入治疗和颈动脉以外的血管施行的动脉内膜切除手术不在保障范围内。</w:t>
      </w:r>
    </w:p>
    <w:p>
      <w:pPr>
        <w:pStyle w:val="Heading2"/>
        <w:numPr>
          <w:ilvl w:val="0"/>
          <w:numId w:val="6"/>
        </w:numPr>
        <w:tabs>
          <w:tab w:pos="919" w:val="left" w:leader="none"/>
          <w:tab w:pos="920" w:val="left" w:leader="none"/>
        </w:tabs>
        <w:spacing w:line="363" w:lineRule="exact" w:before="107" w:after="0"/>
        <w:ind w:left="919" w:right="0" w:hanging="556"/>
        <w:jc w:val="left"/>
      </w:pPr>
      <w:r>
        <w:rPr>
          <w:spacing w:val="-2"/>
        </w:rPr>
        <w:t>颈动脉狭窄介入治疗</w:t>
      </w:r>
    </w:p>
    <w:p>
      <w:pPr>
        <w:pStyle w:val="BodyText"/>
        <w:spacing w:line="245" w:lineRule="exact"/>
        <w:ind w:left="919"/>
      </w:pPr>
      <w:r>
        <w:rPr>
          <w:spacing w:val="-8"/>
        </w:rPr>
        <w:t>指对一条或一条以上的颈动脉狭窄的治疗，疾病的诊断及治疗均须由相关专科医生认为是医学必需的，</w:t>
      </w:r>
    </w:p>
    <w:p>
      <w:pPr>
        <w:pStyle w:val="BodyText"/>
        <w:spacing w:before="5"/>
        <w:ind w:left="919"/>
      </w:pPr>
      <w:r>
        <w:rPr>
          <w:spacing w:val="-3"/>
        </w:rPr>
        <w:t>且须满足下列全部条件：</w:t>
      </w:r>
    </w:p>
    <w:p>
      <w:pPr>
        <w:pStyle w:val="ListParagraph"/>
        <w:numPr>
          <w:ilvl w:val="0"/>
          <w:numId w:val="21"/>
        </w:numPr>
        <w:tabs>
          <w:tab w:pos="1657" w:val="left" w:leader="none"/>
        </w:tabs>
        <w:spacing w:line="240" w:lineRule="auto" w:before="2" w:after="0"/>
        <w:ind w:left="1656" w:right="0" w:hanging="738"/>
        <w:jc w:val="left"/>
        <w:rPr>
          <w:sz w:val="21"/>
        </w:rPr>
      </w:pPr>
      <w:r>
        <w:rPr>
          <w:spacing w:val="-4"/>
          <w:sz w:val="21"/>
        </w:rPr>
        <w:t>经由血管造影术证明一条或一条以上的颈动脉存在 </w:t>
      </w:r>
      <w:r>
        <w:rPr>
          <w:spacing w:val="-2"/>
          <w:sz w:val="21"/>
        </w:rPr>
        <w:t>50</w:t>
      </w:r>
      <w:r>
        <w:rPr>
          <w:spacing w:val="-15"/>
          <w:sz w:val="21"/>
        </w:rPr>
        <w:t>％或 </w:t>
      </w:r>
      <w:r>
        <w:rPr>
          <w:spacing w:val="-2"/>
          <w:sz w:val="21"/>
        </w:rPr>
        <w:t>50</w:t>
      </w:r>
      <w:r>
        <w:rPr>
          <w:spacing w:val="-4"/>
          <w:sz w:val="21"/>
        </w:rPr>
        <w:t>％以上狭窄；</w:t>
      </w:r>
    </w:p>
    <w:p>
      <w:pPr>
        <w:pStyle w:val="ListParagraph"/>
        <w:numPr>
          <w:ilvl w:val="0"/>
          <w:numId w:val="21"/>
        </w:numPr>
        <w:tabs>
          <w:tab w:pos="1657" w:val="left" w:leader="none"/>
        </w:tabs>
        <w:spacing w:line="244" w:lineRule="auto" w:before="2" w:after="0"/>
        <w:ind w:left="1656" w:right="661" w:hanging="737"/>
        <w:jc w:val="left"/>
        <w:rPr>
          <w:sz w:val="21"/>
        </w:rPr>
      </w:pPr>
      <w:r>
        <w:rPr>
          <w:spacing w:val="-6"/>
          <w:sz w:val="21"/>
        </w:rPr>
        <w:t>确实已针对以上狭窄血管进行介入治疗以减轻症状，介入治疗包括血管成形术或植入支架或颈</w:t>
      </w:r>
      <w:r>
        <w:rPr>
          <w:spacing w:val="-2"/>
          <w:sz w:val="21"/>
        </w:rPr>
        <w:t>动脉粥样斑块清除手术。</w:t>
      </w:r>
    </w:p>
    <w:p>
      <w:pPr>
        <w:pStyle w:val="Heading2"/>
        <w:numPr>
          <w:ilvl w:val="0"/>
          <w:numId w:val="6"/>
        </w:numPr>
        <w:tabs>
          <w:tab w:pos="919" w:val="left" w:leader="none"/>
          <w:tab w:pos="920" w:val="left" w:leader="none"/>
        </w:tabs>
        <w:spacing w:line="364" w:lineRule="exact" w:before="100" w:after="0"/>
        <w:ind w:left="919" w:right="0" w:hanging="556"/>
        <w:jc w:val="left"/>
      </w:pPr>
      <w:r>
        <w:rPr>
          <w:spacing w:val="-2"/>
        </w:rPr>
        <w:t>心包膜切除手术</w:t>
      </w:r>
    </w:p>
    <w:p>
      <w:pPr>
        <w:pStyle w:val="BodyText"/>
        <w:spacing w:line="246" w:lineRule="exact"/>
        <w:ind w:left="919"/>
      </w:pPr>
      <w:r>
        <w:rPr>
          <w:spacing w:val="-3"/>
        </w:rPr>
        <w:t>指为治疗心包膜疾病，已经实施了心包膜切除手术，手术必须在医院的心脏科医生认为是医学上必需</w:t>
      </w:r>
    </w:p>
    <w:p>
      <w:pPr>
        <w:pStyle w:val="BodyText"/>
        <w:spacing w:before="2"/>
        <w:ind w:left="919"/>
      </w:pPr>
      <w:r>
        <w:rPr>
          <w:spacing w:val="-4"/>
        </w:rPr>
        <w:t>的情况下进行。</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2"/>
        </w:rPr>
        <w:t>溃疡性结肠炎</w:t>
      </w:r>
    </w:p>
    <w:p>
      <w:pPr>
        <w:pStyle w:val="BodyText"/>
        <w:spacing w:line="245" w:lineRule="exact"/>
        <w:ind w:left="919"/>
      </w:pPr>
      <w:r>
        <w:rPr>
          <w:spacing w:val="-3"/>
        </w:rPr>
        <w:t>指伴有致命性电解质紊乱的急性暴发性溃疡性结肠炎，病变已经累及全结肠，表现为严重的血便和系</w:t>
      </w:r>
    </w:p>
    <w:p>
      <w:pPr>
        <w:pStyle w:val="BodyText"/>
        <w:spacing w:before="2"/>
        <w:ind w:left="919"/>
      </w:pPr>
      <w:r>
        <w:rPr>
          <w:spacing w:val="-3"/>
        </w:rPr>
        <w:t>统性症状体征，须根据组织病理学特点诊断，且已经实施了类固醇或免疫抑制剂连续治疗 </w:t>
      </w:r>
      <w:r>
        <w:rPr>
          <w:spacing w:val="-2"/>
        </w:rPr>
        <w:t>6</w:t>
      </w:r>
      <w:r>
        <w:rPr>
          <w:spacing w:val="-14"/>
        </w:rPr>
        <w:t> 个月。</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2"/>
        </w:rPr>
        <w:t>双侧卵巢切除术</w:t>
      </w:r>
    </w:p>
    <w:p>
      <w:pPr>
        <w:pStyle w:val="BodyText"/>
        <w:spacing w:line="245" w:lineRule="exact"/>
        <w:ind w:left="919"/>
      </w:pPr>
      <w:r>
        <w:rPr>
          <w:spacing w:val="-3"/>
        </w:rPr>
        <w:t>指为治疗疾病已经实施了经腹部切开或腹腔镜进行的双侧卵巢完全切除手术。</w:t>
      </w:r>
    </w:p>
    <w:p>
      <w:pPr>
        <w:pStyle w:val="BodyText"/>
        <w:spacing w:before="4"/>
        <w:ind w:left="919"/>
      </w:pPr>
      <w:r>
        <w:rPr>
          <w:spacing w:val="-3"/>
        </w:rPr>
        <w:t>单侧或部分卵巢切除、变性手术、因恶性肿瘤引起的手术不在保障范围内。</w:t>
      </w:r>
    </w:p>
    <w:p>
      <w:pPr>
        <w:spacing w:after="0"/>
        <w:sectPr>
          <w:pgSz w:w="11910" w:h="16840"/>
          <w:pgMar w:header="0" w:footer="574" w:top="1060" w:bottom="760" w:left="720" w:right="340"/>
        </w:sectPr>
      </w:pPr>
    </w:p>
    <w:p>
      <w:pPr>
        <w:pStyle w:val="Heading2"/>
        <w:numPr>
          <w:ilvl w:val="0"/>
          <w:numId w:val="6"/>
        </w:numPr>
        <w:tabs>
          <w:tab w:pos="919" w:val="left" w:leader="none"/>
          <w:tab w:pos="920" w:val="left" w:leader="none"/>
        </w:tabs>
        <w:spacing w:line="343" w:lineRule="exact" w:before="0" w:after="0"/>
        <w:ind w:left="919" w:right="0" w:hanging="556"/>
        <w:jc w:val="left"/>
      </w:pPr>
      <w:r>
        <w:rPr>
          <w:spacing w:val="-2"/>
        </w:rPr>
        <w:t>原发性心肌病</w:t>
      </w:r>
    </w:p>
    <w:p>
      <w:pPr>
        <w:pStyle w:val="BodyText"/>
        <w:spacing w:line="246" w:lineRule="exact"/>
        <w:ind w:left="912"/>
      </w:pPr>
      <w:r>
        <w:rPr>
          <w:spacing w:val="-3"/>
        </w:rPr>
        <w:t>指不明原因引起的一类心肌病变，包括原发性扩张型心肌病、原发性肥厚型心肌病及原发性限制型心</w:t>
      </w:r>
    </w:p>
    <w:p>
      <w:pPr>
        <w:pStyle w:val="BodyText"/>
        <w:spacing w:before="2"/>
        <w:ind w:left="919"/>
      </w:pPr>
      <w:r>
        <w:rPr>
          <w:spacing w:val="-1"/>
        </w:rPr>
        <w:t>肌病三种，病变必须已造成事实上心室功能障碍而出现明显的心功能衰竭达到美国纽约心脏病学会</w:t>
      </w:r>
    </w:p>
    <w:p>
      <w:pPr>
        <w:pStyle w:val="BodyText"/>
        <w:spacing w:line="242" w:lineRule="auto" w:before="4"/>
        <w:ind w:left="919" w:right="661"/>
      </w:pPr>
      <w:r>
        <w:rPr/>
        <w:t>（New</w:t>
      </w:r>
      <w:r>
        <w:rPr>
          <w:spacing w:val="-4"/>
        </w:rPr>
        <w:t> </w:t>
      </w:r>
      <w:r>
        <w:rPr/>
        <w:t>York</w:t>
      </w:r>
      <w:r>
        <w:rPr>
          <w:spacing w:val="-4"/>
        </w:rPr>
        <w:t> </w:t>
      </w:r>
      <w:r>
        <w:rPr/>
        <w:t>Heart</w:t>
      </w:r>
      <w:r>
        <w:rPr>
          <w:spacing w:val="-4"/>
        </w:rPr>
        <w:t> </w:t>
      </w:r>
      <w:r>
        <w:rPr/>
        <w:t>Association，NYHA）心功能状态分级Ⅲ级。经相关专科医生明确诊断，且须提供</w:t>
      </w:r>
      <w:r>
        <w:rPr>
          <w:spacing w:val="-2"/>
        </w:rPr>
        <w:t>超声心动图或其他支持性检查结果及诊断报告。</w:t>
      </w:r>
    </w:p>
    <w:p>
      <w:pPr>
        <w:pStyle w:val="BodyText"/>
        <w:spacing w:before="2"/>
        <w:ind w:left="912"/>
      </w:pPr>
      <w:r>
        <w:rPr>
          <w:spacing w:val="-3"/>
        </w:rPr>
        <w:t>酗酒或滥用药物引起的心肌病不在保障范围内。</w:t>
      </w:r>
    </w:p>
    <w:p>
      <w:pPr>
        <w:pStyle w:val="Heading2"/>
        <w:numPr>
          <w:ilvl w:val="0"/>
          <w:numId w:val="6"/>
        </w:numPr>
        <w:tabs>
          <w:tab w:pos="919" w:val="left" w:leader="none"/>
          <w:tab w:pos="920" w:val="left" w:leader="none"/>
        </w:tabs>
        <w:spacing w:line="364" w:lineRule="exact" w:before="105" w:after="0"/>
        <w:ind w:left="919" w:right="0" w:hanging="556"/>
        <w:jc w:val="left"/>
      </w:pPr>
      <w:r>
        <w:rPr>
          <w:spacing w:val="-3"/>
        </w:rPr>
        <w:t>腔静脉过滤器植入手术</w:t>
      </w:r>
    </w:p>
    <w:p>
      <w:pPr>
        <w:pStyle w:val="BodyText"/>
        <w:spacing w:line="246" w:lineRule="exact"/>
        <w:ind w:left="919"/>
      </w:pPr>
      <w:r>
        <w:rPr>
          <w:spacing w:val="-3"/>
        </w:rPr>
        <w:t>指为治疗反复肺栓塞发作，抗凝血疗法无效，已经实施了腔静脉过滤器植入手术。手术必须经相关专</w:t>
      </w:r>
    </w:p>
    <w:p>
      <w:pPr>
        <w:pStyle w:val="BodyText"/>
        <w:spacing w:before="2"/>
        <w:ind w:left="919"/>
      </w:pPr>
      <w:r>
        <w:rPr>
          <w:spacing w:val="-3"/>
        </w:rPr>
        <w:t>科医生认为是医学上必需的情况下进行。</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3"/>
        </w:rPr>
        <w:t>轻度病毒性脑炎后遗症</w:t>
      </w:r>
    </w:p>
    <w:p>
      <w:pPr>
        <w:pStyle w:val="BodyText"/>
        <w:spacing w:line="246" w:lineRule="exact"/>
        <w:ind w:left="919"/>
      </w:pPr>
      <w:r>
        <w:rPr>
          <w:spacing w:val="-4"/>
        </w:rPr>
        <w:t>因病毒感染致脑炎（</w:t>
      </w:r>
      <w:r>
        <w:rPr>
          <w:spacing w:val="-11"/>
        </w:rPr>
        <w:t>大脑半球、脑干或小脑</w:t>
      </w:r>
      <w:r>
        <w:rPr>
          <w:spacing w:val="-78"/>
        </w:rPr>
        <w:t>）</w:t>
      </w:r>
      <w:r>
        <w:rPr>
          <w:spacing w:val="-16"/>
        </w:rPr>
        <w:t>，需要入住医院，并导致永久不可逆的神经系统功能障碍，</w:t>
      </w:r>
    </w:p>
    <w:p>
      <w:pPr>
        <w:pStyle w:val="BodyText"/>
        <w:spacing w:line="244" w:lineRule="auto" w:before="2"/>
        <w:ind w:left="919" w:right="661"/>
      </w:pPr>
      <w:r>
        <w:rPr>
          <w:spacing w:val="-4"/>
        </w:rPr>
        <w:t>即经相关专科医生初次确诊 </w:t>
      </w:r>
      <w:r>
        <w:rPr/>
        <w:t>180</w:t>
      </w:r>
      <w:r>
        <w:rPr>
          <w:spacing w:val="-7"/>
        </w:rPr>
        <w:t> 天后，其自主生活能力部分丧失，无法独立完成六项基本日常生活活</w:t>
      </w:r>
      <w:r>
        <w:rPr>
          <w:spacing w:val="-2"/>
        </w:rPr>
        <w:t>动中的二项。</w:t>
      </w:r>
    </w:p>
    <w:p>
      <w:pPr>
        <w:pStyle w:val="Heading2"/>
        <w:numPr>
          <w:ilvl w:val="0"/>
          <w:numId w:val="6"/>
        </w:numPr>
        <w:tabs>
          <w:tab w:pos="919" w:val="left" w:leader="none"/>
          <w:tab w:pos="920" w:val="left" w:leader="none"/>
        </w:tabs>
        <w:spacing w:line="364" w:lineRule="exact" w:before="99" w:after="0"/>
        <w:ind w:left="919" w:right="0" w:hanging="556"/>
        <w:jc w:val="left"/>
      </w:pPr>
      <w:r>
        <w:rPr/>
        <w:t>早期脑退化症(</w:t>
      </w:r>
      <w:r>
        <w:rPr>
          <w:spacing w:val="-1"/>
        </w:rPr>
        <w:t>包括早期阿尔茨海默病)</w:t>
      </w:r>
    </w:p>
    <w:p>
      <w:pPr>
        <w:pStyle w:val="BodyText"/>
        <w:spacing w:line="246" w:lineRule="exact"/>
        <w:ind w:left="919"/>
      </w:pPr>
      <w:r>
        <w:rPr>
          <w:spacing w:val="-3"/>
        </w:rPr>
        <w:t>指脑的器质性疾病造成永久不可逆的认知功能障碍。该疾病须已经持续治疗了 </w:t>
      </w:r>
      <w:r>
        <w:rPr>
          <w:spacing w:val="-2"/>
        </w:rPr>
        <w:t>180</w:t>
      </w:r>
      <w:r>
        <w:rPr>
          <w:spacing w:val="-9"/>
        </w:rPr>
        <w:t> 天，且须满足下列</w:t>
      </w:r>
    </w:p>
    <w:p>
      <w:pPr>
        <w:pStyle w:val="BodyText"/>
        <w:spacing w:before="3"/>
        <w:ind w:left="919"/>
      </w:pPr>
      <w:r>
        <w:rPr>
          <w:spacing w:val="-4"/>
        </w:rPr>
        <w:t>全部条件：</w:t>
      </w:r>
    </w:p>
    <w:p>
      <w:pPr>
        <w:pStyle w:val="ListParagraph"/>
        <w:numPr>
          <w:ilvl w:val="0"/>
          <w:numId w:val="22"/>
        </w:numPr>
        <w:tabs>
          <w:tab w:pos="1657" w:val="left" w:leader="none"/>
        </w:tabs>
        <w:spacing w:line="242" w:lineRule="auto" w:before="2" w:after="0"/>
        <w:ind w:left="1656" w:right="661" w:hanging="737"/>
        <w:jc w:val="both"/>
        <w:rPr>
          <w:sz w:val="21"/>
        </w:rPr>
      </w:pPr>
      <w:r>
        <w:rPr>
          <w:w w:val="95"/>
          <w:sz w:val="21"/>
        </w:rPr>
        <w:t>治</w:t>
      </w:r>
      <w:r>
        <w:rPr>
          <w:w w:val="95"/>
          <w:sz w:val="21"/>
        </w:rPr>
        <w:t>疗</w:t>
      </w:r>
      <w:r>
        <w:rPr>
          <w:w w:val="95"/>
          <w:sz w:val="21"/>
        </w:rPr>
        <w:t>前后两次简易智能精</w:t>
      </w:r>
      <w:r>
        <w:rPr>
          <w:w w:val="95"/>
          <w:sz w:val="21"/>
        </w:rPr>
        <w:t>神</w:t>
      </w:r>
      <w:r>
        <w:rPr>
          <w:w w:val="95"/>
          <w:sz w:val="21"/>
        </w:rPr>
        <w:t>状</w:t>
      </w:r>
      <w:r>
        <w:rPr>
          <w:w w:val="95"/>
          <w:sz w:val="21"/>
        </w:rPr>
        <w:t>态检查表（MMSE）评</w:t>
      </w:r>
      <w:r>
        <w:rPr>
          <w:w w:val="95"/>
          <w:sz w:val="21"/>
        </w:rPr>
        <w:t>分</w:t>
      </w:r>
      <w:r>
        <w:rPr>
          <w:w w:val="95"/>
          <w:sz w:val="21"/>
        </w:rPr>
        <w:t>均</w:t>
      </w:r>
      <w:r>
        <w:rPr>
          <w:w w:val="95"/>
          <w:sz w:val="21"/>
        </w:rPr>
        <w:t>不超过 19 分（总分 30 分）或者由</w:t>
      </w:r>
      <w:r>
        <w:rPr>
          <w:w w:val="95"/>
          <w:sz w:val="21"/>
        </w:rPr>
        <w:t>具</w:t>
      </w:r>
      <w:r>
        <w:rPr>
          <w:w w:val="95"/>
          <w:sz w:val="21"/>
        </w:rPr>
        <w:t>有</w:t>
      </w:r>
      <w:r>
        <w:rPr>
          <w:sz w:val="21"/>
        </w:rPr>
        <w:t>评估资格的专科医生根据临床痴呆评定量表（CDR，Clinical</w:t>
      </w:r>
      <w:r>
        <w:rPr>
          <w:spacing w:val="-7"/>
          <w:sz w:val="21"/>
        </w:rPr>
        <w:t> </w:t>
      </w:r>
      <w:r>
        <w:rPr>
          <w:sz w:val="21"/>
        </w:rPr>
        <w:t>Dementia</w:t>
      </w:r>
      <w:r>
        <w:rPr>
          <w:spacing w:val="-7"/>
          <w:sz w:val="21"/>
        </w:rPr>
        <w:t> </w:t>
      </w:r>
      <w:r>
        <w:rPr>
          <w:sz w:val="21"/>
        </w:rPr>
        <w:t>Rating）评估结果为 2</w:t>
      </w:r>
      <w:r>
        <w:rPr>
          <w:spacing w:val="-15"/>
          <w:sz w:val="21"/>
        </w:rPr>
        <w:t> 分；</w:t>
      </w:r>
    </w:p>
    <w:p>
      <w:pPr>
        <w:pStyle w:val="ListParagraph"/>
        <w:numPr>
          <w:ilvl w:val="0"/>
          <w:numId w:val="22"/>
        </w:numPr>
        <w:tabs>
          <w:tab w:pos="1657" w:val="left" w:leader="none"/>
        </w:tabs>
        <w:spacing w:line="240" w:lineRule="auto" w:before="3" w:after="0"/>
        <w:ind w:left="1656" w:right="0" w:hanging="738"/>
        <w:jc w:val="left"/>
        <w:rPr>
          <w:sz w:val="21"/>
        </w:rPr>
      </w:pPr>
      <w:r>
        <w:rPr>
          <w:spacing w:val="-3"/>
          <w:sz w:val="21"/>
        </w:rPr>
        <w:t>存在自主生活能力部分丧失，无法独立完成六项基本日常生活活动中二项。</w:t>
      </w:r>
    </w:p>
    <w:p>
      <w:pPr>
        <w:pStyle w:val="BodyText"/>
        <w:spacing w:before="2"/>
        <w:ind w:left="919"/>
      </w:pPr>
      <w:r>
        <w:rPr>
          <w:spacing w:val="-3"/>
        </w:rPr>
        <w:t>因神经官能症、精神疾病及酒精中毒所致脑损害不在保障范围内。</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2"/>
        </w:rPr>
        <w:t>大脑分流器植入手术</w:t>
      </w:r>
    </w:p>
    <w:p>
      <w:pPr>
        <w:pStyle w:val="BodyText"/>
        <w:spacing w:line="245" w:lineRule="exact"/>
        <w:ind w:left="919"/>
      </w:pPr>
      <w:r>
        <w:rPr>
          <w:spacing w:val="-3"/>
        </w:rPr>
        <w:t>为缓解已升高的脑脊液压力而已经实施在脑室进行分流器植入手术。诊断及治疗均须在医院的神经科</w:t>
      </w:r>
    </w:p>
    <w:p>
      <w:pPr>
        <w:pStyle w:val="BodyText"/>
        <w:spacing w:before="4"/>
        <w:ind w:left="919"/>
      </w:pPr>
      <w:r>
        <w:rPr>
          <w:spacing w:val="-3"/>
        </w:rPr>
        <w:t>专科医生认为是医疗必须的情况下进行。</w:t>
      </w:r>
    </w:p>
    <w:p>
      <w:pPr>
        <w:pStyle w:val="Heading2"/>
        <w:numPr>
          <w:ilvl w:val="0"/>
          <w:numId w:val="6"/>
        </w:numPr>
        <w:tabs>
          <w:tab w:pos="919" w:val="left" w:leader="none"/>
          <w:tab w:pos="920" w:val="left" w:leader="none"/>
        </w:tabs>
        <w:spacing w:line="363" w:lineRule="exact" w:before="106" w:after="0"/>
        <w:ind w:left="919" w:right="0" w:hanging="556"/>
        <w:jc w:val="left"/>
      </w:pPr>
      <w:r>
        <w:rPr>
          <w:spacing w:val="-2"/>
        </w:rPr>
        <w:t>结核性脊髓炎</w:t>
      </w:r>
    </w:p>
    <w:p>
      <w:pPr>
        <w:pStyle w:val="BodyText"/>
        <w:spacing w:line="245" w:lineRule="exact"/>
        <w:ind w:left="919"/>
      </w:pPr>
      <w:r>
        <w:rPr>
          <w:spacing w:val="-3"/>
        </w:rPr>
        <w:t>指因结核杆菌引起的脊髓炎，导致永久不可逆的神经系统功能障碍，经相关专科医生明确诊断，且疾</w:t>
      </w:r>
    </w:p>
    <w:p>
      <w:pPr>
        <w:pStyle w:val="BodyText"/>
        <w:spacing w:before="4"/>
        <w:ind w:left="919"/>
      </w:pPr>
      <w:r>
        <w:rPr>
          <w:spacing w:val="-9"/>
        </w:rPr>
        <w:t>病初次确诊 </w:t>
      </w:r>
      <w:r>
        <w:rPr>
          <w:spacing w:val="-2"/>
        </w:rPr>
        <w:t>180</w:t>
      </w:r>
      <w:r>
        <w:rPr>
          <w:spacing w:val="-10"/>
        </w:rPr>
        <w:t> 天后，仍遗留下列一种或一种以上障碍：</w:t>
      </w:r>
    </w:p>
    <w:p>
      <w:pPr>
        <w:pStyle w:val="ListParagraph"/>
        <w:numPr>
          <w:ilvl w:val="0"/>
          <w:numId w:val="23"/>
        </w:numPr>
        <w:tabs>
          <w:tab w:pos="1657" w:val="left" w:leader="none"/>
        </w:tabs>
        <w:spacing w:line="240" w:lineRule="auto" w:before="2" w:after="0"/>
        <w:ind w:left="1656" w:right="0" w:hanging="738"/>
        <w:jc w:val="left"/>
        <w:rPr>
          <w:sz w:val="21"/>
        </w:rPr>
      </w:pPr>
      <w:r>
        <w:rPr>
          <w:spacing w:val="-2"/>
          <w:sz w:val="21"/>
        </w:rPr>
        <w:t>一肢（含）</w:t>
      </w:r>
      <w:r>
        <w:rPr>
          <w:spacing w:val="-10"/>
          <w:sz w:val="21"/>
        </w:rPr>
        <w:t>以上肢体肌力 </w:t>
      </w:r>
      <w:r>
        <w:rPr>
          <w:spacing w:val="-2"/>
          <w:sz w:val="21"/>
        </w:rPr>
        <w:t>3</w:t>
      </w:r>
      <w:r>
        <w:rPr>
          <w:spacing w:val="-24"/>
          <w:sz w:val="21"/>
        </w:rPr>
        <w:t> 级</w:t>
      </w:r>
      <w:r>
        <w:rPr>
          <w:spacing w:val="-2"/>
          <w:sz w:val="21"/>
        </w:rPr>
        <w:t>（含</w:t>
      </w:r>
      <w:r>
        <w:rPr>
          <w:spacing w:val="-113"/>
          <w:sz w:val="21"/>
        </w:rPr>
        <w:t>）</w:t>
      </w:r>
      <w:r>
        <w:rPr>
          <w:spacing w:val="-5"/>
          <w:sz w:val="21"/>
        </w:rPr>
        <w:t>；</w:t>
      </w:r>
    </w:p>
    <w:p>
      <w:pPr>
        <w:pStyle w:val="ListParagraph"/>
        <w:numPr>
          <w:ilvl w:val="0"/>
          <w:numId w:val="23"/>
        </w:numPr>
        <w:tabs>
          <w:tab w:pos="1657" w:val="left" w:leader="none"/>
        </w:tabs>
        <w:spacing w:line="240" w:lineRule="auto" w:before="5" w:after="0"/>
        <w:ind w:left="1656" w:right="0" w:hanging="738"/>
        <w:jc w:val="left"/>
        <w:rPr>
          <w:sz w:val="21"/>
        </w:rPr>
      </w:pPr>
      <w:r>
        <w:rPr>
          <w:spacing w:val="-3"/>
          <w:sz w:val="21"/>
        </w:rPr>
        <w:t>自主生活能力部分丧失，无法独立完成六项基本日常生活活动中的两项或两项以上。</w:t>
      </w:r>
    </w:p>
    <w:p>
      <w:pPr>
        <w:pStyle w:val="Heading2"/>
        <w:numPr>
          <w:ilvl w:val="0"/>
          <w:numId w:val="6"/>
        </w:numPr>
        <w:tabs>
          <w:tab w:pos="919" w:val="left" w:leader="none"/>
          <w:tab w:pos="920" w:val="left" w:leader="none"/>
        </w:tabs>
        <w:spacing w:line="364" w:lineRule="exact" w:before="105" w:after="0"/>
        <w:ind w:left="919" w:right="0" w:hanging="556"/>
        <w:jc w:val="left"/>
      </w:pPr>
      <w:r>
        <w:rPr>
          <w:spacing w:val="-2"/>
        </w:rPr>
        <w:t>慢性肝衰竭</w:t>
      </w:r>
    </w:p>
    <w:p>
      <w:pPr>
        <w:pStyle w:val="BodyText"/>
        <w:spacing w:line="246" w:lineRule="exact"/>
        <w:ind w:left="919"/>
      </w:pPr>
      <w:r>
        <w:rPr>
          <w:spacing w:val="-3"/>
        </w:rPr>
        <w:t>指因慢性肝脏疾病导致肝衰竭。须满足下列任意三个条件：</w:t>
      </w:r>
    </w:p>
    <w:p>
      <w:pPr>
        <w:pStyle w:val="ListParagraph"/>
        <w:numPr>
          <w:ilvl w:val="0"/>
          <w:numId w:val="24"/>
        </w:numPr>
        <w:tabs>
          <w:tab w:pos="1657" w:val="left" w:leader="none"/>
        </w:tabs>
        <w:spacing w:line="240" w:lineRule="auto" w:before="2" w:after="0"/>
        <w:ind w:left="1656" w:right="0" w:hanging="738"/>
        <w:jc w:val="left"/>
        <w:rPr>
          <w:sz w:val="21"/>
        </w:rPr>
      </w:pPr>
      <w:r>
        <w:rPr>
          <w:spacing w:val="-4"/>
          <w:sz w:val="21"/>
        </w:rPr>
        <w:t>持续性黄疸；</w:t>
      </w:r>
    </w:p>
    <w:p>
      <w:pPr>
        <w:pStyle w:val="ListParagraph"/>
        <w:numPr>
          <w:ilvl w:val="0"/>
          <w:numId w:val="24"/>
        </w:numPr>
        <w:tabs>
          <w:tab w:pos="1657" w:val="left" w:leader="none"/>
        </w:tabs>
        <w:spacing w:line="240" w:lineRule="auto" w:before="5" w:after="0"/>
        <w:ind w:left="1656" w:right="0" w:hanging="738"/>
        <w:jc w:val="left"/>
        <w:rPr>
          <w:sz w:val="21"/>
        </w:rPr>
      </w:pPr>
      <w:r>
        <w:rPr>
          <w:spacing w:val="-4"/>
          <w:sz w:val="21"/>
        </w:rPr>
        <w:t>腹水；</w:t>
      </w:r>
    </w:p>
    <w:p>
      <w:pPr>
        <w:pStyle w:val="ListParagraph"/>
        <w:numPr>
          <w:ilvl w:val="0"/>
          <w:numId w:val="24"/>
        </w:numPr>
        <w:tabs>
          <w:tab w:pos="1657" w:val="left" w:leader="none"/>
        </w:tabs>
        <w:spacing w:line="240" w:lineRule="auto" w:before="2" w:after="0"/>
        <w:ind w:left="1656" w:right="0" w:hanging="738"/>
        <w:jc w:val="left"/>
        <w:rPr>
          <w:sz w:val="21"/>
        </w:rPr>
      </w:pPr>
      <w:r>
        <w:rPr>
          <w:spacing w:val="-4"/>
          <w:sz w:val="21"/>
        </w:rPr>
        <w:t>肝性脑病；</w:t>
      </w:r>
    </w:p>
    <w:p>
      <w:pPr>
        <w:pStyle w:val="ListParagraph"/>
        <w:numPr>
          <w:ilvl w:val="0"/>
          <w:numId w:val="24"/>
        </w:numPr>
        <w:tabs>
          <w:tab w:pos="1657" w:val="left" w:leader="none"/>
        </w:tabs>
        <w:spacing w:line="240" w:lineRule="auto" w:before="5" w:after="0"/>
        <w:ind w:left="1656" w:right="0" w:hanging="738"/>
        <w:jc w:val="left"/>
        <w:rPr>
          <w:sz w:val="21"/>
        </w:rPr>
      </w:pPr>
      <w:r>
        <w:rPr>
          <w:spacing w:val="-3"/>
          <w:sz w:val="21"/>
        </w:rPr>
        <w:t>充血性脾肿大伴脾功能亢进或食管胃底静脉曲张。</w:t>
      </w:r>
    </w:p>
    <w:p>
      <w:pPr>
        <w:pStyle w:val="BodyText"/>
        <w:spacing w:before="2"/>
        <w:ind w:left="919"/>
      </w:pPr>
      <w:r>
        <w:rPr>
          <w:spacing w:val="-3"/>
        </w:rPr>
        <w:t>因酗酒或药物滥用导致的肝衰竭不在保障范围内。</w:t>
      </w:r>
    </w:p>
    <w:p>
      <w:pPr>
        <w:pStyle w:val="Heading2"/>
        <w:numPr>
          <w:ilvl w:val="0"/>
          <w:numId w:val="6"/>
        </w:numPr>
        <w:tabs>
          <w:tab w:pos="919" w:val="left" w:leader="none"/>
          <w:tab w:pos="920" w:val="left" w:leader="none"/>
        </w:tabs>
        <w:spacing w:line="364" w:lineRule="exact" w:before="105" w:after="0"/>
        <w:ind w:left="919" w:right="0" w:hanging="556"/>
        <w:jc w:val="left"/>
      </w:pPr>
      <w:r>
        <w:rPr>
          <w:spacing w:val="-2"/>
        </w:rPr>
        <w:t>系统性红斑狼疮</w:t>
      </w:r>
    </w:p>
    <w:p>
      <w:pPr>
        <w:pStyle w:val="BodyText"/>
        <w:spacing w:line="246" w:lineRule="exact"/>
        <w:ind w:left="919"/>
      </w:pPr>
      <w:r>
        <w:rPr>
          <w:spacing w:val="-3"/>
        </w:rPr>
        <w:t>系统性红斑狼疮是一种有多系统损害的慢性自身免疫性疾病，其血清具有以抗核抗体为代表的多种自</w:t>
      </w:r>
    </w:p>
    <w:p>
      <w:pPr>
        <w:pStyle w:val="BodyText"/>
        <w:spacing w:before="2"/>
        <w:ind w:left="919"/>
      </w:pPr>
      <w:r>
        <w:rPr>
          <w:spacing w:val="-3"/>
        </w:rPr>
        <w:t>身抗体。经相关专科医生明确诊断，且须满足下列五项情况中出现最少两项：</w:t>
      </w:r>
    </w:p>
    <w:p>
      <w:pPr>
        <w:pStyle w:val="ListParagraph"/>
        <w:numPr>
          <w:ilvl w:val="0"/>
          <w:numId w:val="25"/>
        </w:numPr>
        <w:tabs>
          <w:tab w:pos="1657" w:val="left" w:leader="none"/>
        </w:tabs>
        <w:spacing w:line="240" w:lineRule="auto" w:before="5" w:after="0"/>
        <w:ind w:left="1656" w:right="0" w:hanging="738"/>
        <w:jc w:val="left"/>
        <w:rPr>
          <w:sz w:val="21"/>
        </w:rPr>
      </w:pPr>
      <w:r>
        <w:rPr>
          <w:spacing w:val="-3"/>
          <w:sz w:val="21"/>
        </w:rPr>
        <w:t>关节炎：非磨损性关节炎，需涉及两个或两个以上关节；</w:t>
      </w:r>
    </w:p>
    <w:p>
      <w:pPr>
        <w:pStyle w:val="ListParagraph"/>
        <w:numPr>
          <w:ilvl w:val="0"/>
          <w:numId w:val="25"/>
        </w:numPr>
        <w:tabs>
          <w:tab w:pos="1657" w:val="left" w:leader="none"/>
        </w:tabs>
        <w:spacing w:line="240" w:lineRule="auto" w:before="2" w:after="0"/>
        <w:ind w:left="1656" w:right="0" w:hanging="738"/>
        <w:jc w:val="left"/>
        <w:rPr>
          <w:sz w:val="21"/>
        </w:rPr>
      </w:pPr>
      <w:r>
        <w:rPr>
          <w:spacing w:val="-3"/>
          <w:sz w:val="21"/>
        </w:rPr>
        <w:t>浆膜炎：胸膜炎或心包炎；</w:t>
      </w:r>
    </w:p>
    <w:p>
      <w:pPr>
        <w:pStyle w:val="ListParagraph"/>
        <w:numPr>
          <w:ilvl w:val="0"/>
          <w:numId w:val="25"/>
        </w:numPr>
        <w:tabs>
          <w:tab w:pos="1657" w:val="left" w:leader="none"/>
        </w:tabs>
        <w:spacing w:line="240" w:lineRule="auto" w:before="4" w:after="0"/>
        <w:ind w:left="1656" w:right="0" w:hanging="738"/>
        <w:jc w:val="left"/>
        <w:rPr>
          <w:sz w:val="21"/>
        </w:rPr>
      </w:pPr>
      <w:r>
        <w:rPr>
          <w:spacing w:val="-2"/>
          <w:sz w:val="21"/>
        </w:rPr>
        <w:t>肾病：24</w:t>
      </w:r>
      <w:r>
        <w:rPr>
          <w:spacing w:val="-14"/>
          <w:sz w:val="21"/>
        </w:rPr>
        <w:t> 小时尿蛋白定量达到 </w:t>
      </w:r>
      <w:r>
        <w:rPr>
          <w:spacing w:val="-2"/>
          <w:sz w:val="21"/>
        </w:rPr>
        <w:t>0.5</w:t>
      </w:r>
      <w:r>
        <w:rPr>
          <w:spacing w:val="-10"/>
          <w:sz w:val="21"/>
        </w:rPr>
        <w:t> 克，或尿液检查出现细胞管型；</w:t>
      </w:r>
    </w:p>
    <w:p>
      <w:pPr>
        <w:pStyle w:val="ListParagraph"/>
        <w:numPr>
          <w:ilvl w:val="0"/>
          <w:numId w:val="25"/>
        </w:numPr>
        <w:tabs>
          <w:tab w:pos="1657" w:val="left" w:leader="none"/>
        </w:tabs>
        <w:spacing w:line="240" w:lineRule="auto" w:before="3" w:after="0"/>
        <w:ind w:left="1656" w:right="0" w:hanging="738"/>
        <w:jc w:val="left"/>
        <w:rPr>
          <w:sz w:val="21"/>
        </w:rPr>
      </w:pPr>
      <w:r>
        <w:rPr>
          <w:spacing w:val="-3"/>
          <w:sz w:val="21"/>
        </w:rPr>
        <w:t>血液学异常：溶血性贫血、白细胞减少、或血小板减少；</w:t>
      </w:r>
    </w:p>
    <w:p>
      <w:pPr>
        <w:pStyle w:val="ListParagraph"/>
        <w:numPr>
          <w:ilvl w:val="0"/>
          <w:numId w:val="25"/>
        </w:numPr>
        <w:tabs>
          <w:tab w:pos="1657" w:val="left" w:leader="none"/>
        </w:tabs>
        <w:spacing w:line="240" w:lineRule="auto" w:before="4" w:after="0"/>
        <w:ind w:left="1656" w:right="0" w:hanging="738"/>
        <w:jc w:val="left"/>
        <w:rPr>
          <w:sz w:val="21"/>
        </w:rPr>
      </w:pPr>
      <w:r>
        <w:rPr>
          <w:spacing w:val="-7"/>
          <w:sz w:val="21"/>
        </w:rPr>
        <w:t>抗核抗体阳性、或抗 </w:t>
      </w:r>
      <w:r>
        <w:rPr>
          <w:spacing w:val="-2"/>
          <w:sz w:val="21"/>
        </w:rPr>
        <w:t>dsDNA</w:t>
      </w:r>
      <w:r>
        <w:rPr>
          <w:spacing w:val="-14"/>
          <w:sz w:val="21"/>
        </w:rPr>
        <w:t> 抗体阳性、或抗 </w:t>
      </w:r>
      <w:r>
        <w:rPr>
          <w:spacing w:val="-2"/>
          <w:sz w:val="21"/>
        </w:rPr>
        <w:t>Smith</w:t>
      </w:r>
      <w:r>
        <w:rPr>
          <w:spacing w:val="-12"/>
          <w:sz w:val="21"/>
        </w:rPr>
        <w:t> 抗体阳性。</w:t>
      </w:r>
    </w:p>
    <w:p>
      <w:pPr>
        <w:pStyle w:val="Heading2"/>
        <w:numPr>
          <w:ilvl w:val="0"/>
          <w:numId w:val="6"/>
        </w:numPr>
        <w:tabs>
          <w:tab w:pos="919" w:val="left" w:leader="none"/>
          <w:tab w:pos="920" w:val="left" w:leader="none"/>
        </w:tabs>
        <w:spacing w:line="363" w:lineRule="exact" w:before="105" w:after="0"/>
        <w:ind w:left="919" w:right="0" w:hanging="556"/>
        <w:jc w:val="left"/>
      </w:pPr>
      <w:r>
        <w:rPr>
          <w:spacing w:val="-2"/>
        </w:rPr>
        <w:t>轻度系统性硬皮病</w:t>
      </w:r>
    </w:p>
    <w:p>
      <w:pPr>
        <w:pStyle w:val="BodyText"/>
        <w:spacing w:line="245" w:lineRule="exact"/>
        <w:ind w:left="919"/>
      </w:pPr>
      <w:r>
        <w:rPr>
          <w:spacing w:val="-3"/>
        </w:rPr>
        <w:t>指一种以皮肤及各系统胶原纤维化为特征的结缔组织疾病。须满足下列所有条件：</w:t>
      </w:r>
    </w:p>
    <w:p>
      <w:pPr>
        <w:pStyle w:val="ListParagraph"/>
        <w:numPr>
          <w:ilvl w:val="0"/>
          <w:numId w:val="26"/>
        </w:numPr>
        <w:tabs>
          <w:tab w:pos="1654" w:val="left" w:leader="none"/>
        </w:tabs>
        <w:spacing w:line="240" w:lineRule="auto" w:before="5" w:after="0"/>
        <w:ind w:left="1654" w:right="0" w:hanging="735"/>
        <w:jc w:val="left"/>
        <w:rPr>
          <w:sz w:val="21"/>
        </w:rPr>
      </w:pPr>
      <w:r>
        <w:rPr>
          <w:spacing w:val="-3"/>
          <w:sz w:val="21"/>
        </w:rPr>
        <w:t>经相关专科医生明确诊断；</w:t>
      </w:r>
    </w:p>
    <w:p>
      <w:pPr>
        <w:spacing w:after="0" w:line="240" w:lineRule="auto"/>
        <w:jc w:val="left"/>
        <w:rPr>
          <w:sz w:val="21"/>
        </w:rPr>
        <w:sectPr>
          <w:pgSz w:w="11910" w:h="16840"/>
          <w:pgMar w:header="0" w:footer="574" w:top="1240" w:bottom="760" w:left="720" w:right="340"/>
        </w:sectPr>
      </w:pPr>
    </w:p>
    <w:p>
      <w:pPr>
        <w:pStyle w:val="ListParagraph"/>
        <w:numPr>
          <w:ilvl w:val="0"/>
          <w:numId w:val="26"/>
        </w:numPr>
        <w:tabs>
          <w:tab w:pos="1654" w:val="left" w:leader="none"/>
        </w:tabs>
        <w:spacing w:line="240" w:lineRule="auto" w:before="55" w:after="0"/>
        <w:ind w:left="1654" w:right="0" w:hanging="735"/>
        <w:jc w:val="left"/>
        <w:rPr>
          <w:sz w:val="21"/>
        </w:rPr>
      </w:pPr>
      <w:r>
        <w:rPr>
          <w:spacing w:val="-3"/>
          <w:sz w:val="21"/>
        </w:rPr>
        <w:t>明确的病理活检及自身抗体免疫血清学证据。</w:t>
      </w:r>
    </w:p>
    <w:p>
      <w:pPr>
        <w:pStyle w:val="BodyText"/>
        <w:spacing w:before="5"/>
        <w:ind w:left="919"/>
      </w:pPr>
      <w:r>
        <w:rPr>
          <w:spacing w:val="-5"/>
        </w:rPr>
        <w:t>局限性硬皮病、嗜酸细胞筋膜炎和 </w:t>
      </w:r>
      <w:r>
        <w:rPr>
          <w:spacing w:val="-2"/>
        </w:rPr>
        <w:t>CREST</w:t>
      </w:r>
      <w:r>
        <w:rPr>
          <w:spacing w:val="-10"/>
        </w:rPr>
        <w:t> 综合征不在保障范围内。</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3"/>
        </w:rPr>
        <w:t>糖尿病视网膜增生性病变</w:t>
      </w:r>
    </w:p>
    <w:p>
      <w:pPr>
        <w:pStyle w:val="BodyText"/>
        <w:spacing w:line="246" w:lineRule="exact"/>
        <w:ind w:left="919"/>
      </w:pPr>
      <w:r>
        <w:rPr>
          <w:spacing w:val="-6"/>
        </w:rPr>
        <w:t>经医院的眼科专科医生明确诊断因糖尿病而并发视网膜晚期增生性血管病变，且须满足下列全部条件：</w:t>
      </w:r>
    </w:p>
    <w:p>
      <w:pPr>
        <w:pStyle w:val="ListParagraph"/>
        <w:numPr>
          <w:ilvl w:val="0"/>
          <w:numId w:val="27"/>
        </w:numPr>
        <w:tabs>
          <w:tab w:pos="1657" w:val="left" w:leader="none"/>
        </w:tabs>
        <w:spacing w:line="240" w:lineRule="auto" w:before="2" w:after="0"/>
        <w:ind w:left="1656" w:right="0" w:hanging="738"/>
        <w:jc w:val="left"/>
        <w:rPr>
          <w:sz w:val="21"/>
        </w:rPr>
      </w:pPr>
      <w:r>
        <w:rPr>
          <w:spacing w:val="-5"/>
          <w:sz w:val="21"/>
        </w:rPr>
        <w:t>双眼最佳矫正视力低于 </w:t>
      </w:r>
      <w:r>
        <w:rPr>
          <w:spacing w:val="-2"/>
          <w:sz w:val="21"/>
        </w:rPr>
        <w:t>0.3（采用国际标准视力表，如果使用其他视力表应进行换算</w:t>
      </w:r>
      <w:r>
        <w:rPr>
          <w:spacing w:val="-111"/>
          <w:sz w:val="21"/>
        </w:rPr>
        <w:t>）</w:t>
      </w:r>
      <w:r>
        <w:rPr>
          <w:spacing w:val="-5"/>
          <w:sz w:val="21"/>
        </w:rPr>
        <w:t>；</w:t>
      </w:r>
    </w:p>
    <w:p>
      <w:pPr>
        <w:pStyle w:val="ListParagraph"/>
        <w:numPr>
          <w:ilvl w:val="0"/>
          <w:numId w:val="27"/>
        </w:numPr>
        <w:tabs>
          <w:tab w:pos="1657" w:val="left" w:leader="none"/>
        </w:tabs>
        <w:spacing w:line="240" w:lineRule="auto" w:before="4" w:after="0"/>
        <w:ind w:left="1656" w:right="0" w:hanging="738"/>
        <w:jc w:val="left"/>
        <w:rPr>
          <w:sz w:val="21"/>
        </w:rPr>
      </w:pPr>
      <w:r>
        <w:rPr>
          <w:spacing w:val="-3"/>
          <w:sz w:val="21"/>
        </w:rPr>
        <w:t>已经实施了激光治疗等以改善视力障碍。</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2"/>
        </w:rPr>
        <w:t>轻度重症肌无力</w:t>
      </w:r>
    </w:p>
    <w:p>
      <w:pPr>
        <w:pStyle w:val="BodyText"/>
        <w:spacing w:line="246" w:lineRule="exact"/>
        <w:ind w:left="919"/>
      </w:pPr>
      <w:r>
        <w:rPr>
          <w:spacing w:val="-3"/>
        </w:rPr>
        <w:t>指一种神经与肌肉接头部位传递障碍的自身免疫性疾病，临床特征是局部或全身横纹肌于活动时易于</w:t>
      </w:r>
    </w:p>
    <w:p>
      <w:pPr>
        <w:pStyle w:val="BodyText"/>
        <w:spacing w:before="2"/>
        <w:ind w:left="919"/>
      </w:pPr>
      <w:r>
        <w:rPr>
          <w:spacing w:val="-3"/>
        </w:rPr>
        <w:t>疲劳无力，颅神经眼外肌最易累及，也可涉及呼吸肌、下肢近端肌群以至全身肌肉。</w:t>
      </w:r>
    </w:p>
    <w:p>
      <w:pPr>
        <w:pStyle w:val="BodyText"/>
        <w:spacing w:line="244" w:lineRule="auto" w:before="2"/>
        <w:ind w:left="919" w:right="661"/>
      </w:pPr>
      <w:r>
        <w:rPr>
          <w:spacing w:val="-3"/>
        </w:rPr>
        <w:t>经相关专科医生明确诊断，且疾病确诊 </w:t>
      </w:r>
      <w:r>
        <w:rPr/>
        <w:t>180</w:t>
      </w:r>
      <w:r>
        <w:rPr>
          <w:spacing w:val="-7"/>
        </w:rPr>
        <w:t> 天后，仍然存在自主生活能力部分丧失，无法独立完成六</w:t>
      </w:r>
      <w:r>
        <w:rPr>
          <w:spacing w:val="-2"/>
        </w:rPr>
        <w:t>项基本日常生活活动中的二项。</w:t>
      </w:r>
    </w:p>
    <w:p>
      <w:pPr>
        <w:pStyle w:val="Heading2"/>
        <w:numPr>
          <w:ilvl w:val="0"/>
          <w:numId w:val="6"/>
        </w:numPr>
        <w:tabs>
          <w:tab w:pos="919" w:val="left" w:leader="none"/>
          <w:tab w:pos="920" w:val="left" w:leader="none"/>
        </w:tabs>
        <w:spacing w:line="364" w:lineRule="exact" w:before="99" w:after="0"/>
        <w:ind w:left="919" w:right="0" w:hanging="556"/>
        <w:jc w:val="left"/>
      </w:pPr>
      <w:r>
        <w:rPr>
          <w:spacing w:val="-2"/>
        </w:rPr>
        <w:t>早期象皮病</w:t>
      </w:r>
    </w:p>
    <w:p>
      <w:pPr>
        <w:pStyle w:val="BodyText"/>
        <w:spacing w:line="246" w:lineRule="exact"/>
        <w:ind w:left="919"/>
      </w:pPr>
      <w:r>
        <w:rPr>
          <w:spacing w:val="-3"/>
        </w:rPr>
        <w:t>指因丝虫感染导致淋巴管阻塞而造成身体组织出现严重淋巴水肿，本疾病须经相关专科医生根据临床</w:t>
      </w:r>
    </w:p>
    <w:p>
      <w:pPr>
        <w:pStyle w:val="BodyText"/>
        <w:spacing w:before="3"/>
        <w:ind w:left="919"/>
      </w:pPr>
      <w:r>
        <w:rPr>
          <w:spacing w:val="-3"/>
        </w:rPr>
        <w:t>表现和微丝蚴的化验结果确诊。</w:t>
      </w:r>
    </w:p>
    <w:p>
      <w:pPr>
        <w:pStyle w:val="BodyText"/>
        <w:spacing w:line="242" w:lineRule="auto" w:before="4"/>
        <w:ind w:left="919" w:right="666"/>
      </w:pPr>
      <w:r>
        <w:rPr>
          <w:spacing w:val="-2"/>
        </w:rPr>
        <w:t>由性接触传染的疾病、创伤、手术后疤痕、充血性心力衰竭或先天性淋巴系统异常引起的淋巴水肿，</w:t>
      </w:r>
      <w:r>
        <w:rPr>
          <w:spacing w:val="-2"/>
        </w:rPr>
        <w:t>以及急性淋巴管炎或其他原因引起的淋巴水肿不在保障范围内。</w:t>
      </w:r>
    </w:p>
    <w:p>
      <w:pPr>
        <w:pStyle w:val="Heading2"/>
        <w:numPr>
          <w:ilvl w:val="0"/>
          <w:numId w:val="6"/>
        </w:numPr>
        <w:tabs>
          <w:tab w:pos="919" w:val="left" w:leader="none"/>
          <w:tab w:pos="920" w:val="left" w:leader="none"/>
        </w:tabs>
        <w:spacing w:line="364" w:lineRule="exact" w:before="102" w:after="0"/>
        <w:ind w:left="919" w:right="0" w:hanging="556"/>
        <w:jc w:val="left"/>
      </w:pPr>
      <w:r>
        <w:rPr>
          <w:spacing w:val="-2"/>
        </w:rPr>
        <w:t>类风湿性关节炎</w:t>
      </w:r>
    </w:p>
    <w:p>
      <w:pPr>
        <w:pStyle w:val="BodyText"/>
        <w:spacing w:line="246" w:lineRule="exact"/>
        <w:ind w:left="919"/>
      </w:pPr>
      <w:r>
        <w:rPr>
          <w:spacing w:val="-3"/>
        </w:rPr>
        <w:t>根据美国风湿病学院的诊断标准，由相关专科医生明确诊断，并且已经达到类风湿性关节炎功能分级</w:t>
      </w:r>
    </w:p>
    <w:p>
      <w:pPr>
        <w:pStyle w:val="BodyText"/>
        <w:spacing w:line="244" w:lineRule="auto" w:before="3"/>
        <w:ind w:left="919" w:right="663"/>
      </w:pPr>
      <w:r>
        <w:rPr>
          <w:spacing w:val="-2"/>
        </w:rPr>
        <w:t>Ⅲ级的永久不可逆性的功能障碍（关节活动严重限制，不能完成大部分的日常工作和活动</w:t>
      </w:r>
      <w:r>
        <w:rPr>
          <w:spacing w:val="-108"/>
        </w:rPr>
        <w:t>）</w:t>
      </w:r>
      <w:r>
        <w:rPr>
          <w:spacing w:val="-2"/>
        </w:rPr>
        <w:t>。且须满足</w:t>
      </w:r>
      <w:r>
        <w:rPr>
          <w:spacing w:val="-2"/>
        </w:rPr>
        <w:t>下列全部条件：</w:t>
      </w:r>
    </w:p>
    <w:p>
      <w:pPr>
        <w:pStyle w:val="ListParagraph"/>
        <w:numPr>
          <w:ilvl w:val="0"/>
          <w:numId w:val="28"/>
        </w:numPr>
        <w:tabs>
          <w:tab w:pos="1657" w:val="left" w:leader="none"/>
        </w:tabs>
        <w:spacing w:line="244" w:lineRule="auto" w:before="0" w:after="0"/>
        <w:ind w:left="1656" w:right="556" w:hanging="737"/>
        <w:jc w:val="left"/>
        <w:rPr>
          <w:sz w:val="21"/>
        </w:rPr>
      </w:pPr>
      <w:r>
        <w:rPr>
          <w:spacing w:val="-6"/>
          <w:sz w:val="21"/>
        </w:rPr>
        <w:t>关节广泛受损，并经临床证实出现最少两个下列关节位置严重变形：手部、手腕、肘部、膝部、</w:t>
      </w:r>
      <w:r>
        <w:rPr>
          <w:spacing w:val="-2"/>
          <w:sz w:val="21"/>
        </w:rPr>
        <w:t>髋部、踝部、颈椎或脚部；</w:t>
      </w:r>
    </w:p>
    <w:p>
      <w:pPr>
        <w:pStyle w:val="ListParagraph"/>
        <w:numPr>
          <w:ilvl w:val="0"/>
          <w:numId w:val="28"/>
        </w:numPr>
        <w:tabs>
          <w:tab w:pos="1657" w:val="left" w:leader="none"/>
        </w:tabs>
        <w:spacing w:line="265" w:lineRule="exact" w:before="0" w:after="0"/>
        <w:ind w:left="1656" w:right="0" w:hanging="738"/>
        <w:jc w:val="left"/>
        <w:rPr>
          <w:sz w:val="21"/>
        </w:rPr>
      </w:pPr>
      <w:r>
        <w:rPr>
          <w:spacing w:val="-16"/>
          <w:sz w:val="21"/>
        </w:rPr>
        <w:t>至少 </w:t>
      </w:r>
      <w:r>
        <w:rPr>
          <w:spacing w:val="-2"/>
          <w:sz w:val="21"/>
        </w:rPr>
        <w:t>180</w:t>
      </w:r>
      <w:r>
        <w:rPr>
          <w:spacing w:val="-10"/>
          <w:sz w:val="21"/>
        </w:rPr>
        <w:t> 天无法独立完成六项基本日常生活活动中的两项或两项以上。</w:t>
      </w:r>
    </w:p>
    <w:p>
      <w:pPr>
        <w:pStyle w:val="Heading2"/>
        <w:numPr>
          <w:ilvl w:val="0"/>
          <w:numId w:val="6"/>
        </w:numPr>
        <w:tabs>
          <w:tab w:pos="919" w:val="left" w:leader="none"/>
          <w:tab w:pos="920" w:val="left" w:leader="none"/>
        </w:tabs>
        <w:spacing w:line="363" w:lineRule="exact" w:before="103" w:after="0"/>
        <w:ind w:left="919" w:right="0" w:hanging="556"/>
        <w:jc w:val="left"/>
      </w:pPr>
      <w:r>
        <w:rPr>
          <w:spacing w:val="-2"/>
        </w:rPr>
        <w:t>肾上腺切除手术</w:t>
      </w:r>
    </w:p>
    <w:p>
      <w:pPr>
        <w:pStyle w:val="BodyText"/>
        <w:spacing w:line="245" w:lineRule="exact"/>
        <w:ind w:left="919"/>
      </w:pPr>
      <w:r>
        <w:rPr>
          <w:spacing w:val="-3"/>
        </w:rPr>
        <w:t>因肾上腺皮质腺瘤所导致的醛固酮分泌过多而导致继发性恶性高血压，且已经实施了肾上腺切除手术</w:t>
      </w:r>
    </w:p>
    <w:p>
      <w:pPr>
        <w:pStyle w:val="BodyText"/>
        <w:spacing w:before="5"/>
        <w:ind w:left="919"/>
      </w:pPr>
      <w:r>
        <w:rPr>
          <w:spacing w:val="-4"/>
        </w:rPr>
        <w:t>治疗。</w:t>
      </w:r>
    </w:p>
    <w:p>
      <w:pPr>
        <w:pStyle w:val="BodyText"/>
        <w:spacing w:before="2"/>
        <w:ind w:left="919"/>
      </w:pPr>
      <w:r>
        <w:rPr>
          <w:spacing w:val="-3"/>
        </w:rPr>
        <w:t>此项手术须经相关专科医生认定为处理恶性高血压的必要治疗行为。</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2"/>
        </w:rPr>
        <w:t>再生障碍性贫血</w:t>
      </w:r>
    </w:p>
    <w:p>
      <w:pPr>
        <w:pStyle w:val="BodyText"/>
        <w:spacing w:line="246" w:lineRule="exact"/>
        <w:ind w:left="919"/>
      </w:pPr>
      <w:r>
        <w:rPr>
          <w:spacing w:val="-3"/>
        </w:rPr>
        <w:t>指因骨髓造血功能慢性持续性衰竭导致的贫血、中性粒细胞减少及血小板减少，且须满足下列全部条</w:t>
      </w:r>
    </w:p>
    <w:p>
      <w:pPr>
        <w:pStyle w:val="BodyText"/>
        <w:spacing w:before="2"/>
        <w:ind w:left="919"/>
      </w:pPr>
      <w:r>
        <w:rPr>
          <w:spacing w:val="-5"/>
        </w:rPr>
        <w:t>件：</w:t>
      </w:r>
    </w:p>
    <w:p>
      <w:pPr>
        <w:pStyle w:val="ListParagraph"/>
        <w:numPr>
          <w:ilvl w:val="0"/>
          <w:numId w:val="29"/>
        </w:numPr>
        <w:tabs>
          <w:tab w:pos="1657" w:val="left" w:leader="none"/>
        </w:tabs>
        <w:spacing w:line="240" w:lineRule="auto" w:before="4" w:after="0"/>
        <w:ind w:left="1656" w:right="0" w:hanging="738"/>
        <w:jc w:val="left"/>
        <w:rPr>
          <w:sz w:val="21"/>
        </w:rPr>
      </w:pPr>
      <w:r>
        <w:rPr>
          <w:spacing w:val="-3"/>
          <w:sz w:val="21"/>
        </w:rPr>
        <w:t>骨髓穿刺检查或骨髓活检结果支持诊断；</w:t>
      </w:r>
    </w:p>
    <w:p>
      <w:pPr>
        <w:pStyle w:val="ListParagraph"/>
        <w:numPr>
          <w:ilvl w:val="0"/>
          <w:numId w:val="29"/>
        </w:numPr>
        <w:tabs>
          <w:tab w:pos="1657" w:val="left" w:leader="none"/>
        </w:tabs>
        <w:spacing w:line="244" w:lineRule="auto" w:before="3" w:after="0"/>
        <w:ind w:left="1656" w:right="661" w:hanging="737"/>
        <w:jc w:val="left"/>
        <w:rPr>
          <w:sz w:val="21"/>
        </w:rPr>
      </w:pPr>
      <w:r>
        <w:rPr>
          <w:spacing w:val="-4"/>
          <w:sz w:val="21"/>
        </w:rPr>
        <w:t>病历资料显示接受了下列任一项的血液专科治疗：骨髓刺激疗法；免疫抑制剂治疗。并且骨髓</w:t>
      </w:r>
      <w:r>
        <w:rPr>
          <w:spacing w:val="-2"/>
          <w:sz w:val="21"/>
        </w:rPr>
        <w:t>刺激疗法、免疫抑制剂治疗须至少持续 </w:t>
      </w:r>
      <w:r>
        <w:rPr>
          <w:sz w:val="21"/>
        </w:rPr>
        <w:t>30</w:t>
      </w:r>
      <w:r>
        <w:rPr>
          <w:spacing w:val="-8"/>
          <w:sz w:val="21"/>
        </w:rPr>
        <w:t> 天。</w:t>
      </w:r>
    </w:p>
    <w:p>
      <w:pPr>
        <w:pStyle w:val="Heading2"/>
        <w:numPr>
          <w:ilvl w:val="0"/>
          <w:numId w:val="6"/>
        </w:numPr>
        <w:tabs>
          <w:tab w:pos="919" w:val="left" w:leader="none"/>
          <w:tab w:pos="920" w:val="left" w:leader="none"/>
        </w:tabs>
        <w:spacing w:line="364" w:lineRule="exact" w:before="99" w:after="0"/>
        <w:ind w:left="919" w:right="0" w:hanging="556"/>
        <w:jc w:val="left"/>
      </w:pPr>
      <w:r>
        <w:rPr>
          <w:spacing w:val="-2"/>
        </w:rPr>
        <w:t>原发性帕金森病</w:t>
      </w:r>
    </w:p>
    <w:p>
      <w:pPr>
        <w:pStyle w:val="BodyText"/>
        <w:spacing w:line="246" w:lineRule="exact"/>
        <w:ind w:left="919"/>
      </w:pPr>
      <w:r>
        <w:rPr>
          <w:spacing w:val="-3"/>
        </w:rPr>
        <w:t>是一种中枢神经系统的退行性疾病，临床表现为运动迟缓、静止性震颤或肌强直等，经相关专科医生</w:t>
      </w:r>
    </w:p>
    <w:p>
      <w:pPr>
        <w:pStyle w:val="BodyText"/>
        <w:spacing w:before="2"/>
        <w:ind w:left="919"/>
      </w:pPr>
      <w:r>
        <w:rPr>
          <w:spacing w:val="-3"/>
        </w:rPr>
        <w:t>确诊，且须满足自主生活能力部分丧失，无法独立完成六项基本日常生活活动中的二项或二项以上。</w:t>
      </w:r>
    </w:p>
    <w:p>
      <w:pPr>
        <w:pStyle w:val="BodyText"/>
        <w:spacing w:before="2"/>
        <w:ind w:left="919"/>
      </w:pPr>
      <w:r>
        <w:rPr>
          <w:spacing w:val="-3"/>
        </w:rPr>
        <w:t>继发性帕金森综合征、帕金森叠加综合征不在保障范围内。</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3"/>
        </w:rPr>
        <w:t>骨质疏松骨折导致的全髋关节置换手术</w:t>
      </w:r>
    </w:p>
    <w:p>
      <w:pPr>
        <w:pStyle w:val="BodyText"/>
        <w:spacing w:line="245" w:lineRule="exact"/>
        <w:ind w:left="919"/>
      </w:pPr>
      <w:r>
        <w:rPr>
          <w:spacing w:val="-3"/>
        </w:rPr>
        <w:t>骨质疏松指一种系统性疾病。其特征为骨质量减少，骨小梁数目减少、变细和骨皮质变薄，导致骨脆</w:t>
      </w:r>
    </w:p>
    <w:p>
      <w:pPr>
        <w:pStyle w:val="BodyText"/>
        <w:spacing w:line="242" w:lineRule="auto" w:before="5"/>
        <w:ind w:left="919" w:right="661"/>
      </w:pPr>
      <w:r>
        <w:rPr>
          <w:spacing w:val="-2"/>
        </w:rPr>
        <w:t>性增加，骨折危险增加。根据世界卫生组织（WHO）建议，骨密度（BMD）较正常成人骨密度平均值降</w:t>
      </w:r>
      <w:r>
        <w:rPr>
          <w:spacing w:val="-11"/>
        </w:rPr>
        <w:t>低 </w:t>
      </w:r>
      <w:r>
        <w:rPr/>
        <w:t>2.5</w:t>
      </w:r>
      <w:r>
        <w:rPr>
          <w:spacing w:val="-5"/>
        </w:rPr>
        <w:t> 个标准差为骨质疏松症。</w:t>
      </w:r>
    </w:p>
    <w:p>
      <w:pPr>
        <w:pStyle w:val="BodyText"/>
        <w:spacing w:line="242" w:lineRule="auto" w:before="1"/>
        <w:ind w:left="919" w:right="666"/>
      </w:pPr>
      <w:r>
        <w:rPr>
          <w:spacing w:val="-2"/>
        </w:rPr>
        <w:t>骨质疏松骨折导致的全髋关节置换手术指依据诊断标准确诊为骨质疏松症，实际发生了股骨颈骨折并</w:t>
      </w:r>
      <w:r>
        <w:rPr>
          <w:spacing w:val="-2"/>
        </w:rPr>
        <w:t>已经实施了全髋关节置换手术。</w:t>
      </w:r>
    </w:p>
    <w:p>
      <w:pPr>
        <w:pStyle w:val="Heading2"/>
        <w:numPr>
          <w:ilvl w:val="0"/>
          <w:numId w:val="6"/>
        </w:numPr>
        <w:tabs>
          <w:tab w:pos="919" w:val="left" w:leader="none"/>
          <w:tab w:pos="920" w:val="left" w:leader="none"/>
        </w:tabs>
        <w:spacing w:line="364" w:lineRule="exact" w:before="102" w:after="0"/>
        <w:ind w:left="919" w:right="0" w:hanging="556"/>
        <w:jc w:val="left"/>
      </w:pPr>
      <w:r>
        <w:rPr>
          <w:spacing w:val="-2"/>
        </w:rPr>
        <w:t>较轻肌营养不良症</w:t>
      </w:r>
    </w:p>
    <w:p>
      <w:pPr>
        <w:pStyle w:val="BodyText"/>
        <w:spacing w:line="246" w:lineRule="exact"/>
        <w:ind w:left="919"/>
      </w:pPr>
      <w:r>
        <w:rPr>
          <w:spacing w:val="-5"/>
        </w:rPr>
        <w:t>指一组遗传性肌肉变性病变，临床特征为与神经系统无关的肌肉无力和萎缩。且须满足下列全部条件：</w:t>
      </w:r>
    </w:p>
    <w:p>
      <w:pPr>
        <w:pStyle w:val="ListParagraph"/>
        <w:numPr>
          <w:ilvl w:val="0"/>
          <w:numId w:val="30"/>
        </w:numPr>
        <w:tabs>
          <w:tab w:pos="1657" w:val="left" w:leader="none"/>
        </w:tabs>
        <w:spacing w:line="240" w:lineRule="auto" w:before="2" w:after="0"/>
        <w:ind w:left="1656" w:right="0" w:hanging="738"/>
        <w:jc w:val="left"/>
        <w:rPr>
          <w:sz w:val="21"/>
        </w:rPr>
      </w:pPr>
      <w:r>
        <w:rPr>
          <w:spacing w:val="-3"/>
          <w:sz w:val="21"/>
        </w:rPr>
        <w:t>肌电图显示典型肌营养不良症的阳性改变；</w:t>
      </w:r>
    </w:p>
    <w:p>
      <w:pPr>
        <w:pStyle w:val="ListParagraph"/>
        <w:numPr>
          <w:ilvl w:val="0"/>
          <w:numId w:val="30"/>
        </w:numPr>
        <w:tabs>
          <w:tab w:pos="1657" w:val="left" w:leader="none"/>
        </w:tabs>
        <w:spacing w:line="240" w:lineRule="auto" w:before="5" w:after="0"/>
        <w:ind w:left="1656" w:right="0" w:hanging="738"/>
        <w:jc w:val="left"/>
        <w:rPr>
          <w:sz w:val="21"/>
        </w:rPr>
      </w:pPr>
      <w:r>
        <w:rPr>
          <w:spacing w:val="-3"/>
          <w:sz w:val="21"/>
        </w:rPr>
        <w:t>肌肉活检的病理学诊断符合肌营养不良症的肌肉细胞变性、坏死等阳性改变；</w:t>
      </w:r>
    </w:p>
    <w:p>
      <w:pPr>
        <w:spacing w:after="0" w:line="240" w:lineRule="auto"/>
        <w:jc w:val="left"/>
        <w:rPr>
          <w:sz w:val="21"/>
        </w:rPr>
        <w:sectPr>
          <w:pgSz w:w="11910" w:h="16840"/>
          <w:pgMar w:header="0" w:footer="574" w:top="1060" w:bottom="760" w:left="720" w:right="340"/>
        </w:sectPr>
      </w:pPr>
    </w:p>
    <w:p>
      <w:pPr>
        <w:pStyle w:val="ListParagraph"/>
        <w:numPr>
          <w:ilvl w:val="0"/>
          <w:numId w:val="30"/>
        </w:numPr>
        <w:tabs>
          <w:tab w:pos="1657" w:val="left" w:leader="none"/>
        </w:tabs>
        <w:spacing w:line="240" w:lineRule="auto" w:before="55" w:after="0"/>
        <w:ind w:left="1656" w:right="0" w:hanging="738"/>
        <w:jc w:val="left"/>
        <w:rPr>
          <w:sz w:val="21"/>
        </w:rPr>
      </w:pPr>
      <w:r>
        <w:rPr>
          <w:spacing w:val="-3"/>
          <w:sz w:val="21"/>
        </w:rPr>
        <w:t>自主生活能力部分丧失，无法独立完成六项基本日常生活活动中的两项。</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3"/>
        </w:rPr>
        <w:t>肺泡蛋白质沉积症肺灌洗治疗</w:t>
      </w:r>
    </w:p>
    <w:p>
      <w:pPr>
        <w:pStyle w:val="BodyText"/>
        <w:spacing w:line="245" w:lineRule="exact"/>
        <w:ind w:left="919"/>
      </w:pPr>
      <w:r>
        <w:rPr>
          <w:spacing w:val="-3"/>
        </w:rPr>
        <w:t>肺泡蛋白质沉积症指双肺肺泡和细支气管腔内充满不可溶性富磷脂蛋白的疾病，经支气管镜活检或肺</w:t>
      </w:r>
    </w:p>
    <w:p>
      <w:pPr>
        <w:pStyle w:val="BodyText"/>
        <w:spacing w:before="5"/>
        <w:ind w:left="919"/>
      </w:pPr>
      <w:r>
        <w:rPr>
          <w:spacing w:val="-2"/>
        </w:rPr>
        <w:t>活检病理检查证实肺泡内充满有过碘酸雪夫（PAS）</w:t>
      </w:r>
      <w:r>
        <w:rPr>
          <w:spacing w:val="-3"/>
        </w:rPr>
        <w:t>染色阳性的蛋白样物质。</w:t>
      </w:r>
    </w:p>
    <w:p>
      <w:pPr>
        <w:pStyle w:val="BodyText"/>
        <w:spacing w:line="244" w:lineRule="auto" w:before="2"/>
        <w:ind w:left="919" w:right="661"/>
      </w:pPr>
      <w:r>
        <w:rPr>
          <w:spacing w:val="-1"/>
        </w:rPr>
        <w:t>肺泡蛋白质沉积症肺灌洗治疗指经组织病理学检查诊断为肺泡蛋白质沉积症，且已经实施了至少 </w:t>
      </w:r>
      <w:r>
        <w:rPr/>
        <w:t>2</w:t>
      </w:r>
      <w:r>
        <w:rPr>
          <w:spacing w:val="-24"/>
        </w:rPr>
        <w:t> 次</w:t>
      </w:r>
      <w:r>
        <w:rPr>
          <w:spacing w:val="-2"/>
        </w:rPr>
        <w:t>支气管肺泡灌洗治疗。</w:t>
      </w:r>
    </w:p>
    <w:p>
      <w:pPr>
        <w:pStyle w:val="Heading2"/>
        <w:numPr>
          <w:ilvl w:val="0"/>
          <w:numId w:val="6"/>
        </w:numPr>
        <w:tabs>
          <w:tab w:pos="919" w:val="left" w:leader="none"/>
          <w:tab w:pos="920" w:val="left" w:leader="none"/>
        </w:tabs>
        <w:spacing w:line="364" w:lineRule="exact" w:before="99" w:after="0"/>
        <w:ind w:left="919" w:right="0" w:hanging="556"/>
        <w:jc w:val="left"/>
      </w:pPr>
      <w:r>
        <w:rPr>
          <w:spacing w:val="-3"/>
        </w:rPr>
        <w:t>角膜移植</w:t>
      </w:r>
    </w:p>
    <w:p>
      <w:pPr>
        <w:pStyle w:val="BodyText"/>
        <w:spacing w:line="246" w:lineRule="exact"/>
        <w:ind w:left="919"/>
      </w:pPr>
      <w:r>
        <w:rPr>
          <w:spacing w:val="-3"/>
        </w:rPr>
        <w:t>指因疾病或意外伤害导致至少单眼视力永久不可逆性丧失，为增进视力或治疗某些角膜疾患，已经实</w:t>
      </w:r>
    </w:p>
    <w:p>
      <w:pPr>
        <w:pStyle w:val="BodyText"/>
        <w:spacing w:before="2"/>
        <w:ind w:left="919"/>
      </w:pPr>
      <w:r>
        <w:rPr>
          <w:spacing w:val="-3"/>
        </w:rPr>
        <w:t>施了异体的角膜移植手术。此手术必须在医院内由相关专科医生认为是医疗必须的情况下进行。</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2"/>
        </w:rPr>
        <w:t>人工耳蜗植入术</w:t>
      </w:r>
    </w:p>
    <w:p>
      <w:pPr>
        <w:pStyle w:val="BodyText"/>
        <w:spacing w:line="246" w:lineRule="exact"/>
        <w:ind w:left="919"/>
      </w:pPr>
      <w:r>
        <w:rPr>
          <w:spacing w:val="-3"/>
        </w:rPr>
        <w:t>指由于耳蜗的永久不可逆性损害，使用相应的听力辅助设备效果不佳，而已经实施了人工耳蜗植入手</w:t>
      </w:r>
    </w:p>
    <w:p>
      <w:pPr>
        <w:pStyle w:val="BodyText"/>
        <w:spacing w:before="2"/>
        <w:ind w:left="919"/>
      </w:pPr>
      <w:r>
        <w:rPr>
          <w:spacing w:val="-3"/>
        </w:rPr>
        <w:t>术。诊断和治疗须经相关专科医生确认在医学上是必须的。</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3"/>
        </w:rPr>
        <w:t>急性重型肝炎人工肝治疗</w:t>
      </w:r>
    </w:p>
    <w:p>
      <w:pPr>
        <w:pStyle w:val="BodyText"/>
        <w:spacing w:line="245" w:lineRule="exact"/>
        <w:ind w:left="919"/>
      </w:pPr>
      <w:r>
        <w:rPr>
          <w:spacing w:val="-2"/>
        </w:rPr>
        <w:t>指诊断为急性重型肝炎，且已经实施了人工肝支持系统（ALSS）</w:t>
      </w:r>
      <w:r>
        <w:rPr>
          <w:spacing w:val="-5"/>
        </w:rPr>
        <w:t>治疗。</w:t>
      </w:r>
    </w:p>
    <w:p>
      <w:pPr>
        <w:pStyle w:val="BodyText"/>
        <w:spacing w:line="242" w:lineRule="auto" w:before="4"/>
        <w:ind w:left="919" w:right="661"/>
      </w:pPr>
      <w:r>
        <w:rPr>
          <w:spacing w:val="-2"/>
        </w:rPr>
        <w:t>ALSS</w:t>
      </w:r>
      <w:r>
        <w:rPr>
          <w:spacing w:val="-9"/>
        </w:rPr>
        <w:t> 又称体外肝脏支持装置，指借助体外机械、化学或生物性装置暂时部分替代肝脏功能，协助治疗</w:t>
      </w:r>
      <w:r>
        <w:rPr>
          <w:spacing w:val="-2"/>
        </w:rPr>
        <w:t>肝脏功能不全或相关疾病的治疗方法。</w:t>
      </w:r>
    </w:p>
    <w:p>
      <w:pPr>
        <w:pStyle w:val="BodyText"/>
        <w:spacing w:line="268" w:lineRule="exact"/>
        <w:ind w:left="919"/>
      </w:pPr>
      <w:r>
        <w:rPr>
          <w:spacing w:val="5"/>
        </w:rPr>
        <w:t>慢性重型肝炎</w:t>
      </w:r>
      <w:r>
        <w:rPr/>
        <w:t>ALSS</w:t>
      </w:r>
      <w:r>
        <w:rPr>
          <w:spacing w:val="-9"/>
        </w:rPr>
        <w:t> 治疗不在保障范围内。</w:t>
      </w:r>
    </w:p>
    <w:p>
      <w:pPr>
        <w:pStyle w:val="Heading2"/>
        <w:numPr>
          <w:ilvl w:val="0"/>
          <w:numId w:val="6"/>
        </w:numPr>
        <w:tabs>
          <w:tab w:pos="919" w:val="left" w:leader="none"/>
          <w:tab w:pos="920" w:val="left" w:leader="none"/>
        </w:tabs>
        <w:spacing w:line="363" w:lineRule="exact" w:before="108" w:after="0"/>
        <w:ind w:left="919" w:right="0" w:hanging="556"/>
        <w:jc w:val="left"/>
      </w:pPr>
      <w:r>
        <w:rPr>
          <w:spacing w:val="-3"/>
        </w:rPr>
        <w:t>强直性脊柱炎的特定手术治疗</w:t>
      </w:r>
    </w:p>
    <w:p>
      <w:pPr>
        <w:pStyle w:val="BodyText"/>
        <w:spacing w:line="245" w:lineRule="exact"/>
        <w:ind w:left="919"/>
      </w:pPr>
      <w:r>
        <w:rPr>
          <w:spacing w:val="-3"/>
        </w:rPr>
        <w:t>强直性脊柱炎是一种慢性全身性炎性疾病，主要侵犯脊柱导致脊柱畸形。经相关专科医生明确诊断，</w:t>
      </w:r>
    </w:p>
    <w:p>
      <w:pPr>
        <w:pStyle w:val="BodyText"/>
        <w:spacing w:before="5"/>
        <w:ind w:left="919"/>
      </w:pPr>
      <w:r>
        <w:rPr>
          <w:spacing w:val="-3"/>
        </w:rPr>
        <w:t>且须满足下列全部条件：</w:t>
      </w:r>
    </w:p>
    <w:p>
      <w:pPr>
        <w:pStyle w:val="ListParagraph"/>
        <w:numPr>
          <w:ilvl w:val="0"/>
          <w:numId w:val="31"/>
        </w:numPr>
        <w:tabs>
          <w:tab w:pos="1657" w:val="left" w:leader="none"/>
        </w:tabs>
        <w:spacing w:line="240" w:lineRule="auto" w:before="2" w:after="0"/>
        <w:ind w:left="1656" w:right="0" w:hanging="738"/>
        <w:jc w:val="left"/>
        <w:rPr>
          <w:sz w:val="21"/>
        </w:rPr>
      </w:pPr>
      <w:r>
        <w:rPr>
          <w:spacing w:val="-3"/>
          <w:sz w:val="21"/>
        </w:rPr>
        <w:t>脊柱、髋、膝关节疼痛活动受限；</w:t>
      </w:r>
    </w:p>
    <w:p>
      <w:pPr>
        <w:pStyle w:val="ListParagraph"/>
        <w:numPr>
          <w:ilvl w:val="0"/>
          <w:numId w:val="31"/>
        </w:numPr>
        <w:tabs>
          <w:tab w:pos="1657" w:val="left" w:leader="none"/>
        </w:tabs>
        <w:spacing w:line="240" w:lineRule="auto" w:before="4" w:after="0"/>
        <w:ind w:left="1656" w:right="0" w:hanging="738"/>
        <w:jc w:val="left"/>
        <w:rPr>
          <w:sz w:val="21"/>
        </w:rPr>
      </w:pPr>
      <w:r>
        <w:rPr>
          <w:spacing w:val="-3"/>
          <w:sz w:val="21"/>
        </w:rPr>
        <w:t>脊柱后凸畸形，髋、膝关节强直；</w:t>
      </w:r>
    </w:p>
    <w:p>
      <w:pPr>
        <w:pStyle w:val="ListParagraph"/>
        <w:numPr>
          <w:ilvl w:val="0"/>
          <w:numId w:val="31"/>
        </w:numPr>
        <w:tabs>
          <w:tab w:pos="1657" w:val="left" w:leader="none"/>
        </w:tabs>
        <w:spacing w:line="240" w:lineRule="auto" w:before="2" w:after="0"/>
        <w:ind w:left="1656" w:right="0" w:hanging="738"/>
        <w:jc w:val="left"/>
        <w:rPr>
          <w:sz w:val="21"/>
        </w:rPr>
      </w:pPr>
      <w:r>
        <w:rPr>
          <w:spacing w:val="-2"/>
          <w:sz w:val="21"/>
        </w:rPr>
        <w:t>X</w:t>
      </w:r>
      <w:r>
        <w:rPr>
          <w:spacing w:val="-10"/>
          <w:sz w:val="21"/>
        </w:rPr>
        <w:t> 线关节结构破坏征象；</w:t>
      </w:r>
    </w:p>
    <w:p>
      <w:pPr>
        <w:pStyle w:val="ListParagraph"/>
        <w:numPr>
          <w:ilvl w:val="0"/>
          <w:numId w:val="31"/>
        </w:numPr>
        <w:tabs>
          <w:tab w:pos="1657" w:val="left" w:leader="none"/>
        </w:tabs>
        <w:spacing w:line="240" w:lineRule="auto" w:before="5" w:after="0"/>
        <w:ind w:left="1656" w:right="0" w:hanging="738"/>
        <w:jc w:val="left"/>
        <w:rPr>
          <w:sz w:val="21"/>
        </w:rPr>
      </w:pPr>
      <w:r>
        <w:rPr>
          <w:spacing w:val="-3"/>
          <w:sz w:val="21"/>
        </w:rPr>
        <w:t>已经实施了下列手术治疗的一项或多项：</w:t>
      </w:r>
    </w:p>
    <w:p>
      <w:pPr>
        <w:pStyle w:val="BodyText"/>
        <w:spacing w:before="2"/>
        <w:ind w:left="1654"/>
      </w:pPr>
      <w:r>
        <w:rPr>
          <w:spacing w:val="-4"/>
        </w:rPr>
        <w:t>①脊柱截骨手术；</w:t>
      </w:r>
    </w:p>
    <w:p>
      <w:pPr>
        <w:pStyle w:val="BodyText"/>
        <w:spacing w:before="5"/>
        <w:ind w:left="1654"/>
      </w:pPr>
      <w:r>
        <w:rPr>
          <w:spacing w:val="-3"/>
        </w:rPr>
        <w:t>②全髋关节置换手术；</w:t>
      </w:r>
    </w:p>
    <w:p>
      <w:pPr>
        <w:pStyle w:val="BodyText"/>
        <w:spacing w:before="2"/>
        <w:ind w:left="1656"/>
      </w:pPr>
      <w:r>
        <w:rPr>
          <w:spacing w:val="-3"/>
        </w:rPr>
        <w:t>③膝关节置换手术。</w:t>
      </w:r>
    </w:p>
    <w:p>
      <w:pPr>
        <w:pStyle w:val="Heading2"/>
        <w:numPr>
          <w:ilvl w:val="0"/>
          <w:numId w:val="6"/>
        </w:numPr>
        <w:tabs>
          <w:tab w:pos="919" w:val="left" w:leader="none"/>
          <w:tab w:pos="920" w:val="left" w:leader="none"/>
        </w:tabs>
        <w:spacing w:line="364" w:lineRule="exact" w:before="106" w:after="0"/>
        <w:ind w:left="919" w:right="0" w:hanging="556"/>
        <w:jc w:val="left"/>
      </w:pPr>
      <w:r>
        <w:rPr>
          <w:spacing w:val="-3"/>
        </w:rPr>
        <w:t>急性肾衰竭血液透析治疗</w:t>
      </w:r>
    </w:p>
    <w:p>
      <w:pPr>
        <w:pStyle w:val="BodyText"/>
        <w:spacing w:line="246" w:lineRule="exact"/>
        <w:ind w:left="919"/>
      </w:pPr>
      <w:r>
        <w:rPr>
          <w:spacing w:val="-2"/>
        </w:rPr>
        <w:t>急性肾衰竭（ARF）或急性肾损伤（AKI）指各种病因引起的肾功能在短期内（数小时或数周）</w:t>
      </w:r>
      <w:r>
        <w:rPr>
          <w:spacing w:val="-5"/>
        </w:rPr>
        <w:t>急剧进</w:t>
      </w:r>
    </w:p>
    <w:p>
      <w:pPr>
        <w:pStyle w:val="BodyText"/>
        <w:spacing w:line="244" w:lineRule="auto" w:before="2"/>
        <w:ind w:left="919" w:right="666"/>
      </w:pPr>
      <w:r>
        <w:rPr>
          <w:spacing w:val="-2"/>
        </w:rPr>
        <w:t>行性下降，导致体内氮质产物潴留而出现的临床综合征，本病诊断和治疗须经相关专科医生确认在医</w:t>
      </w:r>
      <w:r>
        <w:rPr>
          <w:spacing w:val="-2"/>
        </w:rPr>
        <w:t>学上是必须的，且须满足下列全部条件：</w:t>
      </w:r>
    </w:p>
    <w:p>
      <w:pPr>
        <w:pStyle w:val="ListParagraph"/>
        <w:numPr>
          <w:ilvl w:val="0"/>
          <w:numId w:val="32"/>
        </w:numPr>
        <w:tabs>
          <w:tab w:pos="1657" w:val="left" w:leader="none"/>
        </w:tabs>
        <w:spacing w:line="265" w:lineRule="exact" w:before="0" w:after="0"/>
        <w:ind w:left="1656" w:right="0" w:hanging="738"/>
        <w:jc w:val="left"/>
        <w:rPr>
          <w:sz w:val="21"/>
        </w:rPr>
      </w:pPr>
      <w:r>
        <w:rPr>
          <w:spacing w:val="-11"/>
          <w:sz w:val="21"/>
        </w:rPr>
        <w:t>少尿或无尿 </w:t>
      </w:r>
      <w:r>
        <w:rPr>
          <w:spacing w:val="-2"/>
          <w:sz w:val="21"/>
        </w:rPr>
        <w:t>2</w:t>
      </w:r>
      <w:r>
        <w:rPr>
          <w:spacing w:val="-14"/>
          <w:sz w:val="21"/>
        </w:rPr>
        <w:t> 天以上；</w:t>
      </w:r>
    </w:p>
    <w:p>
      <w:pPr>
        <w:pStyle w:val="ListParagraph"/>
        <w:numPr>
          <w:ilvl w:val="0"/>
          <w:numId w:val="32"/>
        </w:numPr>
        <w:tabs>
          <w:tab w:pos="1657" w:val="left" w:leader="none"/>
        </w:tabs>
        <w:spacing w:line="240" w:lineRule="auto" w:before="4" w:after="0"/>
        <w:ind w:left="1656" w:right="0" w:hanging="738"/>
        <w:jc w:val="left"/>
        <w:rPr>
          <w:sz w:val="21"/>
        </w:rPr>
      </w:pPr>
      <w:r>
        <w:rPr>
          <w:spacing w:val="-2"/>
          <w:sz w:val="21"/>
        </w:rPr>
        <w:t>血肌酐（Scr）＞5mg/dl</w:t>
      </w:r>
      <w:r>
        <w:rPr>
          <w:spacing w:val="-20"/>
          <w:sz w:val="21"/>
        </w:rPr>
        <w:t> 或</w:t>
      </w:r>
      <w:r>
        <w:rPr>
          <w:spacing w:val="-2"/>
          <w:sz w:val="21"/>
        </w:rPr>
        <w:t>＞442μmol/L；</w:t>
      </w:r>
    </w:p>
    <w:p>
      <w:pPr>
        <w:pStyle w:val="ListParagraph"/>
        <w:numPr>
          <w:ilvl w:val="0"/>
          <w:numId w:val="32"/>
        </w:numPr>
        <w:tabs>
          <w:tab w:pos="1657" w:val="left" w:leader="none"/>
        </w:tabs>
        <w:spacing w:line="240" w:lineRule="auto" w:before="2" w:after="0"/>
        <w:ind w:left="1656" w:right="0" w:hanging="738"/>
        <w:jc w:val="left"/>
        <w:rPr>
          <w:sz w:val="21"/>
        </w:rPr>
      </w:pPr>
      <w:r>
        <w:rPr>
          <w:spacing w:val="-1"/>
          <w:sz w:val="21"/>
        </w:rPr>
        <w:t>血钾＞</w:t>
      </w:r>
      <w:r>
        <w:rPr>
          <w:spacing w:val="-2"/>
          <w:sz w:val="21"/>
        </w:rPr>
        <w:t>6.5mmol/L；</w:t>
      </w:r>
    </w:p>
    <w:p>
      <w:pPr>
        <w:pStyle w:val="ListParagraph"/>
        <w:numPr>
          <w:ilvl w:val="0"/>
          <w:numId w:val="32"/>
        </w:numPr>
        <w:tabs>
          <w:tab w:pos="1657" w:val="left" w:leader="none"/>
        </w:tabs>
        <w:spacing w:line="240" w:lineRule="auto" w:before="5" w:after="0"/>
        <w:ind w:left="1656" w:right="0" w:hanging="738"/>
        <w:jc w:val="left"/>
        <w:rPr>
          <w:sz w:val="21"/>
        </w:rPr>
      </w:pPr>
      <w:r>
        <w:rPr>
          <w:spacing w:val="-3"/>
          <w:sz w:val="21"/>
        </w:rPr>
        <w:t>已经实施了血液透析治疗。</w:t>
      </w:r>
    </w:p>
    <w:p>
      <w:pPr>
        <w:pStyle w:val="BodyText"/>
        <w:spacing w:before="8"/>
        <w:ind w:left="0"/>
        <w:rPr>
          <w:sz w:val="19"/>
        </w:rPr>
      </w:pPr>
    </w:p>
    <w:p>
      <w:pPr>
        <w:pStyle w:val="BodyText"/>
        <w:ind w:left="871"/>
      </w:pPr>
      <w:r>
        <w:rPr>
          <w:spacing w:val="-2"/>
        </w:rPr>
        <w:t>（此页正文完</w:t>
      </w:r>
      <w:r>
        <w:rPr>
          <w:spacing w:val="-12"/>
        </w:rPr>
        <w:t>）</w:t>
      </w:r>
    </w:p>
    <w:p>
      <w:pPr>
        <w:spacing w:after="0"/>
        <w:sectPr>
          <w:pgSz w:w="11910" w:h="16840"/>
          <w:pgMar w:header="0" w:footer="574" w:top="1060" w:bottom="760" w:left="720" w:right="340"/>
        </w:sectPr>
      </w:pPr>
    </w:p>
    <w:p>
      <w:pPr>
        <w:pStyle w:val="Heading1"/>
        <w:spacing w:line="422" w:lineRule="exact"/>
        <w:ind w:left="211" w:firstLine="0"/>
        <w:jc w:val="both"/>
      </w:pPr>
      <w:r>
        <w:rPr>
          <w:spacing w:val="3"/>
        </w:rPr>
        <w:t>附件二 重大疾病定义</w:t>
      </w:r>
    </w:p>
    <w:p>
      <w:pPr>
        <w:pStyle w:val="BodyText"/>
        <w:spacing w:line="20" w:lineRule="exact"/>
        <w:ind w:left="103"/>
        <w:rPr>
          <w:rFonts w:ascii="微软雅黑"/>
          <w:sz w:val="2"/>
        </w:rPr>
      </w:pPr>
      <w:r>
        <w:rPr>
          <w:rFonts w:ascii="微软雅黑"/>
          <w:sz w:val="2"/>
        </w:rPr>
        <w:drawing>
          <wp:inline distT="0" distB="0" distL="0" distR="0">
            <wp:extent cx="6358329" cy="12287"/>
            <wp:effectExtent l="0" t="0" r="0" b="0"/>
            <wp:docPr id="63" name="image20.png"/>
            <wp:cNvGraphicFramePr>
              <a:graphicFrameLocks noChangeAspect="1"/>
            </wp:cNvGraphicFramePr>
            <a:graphic>
              <a:graphicData uri="http://schemas.openxmlformats.org/drawingml/2006/picture">
                <pic:pic>
                  <pic:nvPicPr>
                    <pic:cNvPr id="64" name="image20.png"/>
                    <pic:cNvPicPr/>
                  </pic:nvPicPr>
                  <pic:blipFill>
                    <a:blip r:embed="rId27" cstate="print"/>
                    <a:stretch>
                      <a:fillRect/>
                    </a:stretch>
                  </pic:blipFill>
                  <pic:spPr>
                    <a:xfrm>
                      <a:off x="0" y="0"/>
                      <a:ext cx="6358329" cy="12287"/>
                    </a:xfrm>
                    <a:prstGeom prst="rect">
                      <a:avLst/>
                    </a:prstGeom>
                  </pic:spPr>
                </pic:pic>
              </a:graphicData>
            </a:graphic>
          </wp:inline>
        </w:drawing>
      </w:r>
      <w:r>
        <w:rPr>
          <w:rFonts w:ascii="微软雅黑"/>
          <w:sz w:val="2"/>
        </w:rPr>
      </w:r>
    </w:p>
    <w:p>
      <w:pPr>
        <w:pStyle w:val="BodyText"/>
        <w:spacing w:line="242" w:lineRule="auto" w:before="152"/>
        <w:ind w:left="211" w:right="908"/>
        <w:jc w:val="both"/>
      </w:pPr>
      <w:r>
        <w:rPr>
          <w:spacing w:val="-4"/>
        </w:rPr>
        <w:t>本合同所定义的重大疾病共有 </w:t>
      </w:r>
      <w:r>
        <w:rPr>
          <w:spacing w:val="-2"/>
        </w:rPr>
        <w:t>120</w:t>
      </w:r>
      <w:r>
        <w:rPr>
          <w:spacing w:val="-6"/>
        </w:rPr>
        <w:t> 种，其中加“</w:t>
      </w:r>
      <w:r>
        <w:rPr>
          <w:spacing w:val="-2"/>
        </w:rPr>
        <w:t>*”</w:t>
      </w:r>
      <w:r>
        <w:rPr>
          <w:spacing w:val="-11"/>
        </w:rPr>
        <w:t>的 </w:t>
      </w:r>
      <w:r>
        <w:rPr>
          <w:spacing w:val="-2"/>
        </w:rPr>
        <w:t>28</w:t>
      </w:r>
      <w:r>
        <w:rPr>
          <w:spacing w:val="-7"/>
        </w:rPr>
        <w:t> 种重大疾病为中国保险行业协会发布的《重大疾</w:t>
      </w:r>
      <w:r>
        <w:rPr>
          <w:spacing w:val="-2"/>
        </w:rPr>
        <w:t>病保险的疾病定义使用规范（2020</w:t>
      </w:r>
      <w:r>
        <w:rPr>
          <w:spacing w:val="-7"/>
        </w:rPr>
        <w:t> 年修订版</w:t>
      </w:r>
      <w:r>
        <w:rPr>
          <w:spacing w:val="-106"/>
        </w:rPr>
        <w:t>）</w:t>
      </w:r>
      <w:r>
        <w:rPr>
          <w:spacing w:val="-128"/>
        </w:rPr>
        <w:t>》</w:t>
      </w:r>
      <w:r>
        <w:rPr>
          <w:spacing w:val="-2"/>
        </w:rPr>
        <w:t>（</w:t>
      </w:r>
      <w:r>
        <w:rPr>
          <w:spacing w:val="-10"/>
        </w:rPr>
        <w:t>以下简称“规范”</w:t>
      </w:r>
      <w:r>
        <w:rPr>
          <w:spacing w:val="-65"/>
        </w:rPr>
        <w:t>）</w:t>
      </w:r>
      <w:r>
        <w:rPr>
          <w:spacing w:val="-2"/>
        </w:rPr>
        <w:t>规定的重度疾病，且疾病名称和疾病定</w:t>
      </w:r>
      <w:r>
        <w:rPr>
          <w:spacing w:val="-2"/>
        </w:rPr>
        <w:t>义与“规范”一致，其他重大疾病为“规范”规定范围之外的疾病。</w:t>
      </w:r>
    </w:p>
    <w:p>
      <w:pPr>
        <w:pStyle w:val="Heading2"/>
        <w:numPr>
          <w:ilvl w:val="0"/>
          <w:numId w:val="33"/>
        </w:numPr>
        <w:tabs>
          <w:tab w:pos="768" w:val="left" w:leader="none"/>
          <w:tab w:pos="769" w:val="left" w:leader="none"/>
        </w:tabs>
        <w:spacing w:line="363" w:lineRule="exact" w:before="106" w:after="0"/>
        <w:ind w:left="768" w:right="0" w:hanging="558"/>
        <w:jc w:val="left"/>
        <w:rPr>
          <w:sz w:val="11"/>
        </w:rPr>
      </w:pPr>
      <w:r>
        <w:rPr>
          <w:w w:val="95"/>
        </w:rPr>
        <w:t>恶</w:t>
      </w:r>
      <w:r>
        <w:rPr>
          <w:w w:val="95"/>
        </w:rPr>
        <w:t>性</w:t>
      </w:r>
      <w:r>
        <w:rPr>
          <w:w w:val="95"/>
        </w:rPr>
        <w:t>肿</w:t>
      </w:r>
      <w:r>
        <w:rPr>
          <w:w w:val="95"/>
        </w:rPr>
        <w:t>瘤——</w:t>
      </w:r>
      <w:r>
        <w:rPr>
          <w:w w:val="95"/>
        </w:rPr>
        <w:t>重</w:t>
      </w:r>
      <w:r>
        <w:rPr>
          <w:w w:val="95"/>
        </w:rPr>
        <w:t>度</w:t>
      </w:r>
      <w:r>
        <w:rPr>
          <w:spacing w:val="-10"/>
          <w:w w:val="95"/>
          <w:position w:val="11"/>
          <w:sz w:val="11"/>
        </w:rPr>
        <w:t>*</w:t>
      </w:r>
    </w:p>
    <w:p>
      <w:pPr>
        <w:pStyle w:val="BodyText"/>
        <w:spacing w:line="245" w:lineRule="exact"/>
      </w:pPr>
      <w:r>
        <w:rPr>
          <w:spacing w:val="-5"/>
        </w:rPr>
        <w:t>指恶性细胞不受控制的进行性增长和扩散，浸润和破坏周围正常组织，可以经血管、淋巴管和体腔扩</w:t>
      </w:r>
    </w:p>
    <w:p>
      <w:pPr>
        <w:pStyle w:val="BodyText"/>
        <w:spacing w:line="242" w:lineRule="auto" w:before="2"/>
        <w:ind w:right="908"/>
        <w:jc w:val="both"/>
      </w:pPr>
      <w:r>
        <w:rPr>
          <w:spacing w:val="-2"/>
        </w:rPr>
        <w:t>散转移到身体其他部位，病灶经组织病理学检查（涵盖骨髓病理学检查）结果明确诊断，临床诊断属</w:t>
      </w:r>
      <w:r>
        <w:rPr>
          <w:spacing w:val="-2"/>
        </w:rPr>
        <w:t>于世界卫生组织（WHO，World Health </w:t>
      </w:r>
      <w:r>
        <w:rPr>
          <w:spacing w:val="6"/>
        </w:rPr>
        <w:t>Org</w:t>
      </w:r>
      <w:r>
        <w:rPr>
          <w:spacing w:val="3"/>
        </w:rPr>
        <w:t>a</w:t>
      </w:r>
      <w:r>
        <w:rPr>
          <w:spacing w:val="6"/>
        </w:rPr>
        <w:t>niz</w:t>
      </w:r>
      <w:r>
        <w:rPr>
          <w:spacing w:val="3"/>
        </w:rPr>
        <w:t>a</w:t>
      </w:r>
      <w:r>
        <w:rPr>
          <w:spacing w:val="6"/>
        </w:rPr>
        <w:t>tio</w:t>
      </w:r>
      <w:r>
        <w:rPr>
          <w:spacing w:val="4"/>
        </w:rPr>
        <w:t>n</w:t>
      </w:r>
      <w:r>
        <w:rPr>
          <w:spacing w:val="-100"/>
        </w:rPr>
        <w:t>）</w:t>
      </w:r>
      <w:r>
        <w:rPr>
          <w:spacing w:val="-2"/>
        </w:rPr>
        <w:t>《疾病和有关健康问题的国际统计分类》第十</w:t>
      </w:r>
      <w:r>
        <w:rPr>
          <w:spacing w:val="-2"/>
        </w:rPr>
        <w:t>次修订版（ICD-10）的恶性肿瘤类别及《国际疾病分类肿瘤学专辑》第三版（ICD-O-3）的肿瘤形态</w:t>
      </w:r>
      <w:r>
        <w:rPr>
          <w:spacing w:val="-8"/>
        </w:rPr>
        <w:t>学编码属于 </w:t>
      </w:r>
      <w:r>
        <w:rPr/>
        <w:t>3、6、9（恶性肿瘤）范畴的疾病。</w:t>
      </w:r>
    </w:p>
    <w:p>
      <w:pPr>
        <w:pStyle w:val="BodyText"/>
        <w:spacing w:before="3"/>
      </w:pPr>
      <w:r>
        <w:rPr>
          <w:spacing w:val="-10"/>
        </w:rPr>
        <w:t>下列疾病不属于“恶性肿瘤——重度”，不在保障范围内：</w:t>
      </w:r>
    </w:p>
    <w:p>
      <w:pPr>
        <w:pStyle w:val="ListParagraph"/>
        <w:numPr>
          <w:ilvl w:val="1"/>
          <w:numId w:val="33"/>
        </w:numPr>
        <w:tabs>
          <w:tab w:pos="1506" w:val="left" w:leader="none"/>
        </w:tabs>
        <w:spacing w:line="242" w:lineRule="auto" w:before="4" w:after="0"/>
        <w:ind w:left="1505" w:right="803" w:hanging="737"/>
        <w:jc w:val="left"/>
        <w:rPr>
          <w:sz w:val="21"/>
        </w:rPr>
      </w:pPr>
      <w:r>
        <w:rPr>
          <w:spacing w:val="-4"/>
          <w:sz w:val="21"/>
        </w:rPr>
        <w:t>ICD-O-3</w:t>
      </w:r>
      <w:r>
        <w:rPr>
          <w:spacing w:val="-16"/>
          <w:sz w:val="21"/>
        </w:rPr>
        <w:t> 肿瘤形态学编码属于 </w:t>
      </w:r>
      <w:r>
        <w:rPr>
          <w:spacing w:val="-4"/>
          <w:sz w:val="21"/>
        </w:rPr>
        <w:t>0（良性肿瘤</w:t>
      </w:r>
      <w:r>
        <w:rPr>
          <w:spacing w:val="-108"/>
          <w:sz w:val="21"/>
        </w:rPr>
        <w:t>）</w:t>
      </w:r>
      <w:r>
        <w:rPr>
          <w:spacing w:val="-4"/>
          <w:sz w:val="21"/>
        </w:rPr>
        <w:t>、1（动态未定性肿瘤</w:t>
      </w:r>
      <w:r>
        <w:rPr>
          <w:spacing w:val="-108"/>
          <w:sz w:val="21"/>
        </w:rPr>
        <w:t>）</w:t>
      </w:r>
      <w:r>
        <w:rPr>
          <w:spacing w:val="-4"/>
          <w:sz w:val="21"/>
        </w:rPr>
        <w:t>、2（原位癌和非侵袭性癌）</w:t>
      </w:r>
      <w:r>
        <w:rPr>
          <w:spacing w:val="-2"/>
          <w:sz w:val="21"/>
        </w:rPr>
        <w:t>范畴的疾病，如：</w:t>
      </w:r>
    </w:p>
    <w:p>
      <w:pPr>
        <w:pStyle w:val="ListParagraph"/>
        <w:numPr>
          <w:ilvl w:val="2"/>
          <w:numId w:val="33"/>
        </w:numPr>
        <w:tabs>
          <w:tab w:pos="1718" w:val="left" w:leader="none"/>
        </w:tabs>
        <w:spacing w:line="242" w:lineRule="auto" w:before="2" w:after="0"/>
        <w:ind w:left="1505" w:right="907" w:firstLine="0"/>
        <w:jc w:val="left"/>
        <w:rPr>
          <w:sz w:val="21"/>
        </w:rPr>
      </w:pPr>
      <w:r>
        <w:rPr>
          <w:spacing w:val="-2"/>
          <w:sz w:val="21"/>
        </w:rPr>
        <w:t>原位癌，癌前病变，非浸润性癌，非侵袭性癌，肿瘤细胞未侵犯基底层，上皮内瘤变，细</w:t>
      </w:r>
      <w:r>
        <w:rPr>
          <w:spacing w:val="-2"/>
          <w:sz w:val="21"/>
        </w:rPr>
        <w:t>胞不典型性增生等；</w:t>
      </w:r>
    </w:p>
    <w:p>
      <w:pPr>
        <w:pStyle w:val="ListParagraph"/>
        <w:numPr>
          <w:ilvl w:val="2"/>
          <w:numId w:val="33"/>
        </w:numPr>
        <w:tabs>
          <w:tab w:pos="1718" w:val="left" w:leader="none"/>
        </w:tabs>
        <w:spacing w:line="240" w:lineRule="auto" w:before="2" w:after="0"/>
        <w:ind w:left="1717" w:right="0" w:hanging="213"/>
        <w:jc w:val="left"/>
        <w:rPr>
          <w:sz w:val="21"/>
        </w:rPr>
      </w:pPr>
      <w:r>
        <w:rPr>
          <w:spacing w:val="-3"/>
          <w:sz w:val="21"/>
        </w:rPr>
        <w:t>交界性肿瘤，交界恶性肿瘤，肿瘤低度恶性潜能，潜在低度恶性肿瘤等；</w:t>
      </w:r>
    </w:p>
    <w:p>
      <w:pPr>
        <w:pStyle w:val="ListParagraph"/>
        <w:numPr>
          <w:ilvl w:val="1"/>
          <w:numId w:val="33"/>
        </w:numPr>
        <w:tabs>
          <w:tab w:pos="1506" w:val="left" w:leader="none"/>
        </w:tabs>
        <w:spacing w:line="240" w:lineRule="auto" w:before="2" w:after="0"/>
        <w:ind w:left="1505" w:right="0" w:hanging="738"/>
        <w:jc w:val="left"/>
        <w:rPr>
          <w:sz w:val="21"/>
        </w:rPr>
      </w:pPr>
      <w:r>
        <w:rPr>
          <w:spacing w:val="-2"/>
          <w:sz w:val="21"/>
        </w:rPr>
        <w:t>TNM</w:t>
      </w:r>
      <w:r>
        <w:rPr>
          <w:spacing w:val="-9"/>
          <w:sz w:val="21"/>
        </w:rPr>
        <w:t> 分期为Ⅰ期或更轻分期的甲状腺癌；</w:t>
      </w:r>
    </w:p>
    <w:p>
      <w:pPr>
        <w:pStyle w:val="ListParagraph"/>
        <w:numPr>
          <w:ilvl w:val="1"/>
          <w:numId w:val="33"/>
        </w:numPr>
        <w:tabs>
          <w:tab w:pos="1506" w:val="left" w:leader="none"/>
        </w:tabs>
        <w:spacing w:line="240" w:lineRule="auto" w:before="4" w:after="0"/>
        <w:ind w:left="1505" w:right="0" w:hanging="738"/>
        <w:jc w:val="left"/>
        <w:rPr>
          <w:sz w:val="21"/>
        </w:rPr>
      </w:pPr>
      <w:r>
        <w:rPr>
          <w:position w:val="1"/>
          <w:sz w:val="21"/>
        </w:rPr>
        <w:t>TNM</w:t>
      </w:r>
      <w:r>
        <w:rPr>
          <w:spacing w:val="-8"/>
          <w:position w:val="1"/>
          <w:sz w:val="21"/>
        </w:rPr>
        <w:t> 分期为</w:t>
      </w:r>
      <w:r>
        <w:rPr>
          <w:position w:val="1"/>
          <w:sz w:val="21"/>
        </w:rPr>
        <w:t>T</w:t>
      </w:r>
      <w:r>
        <w:rPr>
          <w:sz w:val="11"/>
        </w:rPr>
        <w:t>1</w:t>
      </w:r>
      <w:r>
        <w:rPr>
          <w:position w:val="1"/>
          <w:sz w:val="21"/>
        </w:rPr>
        <w:t>N</w:t>
      </w:r>
      <w:r>
        <w:rPr>
          <w:sz w:val="11"/>
        </w:rPr>
        <w:t>0</w:t>
      </w:r>
      <w:r>
        <w:rPr>
          <w:position w:val="1"/>
          <w:sz w:val="21"/>
        </w:rPr>
        <w:t>M</w:t>
      </w:r>
      <w:r>
        <w:rPr>
          <w:sz w:val="11"/>
        </w:rPr>
        <w:t>0</w:t>
      </w:r>
      <w:r>
        <w:rPr>
          <w:spacing w:val="-28"/>
          <w:sz w:val="11"/>
        </w:rPr>
        <w:t> </w:t>
      </w:r>
      <w:r>
        <w:rPr>
          <w:spacing w:val="-1"/>
          <w:position w:val="1"/>
          <w:sz w:val="21"/>
        </w:rPr>
        <w:t>期或更轻分期的前列腺癌；</w:t>
      </w:r>
    </w:p>
    <w:p>
      <w:pPr>
        <w:pStyle w:val="ListParagraph"/>
        <w:numPr>
          <w:ilvl w:val="1"/>
          <w:numId w:val="33"/>
        </w:numPr>
        <w:tabs>
          <w:tab w:pos="1506" w:val="left" w:leader="none"/>
        </w:tabs>
        <w:spacing w:line="240" w:lineRule="auto" w:before="2" w:after="0"/>
        <w:ind w:left="1505" w:right="0" w:hanging="738"/>
        <w:jc w:val="left"/>
        <w:rPr>
          <w:sz w:val="21"/>
        </w:rPr>
      </w:pPr>
      <w:r>
        <w:rPr>
          <w:spacing w:val="-3"/>
          <w:sz w:val="21"/>
        </w:rPr>
        <w:t>黑色素瘤以外的未发生淋巴结和远处转移的皮肤恶性肿瘤；</w:t>
      </w:r>
    </w:p>
    <w:p>
      <w:pPr>
        <w:pStyle w:val="ListParagraph"/>
        <w:numPr>
          <w:ilvl w:val="1"/>
          <w:numId w:val="33"/>
        </w:numPr>
        <w:tabs>
          <w:tab w:pos="1506" w:val="left" w:leader="none"/>
        </w:tabs>
        <w:spacing w:line="240" w:lineRule="auto" w:before="5" w:after="0"/>
        <w:ind w:left="1505" w:right="0" w:hanging="738"/>
        <w:jc w:val="left"/>
        <w:rPr>
          <w:sz w:val="21"/>
        </w:rPr>
      </w:pPr>
      <w:r>
        <w:rPr>
          <w:spacing w:val="-14"/>
          <w:sz w:val="21"/>
        </w:rPr>
        <w:t>相当于 </w:t>
      </w:r>
      <w:r>
        <w:rPr>
          <w:spacing w:val="-2"/>
          <w:sz w:val="21"/>
        </w:rPr>
        <w:t>Binet</w:t>
      </w:r>
      <w:r>
        <w:rPr>
          <w:spacing w:val="-18"/>
          <w:sz w:val="21"/>
        </w:rPr>
        <w:t> 分期方案 </w:t>
      </w:r>
      <w:r>
        <w:rPr>
          <w:spacing w:val="-2"/>
          <w:sz w:val="21"/>
        </w:rPr>
        <w:t>A</w:t>
      </w:r>
      <w:r>
        <w:rPr>
          <w:spacing w:val="-10"/>
          <w:sz w:val="21"/>
        </w:rPr>
        <w:t> 期程度的慢性淋巴细胞白血病；</w:t>
      </w:r>
    </w:p>
    <w:p>
      <w:pPr>
        <w:pStyle w:val="ListParagraph"/>
        <w:numPr>
          <w:ilvl w:val="1"/>
          <w:numId w:val="33"/>
        </w:numPr>
        <w:tabs>
          <w:tab w:pos="1506" w:val="left" w:leader="none"/>
        </w:tabs>
        <w:spacing w:line="240" w:lineRule="auto" w:before="2" w:after="0"/>
        <w:ind w:left="1505" w:right="0" w:hanging="738"/>
        <w:jc w:val="left"/>
        <w:rPr>
          <w:sz w:val="21"/>
        </w:rPr>
      </w:pPr>
      <w:r>
        <w:rPr>
          <w:spacing w:val="-14"/>
          <w:sz w:val="21"/>
        </w:rPr>
        <w:t>相当于 </w:t>
      </w:r>
      <w:r>
        <w:rPr>
          <w:spacing w:val="-2"/>
          <w:sz w:val="21"/>
        </w:rPr>
        <w:t>Ann</w:t>
      </w:r>
      <w:r>
        <w:rPr>
          <w:spacing w:val="9"/>
          <w:sz w:val="21"/>
        </w:rPr>
        <w:t> </w:t>
      </w:r>
      <w:r>
        <w:rPr>
          <w:spacing w:val="-2"/>
          <w:sz w:val="21"/>
        </w:rPr>
        <w:t>Arbor</w:t>
      </w:r>
      <w:r>
        <w:rPr>
          <w:spacing w:val="-10"/>
          <w:sz w:val="21"/>
        </w:rPr>
        <w:t> 分期方案Ⅰ期程度的何杰金氏病；</w:t>
      </w:r>
    </w:p>
    <w:p>
      <w:pPr>
        <w:pStyle w:val="ListParagraph"/>
        <w:numPr>
          <w:ilvl w:val="1"/>
          <w:numId w:val="33"/>
        </w:numPr>
        <w:tabs>
          <w:tab w:pos="1506" w:val="left" w:leader="none"/>
        </w:tabs>
        <w:spacing w:line="242" w:lineRule="auto" w:before="5" w:after="0"/>
        <w:ind w:left="1505" w:right="908" w:hanging="737"/>
        <w:jc w:val="left"/>
        <w:rPr>
          <w:sz w:val="21"/>
        </w:rPr>
      </w:pPr>
      <w:r>
        <w:rPr>
          <w:spacing w:val="-6"/>
          <w:sz w:val="21"/>
        </w:rPr>
        <w:t>未发生淋巴结和远处转移且 </w:t>
      </w:r>
      <w:r>
        <w:rPr>
          <w:spacing w:val="-2"/>
          <w:sz w:val="21"/>
        </w:rPr>
        <w:t>WHO</w:t>
      </w:r>
      <w:r>
        <w:rPr>
          <w:spacing w:val="-23"/>
          <w:sz w:val="21"/>
        </w:rPr>
        <w:t> 分级为 </w:t>
      </w:r>
      <w:r>
        <w:rPr>
          <w:spacing w:val="-2"/>
          <w:sz w:val="21"/>
        </w:rPr>
        <w:t>G1</w:t>
      </w:r>
      <w:r>
        <w:rPr>
          <w:spacing w:val="-18"/>
          <w:sz w:val="21"/>
        </w:rPr>
        <w:t> 级别</w:t>
      </w:r>
      <w:r>
        <w:rPr>
          <w:spacing w:val="-2"/>
          <w:sz w:val="21"/>
        </w:rPr>
        <w:t>（核分裂像＜10/50</w:t>
      </w:r>
      <w:r>
        <w:rPr>
          <w:spacing w:val="-25"/>
          <w:sz w:val="21"/>
        </w:rPr>
        <w:t> </w:t>
      </w:r>
      <w:r>
        <w:rPr>
          <w:spacing w:val="-2"/>
          <w:sz w:val="21"/>
        </w:rPr>
        <w:t>HPF</w:t>
      </w:r>
      <w:r>
        <w:rPr>
          <w:spacing w:val="-36"/>
          <w:sz w:val="21"/>
        </w:rPr>
        <w:t> 和 </w:t>
      </w:r>
      <w:r>
        <w:rPr>
          <w:spacing w:val="-2"/>
          <w:sz w:val="21"/>
        </w:rPr>
        <w:t>ki-67≤2％）或更</w:t>
      </w:r>
      <w:r>
        <w:rPr>
          <w:spacing w:val="-2"/>
          <w:sz w:val="21"/>
        </w:rPr>
        <w:t>轻分级的神经内分泌肿瘤。</w:t>
      </w:r>
    </w:p>
    <w:p>
      <w:pPr>
        <w:pStyle w:val="Heading2"/>
        <w:numPr>
          <w:ilvl w:val="0"/>
          <w:numId w:val="33"/>
        </w:numPr>
        <w:tabs>
          <w:tab w:pos="768" w:val="left" w:leader="none"/>
          <w:tab w:pos="769" w:val="left" w:leader="none"/>
        </w:tabs>
        <w:spacing w:line="364" w:lineRule="exact" w:before="102" w:after="0"/>
        <w:ind w:left="768" w:right="0" w:hanging="558"/>
        <w:jc w:val="left"/>
        <w:rPr>
          <w:sz w:val="11"/>
        </w:rPr>
      </w:pPr>
      <w:r>
        <w:rPr>
          <w:spacing w:val="-2"/>
        </w:rPr>
        <w:t>较重急性心肌梗死</w:t>
      </w:r>
      <w:r>
        <w:rPr>
          <w:spacing w:val="-10"/>
          <w:position w:val="11"/>
          <w:sz w:val="11"/>
        </w:rPr>
        <w:t>*</w:t>
      </w:r>
    </w:p>
    <w:p>
      <w:pPr>
        <w:pStyle w:val="BodyText"/>
        <w:spacing w:line="246" w:lineRule="exact"/>
      </w:pPr>
      <w:r>
        <w:rPr>
          <w:spacing w:val="-5"/>
        </w:rPr>
        <w:t>急性心肌梗死指由于冠状动脉闭塞或梗阻引起部分心肌严重的持久性缺血造成急性心肌坏死。急性心</w:t>
      </w:r>
    </w:p>
    <w:p>
      <w:pPr>
        <w:pStyle w:val="BodyText"/>
        <w:spacing w:line="242" w:lineRule="auto" w:before="2"/>
        <w:ind w:right="803"/>
      </w:pPr>
      <w:r>
        <w:rPr>
          <w:spacing w:val="-13"/>
        </w:rPr>
        <w:t>肌梗死的诊断必须依据国际国内诊断标准，符合</w:t>
      </w:r>
      <w:r>
        <w:rPr>
          <w:spacing w:val="-4"/>
        </w:rPr>
        <w:t>（1）</w:t>
      </w:r>
      <w:r>
        <w:rPr>
          <w:spacing w:val="-13"/>
        </w:rPr>
        <w:t>检测到肌酸激酶同工酶</w:t>
      </w:r>
      <w:r>
        <w:rPr>
          <w:spacing w:val="-4"/>
        </w:rPr>
        <w:t>（CK-MB）</w:t>
      </w:r>
      <w:r>
        <w:rPr>
          <w:spacing w:val="-21"/>
        </w:rPr>
        <w:t>或肌钙蛋白</w:t>
      </w:r>
      <w:r>
        <w:rPr>
          <w:spacing w:val="-4"/>
        </w:rPr>
        <w:t>（cTn）</w:t>
      </w:r>
      <w:r>
        <w:rPr>
          <w:spacing w:val="-5"/>
        </w:rPr>
        <w:t>升高和/或降低的动态变化，至少一次达到或超过心肌梗死的临床诊断标准；</w:t>
      </w:r>
      <w:r>
        <w:rPr>
          <w:spacing w:val="22"/>
        </w:rPr>
        <w:t>（</w:t>
      </w:r>
      <w:r>
        <w:rPr>
          <w:spacing w:val="25"/>
        </w:rPr>
        <w:t>2）</w:t>
      </w:r>
      <w:r>
        <w:rPr>
          <w:spacing w:val="-2"/>
        </w:rPr>
        <w:t>同时存在下列之一</w:t>
      </w:r>
      <w:r>
        <w:rPr>
          <w:spacing w:val="-2"/>
        </w:rPr>
        <w:t>的证据，包括：缺血性胸痛症状、新发生的缺血性心电图改变、新生成的病理性 </w:t>
      </w:r>
      <w:r>
        <w:rPr/>
        <w:t>Q</w:t>
      </w:r>
      <w:r>
        <w:rPr>
          <w:spacing w:val="-8"/>
        </w:rPr>
        <w:t> 波、影像学证据显</w:t>
      </w:r>
      <w:r>
        <w:rPr>
          <w:spacing w:val="-2"/>
        </w:rPr>
        <w:t>示有新出现的心肌活性丧失或新出现局部室壁运动异常、冠脉造影证实存在冠状动脉血栓。</w:t>
      </w:r>
    </w:p>
    <w:p>
      <w:pPr>
        <w:pStyle w:val="BodyText"/>
        <w:spacing w:line="244" w:lineRule="auto" w:before="3"/>
        <w:ind w:right="913"/>
      </w:pPr>
      <w:r>
        <w:rPr>
          <w:w w:val="100"/>
        </w:rPr>
        <w:t>较重急性心肌梗死指依照上述标准被明确诊断为急性心肌梗死，并且必须同时满足下列至少一项条件：</w:t>
      </w:r>
    </w:p>
    <w:p>
      <w:pPr>
        <w:pStyle w:val="ListParagraph"/>
        <w:numPr>
          <w:ilvl w:val="0"/>
          <w:numId w:val="34"/>
        </w:numPr>
        <w:tabs>
          <w:tab w:pos="1506" w:val="left" w:leader="none"/>
        </w:tabs>
        <w:spacing w:line="244" w:lineRule="auto" w:before="0" w:after="0"/>
        <w:ind w:left="1505" w:right="908" w:hanging="737"/>
        <w:jc w:val="left"/>
        <w:rPr>
          <w:sz w:val="21"/>
        </w:rPr>
      </w:pPr>
      <w:r>
        <w:rPr>
          <w:sz w:val="21"/>
        </w:rPr>
        <w:t>心肌损伤标志物肌钙蛋白（cTn）</w:t>
      </w:r>
      <w:r>
        <w:rPr>
          <w:spacing w:val="-1"/>
          <w:sz w:val="21"/>
        </w:rPr>
        <w:t>升高，至少一次检测结果达到该检验正常参考值上限的 </w:t>
      </w:r>
      <w:r>
        <w:rPr>
          <w:sz w:val="21"/>
        </w:rPr>
        <w:t>15</w:t>
      </w:r>
      <w:r>
        <w:rPr>
          <w:spacing w:val="-2"/>
          <w:sz w:val="21"/>
        </w:rPr>
        <w:t>倍（含）以上；</w:t>
      </w:r>
    </w:p>
    <w:p>
      <w:pPr>
        <w:pStyle w:val="ListParagraph"/>
        <w:numPr>
          <w:ilvl w:val="0"/>
          <w:numId w:val="34"/>
        </w:numPr>
        <w:tabs>
          <w:tab w:pos="1506" w:val="left" w:leader="none"/>
        </w:tabs>
        <w:spacing w:line="244" w:lineRule="auto" w:before="0" w:after="0"/>
        <w:ind w:left="1505" w:right="829" w:hanging="737"/>
        <w:jc w:val="left"/>
        <w:rPr>
          <w:sz w:val="21"/>
        </w:rPr>
      </w:pPr>
      <w:r>
        <w:rPr>
          <w:sz w:val="21"/>
        </w:rPr>
        <w:t>肌酸激酶同工酶（CK-MB）</w:t>
      </w:r>
      <w:r>
        <w:rPr>
          <w:spacing w:val="-3"/>
          <w:sz w:val="21"/>
        </w:rPr>
        <w:t>升高，至少一次检测结果达到该检验正常参考值上限的 </w:t>
      </w:r>
      <w:r>
        <w:rPr>
          <w:sz w:val="21"/>
        </w:rPr>
        <w:t>2</w:t>
      </w:r>
      <w:r>
        <w:rPr>
          <w:spacing w:val="-28"/>
          <w:sz w:val="21"/>
        </w:rPr>
        <w:t> 倍</w:t>
      </w:r>
      <w:r>
        <w:rPr>
          <w:sz w:val="21"/>
        </w:rPr>
        <w:t>（含）</w:t>
      </w:r>
      <w:r>
        <w:rPr>
          <w:spacing w:val="-4"/>
          <w:sz w:val="21"/>
        </w:rPr>
        <w:t>以上；</w:t>
      </w:r>
    </w:p>
    <w:p>
      <w:pPr>
        <w:pStyle w:val="ListParagraph"/>
        <w:numPr>
          <w:ilvl w:val="0"/>
          <w:numId w:val="34"/>
        </w:numPr>
        <w:tabs>
          <w:tab w:pos="1506" w:val="left" w:leader="none"/>
        </w:tabs>
        <w:spacing w:line="265" w:lineRule="exact" w:before="0" w:after="0"/>
        <w:ind w:left="1505" w:right="0" w:hanging="738"/>
        <w:jc w:val="left"/>
        <w:rPr>
          <w:sz w:val="21"/>
        </w:rPr>
      </w:pPr>
      <w:r>
        <w:rPr>
          <w:spacing w:val="-6"/>
          <w:sz w:val="21"/>
        </w:rPr>
        <w:t>出现左心室收缩功能下降，在确诊 </w:t>
      </w:r>
      <w:r>
        <w:rPr>
          <w:spacing w:val="-2"/>
          <w:sz w:val="21"/>
        </w:rPr>
        <w:t>6</w:t>
      </w:r>
      <w:r>
        <w:rPr>
          <w:spacing w:val="-10"/>
          <w:sz w:val="21"/>
        </w:rPr>
        <w:t> 周以后，检测左室射血分数</w:t>
      </w:r>
      <w:r>
        <w:rPr>
          <w:spacing w:val="-2"/>
          <w:sz w:val="21"/>
        </w:rPr>
        <w:t>（LVEF）</w:t>
      </w:r>
      <w:r>
        <w:rPr>
          <w:spacing w:val="-19"/>
          <w:sz w:val="21"/>
        </w:rPr>
        <w:t>低于 </w:t>
      </w:r>
      <w:r>
        <w:rPr>
          <w:spacing w:val="-2"/>
          <w:sz w:val="21"/>
        </w:rPr>
        <w:t>50％（不含</w:t>
      </w:r>
      <w:r>
        <w:rPr>
          <w:spacing w:val="-111"/>
          <w:sz w:val="21"/>
        </w:rPr>
        <w:t>）</w:t>
      </w:r>
      <w:r>
        <w:rPr>
          <w:spacing w:val="-5"/>
          <w:sz w:val="21"/>
        </w:rPr>
        <w:t>；</w:t>
      </w:r>
    </w:p>
    <w:p>
      <w:pPr>
        <w:pStyle w:val="ListParagraph"/>
        <w:numPr>
          <w:ilvl w:val="0"/>
          <w:numId w:val="34"/>
        </w:numPr>
        <w:tabs>
          <w:tab w:pos="1506" w:val="left" w:leader="none"/>
        </w:tabs>
        <w:spacing w:line="240" w:lineRule="auto" w:before="0" w:after="0"/>
        <w:ind w:left="1505" w:right="0" w:hanging="738"/>
        <w:jc w:val="left"/>
        <w:rPr>
          <w:sz w:val="21"/>
        </w:rPr>
      </w:pPr>
      <w:r>
        <w:rPr>
          <w:spacing w:val="-2"/>
          <w:sz w:val="21"/>
        </w:rPr>
        <w:t>影像学检查证实存在新发的乳头肌功能失调或断裂引起的中度（含）</w:t>
      </w:r>
      <w:r>
        <w:rPr>
          <w:spacing w:val="-3"/>
          <w:sz w:val="21"/>
        </w:rPr>
        <w:t>以上的二尖瓣反流；</w:t>
      </w:r>
    </w:p>
    <w:p>
      <w:pPr>
        <w:pStyle w:val="ListParagraph"/>
        <w:numPr>
          <w:ilvl w:val="0"/>
          <w:numId w:val="34"/>
        </w:numPr>
        <w:tabs>
          <w:tab w:pos="1506" w:val="left" w:leader="none"/>
        </w:tabs>
        <w:spacing w:line="240" w:lineRule="auto" w:before="0" w:after="0"/>
        <w:ind w:left="1505" w:right="0" w:hanging="738"/>
        <w:jc w:val="left"/>
        <w:rPr>
          <w:sz w:val="21"/>
        </w:rPr>
      </w:pPr>
      <w:r>
        <w:rPr>
          <w:spacing w:val="-3"/>
          <w:sz w:val="21"/>
        </w:rPr>
        <w:t>影像学检查证实存在新出现的室壁瘤；</w:t>
      </w:r>
    </w:p>
    <w:p>
      <w:pPr>
        <w:pStyle w:val="ListParagraph"/>
        <w:numPr>
          <w:ilvl w:val="0"/>
          <w:numId w:val="34"/>
        </w:numPr>
        <w:tabs>
          <w:tab w:pos="1506" w:val="left" w:leader="none"/>
        </w:tabs>
        <w:spacing w:line="240" w:lineRule="auto" w:before="3" w:after="0"/>
        <w:ind w:left="1505" w:right="0" w:hanging="738"/>
        <w:jc w:val="left"/>
        <w:rPr>
          <w:sz w:val="21"/>
        </w:rPr>
      </w:pPr>
      <w:r>
        <w:rPr>
          <w:spacing w:val="-3"/>
          <w:sz w:val="21"/>
        </w:rPr>
        <w:t>出现室性心动过速、心室颤动或心源性休克。</w:t>
      </w:r>
    </w:p>
    <w:p>
      <w:pPr>
        <w:pStyle w:val="BodyText"/>
        <w:spacing w:before="3"/>
      </w:pPr>
      <w:r>
        <w:rPr>
          <w:spacing w:val="-2"/>
        </w:rPr>
        <w:t>其他非冠状动脉阻塞性疾病所引起的肌钙蛋白（cTn）</w:t>
      </w:r>
      <w:r>
        <w:rPr>
          <w:spacing w:val="-3"/>
        </w:rPr>
        <w:t>升高不在保障范围内。</w:t>
      </w:r>
    </w:p>
    <w:p>
      <w:pPr>
        <w:pStyle w:val="Heading2"/>
        <w:numPr>
          <w:ilvl w:val="0"/>
          <w:numId w:val="33"/>
        </w:numPr>
        <w:tabs>
          <w:tab w:pos="768" w:val="left" w:leader="none"/>
          <w:tab w:pos="769" w:val="left" w:leader="none"/>
        </w:tabs>
        <w:spacing w:line="364" w:lineRule="exact" w:before="105" w:after="0"/>
        <w:ind w:left="768" w:right="0" w:hanging="558"/>
        <w:jc w:val="left"/>
        <w:rPr>
          <w:sz w:val="11"/>
        </w:rPr>
      </w:pPr>
      <w:r>
        <w:rPr>
          <w:spacing w:val="-2"/>
        </w:rPr>
        <w:t>严重脑中风后遗症</w:t>
      </w:r>
      <w:r>
        <w:rPr>
          <w:spacing w:val="-10"/>
          <w:position w:val="11"/>
          <w:sz w:val="11"/>
        </w:rPr>
        <w:t>*</w:t>
      </w:r>
    </w:p>
    <w:p>
      <w:pPr>
        <w:pStyle w:val="BodyText"/>
        <w:spacing w:line="246" w:lineRule="exact"/>
      </w:pPr>
      <w:r>
        <w:rPr>
          <w:spacing w:val="-10"/>
        </w:rPr>
        <w:t>指因脑血管的突发病变引起脑血管出血、栓塞或梗塞，须由头颅断层扫描</w:t>
      </w:r>
      <w:r>
        <w:rPr>
          <w:spacing w:val="16"/>
        </w:rPr>
        <w:t>（</w:t>
      </w:r>
      <w:r>
        <w:rPr>
          <w:spacing w:val="17"/>
        </w:rPr>
        <w:t>C</w:t>
      </w:r>
      <w:r>
        <w:rPr>
          <w:spacing w:val="14"/>
        </w:rPr>
        <w:t>T</w:t>
      </w:r>
      <w:r>
        <w:rPr>
          <w:spacing w:val="-89"/>
        </w:rPr>
        <w:t>）</w:t>
      </w:r>
      <w:r>
        <w:rPr>
          <w:spacing w:val="-10"/>
        </w:rPr>
        <w:t>、核磁共振检查（MRI）</w:t>
      </w:r>
    </w:p>
    <w:p>
      <w:pPr>
        <w:pStyle w:val="BodyText"/>
        <w:spacing w:line="244" w:lineRule="auto" w:before="2"/>
        <w:ind w:right="911"/>
      </w:pPr>
      <w:r>
        <w:rPr>
          <w:spacing w:val="-15"/>
        </w:rPr>
        <w:t>等影像学检查证实，并导致神经系统永久性的功能障碍。神经系统永久性的功能障碍，指疾病确诊 </w:t>
      </w:r>
      <w:r>
        <w:rPr/>
        <w:t>180</w:t>
      </w:r>
      <w:r>
        <w:rPr>
          <w:spacing w:val="-2"/>
        </w:rPr>
        <w:t>天后，仍遗留下列至少一种障碍：</w:t>
      </w:r>
    </w:p>
    <w:p>
      <w:pPr>
        <w:pStyle w:val="ListParagraph"/>
        <w:numPr>
          <w:ilvl w:val="0"/>
          <w:numId w:val="35"/>
        </w:numPr>
        <w:tabs>
          <w:tab w:pos="1506" w:val="left" w:leader="none"/>
        </w:tabs>
        <w:spacing w:line="234" w:lineRule="exact" w:before="0" w:after="0"/>
        <w:ind w:left="1505" w:right="0" w:hanging="738"/>
        <w:jc w:val="left"/>
        <w:rPr>
          <w:sz w:val="21"/>
        </w:rPr>
      </w:pPr>
      <w:r>
        <w:rPr>
          <w:spacing w:val="-2"/>
          <w:sz w:val="21"/>
        </w:rPr>
        <w:t>一肢（含）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ListParagraph"/>
        <w:numPr>
          <w:ilvl w:val="0"/>
          <w:numId w:val="35"/>
        </w:numPr>
        <w:tabs>
          <w:tab w:pos="1506" w:val="left" w:leader="none"/>
        </w:tabs>
        <w:spacing w:line="331" w:lineRule="exact" w:before="0" w:after="0"/>
        <w:ind w:left="1505" w:right="0" w:hanging="738"/>
        <w:jc w:val="both"/>
        <w:rPr>
          <w:sz w:val="21"/>
        </w:rPr>
      </w:pPr>
      <w:r>
        <w:rPr>
          <w:rFonts w:ascii="微软雅黑" w:eastAsia="微软雅黑"/>
          <w:b/>
          <w:w w:val="95"/>
          <w:sz w:val="21"/>
        </w:rPr>
        <w:t>语</w:t>
      </w:r>
      <w:r>
        <w:rPr>
          <w:rFonts w:ascii="微软雅黑" w:eastAsia="微软雅黑"/>
          <w:b/>
          <w:w w:val="95"/>
          <w:sz w:val="21"/>
        </w:rPr>
        <w:t>言</w:t>
      </w:r>
      <w:r>
        <w:rPr>
          <w:rFonts w:ascii="微软雅黑" w:eastAsia="微软雅黑"/>
          <w:b/>
          <w:w w:val="95"/>
          <w:sz w:val="21"/>
        </w:rPr>
        <w:t>能</w:t>
      </w:r>
      <w:r>
        <w:rPr>
          <w:rFonts w:ascii="微软雅黑" w:eastAsia="微软雅黑"/>
          <w:b/>
          <w:w w:val="95"/>
          <w:sz w:val="21"/>
        </w:rPr>
        <w:t>力</w:t>
      </w:r>
      <w:r>
        <w:rPr>
          <w:rFonts w:ascii="微软雅黑" w:eastAsia="微软雅黑"/>
          <w:b/>
          <w:w w:val="95"/>
          <w:sz w:val="21"/>
        </w:rPr>
        <w:t>完</w:t>
      </w:r>
      <w:r>
        <w:rPr>
          <w:rFonts w:ascii="微软雅黑" w:eastAsia="微软雅黑"/>
          <w:b/>
          <w:w w:val="95"/>
          <w:sz w:val="21"/>
        </w:rPr>
        <w:t>全</w:t>
      </w:r>
      <w:r>
        <w:rPr>
          <w:rFonts w:ascii="微软雅黑" w:eastAsia="微软雅黑"/>
          <w:b/>
          <w:w w:val="95"/>
          <w:sz w:val="21"/>
        </w:rPr>
        <w:t>丧</w:t>
      </w:r>
      <w:r>
        <w:rPr>
          <w:rFonts w:ascii="微软雅黑" w:eastAsia="微软雅黑"/>
          <w:b/>
          <w:w w:val="95"/>
          <w:sz w:val="21"/>
        </w:rPr>
        <w:t>失</w:t>
      </w:r>
      <w:r>
        <w:rPr>
          <w:rFonts w:ascii="微软雅黑" w:eastAsia="微软雅黑"/>
          <w:b/>
          <w:w w:val="95"/>
          <w:position w:val="11"/>
          <w:sz w:val="11"/>
        </w:rPr>
        <w:t>37</w:t>
      </w:r>
      <w:r>
        <w:rPr>
          <w:w w:val="95"/>
          <w:sz w:val="21"/>
        </w:rPr>
        <w:t>，或</w:t>
      </w:r>
      <w:r>
        <w:rPr>
          <w:rFonts w:ascii="微软雅黑" w:eastAsia="微软雅黑"/>
          <w:b/>
          <w:w w:val="95"/>
          <w:sz w:val="21"/>
        </w:rPr>
        <w:t>严</w:t>
      </w:r>
      <w:r>
        <w:rPr>
          <w:rFonts w:ascii="微软雅黑" w:eastAsia="微软雅黑"/>
          <w:b/>
          <w:w w:val="95"/>
          <w:sz w:val="21"/>
        </w:rPr>
        <w:t>重</w:t>
      </w:r>
      <w:r>
        <w:rPr>
          <w:rFonts w:ascii="微软雅黑" w:eastAsia="微软雅黑"/>
          <w:b/>
          <w:w w:val="95"/>
          <w:sz w:val="21"/>
        </w:rPr>
        <w:t>咀</w:t>
      </w:r>
      <w:r>
        <w:rPr>
          <w:rFonts w:ascii="微软雅黑" w:eastAsia="微软雅黑"/>
          <w:b/>
          <w:w w:val="95"/>
          <w:sz w:val="21"/>
        </w:rPr>
        <w:t>嚼</w:t>
      </w:r>
      <w:r>
        <w:rPr>
          <w:rFonts w:ascii="微软雅黑" w:eastAsia="微软雅黑"/>
          <w:b/>
          <w:w w:val="95"/>
          <w:sz w:val="21"/>
        </w:rPr>
        <w:t>吞</w:t>
      </w:r>
      <w:r>
        <w:rPr>
          <w:rFonts w:ascii="微软雅黑" w:eastAsia="微软雅黑"/>
          <w:b/>
          <w:w w:val="95"/>
          <w:sz w:val="21"/>
        </w:rPr>
        <w:t>咽</w:t>
      </w:r>
      <w:r>
        <w:rPr>
          <w:rFonts w:ascii="微软雅黑" w:eastAsia="微软雅黑"/>
          <w:b/>
          <w:w w:val="95"/>
          <w:sz w:val="21"/>
        </w:rPr>
        <w:t>功</w:t>
      </w:r>
      <w:r>
        <w:rPr>
          <w:rFonts w:ascii="微软雅黑" w:eastAsia="微软雅黑"/>
          <w:b/>
          <w:w w:val="95"/>
          <w:sz w:val="21"/>
        </w:rPr>
        <w:t>能</w:t>
      </w:r>
      <w:r>
        <w:rPr>
          <w:rFonts w:ascii="微软雅黑" w:eastAsia="微软雅黑"/>
          <w:b/>
          <w:w w:val="95"/>
          <w:sz w:val="21"/>
        </w:rPr>
        <w:t>障</w:t>
      </w:r>
      <w:r>
        <w:rPr>
          <w:rFonts w:ascii="微软雅黑" w:eastAsia="微软雅黑"/>
          <w:b/>
          <w:w w:val="95"/>
          <w:sz w:val="21"/>
        </w:rPr>
        <w:t>碍</w:t>
      </w:r>
      <w:r>
        <w:rPr>
          <w:rFonts w:ascii="微软雅黑" w:eastAsia="微软雅黑"/>
          <w:b/>
          <w:spacing w:val="-5"/>
          <w:w w:val="95"/>
          <w:position w:val="11"/>
          <w:sz w:val="11"/>
        </w:rPr>
        <w:t>38</w:t>
      </w:r>
      <w:r>
        <w:rPr>
          <w:spacing w:val="-5"/>
          <w:w w:val="95"/>
          <w:sz w:val="21"/>
        </w:rPr>
        <w:t>；</w:t>
      </w:r>
    </w:p>
    <w:p>
      <w:pPr>
        <w:pStyle w:val="ListParagraph"/>
        <w:numPr>
          <w:ilvl w:val="0"/>
          <w:numId w:val="35"/>
        </w:numPr>
        <w:tabs>
          <w:tab w:pos="1506" w:val="left" w:leader="none"/>
        </w:tabs>
        <w:spacing w:line="245" w:lineRule="exact" w:before="0" w:after="0"/>
        <w:ind w:left="1505" w:right="0" w:hanging="738"/>
        <w:jc w:val="left"/>
        <w:rPr>
          <w:sz w:val="21"/>
        </w:rPr>
      </w:pPr>
      <w:r>
        <w:rPr>
          <w:spacing w:val="-3"/>
          <w:sz w:val="21"/>
        </w:rPr>
        <w:t>自主生活能力完全丧失，无法独立完成六项基本日常生活活动中的三项或三项以上。</w:t>
      </w:r>
    </w:p>
    <w:p>
      <w:pPr>
        <w:pStyle w:val="BodyText"/>
        <w:spacing w:before="1"/>
        <w:ind w:left="0"/>
        <w:rPr>
          <w:sz w:val="20"/>
        </w:rPr>
      </w:pPr>
      <w:r>
        <w:rPr/>
        <w:drawing>
          <wp:anchor distT="0" distB="0" distL="0" distR="0" allowOverlap="1" layoutInCell="1" locked="0" behindDoc="0" simplePos="0" relativeHeight="24">
            <wp:simplePos x="0" y="0"/>
            <wp:positionH relativeFrom="page">
              <wp:posOffset>719327</wp:posOffset>
            </wp:positionH>
            <wp:positionV relativeFrom="paragraph">
              <wp:posOffset>179103</wp:posOffset>
            </wp:positionV>
            <wp:extent cx="1829282" cy="6096"/>
            <wp:effectExtent l="0" t="0" r="0" b="0"/>
            <wp:wrapTopAndBottom/>
            <wp:docPr id="65" name="image5.png"/>
            <wp:cNvGraphicFramePr>
              <a:graphicFrameLocks noChangeAspect="1"/>
            </wp:cNvGraphicFramePr>
            <a:graphic>
              <a:graphicData uri="http://schemas.openxmlformats.org/drawingml/2006/picture">
                <pic:pic>
                  <pic:nvPicPr>
                    <pic:cNvPr id="66" name="image5.png"/>
                    <pic:cNvPicPr/>
                  </pic:nvPicPr>
                  <pic:blipFill>
                    <a:blip r:embed="rId10" cstate="print"/>
                    <a:stretch>
                      <a:fillRect/>
                    </a:stretch>
                  </pic:blipFill>
                  <pic:spPr>
                    <a:xfrm>
                      <a:off x="0" y="0"/>
                      <a:ext cx="1829282" cy="6096"/>
                    </a:xfrm>
                    <a:prstGeom prst="rect">
                      <a:avLst/>
                    </a:prstGeom>
                  </pic:spPr>
                </pic:pic>
              </a:graphicData>
            </a:graphic>
          </wp:anchor>
        </w:drawing>
      </w:r>
    </w:p>
    <w:p>
      <w:pPr>
        <w:spacing w:line="282" w:lineRule="exact" w:before="36"/>
        <w:ind w:left="412" w:right="0" w:firstLine="0"/>
        <w:jc w:val="left"/>
        <w:rPr>
          <w:sz w:val="18"/>
        </w:rPr>
      </w:pPr>
      <w:r>
        <w:rPr>
          <w:position w:val="9"/>
          <w:sz w:val="9"/>
        </w:rPr>
        <w:t>37</w:t>
      </w:r>
      <w:r>
        <w:rPr>
          <w:rFonts w:ascii="Microsoft JhengHei" w:hAnsi="Microsoft JhengHei" w:eastAsia="Microsoft JhengHei"/>
          <w:b/>
          <w:sz w:val="18"/>
        </w:rPr>
        <w:t>语言能力完全丧失</w:t>
      </w:r>
      <w:r>
        <w:rPr>
          <w:spacing w:val="-8"/>
          <w:sz w:val="18"/>
        </w:rPr>
        <w:t>具体释义见“附件三 术语释义”。</w:t>
      </w:r>
    </w:p>
    <w:p>
      <w:pPr>
        <w:spacing w:line="282" w:lineRule="exact" w:before="0"/>
        <w:ind w:left="412" w:right="0" w:firstLine="0"/>
        <w:jc w:val="left"/>
        <w:rPr>
          <w:sz w:val="18"/>
        </w:rPr>
      </w:pPr>
      <w:r>
        <w:rPr>
          <w:position w:val="9"/>
          <w:sz w:val="9"/>
        </w:rPr>
        <w:t>38</w:t>
      </w:r>
      <w:r>
        <w:rPr>
          <w:rFonts w:ascii="Microsoft JhengHei" w:hAnsi="Microsoft JhengHei" w:eastAsia="Microsoft JhengHei"/>
          <w:b/>
          <w:sz w:val="18"/>
        </w:rPr>
        <w:t>严重咀嚼吞咽功能障碍</w:t>
      </w:r>
      <w:r>
        <w:rPr>
          <w:spacing w:val="-8"/>
          <w:sz w:val="18"/>
        </w:rPr>
        <w:t>具体释义见“附件三 术语释义”。</w:t>
      </w:r>
    </w:p>
    <w:p>
      <w:pPr>
        <w:spacing w:after="0" w:line="282" w:lineRule="exact"/>
        <w:jc w:val="left"/>
        <w:rPr>
          <w:sz w:val="18"/>
        </w:rPr>
        <w:sectPr>
          <w:pgSz w:w="11910" w:h="16840"/>
          <w:pgMar w:header="0" w:footer="574" w:top="1200" w:bottom="760" w:left="720" w:right="340"/>
        </w:sectPr>
      </w:pPr>
    </w:p>
    <w:p>
      <w:pPr>
        <w:pStyle w:val="Heading2"/>
        <w:numPr>
          <w:ilvl w:val="0"/>
          <w:numId w:val="33"/>
        </w:numPr>
        <w:tabs>
          <w:tab w:pos="768" w:val="left" w:leader="none"/>
          <w:tab w:pos="769" w:val="left" w:leader="none"/>
        </w:tabs>
        <w:spacing w:line="364" w:lineRule="exact" w:before="8" w:after="0"/>
        <w:ind w:left="768" w:right="0" w:hanging="558"/>
        <w:jc w:val="left"/>
        <w:rPr>
          <w:sz w:val="11"/>
        </w:rPr>
      </w:pPr>
      <w:r>
        <w:rPr>
          <w:spacing w:val="-2"/>
        </w:rPr>
        <w:t>重大器官移植术或造血干细胞移植术</w:t>
      </w:r>
      <w:r>
        <w:rPr>
          <w:spacing w:val="-10"/>
          <w:position w:val="11"/>
          <w:sz w:val="11"/>
        </w:rPr>
        <w:t>*</w:t>
      </w:r>
    </w:p>
    <w:p>
      <w:pPr>
        <w:pStyle w:val="BodyText"/>
        <w:spacing w:line="246" w:lineRule="exact"/>
      </w:pPr>
      <w:r>
        <w:rPr>
          <w:spacing w:val="-5"/>
        </w:rPr>
        <w:t>重大器官移植术，指因相应器官功能衰竭，已经实施了肾脏、肝脏、心脏、肺脏或小肠的异体移植手</w:t>
      </w:r>
    </w:p>
    <w:p>
      <w:pPr>
        <w:pStyle w:val="BodyText"/>
        <w:spacing w:before="3"/>
      </w:pPr>
      <w:r>
        <w:rPr>
          <w:spacing w:val="-5"/>
        </w:rPr>
        <w:t>术。</w:t>
      </w:r>
    </w:p>
    <w:p>
      <w:pPr>
        <w:pStyle w:val="BodyText"/>
        <w:spacing w:line="242" w:lineRule="auto" w:before="4"/>
        <w:ind w:right="906"/>
      </w:pPr>
      <w:r>
        <w:rPr>
          <w:spacing w:val="-2"/>
        </w:rPr>
        <w:t>造血干细胞移植术，指因造血功能损害或造血系统恶性肿瘤，已经实施了造血干细胞（包括骨髓造血</w:t>
      </w:r>
      <w:r>
        <w:rPr>
          <w:spacing w:val="-2"/>
        </w:rPr>
        <w:t>干细胞、外周血造血干细胞和脐血造血干细胞）的移植手术。</w:t>
      </w:r>
    </w:p>
    <w:p>
      <w:pPr>
        <w:pStyle w:val="Heading2"/>
        <w:numPr>
          <w:ilvl w:val="0"/>
          <w:numId w:val="33"/>
        </w:numPr>
        <w:tabs>
          <w:tab w:pos="768" w:val="left" w:leader="none"/>
          <w:tab w:pos="769" w:val="left" w:leader="none"/>
        </w:tabs>
        <w:spacing w:line="363" w:lineRule="exact" w:before="105" w:after="0"/>
        <w:ind w:left="768" w:right="0" w:hanging="558"/>
        <w:jc w:val="left"/>
        <w:rPr>
          <w:sz w:val="11"/>
        </w:rPr>
      </w:pPr>
      <w:r>
        <w:rPr>
          <w:spacing w:val="-2"/>
        </w:rPr>
        <w:t>冠状动脉搭桥术（或称冠状动脉旁路移植术</w:t>
      </w:r>
      <w:r>
        <w:rPr>
          <w:spacing w:val="-5"/>
        </w:rPr>
        <w:t>）</w:t>
      </w:r>
      <w:r>
        <w:rPr>
          <w:spacing w:val="-5"/>
          <w:position w:val="11"/>
          <w:sz w:val="11"/>
        </w:rPr>
        <w:t>*</w:t>
      </w:r>
    </w:p>
    <w:p>
      <w:pPr>
        <w:pStyle w:val="BodyText"/>
        <w:spacing w:line="245" w:lineRule="exact"/>
      </w:pPr>
      <w:r>
        <w:rPr>
          <w:spacing w:val="-3"/>
        </w:rPr>
        <w:t>指为治疗严重的冠心病，已经实施了切开心包进行的冠状动脉血管旁路移植的手术。</w:t>
      </w:r>
    </w:p>
    <w:p>
      <w:pPr>
        <w:pStyle w:val="BodyText"/>
        <w:spacing w:before="4"/>
      </w:pPr>
      <w:r>
        <w:rPr>
          <w:spacing w:val="-3"/>
        </w:rPr>
        <w:t>所有未切开心包的冠状动脉介入治疗不在保障范围内。</w:t>
      </w:r>
    </w:p>
    <w:p>
      <w:pPr>
        <w:pStyle w:val="Heading2"/>
        <w:numPr>
          <w:ilvl w:val="0"/>
          <w:numId w:val="33"/>
        </w:numPr>
        <w:tabs>
          <w:tab w:pos="768" w:val="left" w:leader="none"/>
          <w:tab w:pos="769" w:val="left" w:leader="none"/>
        </w:tabs>
        <w:spacing w:line="363" w:lineRule="exact" w:before="106" w:after="0"/>
        <w:ind w:left="768" w:right="0" w:hanging="558"/>
        <w:jc w:val="left"/>
        <w:rPr>
          <w:sz w:val="11"/>
        </w:rPr>
      </w:pPr>
      <w:r>
        <w:rPr>
          <w:spacing w:val="-2"/>
        </w:rPr>
        <w:t>严重慢性肾衰竭</w:t>
      </w:r>
      <w:r>
        <w:rPr>
          <w:spacing w:val="-10"/>
          <w:position w:val="11"/>
          <w:sz w:val="11"/>
        </w:rPr>
        <w:t>*</w:t>
      </w:r>
    </w:p>
    <w:p>
      <w:pPr>
        <w:pStyle w:val="BodyText"/>
        <w:spacing w:line="245" w:lineRule="exact"/>
      </w:pPr>
      <w:r>
        <w:rPr>
          <w:spacing w:val="-4"/>
        </w:rPr>
        <w:t>指双肾功能慢性不可逆性衰竭，依据肾脏病预后质量倡议（K/DOQI）</w:t>
      </w:r>
      <w:r>
        <w:rPr>
          <w:spacing w:val="-5"/>
        </w:rPr>
        <w:t>制定的指南，分期达到慢性肾脏</w:t>
      </w:r>
    </w:p>
    <w:p>
      <w:pPr>
        <w:pStyle w:val="BodyText"/>
        <w:spacing w:line="242" w:lineRule="auto" w:before="4"/>
        <w:ind w:right="908"/>
      </w:pPr>
      <w:r>
        <w:rPr>
          <w:spacing w:val="-23"/>
        </w:rPr>
        <w:t>病 </w:t>
      </w:r>
      <w:r>
        <w:rPr/>
        <w:t>5</w:t>
      </w:r>
      <w:r>
        <w:rPr>
          <w:spacing w:val="-10"/>
        </w:rPr>
        <w:t> 期，且经诊断后已经进行了至少 </w:t>
      </w:r>
      <w:r>
        <w:rPr/>
        <w:t>90</w:t>
      </w:r>
      <w:r>
        <w:rPr>
          <w:spacing w:val="-7"/>
        </w:rPr>
        <w:t> 天的规律性透析治疗。规律性透析是指每周进行血液透析或</w:t>
      </w:r>
      <w:r>
        <w:rPr>
          <w:spacing w:val="-2"/>
        </w:rPr>
        <w:t>每天进行腹膜透析。</w:t>
      </w:r>
    </w:p>
    <w:p>
      <w:pPr>
        <w:pStyle w:val="Heading2"/>
        <w:numPr>
          <w:ilvl w:val="0"/>
          <w:numId w:val="33"/>
        </w:numPr>
        <w:tabs>
          <w:tab w:pos="768" w:val="left" w:leader="none"/>
          <w:tab w:pos="769" w:val="left" w:leader="none"/>
        </w:tabs>
        <w:spacing w:line="363" w:lineRule="exact" w:before="105" w:after="0"/>
        <w:ind w:left="768" w:right="0" w:hanging="558"/>
        <w:jc w:val="left"/>
        <w:rPr>
          <w:sz w:val="11"/>
        </w:rPr>
      </w:pPr>
      <w:r>
        <w:rPr>
          <w:spacing w:val="-2"/>
        </w:rPr>
        <w:t>多个肢体缺失</w:t>
      </w:r>
      <w:r>
        <w:rPr>
          <w:spacing w:val="-12"/>
          <w:position w:val="11"/>
          <w:sz w:val="11"/>
        </w:rPr>
        <w:t>*</w:t>
      </w:r>
    </w:p>
    <w:p>
      <w:pPr>
        <w:pStyle w:val="BodyText"/>
        <w:spacing w:line="245" w:lineRule="exact"/>
      </w:pPr>
      <w:r>
        <w:rPr>
          <w:spacing w:val="-6"/>
        </w:rPr>
        <w:t>指因疾病或意外伤害导致两个或两个以上肢体自腕关节或踝关节近端</w:t>
      </w:r>
      <w:r>
        <w:rPr>
          <w:spacing w:val="-2"/>
        </w:rPr>
        <w:t>（靠近躯干端</w:t>
      </w:r>
      <w:r>
        <w:rPr>
          <w:spacing w:val="-92"/>
        </w:rPr>
        <w:t>）</w:t>
      </w:r>
      <w:r>
        <w:rPr>
          <w:spacing w:val="-3"/>
        </w:rPr>
        <w:t>以上完全性断离。</w:t>
      </w:r>
    </w:p>
    <w:p>
      <w:pPr>
        <w:pStyle w:val="Heading2"/>
        <w:numPr>
          <w:ilvl w:val="0"/>
          <w:numId w:val="33"/>
        </w:numPr>
        <w:tabs>
          <w:tab w:pos="768" w:val="left" w:leader="none"/>
          <w:tab w:pos="769" w:val="left" w:leader="none"/>
        </w:tabs>
        <w:spacing w:line="363" w:lineRule="exact" w:before="107" w:after="0"/>
        <w:ind w:left="768" w:right="0" w:hanging="558"/>
        <w:jc w:val="left"/>
        <w:rPr>
          <w:sz w:val="11"/>
        </w:rPr>
      </w:pPr>
      <w:r>
        <w:rPr>
          <w:spacing w:val="-2"/>
        </w:rPr>
        <w:t>急性重症肝炎或亚急性重症肝炎</w:t>
      </w:r>
      <w:r>
        <w:rPr>
          <w:spacing w:val="-10"/>
          <w:position w:val="11"/>
          <w:sz w:val="11"/>
        </w:rPr>
        <w:t>*</w:t>
      </w:r>
    </w:p>
    <w:p>
      <w:pPr>
        <w:pStyle w:val="BodyText"/>
        <w:spacing w:line="245" w:lineRule="exact"/>
      </w:pPr>
      <w:r>
        <w:rPr>
          <w:spacing w:val="-3"/>
        </w:rPr>
        <w:t>指因肝炎病毒感染引起肝脏组织弥漫性坏死，导致急性肝功能衰竭，且经血清学或病毒学检查证实，</w:t>
      </w:r>
    </w:p>
    <w:p>
      <w:pPr>
        <w:pStyle w:val="BodyText"/>
        <w:spacing w:before="3"/>
      </w:pPr>
      <w:r>
        <w:rPr>
          <w:spacing w:val="-3"/>
        </w:rPr>
        <w:t>并须满足下列全部条件：</w:t>
      </w:r>
    </w:p>
    <w:p>
      <w:pPr>
        <w:pStyle w:val="ListParagraph"/>
        <w:numPr>
          <w:ilvl w:val="0"/>
          <w:numId w:val="36"/>
        </w:numPr>
        <w:tabs>
          <w:tab w:pos="1506" w:val="left" w:leader="none"/>
        </w:tabs>
        <w:spacing w:line="240" w:lineRule="auto" w:before="4" w:after="0"/>
        <w:ind w:left="1505" w:right="0" w:hanging="738"/>
        <w:jc w:val="left"/>
        <w:rPr>
          <w:sz w:val="21"/>
        </w:rPr>
      </w:pPr>
      <w:r>
        <w:rPr>
          <w:spacing w:val="-3"/>
          <w:sz w:val="21"/>
        </w:rPr>
        <w:t>重度黄疸或黄疸迅速加重；</w:t>
      </w:r>
    </w:p>
    <w:p>
      <w:pPr>
        <w:pStyle w:val="ListParagraph"/>
        <w:numPr>
          <w:ilvl w:val="0"/>
          <w:numId w:val="36"/>
        </w:numPr>
        <w:tabs>
          <w:tab w:pos="1506" w:val="left" w:leader="none"/>
        </w:tabs>
        <w:spacing w:line="240" w:lineRule="auto" w:before="2" w:after="0"/>
        <w:ind w:left="1505" w:right="0" w:hanging="738"/>
        <w:jc w:val="left"/>
        <w:rPr>
          <w:sz w:val="21"/>
        </w:rPr>
      </w:pPr>
      <w:r>
        <w:rPr>
          <w:spacing w:val="-4"/>
          <w:sz w:val="21"/>
        </w:rPr>
        <w:t>肝性脑病；</w:t>
      </w:r>
    </w:p>
    <w:p>
      <w:pPr>
        <w:pStyle w:val="ListParagraph"/>
        <w:numPr>
          <w:ilvl w:val="0"/>
          <w:numId w:val="36"/>
        </w:numPr>
        <w:tabs>
          <w:tab w:pos="1506" w:val="left" w:leader="none"/>
        </w:tabs>
        <w:spacing w:line="240" w:lineRule="auto" w:before="5" w:after="0"/>
        <w:ind w:left="1505" w:right="0" w:hanging="738"/>
        <w:jc w:val="left"/>
        <w:rPr>
          <w:sz w:val="21"/>
        </w:rPr>
      </w:pPr>
      <w:r>
        <w:rPr>
          <w:spacing w:val="-2"/>
          <w:sz w:val="21"/>
        </w:rPr>
        <w:t>B</w:t>
      </w:r>
      <w:r>
        <w:rPr>
          <w:spacing w:val="-10"/>
          <w:sz w:val="21"/>
        </w:rPr>
        <w:t> 超或其他影像学检查显示肝脏体积急速萎缩；</w:t>
      </w:r>
    </w:p>
    <w:p>
      <w:pPr>
        <w:pStyle w:val="ListParagraph"/>
        <w:numPr>
          <w:ilvl w:val="0"/>
          <w:numId w:val="36"/>
        </w:numPr>
        <w:tabs>
          <w:tab w:pos="1506" w:val="left" w:leader="none"/>
        </w:tabs>
        <w:spacing w:line="240" w:lineRule="auto" w:before="2" w:after="0"/>
        <w:ind w:left="1505" w:right="0" w:hanging="738"/>
        <w:jc w:val="left"/>
        <w:rPr>
          <w:sz w:val="21"/>
        </w:rPr>
      </w:pPr>
      <w:r>
        <w:rPr>
          <w:spacing w:val="-3"/>
          <w:sz w:val="21"/>
        </w:rPr>
        <w:t>肝功能指标进行性恶化。</w:t>
      </w:r>
    </w:p>
    <w:p>
      <w:pPr>
        <w:pStyle w:val="Heading2"/>
        <w:numPr>
          <w:ilvl w:val="0"/>
          <w:numId w:val="33"/>
        </w:numPr>
        <w:tabs>
          <w:tab w:pos="768" w:val="left" w:leader="none"/>
          <w:tab w:pos="769" w:val="left" w:leader="none"/>
        </w:tabs>
        <w:spacing w:line="363" w:lineRule="exact" w:before="108" w:after="0"/>
        <w:ind w:left="768" w:right="0" w:hanging="558"/>
        <w:jc w:val="left"/>
        <w:rPr>
          <w:sz w:val="11"/>
        </w:rPr>
      </w:pPr>
      <w:r>
        <w:rPr>
          <w:spacing w:val="-2"/>
        </w:rPr>
        <w:t>严重非恶性颅内肿瘤</w:t>
      </w:r>
      <w:r>
        <w:rPr>
          <w:spacing w:val="-10"/>
          <w:position w:val="11"/>
          <w:sz w:val="11"/>
        </w:rPr>
        <w:t>*</w:t>
      </w:r>
    </w:p>
    <w:p>
      <w:pPr>
        <w:pStyle w:val="BodyText"/>
        <w:spacing w:line="245" w:lineRule="exact"/>
        <w:jc w:val="both"/>
      </w:pPr>
      <w:r>
        <w:rPr>
          <w:spacing w:val="-2"/>
        </w:rPr>
        <w:t>指起源于脑、脑神经、脑被膜的非恶性肿瘤，ICD-O-3</w:t>
      </w:r>
      <w:r>
        <w:rPr>
          <w:spacing w:val="-9"/>
        </w:rPr>
        <w:t> 肿瘤形态学编码属于 </w:t>
      </w:r>
      <w:r>
        <w:rPr>
          <w:spacing w:val="-2"/>
        </w:rPr>
        <w:t>0（良性肿瘤</w:t>
      </w:r>
      <w:r>
        <w:rPr>
          <w:spacing w:val="-106"/>
        </w:rPr>
        <w:t>）</w:t>
      </w:r>
      <w:r>
        <w:rPr>
          <w:spacing w:val="-2"/>
        </w:rPr>
        <w:t>、1（</w:t>
      </w:r>
      <w:r>
        <w:rPr>
          <w:spacing w:val="-6"/>
        </w:rPr>
        <w:t>动态</w:t>
      </w:r>
    </w:p>
    <w:p>
      <w:pPr>
        <w:pStyle w:val="BodyText"/>
        <w:spacing w:line="242" w:lineRule="auto" w:before="4"/>
        <w:ind w:right="911"/>
        <w:jc w:val="both"/>
      </w:pPr>
      <w:r>
        <w:rPr>
          <w:spacing w:val="-2"/>
        </w:rPr>
        <w:t>未定性肿瘤）范畴，并已经引起颅内压升高或神经系统功能损害，出现视乳头水肿或视觉受损、听觉</w:t>
      </w:r>
      <w:r>
        <w:rPr>
          <w:spacing w:val="-4"/>
        </w:rPr>
        <w:t>受损、面部或肢体瘫痪、癫痫等，须由头颅断层扫描</w:t>
      </w:r>
      <w:r>
        <w:rPr>
          <w:spacing w:val="23"/>
        </w:rPr>
        <w:t>（CT</w:t>
      </w:r>
      <w:r>
        <w:rPr>
          <w:spacing w:val="-85"/>
        </w:rPr>
        <w:t>）</w:t>
      </w:r>
      <w:r>
        <w:rPr>
          <w:spacing w:val="-4"/>
        </w:rPr>
        <w:t>、核磁共振检查（MRI）或正电子发射断层</w:t>
      </w:r>
      <w:r>
        <w:rPr>
          <w:spacing w:val="-2"/>
        </w:rPr>
        <w:t>扫描（PET）等影像学检查证实，且须满足下列至少一项条件：</w:t>
      </w:r>
    </w:p>
    <w:p>
      <w:pPr>
        <w:pStyle w:val="ListParagraph"/>
        <w:numPr>
          <w:ilvl w:val="0"/>
          <w:numId w:val="37"/>
        </w:numPr>
        <w:tabs>
          <w:tab w:pos="1506" w:val="left" w:leader="none"/>
        </w:tabs>
        <w:spacing w:line="240" w:lineRule="auto" w:before="1" w:after="0"/>
        <w:ind w:left="1505" w:right="0" w:hanging="738"/>
        <w:jc w:val="left"/>
        <w:rPr>
          <w:sz w:val="21"/>
        </w:rPr>
      </w:pPr>
      <w:r>
        <w:rPr>
          <w:spacing w:val="-3"/>
          <w:sz w:val="21"/>
        </w:rPr>
        <w:t>已经实施了开颅进行的颅内肿瘤完全或部分切除手术；</w:t>
      </w:r>
    </w:p>
    <w:p>
      <w:pPr>
        <w:pStyle w:val="ListParagraph"/>
        <w:numPr>
          <w:ilvl w:val="0"/>
          <w:numId w:val="37"/>
        </w:numPr>
        <w:tabs>
          <w:tab w:pos="1506" w:val="left" w:leader="none"/>
        </w:tabs>
        <w:spacing w:line="240" w:lineRule="auto" w:before="5" w:after="0"/>
        <w:ind w:left="1505" w:right="0" w:hanging="738"/>
        <w:jc w:val="left"/>
        <w:rPr>
          <w:sz w:val="21"/>
        </w:rPr>
      </w:pPr>
      <w:r>
        <w:rPr>
          <w:spacing w:val="-2"/>
          <w:sz w:val="21"/>
        </w:rPr>
        <w:t>已经实施了针对颅内肿瘤的放射治疗，如γ</w:t>
      </w:r>
      <w:r>
        <w:rPr>
          <w:spacing w:val="-3"/>
          <w:sz w:val="21"/>
        </w:rPr>
        <w:t>刀、质子重离子治疗等。</w:t>
      </w:r>
    </w:p>
    <w:p>
      <w:pPr>
        <w:pStyle w:val="BodyText"/>
        <w:spacing w:before="2"/>
      </w:pPr>
      <w:r>
        <w:rPr>
          <w:spacing w:val="-3"/>
        </w:rPr>
        <w:t>下列疾病不在保障范围内：</w:t>
      </w:r>
    </w:p>
    <w:p>
      <w:pPr>
        <w:pStyle w:val="ListParagraph"/>
        <w:numPr>
          <w:ilvl w:val="0"/>
          <w:numId w:val="38"/>
        </w:numPr>
        <w:tabs>
          <w:tab w:pos="1506" w:val="left" w:leader="none"/>
        </w:tabs>
        <w:spacing w:line="240" w:lineRule="auto" w:before="2" w:after="0"/>
        <w:ind w:left="1505" w:right="0" w:hanging="738"/>
        <w:jc w:val="left"/>
        <w:rPr>
          <w:sz w:val="21"/>
        </w:rPr>
      </w:pPr>
      <w:r>
        <w:rPr>
          <w:spacing w:val="-4"/>
          <w:sz w:val="21"/>
        </w:rPr>
        <w:t>脑垂体瘤；</w:t>
      </w:r>
    </w:p>
    <w:p>
      <w:pPr>
        <w:pStyle w:val="ListParagraph"/>
        <w:numPr>
          <w:ilvl w:val="0"/>
          <w:numId w:val="38"/>
        </w:numPr>
        <w:tabs>
          <w:tab w:pos="1506" w:val="left" w:leader="none"/>
        </w:tabs>
        <w:spacing w:line="240" w:lineRule="auto" w:before="5" w:after="0"/>
        <w:ind w:left="1505" w:right="0" w:hanging="738"/>
        <w:jc w:val="left"/>
        <w:rPr>
          <w:sz w:val="21"/>
        </w:rPr>
      </w:pPr>
      <w:r>
        <w:rPr>
          <w:spacing w:val="-4"/>
          <w:sz w:val="21"/>
        </w:rPr>
        <w:t>脑囊肿；</w:t>
      </w:r>
    </w:p>
    <w:p>
      <w:pPr>
        <w:pStyle w:val="ListParagraph"/>
        <w:numPr>
          <w:ilvl w:val="0"/>
          <w:numId w:val="38"/>
        </w:numPr>
        <w:tabs>
          <w:tab w:pos="1506" w:val="left" w:leader="none"/>
        </w:tabs>
        <w:spacing w:line="240" w:lineRule="auto" w:before="2" w:after="0"/>
        <w:ind w:left="1505" w:right="0" w:hanging="738"/>
        <w:jc w:val="left"/>
        <w:rPr>
          <w:sz w:val="21"/>
        </w:rPr>
      </w:pPr>
      <w:r>
        <w:rPr>
          <w:spacing w:val="-2"/>
          <w:sz w:val="21"/>
        </w:rPr>
        <w:t>颅内血管性疾病（如脑动脉瘤、脑动静脉畸形、海绵状血管瘤、毛细血管扩张症等</w:t>
      </w:r>
      <w:r>
        <w:rPr>
          <w:spacing w:val="-106"/>
          <w:sz w:val="21"/>
        </w:rPr>
        <w:t>）</w:t>
      </w:r>
      <w:r>
        <w:rPr>
          <w:spacing w:val="-10"/>
          <w:sz w:val="21"/>
        </w:rPr>
        <w:t>。</w:t>
      </w:r>
    </w:p>
    <w:p>
      <w:pPr>
        <w:pStyle w:val="Heading2"/>
        <w:numPr>
          <w:ilvl w:val="0"/>
          <w:numId w:val="33"/>
        </w:numPr>
        <w:tabs>
          <w:tab w:pos="768" w:val="left" w:leader="none"/>
          <w:tab w:pos="769" w:val="left" w:leader="none"/>
        </w:tabs>
        <w:spacing w:line="363" w:lineRule="exact" w:before="108" w:after="0"/>
        <w:ind w:left="768" w:right="0" w:hanging="558"/>
        <w:jc w:val="left"/>
        <w:rPr>
          <w:sz w:val="11"/>
        </w:rPr>
      </w:pPr>
      <w:r>
        <w:rPr>
          <w:spacing w:val="-2"/>
        </w:rPr>
        <w:t>严重慢性肝衰竭</w:t>
      </w:r>
      <w:r>
        <w:rPr>
          <w:spacing w:val="-10"/>
          <w:position w:val="11"/>
          <w:sz w:val="11"/>
        </w:rPr>
        <w:t>*</w:t>
      </w:r>
    </w:p>
    <w:p>
      <w:pPr>
        <w:pStyle w:val="BodyText"/>
        <w:spacing w:line="245" w:lineRule="exact"/>
      </w:pPr>
      <w:r>
        <w:rPr>
          <w:spacing w:val="-3"/>
        </w:rPr>
        <w:t>指因慢性肝脏疾病导致的肝衰竭，且须满足下列全部条件：</w:t>
      </w:r>
    </w:p>
    <w:p>
      <w:pPr>
        <w:pStyle w:val="ListParagraph"/>
        <w:numPr>
          <w:ilvl w:val="0"/>
          <w:numId w:val="39"/>
        </w:numPr>
        <w:tabs>
          <w:tab w:pos="1506" w:val="left" w:leader="none"/>
        </w:tabs>
        <w:spacing w:line="240" w:lineRule="auto" w:before="4" w:after="0"/>
        <w:ind w:left="1505" w:right="0" w:hanging="738"/>
        <w:jc w:val="left"/>
        <w:rPr>
          <w:sz w:val="21"/>
        </w:rPr>
      </w:pPr>
      <w:r>
        <w:rPr>
          <w:spacing w:val="-4"/>
          <w:sz w:val="21"/>
        </w:rPr>
        <w:t>持续性黄疸；</w:t>
      </w:r>
    </w:p>
    <w:p>
      <w:pPr>
        <w:pStyle w:val="ListParagraph"/>
        <w:numPr>
          <w:ilvl w:val="0"/>
          <w:numId w:val="39"/>
        </w:numPr>
        <w:tabs>
          <w:tab w:pos="1506" w:val="left" w:leader="none"/>
        </w:tabs>
        <w:spacing w:line="240" w:lineRule="auto" w:before="2" w:after="0"/>
        <w:ind w:left="1505" w:right="0" w:hanging="738"/>
        <w:jc w:val="left"/>
        <w:rPr>
          <w:sz w:val="21"/>
        </w:rPr>
      </w:pPr>
      <w:r>
        <w:rPr>
          <w:spacing w:val="-4"/>
          <w:sz w:val="21"/>
        </w:rPr>
        <w:t>腹水；</w:t>
      </w:r>
    </w:p>
    <w:p>
      <w:pPr>
        <w:pStyle w:val="ListParagraph"/>
        <w:numPr>
          <w:ilvl w:val="0"/>
          <w:numId w:val="39"/>
        </w:numPr>
        <w:tabs>
          <w:tab w:pos="1506" w:val="left" w:leader="none"/>
        </w:tabs>
        <w:spacing w:line="240" w:lineRule="auto" w:before="5" w:after="0"/>
        <w:ind w:left="1505" w:right="0" w:hanging="738"/>
        <w:jc w:val="left"/>
        <w:rPr>
          <w:sz w:val="21"/>
        </w:rPr>
      </w:pPr>
      <w:r>
        <w:rPr>
          <w:spacing w:val="-4"/>
          <w:sz w:val="21"/>
        </w:rPr>
        <w:t>肝性脑病；</w:t>
      </w:r>
    </w:p>
    <w:p>
      <w:pPr>
        <w:pStyle w:val="ListParagraph"/>
        <w:numPr>
          <w:ilvl w:val="0"/>
          <w:numId w:val="39"/>
        </w:numPr>
        <w:tabs>
          <w:tab w:pos="1506" w:val="left" w:leader="none"/>
        </w:tabs>
        <w:spacing w:line="240" w:lineRule="auto" w:before="2" w:after="0"/>
        <w:ind w:left="1505" w:right="0" w:hanging="738"/>
        <w:jc w:val="left"/>
        <w:rPr>
          <w:sz w:val="21"/>
        </w:rPr>
      </w:pPr>
      <w:r>
        <w:rPr>
          <w:spacing w:val="-3"/>
          <w:sz w:val="21"/>
        </w:rPr>
        <w:t>充血性脾肿大伴脾功能亢进或食管胃底静脉曲张。</w:t>
      </w:r>
    </w:p>
    <w:p>
      <w:pPr>
        <w:pStyle w:val="BodyText"/>
        <w:spacing w:before="5"/>
      </w:pPr>
      <w:r>
        <w:rPr>
          <w:spacing w:val="-3"/>
        </w:rPr>
        <w:t>因酗酒或药物滥用导致的肝衰竭不在保障范围内。</w:t>
      </w:r>
    </w:p>
    <w:p>
      <w:pPr>
        <w:pStyle w:val="Heading2"/>
        <w:numPr>
          <w:ilvl w:val="0"/>
          <w:numId w:val="33"/>
        </w:numPr>
        <w:tabs>
          <w:tab w:pos="768" w:val="left" w:leader="none"/>
          <w:tab w:pos="769" w:val="left" w:leader="none"/>
        </w:tabs>
        <w:spacing w:line="363" w:lineRule="exact" w:before="106" w:after="0"/>
        <w:ind w:left="768" w:right="0" w:hanging="558"/>
        <w:jc w:val="left"/>
        <w:rPr>
          <w:sz w:val="11"/>
        </w:rPr>
      </w:pPr>
      <w:r>
        <w:rPr>
          <w:spacing w:val="-2"/>
        </w:rPr>
        <w:t>严重脑炎后遗症或严重脑膜炎后遗症</w:t>
      </w:r>
      <w:r>
        <w:rPr>
          <w:spacing w:val="-10"/>
          <w:position w:val="11"/>
          <w:sz w:val="11"/>
        </w:rPr>
        <w:t>*</w:t>
      </w:r>
    </w:p>
    <w:p>
      <w:pPr>
        <w:pStyle w:val="BodyText"/>
        <w:spacing w:line="245" w:lineRule="exact"/>
      </w:pPr>
      <w:r>
        <w:rPr>
          <w:spacing w:val="-5"/>
        </w:rPr>
        <w:t>指因患脑炎或脑膜炎导致的神经系统永久性的功能障碍。神经系统永久性的功能障碍，指经相关专科</w:t>
      </w:r>
    </w:p>
    <w:p>
      <w:pPr>
        <w:pStyle w:val="BodyText"/>
        <w:spacing w:before="4"/>
      </w:pPr>
      <w:r>
        <w:rPr>
          <w:spacing w:val="-9"/>
        </w:rPr>
        <w:t>医生确诊疾病 </w:t>
      </w:r>
      <w:r>
        <w:rPr>
          <w:spacing w:val="-2"/>
        </w:rPr>
        <w:t>180</w:t>
      </w:r>
      <w:r>
        <w:rPr>
          <w:spacing w:val="-10"/>
        </w:rPr>
        <w:t> 天后，仍遗留下列至少一种障碍：</w:t>
      </w:r>
    </w:p>
    <w:p>
      <w:pPr>
        <w:pStyle w:val="ListParagraph"/>
        <w:numPr>
          <w:ilvl w:val="0"/>
          <w:numId w:val="40"/>
        </w:numPr>
        <w:tabs>
          <w:tab w:pos="1506" w:val="left" w:leader="none"/>
        </w:tabs>
        <w:spacing w:line="240" w:lineRule="auto" w:before="2" w:after="0"/>
        <w:ind w:left="1505" w:right="0" w:hanging="738"/>
        <w:jc w:val="left"/>
        <w:rPr>
          <w:sz w:val="21"/>
        </w:rPr>
      </w:pPr>
      <w:r>
        <w:rPr>
          <w:spacing w:val="-2"/>
          <w:sz w:val="21"/>
        </w:rPr>
        <w:t>一肢（含）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ListParagraph"/>
        <w:numPr>
          <w:ilvl w:val="0"/>
          <w:numId w:val="40"/>
        </w:numPr>
        <w:tabs>
          <w:tab w:pos="1506" w:val="left" w:leader="none"/>
        </w:tabs>
        <w:spacing w:line="240" w:lineRule="auto" w:before="5" w:after="0"/>
        <w:ind w:left="1505" w:right="0" w:hanging="738"/>
        <w:jc w:val="left"/>
        <w:rPr>
          <w:sz w:val="21"/>
        </w:rPr>
      </w:pPr>
      <w:r>
        <w:rPr>
          <w:spacing w:val="-3"/>
          <w:sz w:val="21"/>
        </w:rPr>
        <w:t>语言能力完全丧失，或严重咀嚼吞咽功能障碍；</w:t>
      </w:r>
    </w:p>
    <w:p>
      <w:pPr>
        <w:pStyle w:val="ListParagraph"/>
        <w:numPr>
          <w:ilvl w:val="0"/>
          <w:numId w:val="40"/>
        </w:numPr>
        <w:tabs>
          <w:tab w:pos="1506" w:val="left" w:leader="none"/>
        </w:tabs>
        <w:spacing w:line="244" w:lineRule="auto" w:before="2" w:after="0"/>
        <w:ind w:left="1505" w:right="906" w:hanging="737"/>
        <w:jc w:val="left"/>
        <w:rPr>
          <w:sz w:val="21"/>
        </w:rPr>
      </w:pPr>
      <w:r>
        <w:rPr>
          <w:spacing w:val="-2"/>
          <w:sz w:val="21"/>
        </w:rPr>
        <w:t>由具有评估资格的专科医生根据临床痴呆评定量表（CDR，Clinical</w:t>
      </w:r>
      <w:r>
        <w:rPr>
          <w:spacing w:val="-4"/>
          <w:sz w:val="21"/>
        </w:rPr>
        <w:t> </w:t>
      </w:r>
      <w:r>
        <w:rPr>
          <w:spacing w:val="-2"/>
          <w:sz w:val="21"/>
        </w:rPr>
        <w:t>Dementia Rating）评估</w:t>
      </w:r>
      <w:r>
        <w:rPr>
          <w:spacing w:val="-6"/>
          <w:sz w:val="21"/>
        </w:rPr>
        <w:t>结果为 </w:t>
      </w:r>
      <w:r>
        <w:rPr>
          <w:sz w:val="21"/>
        </w:rPr>
        <w:t>3</w:t>
      </w:r>
      <w:r>
        <w:rPr>
          <w:spacing w:val="-8"/>
          <w:sz w:val="21"/>
        </w:rPr>
        <w:t> 分；</w:t>
      </w:r>
    </w:p>
    <w:p>
      <w:pPr>
        <w:pStyle w:val="ListParagraph"/>
        <w:numPr>
          <w:ilvl w:val="0"/>
          <w:numId w:val="40"/>
        </w:numPr>
        <w:tabs>
          <w:tab w:pos="1506" w:val="left" w:leader="none"/>
        </w:tabs>
        <w:spacing w:line="265" w:lineRule="exact" w:before="0" w:after="0"/>
        <w:ind w:left="1505" w:right="0" w:hanging="738"/>
        <w:jc w:val="left"/>
        <w:rPr>
          <w:sz w:val="21"/>
        </w:rPr>
      </w:pPr>
      <w:r>
        <w:rPr>
          <w:spacing w:val="-3"/>
          <w:sz w:val="21"/>
        </w:rPr>
        <w:t>自主生活能力完全丧失，无法独立完成六项基本日常生活活动中的三项或三项以上。</w:t>
      </w:r>
    </w:p>
    <w:p>
      <w:pPr>
        <w:spacing w:after="0" w:line="265" w:lineRule="exact"/>
        <w:jc w:val="left"/>
        <w:rPr>
          <w:sz w:val="21"/>
        </w:rPr>
        <w:sectPr>
          <w:pgSz w:w="11910" w:h="16840"/>
          <w:pgMar w:header="0" w:footer="574" w:top="1040" w:bottom="760" w:left="720" w:right="340"/>
        </w:sectPr>
      </w:pPr>
    </w:p>
    <w:p>
      <w:pPr>
        <w:pStyle w:val="Heading2"/>
        <w:numPr>
          <w:ilvl w:val="0"/>
          <w:numId w:val="33"/>
        </w:numPr>
        <w:tabs>
          <w:tab w:pos="768" w:val="left" w:leader="none"/>
          <w:tab w:pos="769" w:val="left" w:leader="none"/>
        </w:tabs>
        <w:spacing w:line="364" w:lineRule="exact" w:before="8" w:after="0"/>
        <w:ind w:left="768" w:right="0" w:hanging="558"/>
        <w:jc w:val="left"/>
        <w:rPr>
          <w:sz w:val="11"/>
        </w:rPr>
      </w:pPr>
      <w:r>
        <w:rPr>
          <w:spacing w:val="-2"/>
        </w:rPr>
        <w:t>深度昏迷</w:t>
      </w:r>
      <w:r>
        <w:rPr>
          <w:spacing w:val="-10"/>
          <w:position w:val="11"/>
          <w:sz w:val="11"/>
        </w:rPr>
        <w:t>*</w:t>
      </w:r>
    </w:p>
    <w:p>
      <w:pPr>
        <w:pStyle w:val="BodyText"/>
        <w:spacing w:line="246" w:lineRule="exact"/>
      </w:pPr>
      <w:r>
        <w:rPr>
          <w:spacing w:val="-5"/>
        </w:rPr>
        <w:t>指因疾病或意外伤害导致意识丧失，对外界刺激和体内需求均无反应，昏迷程度按照格拉斯哥昏迷分</w:t>
      </w:r>
    </w:p>
    <w:p>
      <w:pPr>
        <w:pStyle w:val="BodyText"/>
        <w:spacing w:line="244" w:lineRule="auto" w:before="3"/>
        <w:ind w:right="906"/>
      </w:pPr>
      <w:r>
        <w:rPr/>
        <w:t>级（GCS，Glasgow</w:t>
      </w:r>
      <w:r>
        <w:rPr>
          <w:spacing w:val="-4"/>
        </w:rPr>
        <w:t> </w:t>
      </w:r>
      <w:r>
        <w:rPr/>
        <w:t>Coma Scale）</w:t>
      </w:r>
      <w:r>
        <w:rPr>
          <w:spacing w:val="-14"/>
        </w:rPr>
        <w:t>结果为 </w:t>
      </w:r>
      <w:r>
        <w:rPr/>
        <w:t>5</w:t>
      </w:r>
      <w:r>
        <w:rPr>
          <w:spacing w:val="-28"/>
        </w:rPr>
        <w:t> 分或 </w:t>
      </w:r>
      <w:r>
        <w:rPr/>
        <w:t>5</w:t>
      </w:r>
      <w:r>
        <w:rPr>
          <w:spacing w:val="-8"/>
        </w:rPr>
        <w:t> 分以下，且已经持续使用呼吸机及其他生命维持系</w:t>
      </w:r>
      <w:r>
        <w:rPr>
          <w:spacing w:val="-11"/>
        </w:rPr>
        <w:t>统 </w:t>
      </w:r>
      <w:r>
        <w:rPr/>
        <w:t>96</w:t>
      </w:r>
      <w:r>
        <w:rPr>
          <w:spacing w:val="-5"/>
        </w:rPr>
        <w:t> 小时以上。</w:t>
      </w:r>
    </w:p>
    <w:p>
      <w:pPr>
        <w:pStyle w:val="BodyText"/>
        <w:spacing w:line="265" w:lineRule="exact"/>
      </w:pPr>
      <w:r>
        <w:rPr>
          <w:spacing w:val="-3"/>
        </w:rPr>
        <w:t>因酗酒或药物滥用导致的深度昏迷不在保障范围内。</w:t>
      </w:r>
    </w:p>
    <w:p>
      <w:pPr>
        <w:pStyle w:val="Heading2"/>
        <w:numPr>
          <w:ilvl w:val="0"/>
          <w:numId w:val="33"/>
        </w:numPr>
        <w:tabs>
          <w:tab w:pos="768" w:val="left" w:leader="none"/>
          <w:tab w:pos="769" w:val="left" w:leader="none"/>
        </w:tabs>
        <w:spacing w:line="363" w:lineRule="exact" w:before="107" w:after="0"/>
        <w:ind w:left="768" w:right="0" w:hanging="558"/>
        <w:jc w:val="left"/>
        <w:rPr>
          <w:sz w:val="11"/>
        </w:rPr>
      </w:pPr>
      <w:r>
        <w:rPr>
          <w:spacing w:val="-2"/>
        </w:rPr>
        <w:t>双耳失聪</w:t>
      </w:r>
      <w:r>
        <w:rPr>
          <w:spacing w:val="-10"/>
          <w:position w:val="11"/>
          <w:sz w:val="11"/>
        </w:rPr>
        <w:t>*</w:t>
      </w:r>
    </w:p>
    <w:p>
      <w:pPr>
        <w:pStyle w:val="BodyText"/>
        <w:spacing w:line="245" w:lineRule="exact"/>
      </w:pPr>
      <w:r>
        <w:rPr>
          <w:spacing w:val="-4"/>
        </w:rPr>
        <w:t>指因疾病或意外伤害导致双耳听力永久不可逆性丧失，在 </w:t>
      </w:r>
      <w:r>
        <w:rPr>
          <w:spacing w:val="-2"/>
        </w:rPr>
        <w:t>500</w:t>
      </w:r>
      <w:r>
        <w:rPr>
          <w:spacing w:val="-14"/>
        </w:rPr>
        <w:t> 赫兹、</w:t>
      </w:r>
      <w:r>
        <w:rPr>
          <w:spacing w:val="-2"/>
        </w:rPr>
        <w:t>1000</w:t>
      </w:r>
      <w:r>
        <w:rPr>
          <w:spacing w:val="-22"/>
        </w:rPr>
        <w:t> 赫兹和 </w:t>
      </w:r>
      <w:r>
        <w:rPr>
          <w:spacing w:val="-2"/>
        </w:rPr>
        <w:t>2000</w:t>
      </w:r>
      <w:r>
        <w:rPr>
          <w:spacing w:val="-12"/>
        </w:rPr>
        <w:t> 赫兹语音频率</w:t>
      </w:r>
    </w:p>
    <w:p>
      <w:pPr>
        <w:pStyle w:val="BodyText"/>
        <w:spacing w:before="5"/>
      </w:pPr>
      <w:r>
        <w:rPr>
          <w:spacing w:val="-6"/>
        </w:rPr>
        <w:t>下，平均听阈大于等于 </w:t>
      </w:r>
      <w:r>
        <w:rPr>
          <w:spacing w:val="-2"/>
        </w:rPr>
        <w:t>91</w:t>
      </w:r>
      <w:r>
        <w:rPr>
          <w:spacing w:val="-9"/>
        </w:rPr>
        <w:t> 分贝，且经纯音听力测试、声导抗检测或听觉诱发电位检测等证实。</w:t>
      </w:r>
    </w:p>
    <w:p>
      <w:pPr>
        <w:pStyle w:val="BodyText"/>
        <w:spacing w:before="2"/>
      </w:pPr>
      <w:r>
        <w:rPr>
          <w:spacing w:val="-10"/>
        </w:rPr>
        <w:t>被保险人在 </w:t>
      </w:r>
      <w:r>
        <w:rPr>
          <w:spacing w:val="-2"/>
        </w:rPr>
        <w:t>3</w:t>
      </w:r>
      <w:r>
        <w:rPr>
          <w:spacing w:val="-10"/>
        </w:rPr>
        <w:t> 周岁之前因疾病导致的双耳失聪不在保障范围内。</w:t>
      </w:r>
    </w:p>
    <w:p>
      <w:pPr>
        <w:pStyle w:val="Heading2"/>
        <w:numPr>
          <w:ilvl w:val="0"/>
          <w:numId w:val="33"/>
        </w:numPr>
        <w:tabs>
          <w:tab w:pos="768" w:val="left" w:leader="none"/>
          <w:tab w:pos="769" w:val="left" w:leader="none"/>
        </w:tabs>
        <w:spacing w:line="364" w:lineRule="exact" w:before="105" w:after="0"/>
        <w:ind w:left="768" w:right="0" w:hanging="558"/>
        <w:jc w:val="left"/>
        <w:rPr>
          <w:sz w:val="11"/>
        </w:rPr>
      </w:pPr>
      <w:r>
        <w:rPr>
          <w:spacing w:val="-2"/>
        </w:rPr>
        <w:t>双目失明</w:t>
      </w:r>
      <w:r>
        <w:rPr>
          <w:spacing w:val="-10"/>
          <w:position w:val="11"/>
          <w:sz w:val="11"/>
        </w:rPr>
        <w:t>*</w:t>
      </w:r>
    </w:p>
    <w:p>
      <w:pPr>
        <w:pStyle w:val="BodyText"/>
        <w:spacing w:line="246" w:lineRule="exact"/>
      </w:pPr>
      <w:r>
        <w:rPr>
          <w:spacing w:val="-3"/>
        </w:rPr>
        <w:t>指因疾病或意外伤害导致双眼视力永久不可逆性丧失，双眼中较好眼须满足下列至少一项条件：</w:t>
      </w:r>
    </w:p>
    <w:p>
      <w:pPr>
        <w:pStyle w:val="ListParagraph"/>
        <w:numPr>
          <w:ilvl w:val="0"/>
          <w:numId w:val="41"/>
        </w:numPr>
        <w:tabs>
          <w:tab w:pos="1506" w:val="left" w:leader="none"/>
        </w:tabs>
        <w:spacing w:line="240" w:lineRule="auto" w:before="3" w:after="0"/>
        <w:ind w:left="1505" w:right="0" w:hanging="738"/>
        <w:jc w:val="left"/>
        <w:rPr>
          <w:sz w:val="21"/>
        </w:rPr>
      </w:pPr>
      <w:r>
        <w:rPr>
          <w:spacing w:val="-4"/>
          <w:sz w:val="21"/>
        </w:rPr>
        <w:t>眼球缺失或摘除；</w:t>
      </w:r>
    </w:p>
    <w:p>
      <w:pPr>
        <w:pStyle w:val="ListParagraph"/>
        <w:numPr>
          <w:ilvl w:val="0"/>
          <w:numId w:val="41"/>
        </w:numPr>
        <w:tabs>
          <w:tab w:pos="1506" w:val="left" w:leader="none"/>
        </w:tabs>
        <w:spacing w:line="240" w:lineRule="auto" w:before="4" w:after="0"/>
        <w:ind w:left="1505" w:right="0" w:hanging="738"/>
        <w:jc w:val="left"/>
        <w:rPr>
          <w:sz w:val="21"/>
        </w:rPr>
      </w:pPr>
      <w:r>
        <w:rPr>
          <w:spacing w:val="-6"/>
          <w:sz w:val="21"/>
        </w:rPr>
        <w:t>矫正视力低于 </w:t>
      </w:r>
      <w:r>
        <w:rPr>
          <w:spacing w:val="-2"/>
          <w:sz w:val="21"/>
        </w:rPr>
        <w:t>0.02（采用国际标准视力表，如果使用其他视力表应进行换算</w:t>
      </w:r>
      <w:r>
        <w:rPr>
          <w:spacing w:val="-113"/>
          <w:sz w:val="21"/>
        </w:rPr>
        <w:t>）</w:t>
      </w:r>
      <w:r>
        <w:rPr>
          <w:spacing w:val="-5"/>
          <w:sz w:val="21"/>
        </w:rPr>
        <w:t>；</w:t>
      </w:r>
    </w:p>
    <w:p>
      <w:pPr>
        <w:pStyle w:val="ListParagraph"/>
        <w:numPr>
          <w:ilvl w:val="0"/>
          <w:numId w:val="41"/>
        </w:numPr>
        <w:tabs>
          <w:tab w:pos="1506" w:val="left" w:leader="none"/>
        </w:tabs>
        <w:spacing w:line="240" w:lineRule="auto" w:before="2" w:after="0"/>
        <w:ind w:left="1505" w:right="0" w:hanging="738"/>
        <w:jc w:val="left"/>
        <w:rPr>
          <w:sz w:val="21"/>
        </w:rPr>
      </w:pPr>
      <w:r>
        <w:rPr>
          <w:spacing w:val="-9"/>
          <w:sz w:val="21"/>
        </w:rPr>
        <w:t>视野半径小于 </w:t>
      </w:r>
      <w:r>
        <w:rPr>
          <w:spacing w:val="-2"/>
          <w:sz w:val="21"/>
        </w:rPr>
        <w:t>5</w:t>
      </w:r>
      <w:r>
        <w:rPr>
          <w:spacing w:val="-21"/>
          <w:sz w:val="21"/>
        </w:rPr>
        <w:t> 度。</w:t>
      </w:r>
    </w:p>
    <w:p>
      <w:pPr>
        <w:pStyle w:val="BodyText"/>
        <w:spacing w:before="5"/>
      </w:pPr>
      <w:r>
        <w:rPr>
          <w:spacing w:val="-10"/>
        </w:rPr>
        <w:t>被保险人在 </w:t>
      </w:r>
      <w:r>
        <w:rPr>
          <w:spacing w:val="-2"/>
        </w:rPr>
        <w:t>3</w:t>
      </w:r>
      <w:r>
        <w:rPr>
          <w:spacing w:val="-10"/>
        </w:rPr>
        <w:t> 周岁之前因疾病导致的双目失明不在保障范围内。</w:t>
      </w:r>
    </w:p>
    <w:p>
      <w:pPr>
        <w:pStyle w:val="ListParagraph"/>
        <w:numPr>
          <w:ilvl w:val="0"/>
          <w:numId w:val="33"/>
        </w:numPr>
        <w:tabs>
          <w:tab w:pos="768" w:val="left" w:leader="none"/>
          <w:tab w:pos="769" w:val="left" w:leader="none"/>
        </w:tabs>
        <w:spacing w:line="364" w:lineRule="exact" w:before="106" w:after="0"/>
        <w:ind w:left="768" w:right="0" w:hanging="558"/>
        <w:jc w:val="left"/>
        <w:rPr>
          <w:rFonts w:ascii="微软雅黑" w:eastAsia="微软雅黑"/>
          <w:b/>
          <w:sz w:val="11"/>
        </w:rPr>
      </w:pPr>
      <w:r>
        <w:rPr>
          <w:rFonts w:ascii="微软雅黑" w:eastAsia="微软雅黑"/>
          <w:b/>
          <w:sz w:val="21"/>
        </w:rPr>
        <w:t>瘫痪</w:t>
      </w:r>
      <w:r>
        <w:rPr>
          <w:rFonts w:ascii="微软雅黑" w:eastAsia="微软雅黑"/>
          <w:b/>
          <w:spacing w:val="-10"/>
          <w:position w:val="11"/>
          <w:sz w:val="11"/>
        </w:rPr>
        <w:t>*</w:t>
      </w:r>
    </w:p>
    <w:p>
      <w:pPr>
        <w:pStyle w:val="BodyText"/>
        <w:spacing w:line="246" w:lineRule="exact"/>
      </w:pPr>
      <w:r>
        <w:rPr>
          <w:spacing w:val="-6"/>
        </w:rPr>
        <w:t>指因疾病或意外伤害导致两肢或两肢以上肢体随意运动功能永久完全丧失。肢体随意运动功能永久完</w:t>
      </w:r>
    </w:p>
    <w:p>
      <w:pPr>
        <w:pStyle w:val="BodyText"/>
        <w:spacing w:before="2"/>
      </w:pPr>
      <w:r>
        <w:rPr>
          <w:spacing w:val="-7"/>
        </w:rPr>
        <w:t>全丧失，指疾病确诊 </w:t>
      </w:r>
      <w:r>
        <w:rPr>
          <w:spacing w:val="-2"/>
        </w:rPr>
        <w:t>180</w:t>
      </w:r>
      <w:r>
        <w:rPr>
          <w:spacing w:val="-12"/>
        </w:rPr>
        <w:t> 天后或意外伤害发生 </w:t>
      </w:r>
      <w:r>
        <w:rPr>
          <w:spacing w:val="-2"/>
        </w:rPr>
        <w:t>180</w:t>
      </w:r>
      <w:r>
        <w:rPr>
          <w:spacing w:val="-10"/>
        </w:rPr>
        <w:t> 天后，每肢三大关节中的两大关节仍然完全僵硬，</w:t>
      </w:r>
    </w:p>
    <w:p>
      <w:pPr>
        <w:pStyle w:val="BodyText"/>
        <w:spacing w:before="4"/>
      </w:pPr>
      <w:r>
        <w:rPr>
          <w:spacing w:val="-9"/>
        </w:rPr>
        <w:t>或肢体肌力在 </w:t>
      </w:r>
      <w:r>
        <w:rPr>
          <w:spacing w:val="-2"/>
        </w:rPr>
        <w:t>2</w:t>
      </w:r>
      <w:r>
        <w:rPr>
          <w:spacing w:val="-25"/>
        </w:rPr>
        <w:t> 级</w:t>
      </w:r>
      <w:r>
        <w:rPr>
          <w:spacing w:val="-2"/>
        </w:rPr>
        <w:t>（含）</w:t>
      </w:r>
      <w:r>
        <w:rPr>
          <w:spacing w:val="-5"/>
        </w:rPr>
        <w:t>以下。</w:t>
      </w:r>
    </w:p>
    <w:p>
      <w:pPr>
        <w:pStyle w:val="Heading2"/>
        <w:numPr>
          <w:ilvl w:val="0"/>
          <w:numId w:val="33"/>
        </w:numPr>
        <w:tabs>
          <w:tab w:pos="768" w:val="left" w:leader="none"/>
          <w:tab w:pos="769" w:val="left" w:leader="none"/>
        </w:tabs>
        <w:spacing w:line="363" w:lineRule="exact" w:before="106" w:after="0"/>
        <w:ind w:left="768" w:right="0" w:hanging="558"/>
        <w:jc w:val="left"/>
        <w:rPr>
          <w:sz w:val="11"/>
        </w:rPr>
      </w:pPr>
      <w:r>
        <w:rPr>
          <w:spacing w:val="-2"/>
        </w:rPr>
        <w:t>心脏瓣膜手术</w:t>
      </w:r>
      <w:r>
        <w:rPr>
          <w:spacing w:val="-12"/>
          <w:position w:val="11"/>
          <w:sz w:val="11"/>
        </w:rPr>
        <w:t>*</w:t>
      </w:r>
    </w:p>
    <w:p>
      <w:pPr>
        <w:pStyle w:val="BodyText"/>
        <w:spacing w:line="245" w:lineRule="exact"/>
      </w:pPr>
      <w:r>
        <w:rPr>
          <w:spacing w:val="-3"/>
        </w:rPr>
        <w:t>指为治疗心脏瓣膜疾病，已经实施了切开心脏进行的心脏瓣膜置换或修复的手术。</w:t>
      </w:r>
    </w:p>
    <w:p>
      <w:pPr>
        <w:pStyle w:val="BodyText"/>
        <w:spacing w:before="4"/>
      </w:pPr>
      <w:r>
        <w:rPr>
          <w:spacing w:val="-3"/>
        </w:rPr>
        <w:t>所有未切开心脏的心脏瓣膜介入手术不在保障范围内。</w:t>
      </w:r>
    </w:p>
    <w:p>
      <w:pPr>
        <w:pStyle w:val="Heading2"/>
        <w:numPr>
          <w:ilvl w:val="0"/>
          <w:numId w:val="33"/>
        </w:numPr>
        <w:tabs>
          <w:tab w:pos="768" w:val="left" w:leader="none"/>
          <w:tab w:pos="769" w:val="left" w:leader="none"/>
        </w:tabs>
        <w:spacing w:line="364" w:lineRule="exact" w:before="106" w:after="0"/>
        <w:ind w:left="768" w:right="0" w:hanging="558"/>
        <w:jc w:val="left"/>
        <w:rPr>
          <w:sz w:val="11"/>
        </w:rPr>
      </w:pPr>
      <w:r>
        <w:rPr>
          <w:spacing w:val="-2"/>
        </w:rPr>
        <w:t>严重阿尔茨海默病</w:t>
      </w:r>
      <w:r>
        <w:rPr>
          <w:spacing w:val="-10"/>
          <w:position w:val="11"/>
          <w:sz w:val="11"/>
        </w:rPr>
        <w:t>*</w:t>
      </w:r>
    </w:p>
    <w:p>
      <w:pPr>
        <w:pStyle w:val="BodyText"/>
        <w:spacing w:line="246" w:lineRule="exact"/>
      </w:pPr>
      <w:r>
        <w:rPr>
          <w:spacing w:val="-5"/>
        </w:rPr>
        <w:t>指因大脑进行性、不可逆性改变导致智能严重衰退或丧失，临床表现为严重的认知功能障碍、精神行</w:t>
      </w:r>
    </w:p>
    <w:p>
      <w:pPr>
        <w:pStyle w:val="BodyText"/>
        <w:spacing w:line="242" w:lineRule="auto" w:before="2"/>
        <w:ind w:right="911"/>
        <w:jc w:val="both"/>
      </w:pPr>
      <w:r>
        <w:rPr>
          <w:spacing w:val="-2"/>
        </w:rPr>
        <w:t>为异常和社交能力减退等，其日常生活必须持续受到他人监护。须由头颅断层扫描</w:t>
      </w:r>
      <w:r>
        <w:rPr>
          <w:spacing w:val="24"/>
        </w:rPr>
        <w:t>（C</w:t>
      </w:r>
      <w:r>
        <w:rPr>
          <w:spacing w:val="21"/>
        </w:rPr>
        <w:t>T</w:t>
      </w:r>
      <w:r>
        <w:rPr>
          <w:spacing w:val="-80"/>
        </w:rPr>
        <w:t>）</w:t>
      </w:r>
      <w:r>
        <w:rPr>
          <w:spacing w:val="-2"/>
        </w:rPr>
        <w:t>、核磁共振</w:t>
      </w:r>
      <w:r>
        <w:rPr>
          <w:spacing w:val="-2"/>
        </w:rPr>
        <w:t>检查（MRI）或正电子发射断层扫描（PET）等影像学检查证实，并经相关专科医生确诊，且须满足下</w:t>
      </w:r>
      <w:r>
        <w:rPr>
          <w:spacing w:val="-2"/>
        </w:rPr>
        <w:t>列至少一项条件：</w:t>
      </w:r>
    </w:p>
    <w:p>
      <w:pPr>
        <w:pStyle w:val="ListParagraph"/>
        <w:numPr>
          <w:ilvl w:val="0"/>
          <w:numId w:val="42"/>
        </w:numPr>
        <w:tabs>
          <w:tab w:pos="1506" w:val="left" w:leader="none"/>
        </w:tabs>
        <w:spacing w:line="242" w:lineRule="auto" w:before="3" w:after="0"/>
        <w:ind w:left="1505" w:right="906" w:hanging="737"/>
        <w:jc w:val="left"/>
        <w:rPr>
          <w:sz w:val="21"/>
        </w:rPr>
      </w:pPr>
      <w:r>
        <w:rPr>
          <w:spacing w:val="-2"/>
          <w:sz w:val="21"/>
        </w:rPr>
        <w:t>由具有评估资格的专科医生根据临床痴呆评定量表（CDR，Clinical</w:t>
      </w:r>
      <w:r>
        <w:rPr>
          <w:spacing w:val="-4"/>
          <w:sz w:val="21"/>
        </w:rPr>
        <w:t> </w:t>
      </w:r>
      <w:r>
        <w:rPr>
          <w:spacing w:val="-2"/>
          <w:sz w:val="21"/>
        </w:rPr>
        <w:t>Dementia Rating）评估</w:t>
      </w:r>
      <w:r>
        <w:rPr>
          <w:spacing w:val="-6"/>
          <w:sz w:val="21"/>
        </w:rPr>
        <w:t>结果为 </w:t>
      </w:r>
      <w:r>
        <w:rPr>
          <w:sz w:val="21"/>
        </w:rPr>
        <w:t>3</w:t>
      </w:r>
      <w:r>
        <w:rPr>
          <w:spacing w:val="-8"/>
          <w:sz w:val="21"/>
        </w:rPr>
        <w:t> 分；</w:t>
      </w:r>
    </w:p>
    <w:p>
      <w:pPr>
        <w:pStyle w:val="ListParagraph"/>
        <w:numPr>
          <w:ilvl w:val="0"/>
          <w:numId w:val="42"/>
        </w:numPr>
        <w:tabs>
          <w:tab w:pos="1506" w:val="left" w:leader="none"/>
        </w:tabs>
        <w:spacing w:line="268" w:lineRule="exact" w:before="0" w:after="0"/>
        <w:ind w:left="1505" w:right="0" w:hanging="738"/>
        <w:jc w:val="left"/>
        <w:rPr>
          <w:sz w:val="21"/>
        </w:rPr>
      </w:pPr>
      <w:r>
        <w:rPr>
          <w:spacing w:val="-3"/>
          <w:sz w:val="21"/>
        </w:rPr>
        <w:t>自主生活能力完全丧失，无法独立完成六项基本日常生活活动中的三项或三项以上。</w:t>
      </w:r>
    </w:p>
    <w:p>
      <w:pPr>
        <w:pStyle w:val="BodyText"/>
        <w:spacing w:before="5"/>
      </w:pPr>
      <w:r>
        <w:rPr>
          <w:spacing w:val="-3"/>
        </w:rPr>
        <w:t>阿尔茨海默病之外的其他类型痴呆不在保障范围内。</w:t>
      </w:r>
    </w:p>
    <w:p>
      <w:pPr>
        <w:pStyle w:val="Heading2"/>
        <w:numPr>
          <w:ilvl w:val="0"/>
          <w:numId w:val="33"/>
        </w:numPr>
        <w:tabs>
          <w:tab w:pos="768" w:val="left" w:leader="none"/>
          <w:tab w:pos="769" w:val="left" w:leader="none"/>
        </w:tabs>
        <w:spacing w:line="364" w:lineRule="exact" w:before="105" w:after="0"/>
        <w:ind w:left="768" w:right="0" w:hanging="558"/>
        <w:jc w:val="left"/>
        <w:rPr>
          <w:sz w:val="11"/>
        </w:rPr>
      </w:pPr>
      <w:r>
        <w:rPr>
          <w:spacing w:val="-2"/>
        </w:rPr>
        <w:t>严重脑损伤</w:t>
      </w:r>
      <w:r>
        <w:rPr>
          <w:spacing w:val="-10"/>
          <w:position w:val="11"/>
          <w:sz w:val="11"/>
        </w:rPr>
        <w:t>*</w:t>
      </w:r>
    </w:p>
    <w:p>
      <w:pPr>
        <w:pStyle w:val="BodyText"/>
        <w:spacing w:line="246" w:lineRule="exact"/>
      </w:pPr>
      <w:r>
        <w:rPr>
          <w:spacing w:val="-5"/>
        </w:rPr>
        <w:t>指因头部遭受机械性外力，引起脑重要部位损伤，导致神经系统永久性的功能障碍。须由头颅断层扫</w:t>
      </w:r>
    </w:p>
    <w:p>
      <w:pPr>
        <w:pStyle w:val="BodyText"/>
        <w:spacing w:line="244" w:lineRule="auto" w:before="3"/>
        <w:ind w:right="909"/>
      </w:pPr>
      <w:r>
        <w:rPr>
          <w:spacing w:val="-2"/>
        </w:rPr>
        <w:t>描</w:t>
      </w:r>
      <w:r>
        <w:rPr>
          <w:spacing w:val="24"/>
        </w:rPr>
        <w:t>（C</w:t>
      </w:r>
      <w:r>
        <w:rPr>
          <w:spacing w:val="21"/>
        </w:rPr>
        <w:t>T</w:t>
      </w:r>
      <w:r>
        <w:rPr>
          <w:spacing w:val="-80"/>
        </w:rPr>
        <w:t>）</w:t>
      </w:r>
      <w:r>
        <w:rPr>
          <w:spacing w:val="-2"/>
        </w:rPr>
        <w:t>、核磁共振检查（MRI）或正电子发射断层扫描（PET）等影像学检查证实。神经系统永久性</w:t>
      </w:r>
      <w:r>
        <w:rPr>
          <w:spacing w:val="-2"/>
        </w:rPr>
        <w:t>的功能障碍，指脑损伤 </w:t>
      </w:r>
      <w:r>
        <w:rPr/>
        <w:t>180</w:t>
      </w:r>
      <w:r>
        <w:rPr>
          <w:spacing w:val="-5"/>
        </w:rPr>
        <w:t> 天后，仍遗留下列至少一种障碍：</w:t>
      </w:r>
    </w:p>
    <w:p>
      <w:pPr>
        <w:pStyle w:val="ListParagraph"/>
        <w:numPr>
          <w:ilvl w:val="0"/>
          <w:numId w:val="43"/>
        </w:numPr>
        <w:tabs>
          <w:tab w:pos="1506" w:val="left" w:leader="none"/>
        </w:tabs>
        <w:spacing w:line="265" w:lineRule="exact" w:before="0" w:after="0"/>
        <w:ind w:left="1505" w:right="0" w:hanging="738"/>
        <w:jc w:val="left"/>
        <w:rPr>
          <w:sz w:val="21"/>
        </w:rPr>
      </w:pPr>
      <w:r>
        <w:rPr>
          <w:spacing w:val="-2"/>
          <w:sz w:val="21"/>
        </w:rPr>
        <w:t>一肢（含）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ListParagraph"/>
        <w:numPr>
          <w:ilvl w:val="0"/>
          <w:numId w:val="43"/>
        </w:numPr>
        <w:tabs>
          <w:tab w:pos="1506" w:val="left" w:leader="none"/>
        </w:tabs>
        <w:spacing w:line="240" w:lineRule="auto" w:before="4" w:after="0"/>
        <w:ind w:left="1505" w:right="0" w:hanging="738"/>
        <w:jc w:val="left"/>
        <w:rPr>
          <w:sz w:val="21"/>
        </w:rPr>
      </w:pPr>
      <w:r>
        <w:rPr>
          <w:spacing w:val="-3"/>
          <w:sz w:val="21"/>
        </w:rPr>
        <w:t>语言能力完全丧失，或严重咀嚼吞咽功能障碍；</w:t>
      </w:r>
    </w:p>
    <w:p>
      <w:pPr>
        <w:pStyle w:val="ListParagraph"/>
        <w:numPr>
          <w:ilvl w:val="0"/>
          <w:numId w:val="43"/>
        </w:numPr>
        <w:tabs>
          <w:tab w:pos="1506" w:val="left" w:leader="none"/>
        </w:tabs>
        <w:spacing w:line="240" w:lineRule="auto" w:before="2" w:after="0"/>
        <w:ind w:left="1505" w:right="0" w:hanging="738"/>
        <w:jc w:val="left"/>
        <w:rPr>
          <w:sz w:val="21"/>
        </w:rPr>
      </w:pPr>
      <w:r>
        <w:rPr>
          <w:spacing w:val="-3"/>
          <w:sz w:val="21"/>
        </w:rPr>
        <w:t>自主生活能力完全丧失，无法独立完成六项基本日常生活活动中的三项或三项以上。</w:t>
      </w:r>
    </w:p>
    <w:p>
      <w:pPr>
        <w:pStyle w:val="Heading2"/>
        <w:numPr>
          <w:ilvl w:val="0"/>
          <w:numId w:val="33"/>
        </w:numPr>
        <w:tabs>
          <w:tab w:pos="768" w:val="left" w:leader="none"/>
          <w:tab w:pos="769" w:val="left" w:leader="none"/>
        </w:tabs>
        <w:spacing w:line="364" w:lineRule="exact" w:before="106" w:after="0"/>
        <w:ind w:left="768" w:right="0" w:hanging="558"/>
        <w:jc w:val="left"/>
        <w:rPr>
          <w:sz w:val="11"/>
        </w:rPr>
      </w:pPr>
      <w:r>
        <w:rPr>
          <w:spacing w:val="-2"/>
        </w:rPr>
        <w:t>严重原发性帕金森病</w:t>
      </w:r>
      <w:r>
        <w:rPr>
          <w:spacing w:val="-10"/>
          <w:position w:val="11"/>
          <w:sz w:val="11"/>
        </w:rPr>
        <w:t>*</w:t>
      </w:r>
    </w:p>
    <w:p>
      <w:pPr>
        <w:pStyle w:val="BodyText"/>
        <w:spacing w:line="246" w:lineRule="exact"/>
      </w:pPr>
      <w:r>
        <w:rPr>
          <w:spacing w:val="-5"/>
        </w:rPr>
        <w:t>是一种中枢神经系统的退行性疾病，临床表现为运动迟缓、静止性震颤或肌强直等，经相关专科医生</w:t>
      </w:r>
    </w:p>
    <w:p>
      <w:pPr>
        <w:pStyle w:val="BodyText"/>
        <w:spacing w:before="2"/>
      </w:pPr>
      <w:r>
        <w:rPr>
          <w:spacing w:val="-3"/>
        </w:rPr>
        <w:t>确诊，且须满足自主生活能力完全丧失，无法独立完成六项基本日常生活活动中的三项或三项以上。</w:t>
      </w:r>
    </w:p>
    <w:p>
      <w:pPr>
        <w:pStyle w:val="BodyText"/>
        <w:spacing w:before="5"/>
      </w:pPr>
      <w:r>
        <w:rPr>
          <w:spacing w:val="-3"/>
        </w:rPr>
        <w:t>继发性帕金森综合征、帕金森叠加综合征不在保障范围内。</w:t>
      </w:r>
    </w:p>
    <w:p>
      <w:pPr>
        <w:pStyle w:val="Heading2"/>
        <w:numPr>
          <w:ilvl w:val="0"/>
          <w:numId w:val="33"/>
        </w:numPr>
        <w:tabs>
          <w:tab w:pos="768" w:val="left" w:leader="none"/>
          <w:tab w:pos="769" w:val="left" w:leader="none"/>
        </w:tabs>
        <w:spacing w:line="364" w:lineRule="exact" w:before="105" w:after="0"/>
        <w:ind w:left="768" w:right="0" w:hanging="558"/>
        <w:jc w:val="left"/>
        <w:rPr>
          <w:sz w:val="11"/>
        </w:rPr>
      </w:pPr>
      <w:r>
        <w:rPr>
          <w:spacing w:val="-2"/>
        </w:rPr>
        <w:t>严重Ⅲ度烧伤</w:t>
      </w:r>
      <w:r>
        <w:rPr>
          <w:spacing w:val="-12"/>
          <w:position w:val="11"/>
          <w:sz w:val="11"/>
        </w:rPr>
        <w:t>*</w:t>
      </w:r>
    </w:p>
    <w:p>
      <w:pPr>
        <w:pStyle w:val="BodyText"/>
        <w:spacing w:line="246" w:lineRule="exact"/>
      </w:pPr>
      <w:r>
        <w:rPr>
          <w:spacing w:val="-3"/>
        </w:rPr>
        <w:t>指烧伤程度为Ⅲ度，且Ⅲ度烧伤的面积达到全身体表面积的 </w:t>
      </w:r>
      <w:r>
        <w:rPr>
          <w:spacing w:val="-2"/>
        </w:rPr>
        <w:t>20</w:t>
      </w:r>
      <w:r>
        <w:rPr>
          <w:spacing w:val="-10"/>
        </w:rPr>
        <w:t>％或 </w:t>
      </w:r>
      <w:r>
        <w:rPr>
          <w:spacing w:val="-2"/>
        </w:rPr>
        <w:t>20</w:t>
      </w:r>
      <w:r>
        <w:rPr>
          <w:spacing w:val="-3"/>
        </w:rPr>
        <w:t>％以上。体表面积根据《中国</w:t>
      </w:r>
    </w:p>
    <w:p>
      <w:pPr>
        <w:pStyle w:val="BodyText"/>
        <w:spacing w:before="2"/>
      </w:pPr>
      <w:r>
        <w:rPr>
          <w:spacing w:val="-4"/>
        </w:rPr>
        <w:t>新九分法》计算。</w:t>
      </w:r>
    </w:p>
    <w:p>
      <w:pPr>
        <w:pStyle w:val="Heading2"/>
        <w:numPr>
          <w:ilvl w:val="0"/>
          <w:numId w:val="33"/>
        </w:numPr>
        <w:tabs>
          <w:tab w:pos="768" w:val="left" w:leader="none"/>
          <w:tab w:pos="769" w:val="left" w:leader="none"/>
        </w:tabs>
        <w:spacing w:line="364" w:lineRule="exact" w:before="106" w:after="0"/>
        <w:ind w:left="768" w:right="0" w:hanging="558"/>
        <w:jc w:val="left"/>
        <w:rPr>
          <w:sz w:val="11"/>
        </w:rPr>
      </w:pPr>
      <w:r>
        <w:rPr>
          <w:spacing w:val="-2"/>
        </w:rPr>
        <w:t>严重特发性肺动脉高压</w:t>
      </w:r>
      <w:r>
        <w:rPr>
          <w:spacing w:val="-10"/>
          <w:position w:val="11"/>
          <w:sz w:val="11"/>
        </w:rPr>
        <w:t>*</w:t>
      </w:r>
    </w:p>
    <w:p>
      <w:pPr>
        <w:pStyle w:val="BodyText"/>
        <w:spacing w:line="246" w:lineRule="exact"/>
      </w:pPr>
      <w:r>
        <w:rPr>
          <w:spacing w:val="-5"/>
        </w:rPr>
        <w:t>指不明原因的肺动脉压力持续性增高，进行性发展而导致的慢性疾病，已经造成永久不可逆性的体力</w:t>
      </w:r>
    </w:p>
    <w:p>
      <w:pPr>
        <w:spacing w:after="0" w:line="246" w:lineRule="exact"/>
        <w:sectPr>
          <w:pgSz w:w="11910" w:h="16840"/>
          <w:pgMar w:header="0" w:footer="574" w:top="1040" w:bottom="760" w:left="720" w:right="340"/>
        </w:sectPr>
      </w:pPr>
    </w:p>
    <w:p>
      <w:pPr>
        <w:pStyle w:val="BodyText"/>
        <w:spacing w:line="244" w:lineRule="auto" w:before="55"/>
        <w:ind w:right="909"/>
      </w:pPr>
      <w:r>
        <w:rPr/>
        <w:t>活动能力受限，达到美国纽约心脏病学会（New</w:t>
      </w:r>
      <w:r>
        <w:rPr>
          <w:spacing w:val="-27"/>
        </w:rPr>
        <w:t> </w:t>
      </w:r>
      <w:r>
        <w:rPr/>
        <w:t>York</w:t>
      </w:r>
      <w:r>
        <w:rPr>
          <w:spacing w:val="-26"/>
        </w:rPr>
        <w:t> </w:t>
      </w:r>
      <w:r>
        <w:rPr/>
        <w:t>Heart</w:t>
      </w:r>
      <w:r>
        <w:rPr>
          <w:spacing w:val="-26"/>
        </w:rPr>
        <w:t> </w:t>
      </w:r>
      <w:r>
        <w:rPr/>
        <w:t>Association，NYHA）心功能状态分级Ⅳ</w:t>
      </w:r>
      <w:r>
        <w:rPr>
          <w:spacing w:val="-3"/>
        </w:rPr>
        <w:t>级，且静息状态下肺动脉平均压在 </w:t>
      </w:r>
      <w:r>
        <w:rPr/>
        <w:t>36mmHg（含）以上。</w:t>
      </w:r>
    </w:p>
    <w:p>
      <w:pPr>
        <w:pStyle w:val="Heading2"/>
        <w:numPr>
          <w:ilvl w:val="0"/>
          <w:numId w:val="33"/>
        </w:numPr>
        <w:tabs>
          <w:tab w:pos="768" w:val="left" w:leader="none"/>
          <w:tab w:pos="769" w:val="left" w:leader="none"/>
        </w:tabs>
        <w:spacing w:line="364" w:lineRule="exact" w:before="100" w:after="0"/>
        <w:ind w:left="768" w:right="0" w:hanging="558"/>
        <w:jc w:val="left"/>
        <w:rPr>
          <w:sz w:val="11"/>
        </w:rPr>
      </w:pPr>
      <w:r>
        <w:rPr>
          <w:spacing w:val="-2"/>
        </w:rPr>
        <w:t>严重运动神经元病</w:t>
      </w:r>
      <w:r>
        <w:rPr>
          <w:spacing w:val="-10"/>
          <w:position w:val="11"/>
          <w:sz w:val="11"/>
        </w:rPr>
        <w:t>*</w:t>
      </w:r>
    </w:p>
    <w:p>
      <w:pPr>
        <w:pStyle w:val="BodyText"/>
        <w:spacing w:line="246" w:lineRule="exact"/>
      </w:pPr>
      <w:r>
        <w:rPr>
          <w:spacing w:val="-5"/>
        </w:rPr>
        <w:t>是一组中枢神经系统运动神经元的进行性变性疾病，包括进行性脊肌萎缩症、进行性延髓麻痹症、原</w:t>
      </w:r>
    </w:p>
    <w:p>
      <w:pPr>
        <w:pStyle w:val="BodyText"/>
        <w:spacing w:before="2"/>
      </w:pPr>
      <w:r>
        <w:rPr>
          <w:spacing w:val="-3"/>
        </w:rPr>
        <w:t>发性侧索硬化症、肌萎缩性侧索硬化症，经相关专科医生确诊，且须满足下列至少一项条件：</w:t>
      </w:r>
    </w:p>
    <w:p>
      <w:pPr>
        <w:pStyle w:val="ListParagraph"/>
        <w:numPr>
          <w:ilvl w:val="0"/>
          <w:numId w:val="44"/>
        </w:numPr>
        <w:tabs>
          <w:tab w:pos="1506" w:val="left" w:leader="none"/>
        </w:tabs>
        <w:spacing w:line="240" w:lineRule="auto" w:before="5" w:after="0"/>
        <w:ind w:left="1505" w:right="0" w:hanging="738"/>
        <w:jc w:val="left"/>
        <w:rPr>
          <w:sz w:val="21"/>
        </w:rPr>
      </w:pPr>
      <w:r>
        <w:rPr>
          <w:spacing w:val="-3"/>
          <w:sz w:val="21"/>
        </w:rPr>
        <w:t>严重咀嚼吞咽功能障碍；</w:t>
      </w:r>
    </w:p>
    <w:p>
      <w:pPr>
        <w:pStyle w:val="ListParagraph"/>
        <w:numPr>
          <w:ilvl w:val="0"/>
          <w:numId w:val="44"/>
        </w:numPr>
        <w:tabs>
          <w:tab w:pos="1506" w:val="left" w:leader="none"/>
        </w:tabs>
        <w:spacing w:line="240" w:lineRule="auto" w:before="2" w:after="0"/>
        <w:ind w:left="1505" w:right="0" w:hanging="738"/>
        <w:jc w:val="left"/>
        <w:rPr>
          <w:sz w:val="21"/>
        </w:rPr>
      </w:pPr>
      <w:r>
        <w:rPr>
          <w:spacing w:val="-4"/>
          <w:sz w:val="21"/>
        </w:rPr>
        <w:t>呼吸肌麻痹导致严重呼吸困难，且已经持续使用呼吸机 </w:t>
      </w:r>
      <w:r>
        <w:rPr>
          <w:spacing w:val="-2"/>
          <w:sz w:val="21"/>
        </w:rPr>
        <w:t>7</w:t>
      </w:r>
      <w:r>
        <w:rPr>
          <w:spacing w:val="-23"/>
          <w:sz w:val="21"/>
        </w:rPr>
        <w:t> 天</w:t>
      </w:r>
      <w:r>
        <w:rPr>
          <w:spacing w:val="-2"/>
          <w:sz w:val="21"/>
        </w:rPr>
        <w:t>（含）</w:t>
      </w:r>
      <w:r>
        <w:rPr>
          <w:spacing w:val="-5"/>
          <w:sz w:val="21"/>
        </w:rPr>
        <w:t>以上；</w:t>
      </w:r>
    </w:p>
    <w:p>
      <w:pPr>
        <w:pStyle w:val="ListParagraph"/>
        <w:numPr>
          <w:ilvl w:val="0"/>
          <w:numId w:val="44"/>
        </w:numPr>
        <w:tabs>
          <w:tab w:pos="1506" w:val="left" w:leader="none"/>
        </w:tabs>
        <w:spacing w:line="240" w:lineRule="auto" w:before="4" w:after="0"/>
        <w:ind w:left="1505" w:right="0" w:hanging="738"/>
        <w:jc w:val="left"/>
        <w:rPr>
          <w:sz w:val="21"/>
        </w:rPr>
      </w:pPr>
      <w:r>
        <w:rPr>
          <w:spacing w:val="-3"/>
          <w:sz w:val="21"/>
        </w:rPr>
        <w:t>自主生活能力完全丧失，无法独立完成六项基本日常生活活动中的三项或三项以上。</w:t>
      </w:r>
    </w:p>
    <w:p>
      <w:pPr>
        <w:pStyle w:val="Heading2"/>
        <w:numPr>
          <w:ilvl w:val="0"/>
          <w:numId w:val="33"/>
        </w:numPr>
        <w:tabs>
          <w:tab w:pos="768" w:val="left" w:leader="none"/>
          <w:tab w:pos="769" w:val="left" w:leader="none"/>
        </w:tabs>
        <w:spacing w:line="363" w:lineRule="exact" w:before="106" w:after="0"/>
        <w:ind w:left="768" w:right="0" w:hanging="558"/>
        <w:jc w:val="left"/>
        <w:rPr>
          <w:sz w:val="11"/>
        </w:rPr>
      </w:pPr>
      <w:r>
        <w:rPr>
          <w:spacing w:val="-2"/>
        </w:rPr>
        <w:t>语言能力丧失</w:t>
      </w:r>
      <w:r>
        <w:rPr>
          <w:spacing w:val="-12"/>
          <w:position w:val="11"/>
          <w:sz w:val="11"/>
        </w:rPr>
        <w:t>*</w:t>
      </w:r>
    </w:p>
    <w:p>
      <w:pPr>
        <w:pStyle w:val="BodyText"/>
        <w:spacing w:line="245" w:lineRule="exact"/>
      </w:pPr>
      <w:r>
        <w:rPr>
          <w:spacing w:val="-3"/>
        </w:rPr>
        <w:t>指因疾病或意外伤害导致语言能力完全丧失，经过积极治疗至少 </w:t>
      </w:r>
      <w:r>
        <w:rPr>
          <w:spacing w:val="-2"/>
        </w:rPr>
        <w:t>12</w:t>
      </w:r>
      <w:r>
        <w:rPr>
          <w:spacing w:val="-10"/>
        </w:rPr>
        <w:t> 个月</w:t>
      </w:r>
      <w:r>
        <w:rPr>
          <w:spacing w:val="-2"/>
        </w:rPr>
        <w:t>（</w:t>
      </w:r>
      <w:r>
        <w:rPr>
          <w:spacing w:val="-3"/>
        </w:rPr>
        <w:t>声带完全切除不受此时间</w:t>
      </w:r>
    </w:p>
    <w:p>
      <w:pPr>
        <w:pStyle w:val="BodyText"/>
        <w:spacing w:before="4"/>
      </w:pPr>
      <w:r>
        <w:rPr>
          <w:spacing w:val="-2"/>
        </w:rPr>
        <w:t>限制</w:t>
      </w:r>
      <w:r>
        <w:rPr>
          <w:spacing w:val="-108"/>
        </w:rPr>
        <w:t>）</w:t>
      </w:r>
      <w:r>
        <w:rPr>
          <w:spacing w:val="-3"/>
        </w:rPr>
        <w:t>，仍无法通过现有医疗手段恢复。</w:t>
      </w:r>
    </w:p>
    <w:p>
      <w:pPr>
        <w:pStyle w:val="BodyText"/>
        <w:spacing w:before="2"/>
      </w:pPr>
      <w:r>
        <w:rPr>
          <w:spacing w:val="-3"/>
        </w:rPr>
        <w:t>精神心理因素所致的语言能力丧失不在保障范围内。</w:t>
      </w:r>
    </w:p>
    <w:p>
      <w:pPr>
        <w:pStyle w:val="BodyText"/>
        <w:spacing w:before="5"/>
      </w:pPr>
      <w:r>
        <w:rPr>
          <w:spacing w:val="-9"/>
        </w:rPr>
        <w:t>被保险人在 </w:t>
      </w:r>
      <w:r>
        <w:rPr>
          <w:spacing w:val="-2"/>
        </w:rPr>
        <w:t>3</w:t>
      </w:r>
      <w:r>
        <w:rPr>
          <w:spacing w:val="-10"/>
        </w:rPr>
        <w:t> 周岁之前因疾病导致的语言能力丧失不在保障范围内。</w:t>
      </w:r>
    </w:p>
    <w:p>
      <w:pPr>
        <w:pStyle w:val="Heading2"/>
        <w:numPr>
          <w:ilvl w:val="0"/>
          <w:numId w:val="33"/>
        </w:numPr>
        <w:tabs>
          <w:tab w:pos="768" w:val="left" w:leader="none"/>
          <w:tab w:pos="769" w:val="left" w:leader="none"/>
        </w:tabs>
        <w:spacing w:line="364" w:lineRule="exact" w:before="106" w:after="0"/>
        <w:ind w:left="768" w:right="0" w:hanging="558"/>
        <w:jc w:val="left"/>
        <w:rPr>
          <w:sz w:val="11"/>
        </w:rPr>
      </w:pPr>
      <w:r>
        <w:rPr>
          <w:spacing w:val="-2"/>
        </w:rPr>
        <w:t>重型再生障碍性贫血</w:t>
      </w:r>
      <w:r>
        <w:rPr>
          <w:spacing w:val="-10"/>
          <w:position w:val="11"/>
          <w:sz w:val="11"/>
        </w:rPr>
        <w:t>*</w:t>
      </w:r>
    </w:p>
    <w:p>
      <w:pPr>
        <w:pStyle w:val="BodyText"/>
        <w:spacing w:line="246" w:lineRule="exact"/>
      </w:pPr>
      <w:r>
        <w:rPr>
          <w:spacing w:val="-5"/>
        </w:rPr>
        <w:t>指因骨髓造血功能慢性持续性衰竭导致的贫血、中性粒细胞减少及血小板减少，且须满足下列全部条</w:t>
      </w:r>
    </w:p>
    <w:p>
      <w:pPr>
        <w:pStyle w:val="BodyText"/>
        <w:spacing w:before="2"/>
      </w:pPr>
      <w:r>
        <w:rPr>
          <w:spacing w:val="-5"/>
        </w:rPr>
        <w:t>件：</w:t>
      </w:r>
    </w:p>
    <w:p>
      <w:pPr>
        <w:pStyle w:val="ListParagraph"/>
        <w:numPr>
          <w:ilvl w:val="0"/>
          <w:numId w:val="45"/>
        </w:numPr>
        <w:tabs>
          <w:tab w:pos="1506" w:val="left" w:leader="none"/>
        </w:tabs>
        <w:spacing w:line="242" w:lineRule="auto" w:before="4" w:after="0"/>
        <w:ind w:left="1505" w:right="908" w:hanging="737"/>
        <w:jc w:val="left"/>
        <w:rPr>
          <w:sz w:val="21"/>
        </w:rPr>
      </w:pPr>
      <w:r>
        <w:rPr>
          <w:spacing w:val="-4"/>
          <w:sz w:val="21"/>
        </w:rPr>
        <w:t>骨髓穿刺检查或骨髓活检结果支持诊断：骨髓细胞增生程度＜正常的 </w:t>
      </w:r>
      <w:r>
        <w:rPr>
          <w:spacing w:val="-2"/>
          <w:sz w:val="21"/>
        </w:rPr>
        <w:t>25％</w:t>
      </w:r>
      <w:r>
        <w:rPr>
          <w:spacing w:val="-10"/>
          <w:sz w:val="21"/>
        </w:rPr>
        <w:t>；如≥正常的 </w:t>
      </w:r>
      <w:r>
        <w:rPr>
          <w:spacing w:val="-2"/>
          <w:sz w:val="21"/>
        </w:rPr>
        <w:t>25％</w:t>
      </w:r>
      <w:r>
        <w:rPr>
          <w:spacing w:val="-2"/>
          <w:sz w:val="21"/>
        </w:rPr>
        <w:t>但＜50％，则残存的造血细胞应＜30％；</w:t>
      </w:r>
    </w:p>
    <w:p>
      <w:pPr>
        <w:pStyle w:val="ListParagraph"/>
        <w:numPr>
          <w:ilvl w:val="0"/>
          <w:numId w:val="45"/>
        </w:numPr>
        <w:tabs>
          <w:tab w:pos="1506" w:val="left" w:leader="none"/>
        </w:tabs>
        <w:spacing w:line="265" w:lineRule="exact" w:before="2" w:after="0"/>
        <w:ind w:left="1505" w:right="0" w:hanging="738"/>
        <w:jc w:val="left"/>
        <w:rPr>
          <w:sz w:val="21"/>
        </w:rPr>
      </w:pPr>
      <w:r>
        <w:rPr>
          <w:spacing w:val="-3"/>
          <w:sz w:val="21"/>
        </w:rPr>
        <w:t>外周血象须具备以下三项条件中的两项：</w:t>
      </w:r>
    </w:p>
    <w:p>
      <w:pPr>
        <w:pStyle w:val="BodyText"/>
        <w:spacing w:line="272" w:lineRule="exact"/>
        <w:ind w:left="1519"/>
      </w:pPr>
      <w:r>
        <w:rPr>
          <w:spacing w:val="-2"/>
        </w:rPr>
        <w:t>①中性粒细胞绝对值＜0.5×10</w:t>
      </w:r>
      <w:r>
        <w:rPr>
          <w:spacing w:val="-2"/>
          <w:position w:val="11"/>
          <w:sz w:val="11"/>
        </w:rPr>
        <w:t>9</w:t>
      </w:r>
      <w:r>
        <w:rPr>
          <w:spacing w:val="-2"/>
        </w:rPr>
        <w:t>/L；</w:t>
      </w:r>
    </w:p>
    <w:p>
      <w:pPr>
        <w:pStyle w:val="BodyText"/>
        <w:spacing w:line="272" w:lineRule="exact"/>
        <w:ind w:left="1519"/>
      </w:pPr>
      <w:r>
        <w:rPr>
          <w:spacing w:val="-2"/>
        </w:rPr>
        <w:t>②网织红细胞计数＜20×10</w:t>
      </w:r>
      <w:r>
        <w:rPr>
          <w:spacing w:val="-2"/>
          <w:position w:val="11"/>
          <w:sz w:val="11"/>
        </w:rPr>
        <w:t>9</w:t>
      </w:r>
      <w:r>
        <w:rPr>
          <w:spacing w:val="-2"/>
        </w:rPr>
        <w:t>/L；</w:t>
      </w:r>
    </w:p>
    <w:p>
      <w:pPr>
        <w:pStyle w:val="BodyText"/>
        <w:spacing w:line="275" w:lineRule="exact"/>
        <w:ind w:left="1519"/>
      </w:pPr>
      <w:r>
        <w:rPr>
          <w:spacing w:val="-2"/>
        </w:rPr>
        <w:t>③血小板绝对值＜20×10</w:t>
      </w:r>
      <w:r>
        <w:rPr>
          <w:spacing w:val="-2"/>
          <w:position w:val="11"/>
          <w:sz w:val="11"/>
        </w:rPr>
        <w:t>9</w:t>
      </w:r>
      <w:r>
        <w:rPr>
          <w:spacing w:val="-2"/>
        </w:rPr>
        <w:t>/L</w:t>
      </w:r>
      <w:r>
        <w:rPr>
          <w:spacing w:val="-10"/>
        </w:rPr>
        <w:t>。</w:t>
      </w:r>
    </w:p>
    <w:p>
      <w:pPr>
        <w:pStyle w:val="Heading2"/>
        <w:numPr>
          <w:ilvl w:val="0"/>
          <w:numId w:val="33"/>
        </w:numPr>
        <w:tabs>
          <w:tab w:pos="768" w:val="left" w:leader="none"/>
          <w:tab w:pos="769" w:val="left" w:leader="none"/>
        </w:tabs>
        <w:spacing w:line="364" w:lineRule="exact" w:before="105" w:after="0"/>
        <w:ind w:left="768" w:right="0" w:hanging="558"/>
        <w:jc w:val="left"/>
        <w:rPr>
          <w:sz w:val="11"/>
        </w:rPr>
      </w:pPr>
      <w:r>
        <w:rPr>
          <w:spacing w:val="-2"/>
        </w:rPr>
        <w:t>主动脉手术</w:t>
      </w:r>
      <w:r>
        <w:rPr>
          <w:spacing w:val="-10"/>
          <w:position w:val="11"/>
          <w:sz w:val="11"/>
        </w:rPr>
        <w:t>*</w:t>
      </w:r>
    </w:p>
    <w:p>
      <w:pPr>
        <w:pStyle w:val="BodyText"/>
        <w:spacing w:line="246" w:lineRule="exact"/>
      </w:pPr>
      <w:r>
        <w:rPr>
          <w:spacing w:val="-4"/>
        </w:rPr>
        <w:t>指为治疗主动脉疾病或主动脉创伤，已经实施了开胸（含胸腔镜下）或开腹（含腹腔镜下）</w:t>
      </w:r>
      <w:r>
        <w:rPr>
          <w:spacing w:val="-6"/>
        </w:rPr>
        <w:t>进行的切</w:t>
      </w:r>
    </w:p>
    <w:p>
      <w:pPr>
        <w:pStyle w:val="BodyText"/>
        <w:spacing w:line="244" w:lineRule="auto" w:before="2"/>
        <w:ind w:right="909"/>
      </w:pPr>
      <w:r>
        <w:rPr>
          <w:spacing w:val="-2"/>
        </w:rPr>
        <w:t>除、置换、修补病损主动脉血管、主动脉创伤后修复的手术。主动脉指升主动脉、主动脉弓和降主动</w:t>
      </w:r>
      <w:r>
        <w:rPr>
          <w:spacing w:val="-2"/>
        </w:rPr>
        <w:t>脉（含胸主动脉和腹主动脉</w:t>
      </w:r>
      <w:r>
        <w:rPr>
          <w:spacing w:val="-106"/>
        </w:rPr>
        <w:t>）</w:t>
      </w:r>
      <w:r>
        <w:rPr>
          <w:spacing w:val="-3"/>
        </w:rPr>
        <w:t>，不包括升主动脉、主动脉弓和降主动脉的分支血管。</w:t>
      </w:r>
    </w:p>
    <w:p>
      <w:pPr>
        <w:pStyle w:val="BodyText"/>
        <w:spacing w:line="265" w:lineRule="exact"/>
      </w:pPr>
      <w:r>
        <w:rPr>
          <w:spacing w:val="-3"/>
        </w:rPr>
        <w:t>所有未实施开胸或开腹的动脉内介入治疗不在保障范围内。</w:t>
      </w:r>
    </w:p>
    <w:p>
      <w:pPr>
        <w:pStyle w:val="Heading2"/>
        <w:numPr>
          <w:ilvl w:val="0"/>
          <w:numId w:val="33"/>
        </w:numPr>
        <w:tabs>
          <w:tab w:pos="768" w:val="left" w:leader="none"/>
          <w:tab w:pos="769" w:val="left" w:leader="none"/>
        </w:tabs>
        <w:spacing w:line="363" w:lineRule="exact" w:before="108" w:after="0"/>
        <w:ind w:left="768" w:right="0" w:hanging="558"/>
        <w:jc w:val="left"/>
        <w:rPr>
          <w:sz w:val="11"/>
        </w:rPr>
      </w:pPr>
      <w:r>
        <w:rPr>
          <w:spacing w:val="-2"/>
        </w:rPr>
        <w:t>严重慢性呼吸衰竭</w:t>
      </w:r>
      <w:r>
        <w:rPr>
          <w:spacing w:val="-10"/>
          <w:position w:val="11"/>
          <w:sz w:val="11"/>
        </w:rPr>
        <w:t>*</w:t>
      </w:r>
    </w:p>
    <w:p>
      <w:pPr>
        <w:pStyle w:val="BodyText"/>
        <w:spacing w:line="245" w:lineRule="exact"/>
        <w:ind w:left="761"/>
      </w:pPr>
      <w:r>
        <w:rPr>
          <w:spacing w:val="-4"/>
        </w:rPr>
        <w:t>指因慢性呼吸系统疾病导致永久不可逆性的呼吸衰竭，经过积极治疗 </w:t>
      </w:r>
      <w:r>
        <w:rPr>
          <w:spacing w:val="-2"/>
        </w:rPr>
        <w:t>180</w:t>
      </w:r>
      <w:r>
        <w:rPr>
          <w:spacing w:val="-9"/>
        </w:rPr>
        <w:t> 天后满足以下所有条件：</w:t>
      </w:r>
    </w:p>
    <w:p>
      <w:pPr>
        <w:pStyle w:val="ListParagraph"/>
        <w:numPr>
          <w:ilvl w:val="0"/>
          <w:numId w:val="46"/>
        </w:numPr>
        <w:tabs>
          <w:tab w:pos="1506" w:val="left" w:leader="none"/>
        </w:tabs>
        <w:spacing w:line="240" w:lineRule="auto" w:before="2" w:after="0"/>
        <w:ind w:left="1505" w:right="0" w:hanging="738"/>
        <w:jc w:val="left"/>
        <w:rPr>
          <w:sz w:val="21"/>
        </w:rPr>
      </w:pPr>
      <w:r>
        <w:rPr>
          <w:spacing w:val="-3"/>
          <w:sz w:val="21"/>
        </w:rPr>
        <w:t>静息时出现呼吸困难；</w:t>
      </w:r>
    </w:p>
    <w:p>
      <w:pPr>
        <w:pStyle w:val="ListParagraph"/>
        <w:numPr>
          <w:ilvl w:val="0"/>
          <w:numId w:val="46"/>
        </w:numPr>
        <w:tabs>
          <w:tab w:pos="1506" w:val="left" w:leader="none"/>
        </w:tabs>
        <w:spacing w:line="240" w:lineRule="auto" w:before="4" w:after="0"/>
        <w:ind w:left="1505" w:right="0" w:hanging="738"/>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46"/>
        </w:numPr>
        <w:tabs>
          <w:tab w:pos="1506" w:val="left" w:leader="none"/>
        </w:tabs>
        <w:spacing w:line="240" w:lineRule="auto" w:before="2" w:after="0"/>
        <w:ind w:left="1505" w:right="0" w:hanging="738"/>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pStyle w:val="Heading2"/>
        <w:numPr>
          <w:ilvl w:val="0"/>
          <w:numId w:val="33"/>
        </w:numPr>
        <w:tabs>
          <w:tab w:pos="768" w:val="left" w:leader="none"/>
          <w:tab w:pos="769" w:val="left" w:leader="none"/>
        </w:tabs>
        <w:spacing w:line="363" w:lineRule="exact" w:before="109" w:after="0"/>
        <w:ind w:left="768" w:right="0" w:hanging="558"/>
        <w:jc w:val="left"/>
        <w:rPr>
          <w:sz w:val="11"/>
        </w:rPr>
      </w:pPr>
      <w:r>
        <w:rPr>
          <w:spacing w:val="-2"/>
        </w:rPr>
        <w:t>严重克罗恩病</w:t>
      </w:r>
      <w:r>
        <w:rPr>
          <w:spacing w:val="-12"/>
          <w:position w:val="11"/>
          <w:sz w:val="11"/>
        </w:rPr>
        <w:t>*</w:t>
      </w:r>
    </w:p>
    <w:p>
      <w:pPr>
        <w:pStyle w:val="BodyText"/>
        <w:spacing w:line="245" w:lineRule="exact"/>
      </w:pPr>
      <w:r>
        <w:rPr>
          <w:spacing w:val="-2"/>
        </w:rPr>
        <w:t>指一种慢性肉芽肿性肠炎，具有特征性的克罗恩病（Crohn</w:t>
      </w:r>
      <w:r>
        <w:rPr>
          <w:spacing w:val="-26"/>
        </w:rPr>
        <w:t> 病</w:t>
      </w:r>
      <w:r>
        <w:rPr>
          <w:spacing w:val="-2"/>
        </w:rPr>
        <w:t>）</w:t>
      </w:r>
      <w:r>
        <w:rPr>
          <w:spacing w:val="-3"/>
        </w:rPr>
        <w:t>病理组织学变化，须根据组织病理学</w:t>
      </w:r>
    </w:p>
    <w:p>
      <w:pPr>
        <w:pStyle w:val="BodyText"/>
        <w:spacing w:before="4"/>
      </w:pPr>
      <w:r>
        <w:rPr>
          <w:spacing w:val="-3"/>
        </w:rPr>
        <w:t>特点诊断，且已经造成瘘管形成并伴有肠梗阻或肠穿孔。</w:t>
      </w:r>
    </w:p>
    <w:p>
      <w:pPr>
        <w:pStyle w:val="Heading2"/>
        <w:numPr>
          <w:ilvl w:val="0"/>
          <w:numId w:val="33"/>
        </w:numPr>
        <w:tabs>
          <w:tab w:pos="768" w:val="left" w:leader="none"/>
          <w:tab w:pos="769" w:val="left" w:leader="none"/>
        </w:tabs>
        <w:spacing w:line="363" w:lineRule="exact" w:before="106" w:after="0"/>
        <w:ind w:left="768" w:right="0" w:hanging="558"/>
        <w:jc w:val="left"/>
        <w:rPr>
          <w:sz w:val="11"/>
        </w:rPr>
      </w:pPr>
      <w:r>
        <w:rPr>
          <w:spacing w:val="-2"/>
        </w:rPr>
        <w:t>严重溃疡性结肠炎</w:t>
      </w:r>
      <w:r>
        <w:rPr>
          <w:spacing w:val="-10"/>
          <w:position w:val="11"/>
          <w:sz w:val="11"/>
        </w:rPr>
        <w:t>*</w:t>
      </w:r>
    </w:p>
    <w:p>
      <w:pPr>
        <w:pStyle w:val="BodyText"/>
        <w:spacing w:line="245" w:lineRule="exact"/>
      </w:pPr>
      <w:r>
        <w:rPr>
          <w:spacing w:val="-5"/>
        </w:rPr>
        <w:t>指伴有致命性电解质紊乱的急性暴发性溃疡性结肠炎，病变已经累及全结肠，表现为严重的血便和系</w:t>
      </w:r>
    </w:p>
    <w:p>
      <w:pPr>
        <w:pStyle w:val="BodyText"/>
        <w:spacing w:before="4"/>
      </w:pPr>
      <w:r>
        <w:rPr>
          <w:spacing w:val="-3"/>
        </w:rPr>
        <w:t>统性症状体征，须根据组织病理学特点诊断，且已经实施了结肠切除或回肠造瘘术。</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严重原发性心肌病</w:t>
      </w:r>
    </w:p>
    <w:p>
      <w:pPr>
        <w:pStyle w:val="BodyText"/>
        <w:spacing w:line="246" w:lineRule="exact"/>
      </w:pPr>
      <w:r>
        <w:rPr>
          <w:spacing w:val="-5"/>
        </w:rPr>
        <w:t>指不明原因引起的一类心肌病变，包括原发性扩张型心肌病、原发性肥厚型心肌病及原发性限制型心</w:t>
      </w:r>
    </w:p>
    <w:p>
      <w:pPr>
        <w:pStyle w:val="BodyText"/>
        <w:spacing w:before="2"/>
      </w:pPr>
      <w:r>
        <w:rPr>
          <w:spacing w:val="-5"/>
        </w:rPr>
        <w:t>肌病三种，病变必须已造成事实上心室功能障碍而出现明显的心功能衰竭，达到美国纽约心脏病学会</w:t>
      </w:r>
    </w:p>
    <w:p>
      <w:pPr>
        <w:pStyle w:val="BodyText"/>
        <w:spacing w:before="5"/>
      </w:pPr>
      <w:r>
        <w:rPr/>
        <w:t>（New</w:t>
      </w:r>
      <w:r>
        <w:rPr>
          <w:spacing w:val="-20"/>
        </w:rPr>
        <w:t> </w:t>
      </w:r>
      <w:r>
        <w:rPr/>
        <w:t>York</w:t>
      </w:r>
      <w:r>
        <w:rPr>
          <w:spacing w:val="-19"/>
        </w:rPr>
        <w:t> </w:t>
      </w:r>
      <w:r>
        <w:rPr/>
        <w:t>Heart</w:t>
      </w:r>
      <w:r>
        <w:rPr>
          <w:spacing w:val="-17"/>
        </w:rPr>
        <w:t> </w:t>
      </w:r>
      <w:r>
        <w:rPr/>
        <w:t>Association，NYHA）</w:t>
      </w:r>
      <w:r>
        <w:rPr>
          <w:spacing w:val="-1"/>
        </w:rPr>
        <w:t>心功能状态分级Ⅳ级。经相关专科医生明确诊断。</w:t>
      </w:r>
    </w:p>
    <w:p>
      <w:pPr>
        <w:pStyle w:val="BodyText"/>
        <w:spacing w:line="244" w:lineRule="auto" w:before="2"/>
        <w:ind w:right="3980"/>
      </w:pPr>
      <w:r>
        <w:rPr>
          <w:spacing w:val="-2"/>
        </w:rPr>
        <w:t>申请理赔时须提供超声心动图或其他支持性检查结果及诊断报告。</w:t>
      </w:r>
      <w:r>
        <w:rPr>
          <w:spacing w:val="-2"/>
        </w:rPr>
        <w:t>酗酒或滥用药物引起的心肌病不在保障范围内。</w:t>
      </w:r>
    </w:p>
    <w:p>
      <w:pPr>
        <w:pStyle w:val="Heading2"/>
        <w:numPr>
          <w:ilvl w:val="0"/>
          <w:numId w:val="33"/>
        </w:numPr>
        <w:tabs>
          <w:tab w:pos="768" w:val="left" w:leader="none"/>
          <w:tab w:pos="769" w:val="left" w:leader="none"/>
        </w:tabs>
        <w:spacing w:line="363" w:lineRule="exact" w:before="99" w:after="0"/>
        <w:ind w:left="768" w:right="0" w:hanging="558"/>
        <w:jc w:val="left"/>
      </w:pPr>
      <w:r>
        <w:rPr>
          <w:spacing w:val="-2"/>
        </w:rPr>
        <w:t>严重多发性硬化</w:t>
      </w:r>
    </w:p>
    <w:p>
      <w:pPr>
        <w:pStyle w:val="BodyText"/>
        <w:spacing w:line="245" w:lineRule="exact"/>
      </w:pPr>
      <w:r>
        <w:rPr>
          <w:spacing w:val="-4"/>
        </w:rPr>
        <w:t>指被保险人因脑及脊髓内的脱髓鞘病变而出现神经系统多灶性（多发性）多时相（</w:t>
      </w:r>
      <w:r>
        <w:rPr>
          <w:spacing w:val="-16"/>
        </w:rPr>
        <w:t>至少 </w:t>
      </w:r>
      <w:r>
        <w:rPr>
          <w:spacing w:val="-4"/>
        </w:rPr>
        <w:t>6</w:t>
      </w:r>
      <w:r>
        <w:rPr>
          <w:spacing w:val="-11"/>
        </w:rPr>
        <w:t> 个月以内有</w:t>
      </w:r>
    </w:p>
    <w:p>
      <w:pPr>
        <w:pStyle w:val="BodyText"/>
        <w:spacing w:before="4"/>
      </w:pPr>
      <w:r>
        <w:rPr>
          <w:spacing w:val="-6"/>
        </w:rPr>
        <w:t>一次以上（不包含一次）的发作）的病变，经相关专科医生明确诊断，且须由计算机断层扫描</w:t>
      </w:r>
      <w:r>
        <w:rPr>
          <w:spacing w:val="21"/>
        </w:rPr>
        <w:t>（C</w:t>
      </w:r>
      <w:r>
        <w:rPr>
          <w:spacing w:val="18"/>
        </w:rPr>
        <w:t>T</w:t>
      </w:r>
      <w:r>
        <w:rPr>
          <w:spacing w:val="-85"/>
        </w:rPr>
        <w:t>）</w:t>
      </w:r>
      <w:r>
        <w:rPr>
          <w:spacing w:val="-116"/>
        </w:rPr>
        <w:t>、</w:t>
      </w:r>
    </w:p>
    <w:p>
      <w:pPr>
        <w:spacing w:after="0"/>
        <w:sectPr>
          <w:pgSz w:w="11910" w:h="16840"/>
          <w:pgMar w:header="0" w:footer="574" w:top="1060" w:bottom="760" w:left="720" w:right="340"/>
        </w:sectPr>
      </w:pPr>
    </w:p>
    <w:p>
      <w:pPr>
        <w:pStyle w:val="BodyText"/>
        <w:spacing w:line="244" w:lineRule="auto" w:before="55"/>
        <w:ind w:right="911"/>
      </w:pPr>
      <w:r>
        <w:rPr>
          <w:spacing w:val="-2"/>
        </w:rPr>
        <w:t>核磁共振检查（MRI）或正电子发射断层扫描（PET）等影像学检查证实，且已经造成自主生活能力完</w:t>
      </w:r>
      <w:r>
        <w:rPr>
          <w:spacing w:val="-1"/>
        </w:rPr>
        <w:t>全丧失，无法独立完成六项基本日常生活活动中的三项或三项以上，持续至少 </w:t>
      </w:r>
      <w:r>
        <w:rPr/>
        <w:t>180</w:t>
      </w:r>
      <w:r>
        <w:rPr>
          <w:spacing w:val="-9"/>
        </w:rPr>
        <w:t> 天。</w:t>
      </w:r>
    </w:p>
    <w:p>
      <w:pPr>
        <w:pStyle w:val="Heading2"/>
        <w:numPr>
          <w:ilvl w:val="0"/>
          <w:numId w:val="33"/>
        </w:numPr>
        <w:tabs>
          <w:tab w:pos="768" w:val="left" w:leader="none"/>
          <w:tab w:pos="769" w:val="left" w:leader="none"/>
        </w:tabs>
        <w:spacing w:line="364" w:lineRule="exact" w:before="100" w:after="0"/>
        <w:ind w:left="768" w:right="0" w:hanging="558"/>
        <w:jc w:val="left"/>
      </w:pPr>
      <w:r>
        <w:rPr>
          <w:spacing w:val="-3"/>
        </w:rPr>
        <w:t>因职业关系导致的感染艾滋病病毒或患艾滋病</w:t>
      </w:r>
    </w:p>
    <w:p>
      <w:pPr>
        <w:pStyle w:val="BodyText"/>
        <w:spacing w:line="246" w:lineRule="exact"/>
      </w:pPr>
      <w:r>
        <w:rPr>
          <w:spacing w:val="-7"/>
        </w:rPr>
        <w:t>被保险人在其常规职业工作过程中遭遇外伤，或职业需要处理血液或其他体液时感染上艾滋病病毒或</w:t>
      </w:r>
    </w:p>
    <w:p>
      <w:pPr>
        <w:pStyle w:val="BodyText"/>
        <w:spacing w:before="2"/>
      </w:pPr>
      <w:r>
        <w:rPr>
          <w:spacing w:val="-3"/>
        </w:rPr>
        <w:t>患上艾滋病。且须满足下列全部条件：</w:t>
      </w:r>
    </w:p>
    <w:p>
      <w:pPr>
        <w:pStyle w:val="ListParagraph"/>
        <w:numPr>
          <w:ilvl w:val="0"/>
          <w:numId w:val="47"/>
        </w:numPr>
        <w:tabs>
          <w:tab w:pos="1506" w:val="left" w:leader="none"/>
        </w:tabs>
        <w:spacing w:line="242" w:lineRule="auto" w:before="5" w:after="0"/>
        <w:ind w:left="1505" w:right="803" w:hanging="737"/>
        <w:jc w:val="left"/>
        <w:rPr>
          <w:sz w:val="21"/>
        </w:rPr>
      </w:pPr>
      <w:r>
        <w:rPr>
          <w:spacing w:val="-2"/>
          <w:sz w:val="21"/>
        </w:rPr>
        <w:t>感染必须是在被保险人正在从事其职业工作中发生，该职业必须属于下列职业：医生、护士、</w:t>
      </w:r>
      <w:r>
        <w:rPr>
          <w:spacing w:val="-2"/>
          <w:sz w:val="21"/>
        </w:rPr>
        <w:t>实验室工作人员、医院护工、医生助理、救护车工作人员、助产士、消防队员、警察；</w:t>
      </w:r>
    </w:p>
    <w:p>
      <w:pPr>
        <w:pStyle w:val="ListParagraph"/>
        <w:numPr>
          <w:ilvl w:val="0"/>
          <w:numId w:val="47"/>
        </w:numPr>
        <w:tabs>
          <w:tab w:pos="1506" w:val="left" w:leader="none"/>
        </w:tabs>
        <w:spacing w:line="242" w:lineRule="auto" w:before="1" w:after="0"/>
        <w:ind w:left="1505" w:right="906" w:hanging="737"/>
        <w:jc w:val="left"/>
        <w:rPr>
          <w:sz w:val="21"/>
        </w:rPr>
      </w:pPr>
      <w:r>
        <w:rPr>
          <w:spacing w:val="-3"/>
          <w:sz w:val="21"/>
        </w:rPr>
        <w:t>必须提供被保险人在所报事故发生后的 </w:t>
      </w:r>
      <w:r>
        <w:rPr>
          <w:sz w:val="21"/>
        </w:rPr>
        <w:t>5</w:t>
      </w:r>
      <w:r>
        <w:rPr>
          <w:spacing w:val="-7"/>
          <w:sz w:val="21"/>
        </w:rPr>
        <w:t> 天以内进行的检查报告，该报告必须显示被保险人</w:t>
      </w:r>
      <w:r>
        <w:rPr>
          <w:spacing w:val="-5"/>
          <w:sz w:val="21"/>
        </w:rPr>
        <w:t>血液 </w:t>
      </w:r>
      <w:r>
        <w:rPr>
          <w:sz w:val="21"/>
        </w:rPr>
        <w:t>HIV</w:t>
      </w:r>
      <w:r>
        <w:rPr>
          <w:spacing w:val="2"/>
          <w:sz w:val="21"/>
        </w:rPr>
        <w:t> 病毒阴性和/或</w:t>
      </w:r>
      <w:r>
        <w:rPr>
          <w:sz w:val="21"/>
        </w:rPr>
        <w:t>HIV</w:t>
      </w:r>
      <w:r>
        <w:rPr>
          <w:spacing w:val="-4"/>
          <w:sz w:val="21"/>
        </w:rPr>
        <w:t> 抗体阴性；</w:t>
      </w:r>
    </w:p>
    <w:p>
      <w:pPr>
        <w:pStyle w:val="ListParagraph"/>
        <w:numPr>
          <w:ilvl w:val="0"/>
          <w:numId w:val="47"/>
        </w:numPr>
        <w:tabs>
          <w:tab w:pos="1506" w:val="left" w:leader="none"/>
        </w:tabs>
        <w:spacing w:line="242" w:lineRule="auto" w:before="1" w:after="0"/>
        <w:ind w:left="1505" w:right="911" w:hanging="737"/>
        <w:jc w:val="left"/>
        <w:rPr>
          <w:sz w:val="21"/>
        </w:rPr>
      </w:pPr>
      <w:r>
        <w:rPr>
          <w:spacing w:val="-5"/>
          <w:sz w:val="21"/>
        </w:rPr>
        <w:t>必须在事故发生后的 </w:t>
      </w:r>
      <w:r>
        <w:rPr>
          <w:sz w:val="21"/>
        </w:rPr>
        <w:t>6</w:t>
      </w:r>
      <w:r>
        <w:rPr>
          <w:spacing w:val="-11"/>
          <w:sz w:val="21"/>
        </w:rPr>
        <w:t> 个月内证实被保险人体内存在 </w:t>
      </w:r>
      <w:r>
        <w:rPr>
          <w:sz w:val="21"/>
        </w:rPr>
        <w:t>HIV</w:t>
      </w:r>
      <w:r>
        <w:rPr>
          <w:spacing w:val="-21"/>
          <w:sz w:val="21"/>
        </w:rPr>
        <w:t> 病毒或 </w:t>
      </w:r>
      <w:r>
        <w:rPr>
          <w:sz w:val="21"/>
        </w:rPr>
        <w:t>HIV</w:t>
      </w:r>
      <w:r>
        <w:rPr>
          <w:spacing w:val="-15"/>
          <w:sz w:val="21"/>
        </w:rPr>
        <w:t> 抗体，即血液 </w:t>
      </w:r>
      <w:r>
        <w:rPr>
          <w:sz w:val="21"/>
        </w:rPr>
        <w:t>HIV</w:t>
      </w:r>
      <w:r>
        <w:rPr>
          <w:spacing w:val="-17"/>
          <w:sz w:val="21"/>
        </w:rPr>
        <w:t> 病毒</w:t>
      </w:r>
      <w:r>
        <w:rPr>
          <w:spacing w:val="-5"/>
          <w:sz w:val="21"/>
        </w:rPr>
        <w:t>阳性和/或 </w:t>
      </w:r>
      <w:r>
        <w:rPr>
          <w:sz w:val="21"/>
        </w:rPr>
        <w:t>HIV</w:t>
      </w:r>
      <w:r>
        <w:rPr>
          <w:spacing w:val="-5"/>
          <w:sz w:val="21"/>
        </w:rPr>
        <w:t> 抗体阳性。</w:t>
      </w:r>
    </w:p>
    <w:p>
      <w:pPr>
        <w:pStyle w:val="Heading2"/>
        <w:numPr>
          <w:ilvl w:val="0"/>
          <w:numId w:val="33"/>
        </w:numPr>
        <w:tabs>
          <w:tab w:pos="768" w:val="left" w:leader="none"/>
          <w:tab w:pos="769" w:val="left" w:leader="none"/>
        </w:tabs>
        <w:spacing w:line="364" w:lineRule="exact" w:before="102" w:after="0"/>
        <w:ind w:left="768" w:right="0" w:hanging="558"/>
        <w:jc w:val="left"/>
      </w:pPr>
      <w:r>
        <w:rPr>
          <w:spacing w:val="-2"/>
        </w:rPr>
        <w:t>重症肌无力</w:t>
      </w:r>
    </w:p>
    <w:p>
      <w:pPr>
        <w:pStyle w:val="BodyText"/>
        <w:spacing w:line="246" w:lineRule="exact"/>
      </w:pPr>
      <w:r>
        <w:rPr>
          <w:spacing w:val="-7"/>
        </w:rPr>
        <w:t>指一种神经与肌肉接头部位传递障碍的自身免疫性疾病，临床特征是局部或全身横纹肌于活动时易于</w:t>
      </w:r>
    </w:p>
    <w:p>
      <w:pPr>
        <w:pStyle w:val="BodyText"/>
        <w:spacing w:line="244" w:lineRule="auto" w:before="2"/>
        <w:ind w:right="911"/>
      </w:pPr>
      <w:r>
        <w:rPr>
          <w:spacing w:val="-2"/>
        </w:rPr>
        <w:t>疲劳无力，颅神经眼外肌最易累及，也可涉及呼吸肌、下肢近端肌群以至全身肌肉。经相关专科医生</w:t>
      </w:r>
      <w:r>
        <w:rPr>
          <w:spacing w:val="-2"/>
        </w:rPr>
        <w:t>明确诊断，且须满足下列全部条件：</w:t>
      </w:r>
    </w:p>
    <w:p>
      <w:pPr>
        <w:pStyle w:val="ListParagraph"/>
        <w:numPr>
          <w:ilvl w:val="0"/>
          <w:numId w:val="48"/>
        </w:numPr>
        <w:tabs>
          <w:tab w:pos="1506" w:val="left" w:leader="none"/>
        </w:tabs>
        <w:spacing w:line="266" w:lineRule="exact" w:before="0" w:after="0"/>
        <w:ind w:left="1505" w:right="0" w:hanging="738"/>
        <w:jc w:val="left"/>
        <w:rPr>
          <w:sz w:val="21"/>
        </w:rPr>
      </w:pPr>
      <w:r>
        <w:rPr>
          <w:spacing w:val="-3"/>
          <w:sz w:val="21"/>
        </w:rPr>
        <w:t>经药物治疗和胸腺手术治疗一年以上无法控制病情；</w:t>
      </w:r>
    </w:p>
    <w:p>
      <w:pPr>
        <w:pStyle w:val="ListParagraph"/>
        <w:numPr>
          <w:ilvl w:val="0"/>
          <w:numId w:val="48"/>
        </w:numPr>
        <w:tabs>
          <w:tab w:pos="1506" w:val="left" w:leader="none"/>
        </w:tabs>
        <w:spacing w:line="240" w:lineRule="auto" w:before="5" w:after="0"/>
        <w:ind w:left="1505" w:right="0" w:hanging="738"/>
        <w:jc w:val="left"/>
        <w:rPr>
          <w:sz w:val="21"/>
        </w:rPr>
      </w:pPr>
      <w:r>
        <w:rPr>
          <w:spacing w:val="-3"/>
          <w:sz w:val="21"/>
        </w:rPr>
        <w:t>自主生活能力完全丧失，无法独立完成六项基本日常生活活动中的三项或三项以上。</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2"/>
        </w:rPr>
        <w:t>严重类风湿性关节炎</w:t>
      </w:r>
    </w:p>
    <w:p>
      <w:pPr>
        <w:pStyle w:val="BodyText"/>
        <w:spacing w:line="246" w:lineRule="exact"/>
      </w:pPr>
      <w:r>
        <w:rPr>
          <w:spacing w:val="-4"/>
        </w:rPr>
        <w:t>指广泛分布的慢性进行性多关节病变，表现为关节严重变形，侵犯至少三个主要关节（</w:t>
      </w:r>
      <w:r>
        <w:rPr>
          <w:spacing w:val="-5"/>
        </w:rPr>
        <w:t>腕关节、肘关</w:t>
      </w:r>
    </w:p>
    <w:p>
      <w:pPr>
        <w:pStyle w:val="BodyText"/>
        <w:spacing w:line="242" w:lineRule="auto" w:before="2"/>
        <w:ind w:right="911"/>
        <w:jc w:val="both"/>
      </w:pPr>
      <w:r>
        <w:rPr>
          <w:spacing w:val="-2"/>
        </w:rPr>
        <w:t>节、肩关节、踝关节、膝关节、髋关节）或关节组（如手的多个指间、掌指关节，足的多个足趾、跖</w:t>
      </w:r>
      <w:r>
        <w:rPr>
          <w:spacing w:val="-2"/>
        </w:rPr>
        <w:t>趾关节等</w:t>
      </w:r>
      <w:r>
        <w:rPr>
          <w:spacing w:val="-104"/>
        </w:rPr>
        <w:t>）</w:t>
      </w:r>
      <w:r>
        <w:rPr>
          <w:spacing w:val="-2"/>
        </w:rPr>
        <w:t>，经相关专科医生明确诊断，并已达到类风湿性关节炎功能分级Ⅳ级的永久不可逆性关节</w:t>
      </w:r>
      <w:r>
        <w:rPr>
          <w:spacing w:val="-2"/>
        </w:rPr>
        <w:t>功能障碍，且须满足下列全部条件：</w:t>
      </w:r>
    </w:p>
    <w:p>
      <w:pPr>
        <w:pStyle w:val="ListParagraph"/>
        <w:numPr>
          <w:ilvl w:val="0"/>
          <w:numId w:val="49"/>
        </w:numPr>
        <w:tabs>
          <w:tab w:pos="1506" w:val="left" w:leader="none"/>
        </w:tabs>
        <w:spacing w:line="240" w:lineRule="auto" w:before="1" w:after="0"/>
        <w:ind w:left="1505" w:right="0" w:hanging="738"/>
        <w:jc w:val="left"/>
        <w:rPr>
          <w:sz w:val="21"/>
        </w:rPr>
      </w:pPr>
      <w:r>
        <w:rPr>
          <w:spacing w:val="-4"/>
          <w:sz w:val="21"/>
        </w:rPr>
        <w:t>晨僵；</w:t>
      </w:r>
    </w:p>
    <w:p>
      <w:pPr>
        <w:pStyle w:val="ListParagraph"/>
        <w:numPr>
          <w:ilvl w:val="0"/>
          <w:numId w:val="49"/>
        </w:numPr>
        <w:tabs>
          <w:tab w:pos="1506" w:val="left" w:leader="none"/>
        </w:tabs>
        <w:spacing w:line="240" w:lineRule="auto" w:before="5" w:after="0"/>
        <w:ind w:left="1505" w:right="0" w:hanging="738"/>
        <w:jc w:val="left"/>
        <w:rPr>
          <w:sz w:val="21"/>
        </w:rPr>
      </w:pPr>
      <w:r>
        <w:rPr>
          <w:spacing w:val="-4"/>
          <w:sz w:val="21"/>
        </w:rPr>
        <w:t>对称性关节炎；</w:t>
      </w:r>
    </w:p>
    <w:p>
      <w:pPr>
        <w:pStyle w:val="ListParagraph"/>
        <w:numPr>
          <w:ilvl w:val="0"/>
          <w:numId w:val="49"/>
        </w:numPr>
        <w:tabs>
          <w:tab w:pos="1506" w:val="left" w:leader="none"/>
        </w:tabs>
        <w:spacing w:line="240" w:lineRule="auto" w:before="2" w:after="0"/>
        <w:ind w:left="1505" w:right="0" w:hanging="738"/>
        <w:jc w:val="left"/>
        <w:rPr>
          <w:sz w:val="21"/>
        </w:rPr>
      </w:pPr>
      <w:r>
        <w:rPr>
          <w:spacing w:val="-3"/>
          <w:sz w:val="21"/>
        </w:rPr>
        <w:t>类风湿性皮下结节；</w:t>
      </w:r>
    </w:p>
    <w:p>
      <w:pPr>
        <w:pStyle w:val="ListParagraph"/>
        <w:numPr>
          <w:ilvl w:val="0"/>
          <w:numId w:val="49"/>
        </w:numPr>
        <w:tabs>
          <w:tab w:pos="1506" w:val="left" w:leader="none"/>
        </w:tabs>
        <w:spacing w:line="240" w:lineRule="auto" w:before="4" w:after="0"/>
        <w:ind w:left="1505" w:right="0" w:hanging="738"/>
        <w:jc w:val="left"/>
        <w:rPr>
          <w:sz w:val="21"/>
        </w:rPr>
      </w:pPr>
      <w:r>
        <w:rPr>
          <w:spacing w:val="-3"/>
          <w:sz w:val="21"/>
        </w:rPr>
        <w:t>类风湿因子滴度升高；</w:t>
      </w:r>
    </w:p>
    <w:p>
      <w:pPr>
        <w:pStyle w:val="ListParagraph"/>
        <w:numPr>
          <w:ilvl w:val="0"/>
          <w:numId w:val="49"/>
        </w:numPr>
        <w:tabs>
          <w:tab w:pos="1506" w:val="left" w:leader="none"/>
        </w:tabs>
        <w:spacing w:line="240" w:lineRule="auto" w:before="3" w:after="0"/>
        <w:ind w:left="1505" w:right="0" w:hanging="738"/>
        <w:jc w:val="left"/>
        <w:rPr>
          <w:sz w:val="21"/>
        </w:rPr>
      </w:pPr>
      <w:r>
        <w:rPr>
          <w:spacing w:val="-2"/>
          <w:sz w:val="21"/>
        </w:rPr>
        <w:t>X</w:t>
      </w:r>
      <w:r>
        <w:rPr>
          <w:spacing w:val="-9"/>
          <w:sz w:val="21"/>
        </w:rPr>
        <w:t> 线显示严重的关节</w:t>
      </w:r>
      <w:r>
        <w:rPr>
          <w:spacing w:val="-2"/>
          <w:sz w:val="21"/>
        </w:rPr>
        <w:t>（软骨和骨）</w:t>
      </w:r>
      <w:r>
        <w:rPr>
          <w:spacing w:val="-3"/>
          <w:sz w:val="21"/>
        </w:rPr>
        <w:t>破坏和关节畸形。</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2"/>
        </w:rPr>
        <w:t>脊髓灰质炎</w:t>
      </w:r>
    </w:p>
    <w:p>
      <w:pPr>
        <w:pStyle w:val="BodyText"/>
        <w:spacing w:line="245" w:lineRule="exact"/>
      </w:pPr>
      <w:r>
        <w:rPr>
          <w:spacing w:val="-3"/>
        </w:rPr>
        <w:t>指由于脊髓灰质炎病毒感染所致的瘫痪性疾病，临床表现为运动功能损害或呼吸无力。</w:t>
      </w:r>
    </w:p>
    <w:p>
      <w:pPr>
        <w:pStyle w:val="BodyText"/>
        <w:spacing w:before="4"/>
      </w:pPr>
      <w:r>
        <w:rPr>
          <w:spacing w:val="-2"/>
        </w:rPr>
        <w:t>经相关专科医生明确诊断，且疾病已经导致被保险人一肢（含）</w:t>
      </w:r>
      <w:r>
        <w:rPr>
          <w:spacing w:val="-8"/>
        </w:rPr>
        <w:t>以上肢体肌力 </w:t>
      </w:r>
      <w:r>
        <w:rPr>
          <w:spacing w:val="-2"/>
        </w:rPr>
        <w:t>2</w:t>
      </w:r>
      <w:r>
        <w:rPr>
          <w:spacing w:val="-21"/>
        </w:rPr>
        <w:t> 级</w:t>
      </w:r>
      <w:r>
        <w:rPr>
          <w:spacing w:val="-2"/>
        </w:rPr>
        <w:t>（含）</w:t>
      </w:r>
      <w:r>
        <w:rPr>
          <w:spacing w:val="-5"/>
        </w:rPr>
        <w:t>以下。</w:t>
      </w:r>
    </w:p>
    <w:p>
      <w:pPr>
        <w:pStyle w:val="Heading2"/>
        <w:numPr>
          <w:ilvl w:val="0"/>
          <w:numId w:val="33"/>
        </w:numPr>
        <w:tabs>
          <w:tab w:pos="768" w:val="left" w:leader="none"/>
          <w:tab w:pos="769" w:val="left" w:leader="none"/>
        </w:tabs>
        <w:spacing w:line="363" w:lineRule="exact" w:before="106" w:after="0"/>
        <w:ind w:left="768" w:right="0" w:hanging="558"/>
        <w:jc w:val="left"/>
      </w:pPr>
      <w:r>
        <w:rPr>
          <w:spacing w:val="-3"/>
        </w:rPr>
        <w:t>经输血导致的感染艾滋病病毒或患艾滋病</w:t>
      </w:r>
    </w:p>
    <w:p>
      <w:pPr>
        <w:pStyle w:val="BodyText"/>
        <w:spacing w:line="245" w:lineRule="exact"/>
        <w:ind w:left="763"/>
      </w:pPr>
      <w:r>
        <w:rPr>
          <w:spacing w:val="-3"/>
        </w:rPr>
        <w:t>指被保险人感染艾滋病病毒或患艾滋病，且须满足下列全部条件：</w:t>
      </w:r>
    </w:p>
    <w:p>
      <w:pPr>
        <w:pStyle w:val="ListParagraph"/>
        <w:numPr>
          <w:ilvl w:val="0"/>
          <w:numId w:val="50"/>
        </w:numPr>
        <w:tabs>
          <w:tab w:pos="1506" w:val="left" w:leader="none"/>
        </w:tabs>
        <w:spacing w:line="240" w:lineRule="auto" w:before="4" w:after="0"/>
        <w:ind w:left="1505" w:right="0" w:hanging="738"/>
        <w:jc w:val="left"/>
        <w:rPr>
          <w:sz w:val="21"/>
        </w:rPr>
      </w:pPr>
      <w:r>
        <w:rPr>
          <w:spacing w:val="-3"/>
          <w:sz w:val="21"/>
        </w:rPr>
        <w:t>在保险责任起始日或复效日之后因输血而感染；</w:t>
      </w:r>
    </w:p>
    <w:p>
      <w:pPr>
        <w:pStyle w:val="ListParagraph"/>
        <w:numPr>
          <w:ilvl w:val="0"/>
          <w:numId w:val="50"/>
        </w:numPr>
        <w:tabs>
          <w:tab w:pos="1506" w:val="left" w:leader="none"/>
        </w:tabs>
        <w:spacing w:line="244" w:lineRule="auto" w:before="2" w:after="0"/>
        <w:ind w:left="1505" w:right="907" w:hanging="737"/>
        <w:jc w:val="left"/>
        <w:rPr>
          <w:sz w:val="21"/>
        </w:rPr>
      </w:pPr>
      <w:r>
        <w:rPr>
          <w:spacing w:val="-2"/>
          <w:sz w:val="21"/>
        </w:rPr>
        <w:t>提供输血治疗的输血中心或医院出具的该项输血感染属医疗事故的报告，或法院确认被保险</w:t>
      </w:r>
      <w:r>
        <w:rPr>
          <w:spacing w:val="-2"/>
          <w:sz w:val="21"/>
        </w:rPr>
        <w:t>人系因输血导致感染艾滋病病毒或患艾滋病的生效判决；</w:t>
      </w:r>
    </w:p>
    <w:p>
      <w:pPr>
        <w:pStyle w:val="ListParagraph"/>
        <w:numPr>
          <w:ilvl w:val="0"/>
          <w:numId w:val="50"/>
        </w:numPr>
        <w:tabs>
          <w:tab w:pos="1506" w:val="left" w:leader="none"/>
        </w:tabs>
        <w:spacing w:line="265" w:lineRule="exact" w:before="0" w:after="0"/>
        <w:ind w:left="1505" w:right="0" w:hanging="738"/>
        <w:jc w:val="left"/>
        <w:rPr>
          <w:sz w:val="21"/>
        </w:rPr>
      </w:pPr>
      <w:r>
        <w:rPr>
          <w:spacing w:val="-3"/>
          <w:sz w:val="21"/>
        </w:rPr>
        <w:t>受感染的被保险人不是血友病患者。</w:t>
      </w:r>
    </w:p>
    <w:p>
      <w:pPr>
        <w:pStyle w:val="BodyText"/>
        <w:spacing w:line="242" w:lineRule="auto" w:before="5"/>
        <w:ind w:left="763" w:right="911"/>
      </w:pPr>
      <w:r>
        <w:rPr>
          <w:spacing w:val="-3"/>
          <w:w w:val="100"/>
        </w:rPr>
        <w:t>本公司具有获得和使用被保险人的所有血液样本的权利以及能够对这些样本进行独立检验的权利。</w:t>
      </w:r>
      <w:r>
        <w:rPr>
          <w:spacing w:val="-6"/>
          <w:w w:val="100"/>
        </w:rPr>
        <w:t>任何因其他传播方式</w:t>
      </w:r>
      <w:r>
        <w:rPr>
          <w:spacing w:val="-3"/>
          <w:w w:val="100"/>
        </w:rPr>
        <w:t>（</w:t>
      </w:r>
      <w:r>
        <w:rPr>
          <w:spacing w:val="-7"/>
          <w:w w:val="100"/>
        </w:rPr>
        <w:t>包括：性传播或静脉注射毒品</w:t>
      </w:r>
      <w:r>
        <w:rPr>
          <w:spacing w:val="-27"/>
          <w:w w:val="100"/>
        </w:rPr>
        <w:t>）</w:t>
      </w:r>
      <w:r>
        <w:rPr>
          <w:spacing w:val="-3"/>
          <w:w w:val="100"/>
        </w:rPr>
        <w:t>导致感染艾滋病病毒或患艾滋病不在保障范围内。</w:t>
      </w:r>
    </w:p>
    <w:p>
      <w:pPr>
        <w:pStyle w:val="Heading2"/>
        <w:numPr>
          <w:ilvl w:val="0"/>
          <w:numId w:val="33"/>
        </w:numPr>
        <w:tabs>
          <w:tab w:pos="768" w:val="left" w:leader="none"/>
          <w:tab w:pos="769" w:val="left" w:leader="none"/>
        </w:tabs>
        <w:spacing w:line="240" w:lineRule="auto" w:before="104" w:after="0"/>
        <w:ind w:left="768" w:right="0" w:hanging="558"/>
        <w:jc w:val="left"/>
      </w:pPr>
      <w:r>
        <w:rPr>
          <w:spacing w:val="-2"/>
        </w:rPr>
        <w:t>肌营养不良症</w:t>
      </w:r>
    </w:p>
    <w:p>
      <w:pPr>
        <w:pStyle w:val="BodyText"/>
        <w:spacing w:before="14"/>
      </w:pPr>
      <w:r>
        <w:rPr>
          <w:spacing w:val="-13"/>
        </w:rPr>
        <w:t>指一组遗传性肌肉变性病变，临床特征为与神经系统无关的肌肉无力和萎缩。且须满足下列全部条件：</w:t>
      </w:r>
    </w:p>
    <w:p>
      <w:pPr>
        <w:pStyle w:val="ListParagraph"/>
        <w:numPr>
          <w:ilvl w:val="0"/>
          <w:numId w:val="51"/>
        </w:numPr>
        <w:tabs>
          <w:tab w:pos="1506" w:val="left" w:leader="none"/>
        </w:tabs>
        <w:spacing w:line="240" w:lineRule="auto" w:before="2" w:after="0"/>
        <w:ind w:left="1505" w:right="0" w:hanging="738"/>
        <w:jc w:val="left"/>
        <w:rPr>
          <w:sz w:val="21"/>
        </w:rPr>
      </w:pPr>
      <w:r>
        <w:rPr>
          <w:spacing w:val="-3"/>
          <w:sz w:val="21"/>
        </w:rPr>
        <w:t>肌电图显示典型肌营养不良症的阳性改变；</w:t>
      </w:r>
    </w:p>
    <w:p>
      <w:pPr>
        <w:pStyle w:val="ListParagraph"/>
        <w:numPr>
          <w:ilvl w:val="0"/>
          <w:numId w:val="51"/>
        </w:numPr>
        <w:tabs>
          <w:tab w:pos="1506" w:val="left" w:leader="none"/>
        </w:tabs>
        <w:spacing w:line="240" w:lineRule="auto" w:before="5" w:after="0"/>
        <w:ind w:left="1505" w:right="0" w:hanging="738"/>
        <w:jc w:val="left"/>
        <w:rPr>
          <w:sz w:val="21"/>
        </w:rPr>
      </w:pPr>
      <w:r>
        <w:rPr>
          <w:spacing w:val="-3"/>
          <w:sz w:val="21"/>
        </w:rPr>
        <w:t>肌肉活检的病理学诊断符合肌营养不良症的肌肉细胞变性、坏死等阳性改变；</w:t>
      </w:r>
    </w:p>
    <w:p>
      <w:pPr>
        <w:pStyle w:val="ListParagraph"/>
        <w:numPr>
          <w:ilvl w:val="0"/>
          <w:numId w:val="51"/>
        </w:numPr>
        <w:tabs>
          <w:tab w:pos="1506" w:val="left" w:leader="none"/>
        </w:tabs>
        <w:spacing w:line="240" w:lineRule="auto" w:before="2" w:after="0"/>
        <w:ind w:left="1505" w:right="0" w:hanging="738"/>
        <w:jc w:val="left"/>
        <w:rPr>
          <w:sz w:val="21"/>
        </w:rPr>
      </w:pPr>
      <w:r>
        <w:rPr>
          <w:spacing w:val="-3"/>
          <w:sz w:val="21"/>
        </w:rPr>
        <w:t>已导致被保险人无法独立完成六项基本日常生活活动中的三项或三项以上。</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3"/>
        </w:rPr>
        <w:t>破裂脑动脉瘤夹闭手术</w:t>
      </w:r>
    </w:p>
    <w:p>
      <w:pPr>
        <w:pStyle w:val="BodyText"/>
        <w:spacing w:line="246" w:lineRule="exact"/>
      </w:pPr>
      <w:r>
        <w:rPr>
          <w:spacing w:val="-3"/>
        </w:rPr>
        <w:t>指因脑动脉瘤破裂造成蛛网膜下腔出血，被保险人已经实施了在全麻下进行的开颅动脉瘤夹闭手术。</w:t>
      </w:r>
    </w:p>
    <w:p>
      <w:pPr>
        <w:pStyle w:val="BodyText"/>
        <w:spacing w:line="244" w:lineRule="auto" w:before="2"/>
        <w:ind w:right="907"/>
      </w:pPr>
      <w:r>
        <w:rPr>
          <w:spacing w:val="-2"/>
        </w:rPr>
        <w:t>脑动脉瘤（未破裂）预防性手术、颅骨打孔手术、动脉瘤栓塞手术、血管内手术及其他颅脑手术不在</w:t>
      </w:r>
      <w:r>
        <w:rPr>
          <w:spacing w:val="-2"/>
        </w:rPr>
        <w:t>保障范围内。</w:t>
      </w:r>
    </w:p>
    <w:p>
      <w:pPr>
        <w:spacing w:after="0" w:line="244" w:lineRule="auto"/>
        <w:sectPr>
          <w:pgSz w:w="11910" w:h="16840"/>
          <w:pgMar w:header="0" w:footer="574" w:top="1060" w:bottom="760" w:left="720" w:right="340"/>
        </w:sectPr>
      </w:pPr>
    </w:p>
    <w:p>
      <w:pPr>
        <w:pStyle w:val="Heading2"/>
        <w:numPr>
          <w:ilvl w:val="0"/>
          <w:numId w:val="33"/>
        </w:numPr>
        <w:tabs>
          <w:tab w:pos="768" w:val="left" w:leader="none"/>
          <w:tab w:pos="769" w:val="left" w:leader="none"/>
        </w:tabs>
        <w:spacing w:line="352" w:lineRule="exact" w:before="0" w:after="0"/>
        <w:ind w:left="768" w:right="0" w:hanging="558"/>
        <w:jc w:val="left"/>
      </w:pPr>
      <w:r>
        <w:rPr>
          <w:spacing w:val="-2"/>
        </w:rPr>
        <w:t>严重系统性硬皮病</w:t>
      </w:r>
    </w:p>
    <w:p>
      <w:pPr>
        <w:pStyle w:val="BodyText"/>
        <w:spacing w:line="246" w:lineRule="exact"/>
      </w:pPr>
      <w:r>
        <w:rPr>
          <w:spacing w:val="-5"/>
        </w:rPr>
        <w:t>指一种以皮肤及各系统胶原纤维化为特征的结缔组织疾病。经相关专科医生明确诊断，且须满足下列</w:t>
      </w:r>
    </w:p>
    <w:p>
      <w:pPr>
        <w:pStyle w:val="BodyText"/>
        <w:spacing w:before="2"/>
      </w:pPr>
      <w:r>
        <w:rPr>
          <w:spacing w:val="-4"/>
        </w:rPr>
        <w:t>全部条件：</w:t>
      </w:r>
    </w:p>
    <w:p>
      <w:pPr>
        <w:pStyle w:val="ListParagraph"/>
        <w:numPr>
          <w:ilvl w:val="0"/>
          <w:numId w:val="52"/>
        </w:numPr>
        <w:tabs>
          <w:tab w:pos="1506" w:val="left" w:leader="none"/>
        </w:tabs>
        <w:spacing w:line="240" w:lineRule="auto" w:before="5" w:after="0"/>
        <w:ind w:left="1505" w:right="0" w:hanging="738"/>
        <w:jc w:val="left"/>
        <w:rPr>
          <w:sz w:val="21"/>
        </w:rPr>
      </w:pPr>
      <w:r>
        <w:rPr>
          <w:spacing w:val="-3"/>
          <w:sz w:val="21"/>
        </w:rPr>
        <w:t>明确的病理活检及自身抗体免疫血清学证据；</w:t>
      </w:r>
    </w:p>
    <w:p>
      <w:pPr>
        <w:pStyle w:val="ListParagraph"/>
        <w:numPr>
          <w:ilvl w:val="0"/>
          <w:numId w:val="52"/>
        </w:numPr>
        <w:tabs>
          <w:tab w:pos="1506" w:val="left" w:leader="none"/>
        </w:tabs>
        <w:spacing w:line="240" w:lineRule="auto" w:before="2" w:after="0"/>
        <w:ind w:left="1505" w:right="0" w:hanging="738"/>
        <w:jc w:val="left"/>
        <w:rPr>
          <w:sz w:val="21"/>
        </w:rPr>
      </w:pPr>
      <w:r>
        <w:rPr>
          <w:spacing w:val="-3"/>
          <w:sz w:val="21"/>
        </w:rPr>
        <w:t>疾病已经影响到肺脏、心脏或肾脏等内脏器官，且满足下列至少一项条件：</w:t>
      </w:r>
    </w:p>
    <w:p>
      <w:pPr>
        <w:pStyle w:val="BodyText"/>
        <w:spacing w:before="4"/>
        <w:ind w:left="1505"/>
      </w:pPr>
      <w:r>
        <w:rPr>
          <w:spacing w:val="-3"/>
        </w:rPr>
        <w:t>①肺脏：已造成肺脏纤维化，并同时出现肺动脉高压和肺心病；</w:t>
      </w:r>
    </w:p>
    <w:p>
      <w:pPr>
        <w:pStyle w:val="BodyText"/>
        <w:spacing w:line="244" w:lineRule="auto" w:before="3"/>
        <w:ind w:left="2342" w:right="800" w:hanging="840"/>
      </w:pPr>
      <w:r>
        <w:rPr/>
        <w:t>②心脏：心脏功能衰竭程度达到美国纽约心脏病学会（New</w:t>
      </w:r>
      <w:r>
        <w:rPr>
          <w:spacing w:val="-27"/>
        </w:rPr>
        <w:t> </w:t>
      </w:r>
      <w:r>
        <w:rPr/>
        <w:t>York</w:t>
      </w:r>
      <w:r>
        <w:rPr>
          <w:spacing w:val="-26"/>
        </w:rPr>
        <w:t> </w:t>
      </w:r>
      <w:r>
        <w:rPr/>
        <w:t>Heart</w:t>
      </w:r>
      <w:r>
        <w:rPr>
          <w:spacing w:val="-26"/>
        </w:rPr>
        <w:t> </w:t>
      </w:r>
      <w:r>
        <w:rPr/>
        <w:t>Association，NYHA）</w:t>
      </w:r>
      <w:r>
        <w:rPr>
          <w:spacing w:val="-2"/>
        </w:rPr>
        <w:t>心功能状态分级Ⅳ级；</w:t>
      </w:r>
    </w:p>
    <w:p>
      <w:pPr>
        <w:pStyle w:val="BodyText"/>
        <w:spacing w:line="265" w:lineRule="exact"/>
        <w:ind w:left="1505"/>
      </w:pPr>
      <w:r>
        <w:rPr>
          <w:spacing w:val="-3"/>
        </w:rPr>
        <w:t>③肾脏：肾脏受损导致双肾功能慢性不可逆衰竭，达到尿毒症期。</w:t>
      </w:r>
    </w:p>
    <w:p>
      <w:pPr>
        <w:pStyle w:val="BodyText"/>
        <w:spacing w:before="4"/>
      </w:pPr>
      <w:r>
        <w:rPr>
          <w:spacing w:val="-5"/>
        </w:rPr>
        <w:t>局限性硬皮病、嗜酸细胞筋膜炎和 </w:t>
      </w:r>
      <w:r>
        <w:rPr>
          <w:spacing w:val="-2"/>
        </w:rPr>
        <w:t>CREST</w:t>
      </w:r>
      <w:r>
        <w:rPr>
          <w:spacing w:val="-10"/>
        </w:rPr>
        <w:t> 综合征不在保障范围内。</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2"/>
        </w:rPr>
        <w:t>严重冠心病</w:t>
      </w:r>
    </w:p>
    <w:p>
      <w:pPr>
        <w:pStyle w:val="BodyText"/>
        <w:spacing w:line="246" w:lineRule="exact"/>
      </w:pPr>
      <w:r>
        <w:rPr>
          <w:spacing w:val="-1"/>
        </w:rPr>
        <w:t>指经冠状动脉造影检查结果明确诊断为三支主要血管严重狭窄性病变，至少一支血管管腔直径减少</w:t>
      </w:r>
    </w:p>
    <w:p>
      <w:pPr>
        <w:pStyle w:val="BodyText"/>
        <w:spacing w:before="3"/>
      </w:pPr>
      <w:r>
        <w:rPr>
          <w:spacing w:val="-2"/>
        </w:rPr>
        <w:t>75％</w:t>
      </w:r>
      <w:r>
        <w:rPr>
          <w:spacing w:val="-5"/>
        </w:rPr>
        <w:t>以上和其他两支血管管腔直径减少 </w:t>
      </w:r>
      <w:r>
        <w:rPr>
          <w:spacing w:val="-2"/>
        </w:rPr>
        <w:t>60</w:t>
      </w:r>
      <w:r>
        <w:rPr>
          <w:spacing w:val="-4"/>
        </w:rPr>
        <w:t>％以上。</w:t>
      </w:r>
    </w:p>
    <w:p>
      <w:pPr>
        <w:pStyle w:val="BodyText"/>
        <w:spacing w:before="4"/>
      </w:pPr>
      <w:r>
        <w:rPr>
          <w:spacing w:val="-3"/>
        </w:rPr>
        <w:t>冠状动脉的主要血管指左冠状动脉主干、前降支、左旋支及右冠状动脉。</w:t>
      </w:r>
    </w:p>
    <w:p>
      <w:pPr>
        <w:pStyle w:val="BodyText"/>
        <w:spacing w:before="2"/>
      </w:pPr>
      <w:r>
        <w:rPr>
          <w:spacing w:val="-3"/>
        </w:rPr>
        <w:t>前降支、左旋支及右冠状动脉的分支血管的狭窄不在保障范围内。</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3"/>
        </w:rPr>
        <w:t>严重慢性复发性胰腺炎</w:t>
      </w:r>
    </w:p>
    <w:p>
      <w:pPr>
        <w:pStyle w:val="BodyText"/>
        <w:spacing w:line="246" w:lineRule="exact"/>
      </w:pPr>
      <w:r>
        <w:rPr>
          <w:spacing w:val="-5"/>
        </w:rPr>
        <w:t>指慢性反复发作的胰腺炎症导致胰腺的广泛纤维化、坏死、弥漫性钙化及假性囊肿形成，造成胰腺功</w:t>
      </w:r>
    </w:p>
    <w:p>
      <w:pPr>
        <w:pStyle w:val="BodyText"/>
        <w:spacing w:before="2"/>
      </w:pPr>
      <w:r>
        <w:rPr>
          <w:spacing w:val="-3"/>
        </w:rPr>
        <w:t>能障碍出现严重糖尿病或营养不良。必须满足下列全部条件：</w:t>
      </w:r>
    </w:p>
    <w:p>
      <w:pPr>
        <w:pStyle w:val="ListParagraph"/>
        <w:numPr>
          <w:ilvl w:val="0"/>
          <w:numId w:val="53"/>
        </w:numPr>
        <w:tabs>
          <w:tab w:pos="1506" w:val="left" w:leader="none"/>
        </w:tabs>
        <w:spacing w:line="240" w:lineRule="auto" w:before="5" w:after="0"/>
        <w:ind w:left="1505" w:right="0" w:hanging="738"/>
        <w:jc w:val="left"/>
        <w:rPr>
          <w:sz w:val="21"/>
        </w:rPr>
      </w:pPr>
      <w:r>
        <w:rPr>
          <w:spacing w:val="-3"/>
          <w:sz w:val="21"/>
        </w:rPr>
        <w:t>医疗记录证实存在慢性胰腺炎反复急性发作病史；</w:t>
      </w:r>
    </w:p>
    <w:p>
      <w:pPr>
        <w:pStyle w:val="ListParagraph"/>
        <w:numPr>
          <w:ilvl w:val="0"/>
          <w:numId w:val="53"/>
        </w:numPr>
        <w:tabs>
          <w:tab w:pos="1506" w:val="left" w:leader="none"/>
        </w:tabs>
        <w:spacing w:line="240" w:lineRule="auto" w:before="2" w:after="0"/>
        <w:ind w:left="1505" w:right="0" w:hanging="738"/>
        <w:jc w:val="left"/>
        <w:rPr>
          <w:sz w:val="21"/>
        </w:rPr>
      </w:pPr>
      <w:r>
        <w:rPr>
          <w:spacing w:val="-2"/>
          <w:sz w:val="21"/>
        </w:rPr>
        <w:t>CT</w:t>
      </w:r>
      <w:r>
        <w:rPr>
          <w:spacing w:val="-8"/>
          <w:sz w:val="21"/>
        </w:rPr>
        <w:t> 检查证实胰腺存在广泛钙化或逆行胰胆管造影</w:t>
      </w:r>
      <w:r>
        <w:rPr>
          <w:spacing w:val="-2"/>
          <w:sz w:val="21"/>
        </w:rPr>
        <w:t>（ERCP）</w:t>
      </w:r>
      <w:r>
        <w:rPr>
          <w:spacing w:val="-3"/>
          <w:sz w:val="21"/>
        </w:rPr>
        <w:t>显示胰管扭曲、扩张和狭窄；</w:t>
      </w:r>
    </w:p>
    <w:p>
      <w:pPr>
        <w:pStyle w:val="ListParagraph"/>
        <w:numPr>
          <w:ilvl w:val="0"/>
          <w:numId w:val="53"/>
        </w:numPr>
        <w:tabs>
          <w:tab w:pos="1506" w:val="left" w:leader="none"/>
        </w:tabs>
        <w:spacing w:line="240" w:lineRule="auto" w:before="5" w:after="0"/>
        <w:ind w:left="1505" w:right="0" w:hanging="738"/>
        <w:jc w:val="left"/>
        <w:rPr>
          <w:sz w:val="21"/>
        </w:rPr>
      </w:pPr>
      <w:r>
        <w:rPr>
          <w:spacing w:val="-3"/>
          <w:sz w:val="21"/>
        </w:rPr>
        <w:t>必须接受酶替代或胰岛素替代治疗六个月以上。</w:t>
      </w:r>
    </w:p>
    <w:p>
      <w:pPr>
        <w:pStyle w:val="BodyText"/>
        <w:spacing w:before="2"/>
      </w:pPr>
      <w:r>
        <w:rPr>
          <w:spacing w:val="-3"/>
        </w:rPr>
        <w:t>酒精导致的慢性复发性胰腺炎不在保障范围内。</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2"/>
        </w:rPr>
        <w:t>持续植物人状态</w:t>
      </w:r>
    </w:p>
    <w:p>
      <w:pPr>
        <w:pStyle w:val="BodyText"/>
        <w:spacing w:line="246" w:lineRule="exact"/>
        <w:ind w:left="761"/>
      </w:pPr>
      <w:r>
        <w:rPr>
          <w:spacing w:val="-3"/>
        </w:rPr>
        <w:t>指因疾病或意外伤害导致被保险人躯体反射和自主反射全部丧失的深昏迷，但呼吸和心跳是正常的，</w:t>
      </w:r>
    </w:p>
    <w:p>
      <w:pPr>
        <w:pStyle w:val="BodyText"/>
        <w:spacing w:before="2"/>
      </w:pPr>
      <w:r>
        <w:rPr>
          <w:spacing w:val="-3"/>
        </w:rPr>
        <w:t>经相关专科医生明确诊断，且须满足下列全部条件：</w:t>
      </w:r>
    </w:p>
    <w:p>
      <w:pPr>
        <w:pStyle w:val="ListParagraph"/>
        <w:numPr>
          <w:ilvl w:val="0"/>
          <w:numId w:val="54"/>
        </w:numPr>
        <w:tabs>
          <w:tab w:pos="1506" w:val="left" w:leader="none"/>
        </w:tabs>
        <w:spacing w:line="240" w:lineRule="auto" w:before="5" w:after="0"/>
        <w:ind w:left="1505" w:right="0" w:hanging="738"/>
        <w:jc w:val="left"/>
        <w:rPr>
          <w:sz w:val="21"/>
        </w:rPr>
      </w:pPr>
      <w:r>
        <w:rPr>
          <w:spacing w:val="-5"/>
          <w:sz w:val="21"/>
        </w:rPr>
        <w:t>诊断为植物人状态后并继续维持治疗 </w:t>
      </w:r>
      <w:r>
        <w:rPr>
          <w:spacing w:val="-2"/>
          <w:sz w:val="21"/>
        </w:rPr>
        <w:t>30</w:t>
      </w:r>
      <w:r>
        <w:rPr>
          <w:spacing w:val="-14"/>
          <w:sz w:val="21"/>
        </w:rPr>
        <w:t> 天以上；</w:t>
      </w:r>
    </w:p>
    <w:p>
      <w:pPr>
        <w:pStyle w:val="ListParagraph"/>
        <w:numPr>
          <w:ilvl w:val="0"/>
          <w:numId w:val="54"/>
        </w:numPr>
        <w:tabs>
          <w:tab w:pos="1506" w:val="left" w:leader="none"/>
        </w:tabs>
        <w:spacing w:line="240" w:lineRule="auto" w:before="2" w:after="0"/>
        <w:ind w:left="1505" w:right="0" w:hanging="738"/>
        <w:jc w:val="left"/>
        <w:rPr>
          <w:sz w:val="21"/>
        </w:rPr>
      </w:pPr>
      <w:r>
        <w:rPr>
          <w:spacing w:val="-18"/>
          <w:sz w:val="21"/>
        </w:rPr>
        <w:t>治疗 </w:t>
      </w:r>
      <w:r>
        <w:rPr>
          <w:spacing w:val="-2"/>
          <w:sz w:val="21"/>
        </w:rPr>
        <w:t>30</w:t>
      </w:r>
      <w:r>
        <w:rPr>
          <w:spacing w:val="-9"/>
          <w:sz w:val="21"/>
        </w:rPr>
        <w:t> 天前后的脑电图检查均为等电位</w:t>
      </w:r>
      <w:r>
        <w:rPr>
          <w:spacing w:val="-2"/>
          <w:sz w:val="21"/>
        </w:rPr>
        <w:t>（完全平坦</w:t>
      </w:r>
      <w:r>
        <w:rPr>
          <w:spacing w:val="-108"/>
          <w:sz w:val="21"/>
        </w:rPr>
        <w:t>）</w:t>
      </w:r>
      <w:r>
        <w:rPr>
          <w:spacing w:val="-10"/>
          <w:sz w:val="21"/>
        </w:rPr>
        <w:t>。</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2"/>
        </w:rPr>
        <w:t>坏死性筋膜炎</w:t>
      </w:r>
    </w:p>
    <w:p>
      <w:pPr>
        <w:pStyle w:val="BodyText"/>
        <w:spacing w:line="245" w:lineRule="exact"/>
      </w:pPr>
      <w:r>
        <w:rPr>
          <w:spacing w:val="-5"/>
        </w:rPr>
        <w:t>是一种由细菌侵入皮下组织和筋膜引起的急性坏死性软组织感染，可伴有毒血症、败血症、中毒性休</w:t>
      </w:r>
    </w:p>
    <w:p>
      <w:pPr>
        <w:pStyle w:val="BodyText"/>
        <w:spacing w:before="5"/>
      </w:pPr>
      <w:r>
        <w:rPr>
          <w:spacing w:val="-3"/>
        </w:rPr>
        <w:t>克、弥漫性血管内凝血及多器官衰竭。且须满足下列全部条件：</w:t>
      </w:r>
    </w:p>
    <w:p>
      <w:pPr>
        <w:pStyle w:val="ListParagraph"/>
        <w:numPr>
          <w:ilvl w:val="0"/>
          <w:numId w:val="55"/>
        </w:numPr>
        <w:tabs>
          <w:tab w:pos="1506" w:val="left" w:leader="none"/>
        </w:tabs>
        <w:spacing w:line="240" w:lineRule="auto" w:before="2" w:after="0"/>
        <w:ind w:left="1505" w:right="0" w:hanging="738"/>
        <w:jc w:val="left"/>
        <w:rPr>
          <w:sz w:val="21"/>
        </w:rPr>
      </w:pPr>
      <w:r>
        <w:rPr>
          <w:spacing w:val="-3"/>
          <w:sz w:val="21"/>
        </w:rPr>
        <w:t>符合坏死性筋膜炎的一般临床表现；</w:t>
      </w:r>
    </w:p>
    <w:p>
      <w:pPr>
        <w:pStyle w:val="ListParagraph"/>
        <w:numPr>
          <w:ilvl w:val="0"/>
          <w:numId w:val="55"/>
        </w:numPr>
        <w:tabs>
          <w:tab w:pos="1506" w:val="left" w:leader="none"/>
        </w:tabs>
        <w:spacing w:line="240" w:lineRule="auto" w:before="4" w:after="0"/>
        <w:ind w:left="1505" w:right="0" w:hanging="738"/>
        <w:jc w:val="left"/>
        <w:rPr>
          <w:sz w:val="21"/>
        </w:rPr>
      </w:pPr>
      <w:r>
        <w:rPr>
          <w:spacing w:val="-3"/>
          <w:sz w:val="21"/>
        </w:rPr>
        <w:t>细菌培养检出致病菌；</w:t>
      </w:r>
    </w:p>
    <w:p>
      <w:pPr>
        <w:pStyle w:val="ListParagraph"/>
        <w:numPr>
          <w:ilvl w:val="0"/>
          <w:numId w:val="55"/>
        </w:numPr>
        <w:tabs>
          <w:tab w:pos="1506" w:val="left" w:leader="none"/>
        </w:tabs>
        <w:spacing w:line="240" w:lineRule="auto" w:before="2" w:after="0"/>
        <w:ind w:left="1505" w:right="0" w:hanging="738"/>
        <w:jc w:val="left"/>
        <w:rPr>
          <w:sz w:val="21"/>
        </w:rPr>
      </w:pPr>
      <w:r>
        <w:rPr>
          <w:spacing w:val="-2"/>
          <w:sz w:val="21"/>
        </w:rPr>
        <w:t>受感染肢体已被截肢（自腕关节或踝关节近端</w:t>
      </w:r>
      <w:r>
        <w:rPr>
          <w:spacing w:val="-106"/>
          <w:sz w:val="21"/>
        </w:rPr>
        <w:t>）</w:t>
      </w:r>
      <w:r>
        <w:rPr>
          <w:spacing w:val="-10"/>
          <w:sz w:val="21"/>
        </w:rPr>
        <w:t>。</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嗜铬细胞瘤</w:t>
      </w:r>
    </w:p>
    <w:p>
      <w:pPr>
        <w:pStyle w:val="BodyText"/>
        <w:spacing w:line="246" w:lineRule="exact"/>
      </w:pPr>
      <w:r>
        <w:rPr>
          <w:spacing w:val="-3"/>
        </w:rPr>
        <w:t>指肾上腺或嗜铬组织出现神经内分泌肿瘤，并分泌过多的儿茶酚胺类，已经实施了肿瘤切除手术。</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4"/>
        </w:rPr>
        <w:t>象皮病</w:t>
      </w:r>
    </w:p>
    <w:p>
      <w:pPr>
        <w:pStyle w:val="BodyText"/>
        <w:spacing w:line="246" w:lineRule="exact"/>
      </w:pPr>
      <w:r>
        <w:rPr>
          <w:spacing w:val="-3"/>
        </w:rPr>
        <w:t>指末期丝虫病，按国际淋巴学会分级为三度淋巴液肿，其临床表现为肢体非凹陷性水肿伴畸形增大、</w:t>
      </w:r>
    </w:p>
    <w:p>
      <w:pPr>
        <w:pStyle w:val="BodyText"/>
        <w:spacing w:before="2"/>
      </w:pPr>
      <w:r>
        <w:rPr>
          <w:spacing w:val="-3"/>
        </w:rPr>
        <w:t>硬皮症和疣状增生。须经相关专科医生根据临床表现和微丝蚴的化验结果明确诊断。</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胰腺移植术</w:t>
      </w:r>
    </w:p>
    <w:p>
      <w:pPr>
        <w:pStyle w:val="BodyText"/>
        <w:spacing w:line="246" w:lineRule="exact"/>
      </w:pPr>
      <w:r>
        <w:rPr>
          <w:spacing w:val="-14"/>
        </w:rPr>
        <w:t>指因胰腺功能衰竭，已经实施了在全身麻醉下进行的胰腺的异体器官移植手术，供体必须是人体器官。</w:t>
      </w:r>
    </w:p>
    <w:p>
      <w:pPr>
        <w:pStyle w:val="BodyText"/>
        <w:spacing w:before="2"/>
      </w:pPr>
      <w:r>
        <w:rPr>
          <w:spacing w:val="-3"/>
        </w:rPr>
        <w:t>单纯胰岛移植、部分胰腺组织或细胞的移植不在保障范围内。</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3"/>
        </w:rPr>
        <w:t>特发性慢性肾上腺皮质功能减退</w:t>
      </w:r>
    </w:p>
    <w:p>
      <w:pPr>
        <w:pStyle w:val="BodyText"/>
        <w:spacing w:line="245" w:lineRule="exact"/>
      </w:pPr>
      <w:r>
        <w:rPr>
          <w:spacing w:val="-4"/>
        </w:rPr>
        <w:t>指自身免疫性肾上腺炎（既往称：特发性肾上腺皮质萎缩）</w:t>
      </w:r>
      <w:r>
        <w:rPr>
          <w:spacing w:val="-5"/>
        </w:rPr>
        <w:t>导致肾上腺萎缩和慢性肾上腺皮质功能减</w:t>
      </w:r>
    </w:p>
    <w:p>
      <w:pPr>
        <w:pStyle w:val="BodyText"/>
        <w:spacing w:before="5"/>
      </w:pPr>
      <w:r>
        <w:rPr>
          <w:spacing w:val="-3"/>
        </w:rPr>
        <w:t>退。经相关专科医生明确诊断，且须满足下列全部条件：</w:t>
      </w:r>
    </w:p>
    <w:p>
      <w:pPr>
        <w:pStyle w:val="ListParagraph"/>
        <w:numPr>
          <w:ilvl w:val="0"/>
          <w:numId w:val="56"/>
        </w:numPr>
        <w:tabs>
          <w:tab w:pos="1506" w:val="left" w:leader="none"/>
        </w:tabs>
        <w:spacing w:line="240" w:lineRule="auto" w:before="2" w:after="0"/>
        <w:ind w:left="1505" w:right="0" w:hanging="738"/>
        <w:jc w:val="left"/>
        <w:rPr>
          <w:sz w:val="21"/>
        </w:rPr>
      </w:pPr>
      <w:r>
        <w:rPr>
          <w:spacing w:val="-3"/>
          <w:sz w:val="21"/>
        </w:rPr>
        <w:t>明确诊断，符合下列全部诊断标准：</w:t>
      </w:r>
    </w:p>
    <w:p>
      <w:pPr>
        <w:pStyle w:val="BodyText"/>
        <w:spacing w:before="4"/>
        <w:ind w:left="1505"/>
      </w:pPr>
      <w:r>
        <w:rPr>
          <w:spacing w:val="-2"/>
        </w:rPr>
        <w:t>①血浆促肾上腺皮质激素（ACTH）</w:t>
      </w:r>
      <w:r>
        <w:rPr>
          <w:spacing w:val="-7"/>
        </w:rPr>
        <w:t>水平测定大于 </w:t>
      </w:r>
      <w:r>
        <w:rPr>
          <w:spacing w:val="-2"/>
        </w:rPr>
        <w:t>100pg/ml；</w:t>
      </w:r>
    </w:p>
    <w:p>
      <w:pPr>
        <w:pStyle w:val="BodyText"/>
        <w:spacing w:line="244" w:lineRule="auto" w:before="3"/>
        <w:ind w:left="1714" w:right="906" w:hanging="212"/>
      </w:pPr>
      <w:r>
        <w:rPr>
          <w:spacing w:val="-3"/>
        </w:rPr>
        <w:t>②血浆和尿游离皮质醇及尿 </w:t>
      </w:r>
      <w:r>
        <w:rPr/>
        <w:t>17</w:t>
      </w:r>
      <w:r>
        <w:rPr>
          <w:spacing w:val="-6"/>
        </w:rPr>
        <w:t> 羟皮质类固醇、</w:t>
      </w:r>
      <w:r>
        <w:rPr/>
        <w:t>17</w:t>
      </w:r>
      <w:r>
        <w:rPr>
          <w:spacing w:val="-6"/>
        </w:rPr>
        <w:t> 酮皮质类固醇测定、血浆肾素活性、血管</w:t>
      </w:r>
      <w:r>
        <w:rPr>
          <w:spacing w:val="-2"/>
        </w:rPr>
        <w:t>紧张素Ⅱ和醛固酮测定，显示为原发性肾上腺皮质功能减退症；</w:t>
      </w:r>
    </w:p>
    <w:p>
      <w:pPr>
        <w:spacing w:after="0" w:line="244" w:lineRule="auto"/>
        <w:sectPr>
          <w:pgSz w:w="11910" w:h="16840"/>
          <w:pgMar w:header="0" w:footer="574" w:top="1060" w:bottom="760" w:left="720" w:right="340"/>
        </w:sectPr>
      </w:pPr>
    </w:p>
    <w:p>
      <w:pPr>
        <w:pStyle w:val="BodyText"/>
        <w:spacing w:before="55"/>
        <w:ind w:left="1505"/>
      </w:pPr>
      <w:r>
        <w:rPr>
          <w:spacing w:val="-2"/>
        </w:rPr>
        <w:t>③促肾上腺皮质激素（ACTH）</w:t>
      </w:r>
      <w:r>
        <w:rPr>
          <w:spacing w:val="-3"/>
        </w:rPr>
        <w:t>刺激试验显示为原发性肾上腺皮质功能减退症。</w:t>
      </w:r>
    </w:p>
    <w:p>
      <w:pPr>
        <w:pStyle w:val="ListParagraph"/>
        <w:numPr>
          <w:ilvl w:val="0"/>
          <w:numId w:val="56"/>
        </w:numPr>
        <w:tabs>
          <w:tab w:pos="1506" w:val="left" w:leader="none"/>
        </w:tabs>
        <w:spacing w:line="240" w:lineRule="auto" w:before="5" w:after="0"/>
        <w:ind w:left="1505" w:right="0" w:hanging="738"/>
        <w:jc w:val="left"/>
        <w:rPr>
          <w:sz w:val="21"/>
        </w:rPr>
      </w:pPr>
      <w:r>
        <w:rPr>
          <w:spacing w:val="-6"/>
          <w:sz w:val="21"/>
        </w:rPr>
        <w:t>已经采用皮质类固醇替代治疗 </w:t>
      </w:r>
      <w:r>
        <w:rPr>
          <w:spacing w:val="-2"/>
          <w:sz w:val="21"/>
        </w:rPr>
        <w:t>180</w:t>
      </w:r>
      <w:r>
        <w:rPr>
          <w:spacing w:val="-14"/>
          <w:sz w:val="21"/>
        </w:rPr>
        <w:t> 天以上。</w:t>
      </w:r>
    </w:p>
    <w:p>
      <w:pPr>
        <w:pStyle w:val="BodyText"/>
        <w:spacing w:line="244" w:lineRule="auto" w:before="2"/>
        <w:ind w:right="908"/>
      </w:pPr>
      <w:r>
        <w:rPr>
          <w:spacing w:val="-2"/>
        </w:rPr>
        <w:t>肾上腺结核、HIV</w:t>
      </w:r>
      <w:r>
        <w:rPr>
          <w:spacing w:val="-9"/>
        </w:rPr>
        <w:t> 感染或艾滋病、感染、肿瘤所致的原发性肾上腺皮质功能减退和继发性肾上腺皮质</w:t>
      </w:r>
      <w:r>
        <w:rPr>
          <w:spacing w:val="-2"/>
        </w:rPr>
        <w:t>功能减退不在保障范围内。</w:t>
      </w:r>
    </w:p>
    <w:p>
      <w:pPr>
        <w:pStyle w:val="Heading2"/>
        <w:numPr>
          <w:ilvl w:val="0"/>
          <w:numId w:val="33"/>
        </w:numPr>
        <w:tabs>
          <w:tab w:pos="768" w:val="left" w:leader="none"/>
          <w:tab w:pos="769" w:val="left" w:leader="none"/>
        </w:tabs>
        <w:spacing w:line="364" w:lineRule="exact" w:before="100" w:after="0"/>
        <w:ind w:left="768" w:right="0" w:hanging="558"/>
        <w:jc w:val="left"/>
      </w:pPr>
      <w:r>
        <w:rPr>
          <w:spacing w:val="-2"/>
        </w:rPr>
        <w:t>严重心肌炎</w:t>
      </w:r>
    </w:p>
    <w:p>
      <w:pPr>
        <w:pStyle w:val="BodyText"/>
        <w:spacing w:line="246" w:lineRule="exact"/>
      </w:pPr>
      <w:r>
        <w:rPr>
          <w:spacing w:val="-5"/>
        </w:rPr>
        <w:t>指被保险人因严重心肌炎症性病变导致心功能损害造成持续的永久不可逆性的心功能衰竭。经相关专</w:t>
      </w:r>
    </w:p>
    <w:p>
      <w:pPr>
        <w:pStyle w:val="BodyText"/>
        <w:spacing w:before="2"/>
      </w:pPr>
      <w:r>
        <w:rPr>
          <w:spacing w:val="-3"/>
        </w:rPr>
        <w:t>科医生明确诊断，且须满足下列全部条件：</w:t>
      </w:r>
    </w:p>
    <w:p>
      <w:pPr>
        <w:pStyle w:val="ListParagraph"/>
        <w:numPr>
          <w:ilvl w:val="0"/>
          <w:numId w:val="57"/>
        </w:numPr>
        <w:tabs>
          <w:tab w:pos="1506" w:val="left" w:leader="none"/>
        </w:tabs>
        <w:spacing w:line="242" w:lineRule="auto" w:before="4" w:after="0"/>
        <w:ind w:left="1505" w:right="908" w:hanging="737"/>
        <w:jc w:val="left"/>
        <w:rPr>
          <w:sz w:val="21"/>
        </w:rPr>
      </w:pPr>
      <w:r>
        <w:rPr>
          <w:sz w:val="21"/>
        </w:rPr>
        <w:t>心功能衰竭程度达到美国纽约心脏病学会（New</w:t>
      </w:r>
      <w:r>
        <w:rPr>
          <w:spacing w:val="-2"/>
          <w:sz w:val="21"/>
        </w:rPr>
        <w:t> </w:t>
      </w:r>
      <w:r>
        <w:rPr>
          <w:sz w:val="21"/>
        </w:rPr>
        <w:t>York</w:t>
      </w:r>
      <w:r>
        <w:rPr>
          <w:spacing w:val="-2"/>
          <w:sz w:val="21"/>
        </w:rPr>
        <w:t> </w:t>
      </w:r>
      <w:r>
        <w:rPr>
          <w:sz w:val="21"/>
        </w:rPr>
        <w:t>Heart</w:t>
      </w:r>
      <w:r>
        <w:rPr>
          <w:spacing w:val="-2"/>
          <w:sz w:val="21"/>
        </w:rPr>
        <w:t> </w:t>
      </w:r>
      <w:r>
        <w:rPr>
          <w:sz w:val="21"/>
        </w:rPr>
        <w:t>Association，NYHA）心功能状</w:t>
      </w:r>
      <w:r>
        <w:rPr>
          <w:spacing w:val="-3"/>
          <w:sz w:val="21"/>
        </w:rPr>
        <w:t>态分级Ⅳ级，或左室射血分数低于 </w:t>
      </w:r>
      <w:r>
        <w:rPr>
          <w:sz w:val="21"/>
        </w:rPr>
        <w:t>30％；</w:t>
      </w:r>
    </w:p>
    <w:p>
      <w:pPr>
        <w:pStyle w:val="ListParagraph"/>
        <w:numPr>
          <w:ilvl w:val="0"/>
          <w:numId w:val="57"/>
        </w:numPr>
        <w:tabs>
          <w:tab w:pos="1506" w:val="left" w:leader="none"/>
        </w:tabs>
        <w:spacing w:line="240" w:lineRule="auto" w:before="1" w:after="0"/>
        <w:ind w:left="1505" w:right="0" w:hanging="738"/>
        <w:jc w:val="left"/>
        <w:rPr>
          <w:sz w:val="21"/>
        </w:rPr>
      </w:pPr>
      <w:r>
        <w:rPr>
          <w:spacing w:val="-5"/>
          <w:sz w:val="21"/>
        </w:rPr>
        <w:t>心功能衰竭的症状和体征持续不间断 </w:t>
      </w:r>
      <w:r>
        <w:rPr>
          <w:spacing w:val="-2"/>
          <w:sz w:val="21"/>
        </w:rPr>
        <w:t>180</w:t>
      </w:r>
      <w:r>
        <w:rPr>
          <w:spacing w:val="-14"/>
          <w:sz w:val="21"/>
        </w:rPr>
        <w:t> 天以上；</w:t>
      </w:r>
    </w:p>
    <w:p>
      <w:pPr>
        <w:pStyle w:val="ListParagraph"/>
        <w:numPr>
          <w:ilvl w:val="0"/>
          <w:numId w:val="57"/>
        </w:numPr>
        <w:tabs>
          <w:tab w:pos="1506" w:val="left" w:leader="none"/>
        </w:tabs>
        <w:spacing w:line="240" w:lineRule="auto" w:before="3" w:after="0"/>
        <w:ind w:left="1505" w:right="0" w:hanging="738"/>
        <w:jc w:val="left"/>
        <w:rPr>
          <w:sz w:val="21"/>
        </w:rPr>
      </w:pPr>
      <w:r>
        <w:rPr>
          <w:spacing w:val="-3"/>
          <w:sz w:val="21"/>
        </w:rPr>
        <w:t>被保险人永久不可逆性的体力活动能力受限，不能从事任何体力活动。</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2"/>
        </w:rPr>
        <w:t>肺源性心脏病</w:t>
      </w:r>
    </w:p>
    <w:p>
      <w:pPr>
        <w:pStyle w:val="BodyText"/>
        <w:spacing w:line="246" w:lineRule="exact"/>
      </w:pPr>
      <w:r>
        <w:rPr>
          <w:spacing w:val="-6"/>
        </w:rPr>
        <w:t>指被保险人因慢性肺部疾病导致慢性心功能损害造成永久不可逆性的心功能衰竭。心功能衰竭程度达</w:t>
      </w:r>
    </w:p>
    <w:p>
      <w:pPr>
        <w:pStyle w:val="BodyText"/>
        <w:spacing w:line="244" w:lineRule="auto" w:before="2"/>
        <w:ind w:right="909"/>
      </w:pPr>
      <w:r>
        <w:rPr/>
        <w:t>到美国纽约心脏病学会（New</w:t>
      </w:r>
      <w:r>
        <w:rPr>
          <w:spacing w:val="-27"/>
        </w:rPr>
        <w:t> </w:t>
      </w:r>
      <w:r>
        <w:rPr/>
        <w:t>York</w:t>
      </w:r>
      <w:r>
        <w:rPr>
          <w:spacing w:val="-26"/>
        </w:rPr>
        <w:t> </w:t>
      </w:r>
      <w:r>
        <w:rPr/>
        <w:t>Heart</w:t>
      </w:r>
      <w:r>
        <w:rPr>
          <w:spacing w:val="-26"/>
        </w:rPr>
        <w:t> </w:t>
      </w:r>
      <w:r>
        <w:rPr/>
        <w:t>Association，NYHA）心功能状态分级Ⅳ级。被保险人永久</w:t>
      </w:r>
      <w:r>
        <w:rPr>
          <w:spacing w:val="-2"/>
        </w:rPr>
        <w:t>不可逆性的体力活动能力受限，不能从事任何体力活动。</w:t>
      </w:r>
    </w:p>
    <w:p>
      <w:pPr>
        <w:pStyle w:val="Heading2"/>
        <w:numPr>
          <w:ilvl w:val="0"/>
          <w:numId w:val="33"/>
        </w:numPr>
        <w:tabs>
          <w:tab w:pos="768" w:val="left" w:leader="none"/>
          <w:tab w:pos="769" w:val="left" w:leader="none"/>
        </w:tabs>
        <w:spacing w:line="364" w:lineRule="exact" w:before="100" w:after="0"/>
        <w:ind w:left="768" w:right="0" w:hanging="558"/>
        <w:jc w:val="left"/>
      </w:pPr>
      <w:r>
        <w:rPr>
          <w:spacing w:val="-3"/>
        </w:rPr>
        <w:t>严重原发性硬化性胆管炎</w:t>
      </w:r>
    </w:p>
    <w:p>
      <w:pPr>
        <w:pStyle w:val="BodyText"/>
        <w:spacing w:line="246" w:lineRule="exact"/>
      </w:pPr>
      <w:r>
        <w:rPr>
          <w:spacing w:val="-5"/>
        </w:rPr>
        <w:t>指一种胆汁淤积综合征，其特征是肝内、肝外胆道因纤维化性炎症逐渐狭窄，并最终导致完全阻塞而</w:t>
      </w:r>
    </w:p>
    <w:p>
      <w:pPr>
        <w:pStyle w:val="BodyText"/>
        <w:spacing w:before="2"/>
      </w:pPr>
      <w:r>
        <w:rPr>
          <w:spacing w:val="-3"/>
        </w:rPr>
        <w:t>发展为肝硬化。本病须经内镜逆行胰胆管造影等影像学检查证实，且须满足下列全部条件：</w:t>
      </w:r>
    </w:p>
    <w:p>
      <w:pPr>
        <w:pStyle w:val="ListParagraph"/>
        <w:numPr>
          <w:ilvl w:val="0"/>
          <w:numId w:val="58"/>
        </w:numPr>
        <w:tabs>
          <w:tab w:pos="1506" w:val="left" w:leader="none"/>
        </w:tabs>
        <w:spacing w:line="240" w:lineRule="auto" w:before="5" w:after="0"/>
        <w:ind w:left="1505" w:right="0" w:hanging="738"/>
        <w:jc w:val="left"/>
        <w:rPr>
          <w:sz w:val="21"/>
        </w:rPr>
      </w:pPr>
      <w:r>
        <w:rPr>
          <w:spacing w:val="-5"/>
          <w:sz w:val="21"/>
        </w:rPr>
        <w:t>总胆红素和直接胆红素同时升高，血清 </w:t>
      </w:r>
      <w:r>
        <w:rPr>
          <w:spacing w:val="-2"/>
          <w:sz w:val="21"/>
        </w:rPr>
        <w:t>ALP＞200U/L；</w:t>
      </w:r>
    </w:p>
    <w:p>
      <w:pPr>
        <w:pStyle w:val="ListParagraph"/>
        <w:numPr>
          <w:ilvl w:val="0"/>
          <w:numId w:val="58"/>
        </w:numPr>
        <w:tabs>
          <w:tab w:pos="1506" w:val="left" w:leader="none"/>
        </w:tabs>
        <w:spacing w:line="240" w:lineRule="auto" w:before="2" w:after="0"/>
        <w:ind w:left="1505" w:right="0" w:hanging="738"/>
        <w:jc w:val="left"/>
        <w:rPr>
          <w:sz w:val="21"/>
        </w:rPr>
      </w:pPr>
      <w:r>
        <w:rPr>
          <w:spacing w:val="-4"/>
          <w:sz w:val="21"/>
        </w:rPr>
        <w:t>持续性黄疸病史；</w:t>
      </w:r>
    </w:p>
    <w:p>
      <w:pPr>
        <w:pStyle w:val="ListParagraph"/>
        <w:numPr>
          <w:ilvl w:val="0"/>
          <w:numId w:val="58"/>
        </w:numPr>
        <w:tabs>
          <w:tab w:pos="1506" w:val="left" w:leader="none"/>
        </w:tabs>
        <w:spacing w:line="240" w:lineRule="auto" w:before="4" w:after="0"/>
        <w:ind w:left="1505" w:right="0" w:hanging="738"/>
        <w:jc w:val="left"/>
        <w:rPr>
          <w:sz w:val="21"/>
        </w:rPr>
      </w:pPr>
      <w:r>
        <w:rPr>
          <w:spacing w:val="-3"/>
          <w:sz w:val="21"/>
        </w:rPr>
        <w:t>出现胆汁性肝硬化或门脉高压。</w:t>
      </w:r>
    </w:p>
    <w:p>
      <w:pPr>
        <w:pStyle w:val="BodyText"/>
        <w:spacing w:before="2"/>
      </w:pPr>
      <w:r>
        <w:rPr>
          <w:spacing w:val="-3"/>
        </w:rPr>
        <w:t>因肿瘤或胆管损伤等继发性的硬化性胆管炎不在保障范围内。</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严重自身免疫性肝炎</w:t>
      </w:r>
    </w:p>
    <w:p>
      <w:pPr>
        <w:pStyle w:val="BodyText"/>
        <w:spacing w:line="246" w:lineRule="exact"/>
      </w:pPr>
      <w:r>
        <w:rPr>
          <w:spacing w:val="-5"/>
        </w:rPr>
        <w:t>自身免疫性肝炎是一种原因不明的慢性肝脏的坏死性炎性疾病，机体免疫机制被破坏，产生针对肝脏</w:t>
      </w:r>
    </w:p>
    <w:p>
      <w:pPr>
        <w:pStyle w:val="BodyText"/>
        <w:spacing w:before="2"/>
      </w:pPr>
      <w:r>
        <w:rPr>
          <w:spacing w:val="-3"/>
        </w:rPr>
        <w:t>自身抗原的抗体导致自身免疫反应，从而破坏肝细胞造成肝脏炎症坏死。且须满足下列全部条件：</w:t>
      </w:r>
    </w:p>
    <w:p>
      <w:pPr>
        <w:pStyle w:val="ListParagraph"/>
        <w:numPr>
          <w:ilvl w:val="0"/>
          <w:numId w:val="59"/>
        </w:numPr>
        <w:tabs>
          <w:tab w:pos="1506" w:val="left" w:leader="none"/>
        </w:tabs>
        <w:spacing w:line="240" w:lineRule="auto" w:before="4" w:after="0"/>
        <w:ind w:left="1505" w:right="0" w:hanging="738"/>
        <w:jc w:val="left"/>
        <w:rPr>
          <w:sz w:val="21"/>
        </w:rPr>
      </w:pPr>
      <w:r>
        <w:rPr>
          <w:spacing w:val="-2"/>
          <w:sz w:val="21"/>
        </w:rPr>
        <w:t>高γ</w:t>
      </w:r>
      <w:r>
        <w:rPr>
          <w:spacing w:val="-4"/>
          <w:sz w:val="21"/>
        </w:rPr>
        <w:t>球蛋白血症；</w:t>
      </w:r>
    </w:p>
    <w:p>
      <w:pPr>
        <w:pStyle w:val="ListParagraph"/>
        <w:numPr>
          <w:ilvl w:val="0"/>
          <w:numId w:val="59"/>
        </w:numPr>
        <w:tabs>
          <w:tab w:pos="1506" w:val="left" w:leader="none"/>
        </w:tabs>
        <w:spacing w:line="244" w:lineRule="auto" w:before="3" w:after="0"/>
        <w:ind w:left="1505" w:right="908" w:hanging="737"/>
        <w:jc w:val="left"/>
        <w:rPr>
          <w:sz w:val="21"/>
        </w:rPr>
      </w:pPr>
      <w:r>
        <w:rPr>
          <w:spacing w:val="-7"/>
          <w:sz w:val="21"/>
        </w:rPr>
        <w:t>血液中存在高水平的自身免疫抗体，如 </w:t>
      </w:r>
      <w:r>
        <w:rPr>
          <w:spacing w:val="-4"/>
          <w:sz w:val="21"/>
        </w:rPr>
        <w:t>ANA（抗核抗体</w:t>
      </w:r>
      <w:r>
        <w:rPr>
          <w:spacing w:val="-106"/>
          <w:sz w:val="21"/>
        </w:rPr>
        <w:t>）</w:t>
      </w:r>
      <w:r>
        <w:rPr>
          <w:spacing w:val="-4"/>
          <w:sz w:val="21"/>
        </w:rPr>
        <w:t>、SMA（抗平滑肌抗体</w:t>
      </w:r>
      <w:r>
        <w:rPr>
          <w:spacing w:val="-108"/>
          <w:sz w:val="21"/>
        </w:rPr>
        <w:t>）</w:t>
      </w:r>
      <w:r>
        <w:rPr>
          <w:spacing w:val="-18"/>
          <w:sz w:val="21"/>
        </w:rPr>
        <w:t>、抗 </w:t>
      </w:r>
      <w:r>
        <w:rPr>
          <w:spacing w:val="-4"/>
          <w:sz w:val="21"/>
        </w:rPr>
        <w:t>LKM1</w:t>
      </w:r>
      <w:r>
        <w:rPr>
          <w:spacing w:val="-19"/>
          <w:sz w:val="21"/>
        </w:rPr>
        <w:t> 抗体</w:t>
      </w:r>
      <w:r>
        <w:rPr>
          <w:sz w:val="21"/>
        </w:rPr>
        <w:t>或抗-SLA/LP</w:t>
      </w:r>
      <w:r>
        <w:rPr>
          <w:spacing w:val="-12"/>
          <w:sz w:val="21"/>
        </w:rPr>
        <w:t> 抗体；</w:t>
      </w:r>
    </w:p>
    <w:p>
      <w:pPr>
        <w:pStyle w:val="ListParagraph"/>
        <w:numPr>
          <w:ilvl w:val="0"/>
          <w:numId w:val="59"/>
        </w:numPr>
        <w:tabs>
          <w:tab w:pos="1506" w:val="left" w:leader="none"/>
        </w:tabs>
        <w:spacing w:line="265" w:lineRule="exact" w:before="0" w:after="0"/>
        <w:ind w:left="1505" w:right="0" w:hanging="738"/>
        <w:jc w:val="left"/>
        <w:rPr>
          <w:sz w:val="21"/>
        </w:rPr>
      </w:pPr>
      <w:r>
        <w:rPr>
          <w:spacing w:val="-3"/>
          <w:sz w:val="21"/>
        </w:rPr>
        <w:t>肝脏活检证实免疫性肝炎；</w:t>
      </w:r>
    </w:p>
    <w:p>
      <w:pPr>
        <w:pStyle w:val="ListParagraph"/>
        <w:numPr>
          <w:ilvl w:val="0"/>
          <w:numId w:val="59"/>
        </w:numPr>
        <w:tabs>
          <w:tab w:pos="1506" w:val="left" w:leader="none"/>
        </w:tabs>
        <w:spacing w:line="240" w:lineRule="auto" w:before="5" w:after="0"/>
        <w:ind w:left="1505" w:right="0" w:hanging="738"/>
        <w:jc w:val="left"/>
        <w:rPr>
          <w:sz w:val="21"/>
        </w:rPr>
      </w:pPr>
      <w:r>
        <w:rPr>
          <w:spacing w:val="-3"/>
          <w:sz w:val="21"/>
        </w:rPr>
        <w:t>临床已经出现腹水、食道静脉曲张和脾肿大等肝硬化表现。</w:t>
      </w:r>
    </w:p>
    <w:p>
      <w:pPr>
        <w:pStyle w:val="Heading2"/>
        <w:numPr>
          <w:ilvl w:val="0"/>
          <w:numId w:val="33"/>
        </w:numPr>
        <w:tabs>
          <w:tab w:pos="768" w:val="left" w:leader="none"/>
          <w:tab w:pos="769" w:val="left" w:leader="none"/>
        </w:tabs>
        <w:spacing w:line="363" w:lineRule="exact" w:before="105" w:after="0"/>
        <w:ind w:left="768" w:right="0" w:hanging="558"/>
        <w:jc w:val="left"/>
      </w:pPr>
      <w:r>
        <w:rPr>
          <w:w w:val="85"/>
        </w:rPr>
        <w:t>Brugada</w:t>
      </w:r>
      <w:r>
        <w:rPr>
          <w:spacing w:val="29"/>
        </w:rPr>
        <w:t> </w:t>
      </w:r>
      <w:r>
        <w:rPr>
          <w:w w:val="85"/>
        </w:rPr>
        <w:t>综</w:t>
      </w:r>
      <w:r>
        <w:rPr>
          <w:w w:val="85"/>
        </w:rPr>
        <w:t>合</w:t>
      </w:r>
      <w:r>
        <w:rPr>
          <w:spacing w:val="-10"/>
          <w:w w:val="85"/>
        </w:rPr>
        <w:t>征</w:t>
      </w:r>
    </w:p>
    <w:p>
      <w:pPr>
        <w:pStyle w:val="BodyText"/>
        <w:spacing w:line="245" w:lineRule="exact"/>
      </w:pPr>
      <w:r>
        <w:rPr>
          <w:spacing w:val="-3"/>
        </w:rPr>
        <w:t>被保险人须经医院的心脏专科医生明确诊断，且须满足下列全部条件：</w:t>
      </w:r>
    </w:p>
    <w:p>
      <w:pPr>
        <w:pStyle w:val="ListParagraph"/>
        <w:numPr>
          <w:ilvl w:val="0"/>
          <w:numId w:val="60"/>
        </w:numPr>
        <w:tabs>
          <w:tab w:pos="1506" w:val="left" w:leader="none"/>
        </w:tabs>
        <w:spacing w:line="240" w:lineRule="auto" w:before="4" w:after="0"/>
        <w:ind w:left="1505" w:right="0" w:hanging="738"/>
        <w:jc w:val="left"/>
        <w:rPr>
          <w:sz w:val="21"/>
        </w:rPr>
      </w:pPr>
      <w:r>
        <w:rPr>
          <w:spacing w:val="-3"/>
          <w:sz w:val="21"/>
        </w:rPr>
        <w:t>有晕厥或心脏骤停病史，并提供完整的诊疗记录；</w:t>
      </w:r>
    </w:p>
    <w:p>
      <w:pPr>
        <w:pStyle w:val="ListParagraph"/>
        <w:numPr>
          <w:ilvl w:val="0"/>
          <w:numId w:val="60"/>
        </w:numPr>
        <w:tabs>
          <w:tab w:pos="1506" w:val="left" w:leader="none"/>
        </w:tabs>
        <w:spacing w:line="240" w:lineRule="auto" w:before="3" w:after="0"/>
        <w:ind w:left="1505" w:right="0" w:hanging="738"/>
        <w:jc w:val="left"/>
        <w:rPr>
          <w:sz w:val="21"/>
        </w:rPr>
      </w:pPr>
      <w:r>
        <w:rPr>
          <w:spacing w:val="-7"/>
          <w:sz w:val="21"/>
        </w:rPr>
        <w:t>心电图有典型的Ⅰ型 </w:t>
      </w:r>
      <w:r>
        <w:rPr>
          <w:spacing w:val="-2"/>
          <w:sz w:val="21"/>
        </w:rPr>
        <w:t>Brugada</w:t>
      </w:r>
      <w:r>
        <w:rPr>
          <w:spacing w:val="-20"/>
          <w:sz w:val="21"/>
        </w:rPr>
        <w:t> 波；</w:t>
      </w:r>
    </w:p>
    <w:p>
      <w:pPr>
        <w:pStyle w:val="ListParagraph"/>
        <w:numPr>
          <w:ilvl w:val="0"/>
          <w:numId w:val="60"/>
        </w:numPr>
        <w:tabs>
          <w:tab w:pos="1506" w:val="left" w:leader="none"/>
        </w:tabs>
        <w:spacing w:line="240" w:lineRule="auto" w:before="4" w:after="0"/>
        <w:ind w:left="1505" w:right="0" w:hanging="738"/>
        <w:jc w:val="left"/>
        <w:rPr>
          <w:sz w:val="21"/>
        </w:rPr>
      </w:pPr>
      <w:r>
        <w:rPr>
          <w:spacing w:val="-3"/>
          <w:sz w:val="21"/>
        </w:rPr>
        <w:t>已经安装了永久性心脏起搏器。</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3"/>
        </w:rPr>
        <w:t>严重急性主动脉夹层血肿</w:t>
      </w:r>
    </w:p>
    <w:p>
      <w:pPr>
        <w:pStyle w:val="BodyText"/>
        <w:spacing w:line="246" w:lineRule="exact"/>
      </w:pPr>
      <w:r>
        <w:rPr>
          <w:spacing w:val="-5"/>
        </w:rPr>
        <w:t>指主动脉壁在受到某些病理因素破坏后，高速、高压的主动脉血流将其内膜撕裂，以致主动脉腔内的</w:t>
      </w:r>
    </w:p>
    <w:p>
      <w:pPr>
        <w:pStyle w:val="BodyText"/>
        <w:spacing w:line="242" w:lineRule="auto" w:before="3"/>
        <w:ind w:right="906"/>
        <w:jc w:val="both"/>
      </w:pPr>
      <w:r>
        <w:rPr>
          <w:spacing w:val="-6"/>
        </w:rPr>
        <w:t>血流通过主动脉内膜的破裂口进入主动脉内壁而形成血肿。被保险人需有典型的临床表现并通过电脑</w:t>
      </w:r>
      <w:r>
        <w:rPr>
          <w:spacing w:val="-2"/>
        </w:rPr>
        <w:t>断层扫描（CT）、磁共振扫描（MRI）、磁共振血管检验法（MRA）或血管扫描等检查明确诊断，并在</w:t>
      </w:r>
      <w:r>
        <w:rPr>
          <w:spacing w:val="-2"/>
        </w:rPr>
        <w:t>急性期内（发病两周内）实际接受了开胸（含胸腔镜下）或开腹（含腹腔镜下）主动脉手术。</w:t>
      </w:r>
    </w:p>
    <w:p>
      <w:pPr>
        <w:pStyle w:val="BodyText"/>
        <w:spacing w:before="3"/>
      </w:pPr>
      <w:r>
        <w:rPr>
          <w:spacing w:val="-3"/>
        </w:rPr>
        <w:t>慢性期主动脉夹层择期手术、经导管主动脉内介入手术治疗不在保障范围内。</w:t>
      </w:r>
    </w:p>
    <w:p>
      <w:pPr>
        <w:pStyle w:val="BodyText"/>
        <w:spacing w:line="244" w:lineRule="auto" w:before="2"/>
        <w:ind w:right="909"/>
      </w:pPr>
      <w:r>
        <w:rPr>
          <w:spacing w:val="-2"/>
        </w:rPr>
        <w:t>主动脉指升主动脉、主动脉弓和降主动脉（含胸主动脉和腹主动脉），不包括升主动脉、主动脉弓和</w:t>
      </w:r>
      <w:r>
        <w:rPr>
          <w:spacing w:val="-2"/>
        </w:rPr>
        <w:t>降主动脉的分支血管。</w:t>
      </w:r>
    </w:p>
    <w:p>
      <w:pPr>
        <w:pStyle w:val="Heading2"/>
        <w:numPr>
          <w:ilvl w:val="0"/>
          <w:numId w:val="33"/>
        </w:numPr>
        <w:tabs>
          <w:tab w:pos="768" w:val="left" w:leader="none"/>
          <w:tab w:pos="769" w:val="left" w:leader="none"/>
        </w:tabs>
        <w:spacing w:line="363" w:lineRule="exact" w:before="100" w:after="0"/>
        <w:ind w:left="768" w:right="0" w:hanging="558"/>
        <w:jc w:val="left"/>
      </w:pPr>
      <w:r>
        <w:rPr>
          <w:spacing w:val="-3"/>
        </w:rPr>
        <w:t>严重慢性缩窄型心包炎</w:t>
      </w:r>
    </w:p>
    <w:p>
      <w:pPr>
        <w:pStyle w:val="BodyText"/>
        <w:spacing w:line="245" w:lineRule="exact"/>
      </w:pPr>
      <w:r>
        <w:rPr>
          <w:spacing w:val="-5"/>
        </w:rPr>
        <w:t>由于慢性心包炎症导致心包脏层和壁层广泛瘢痕粘连、增厚和钙化，心包腔闭塞，形成一个纤维瘢痕</w:t>
      </w:r>
    </w:p>
    <w:p>
      <w:pPr>
        <w:pStyle w:val="BodyText"/>
        <w:spacing w:line="242" w:lineRule="auto" w:before="4"/>
        <w:ind w:right="911"/>
      </w:pPr>
      <w:r>
        <w:rPr>
          <w:spacing w:val="-2"/>
        </w:rPr>
        <w:t>外壳，使心脏和大血管根部受压，阻碍心脏的舒张。被保险人被明确诊断为慢性缩窄性心包炎，且须</w:t>
      </w:r>
      <w:r>
        <w:rPr>
          <w:spacing w:val="-2"/>
        </w:rPr>
        <w:t>满足下列全部条件：</w:t>
      </w:r>
    </w:p>
    <w:p>
      <w:pPr>
        <w:pStyle w:val="ListParagraph"/>
        <w:numPr>
          <w:ilvl w:val="0"/>
          <w:numId w:val="61"/>
        </w:numPr>
        <w:tabs>
          <w:tab w:pos="1506" w:val="left" w:leader="none"/>
        </w:tabs>
        <w:spacing w:line="242" w:lineRule="auto" w:before="1" w:after="0"/>
        <w:ind w:left="1505" w:right="908" w:hanging="737"/>
        <w:jc w:val="left"/>
        <w:rPr>
          <w:sz w:val="21"/>
        </w:rPr>
      </w:pPr>
      <w:r>
        <w:rPr>
          <w:sz w:val="21"/>
        </w:rPr>
        <w:t>心功能衰竭达到美国纽约心脏病学会（New</w:t>
      </w:r>
      <w:r>
        <w:rPr>
          <w:spacing w:val="-2"/>
          <w:sz w:val="21"/>
        </w:rPr>
        <w:t> </w:t>
      </w:r>
      <w:r>
        <w:rPr>
          <w:sz w:val="21"/>
        </w:rPr>
        <w:t>York</w:t>
      </w:r>
      <w:r>
        <w:rPr>
          <w:spacing w:val="-2"/>
          <w:sz w:val="21"/>
        </w:rPr>
        <w:t> </w:t>
      </w:r>
      <w:r>
        <w:rPr>
          <w:sz w:val="21"/>
        </w:rPr>
        <w:t>Heart</w:t>
      </w:r>
      <w:r>
        <w:rPr>
          <w:spacing w:val="-1"/>
          <w:sz w:val="21"/>
        </w:rPr>
        <w:t> </w:t>
      </w:r>
      <w:r>
        <w:rPr>
          <w:sz w:val="21"/>
        </w:rPr>
        <w:t>Association，NYHA）心功能状态分</w:t>
      </w:r>
      <w:r>
        <w:rPr>
          <w:spacing w:val="-3"/>
          <w:sz w:val="21"/>
        </w:rPr>
        <w:t>级Ⅳ级，并持续 </w:t>
      </w:r>
      <w:r>
        <w:rPr>
          <w:sz w:val="21"/>
        </w:rPr>
        <w:t>180</w:t>
      </w:r>
      <w:r>
        <w:rPr>
          <w:spacing w:val="-5"/>
          <w:sz w:val="21"/>
        </w:rPr>
        <w:t> 天以上；</w:t>
      </w:r>
    </w:p>
    <w:p>
      <w:pPr>
        <w:spacing w:after="0" w:line="242" w:lineRule="auto"/>
        <w:jc w:val="left"/>
        <w:rPr>
          <w:sz w:val="21"/>
        </w:rPr>
        <w:sectPr>
          <w:pgSz w:w="11910" w:h="16840"/>
          <w:pgMar w:header="0" w:footer="574" w:top="1060" w:bottom="760" w:left="720" w:right="340"/>
        </w:sectPr>
      </w:pPr>
    </w:p>
    <w:p>
      <w:pPr>
        <w:pStyle w:val="ListParagraph"/>
        <w:numPr>
          <w:ilvl w:val="0"/>
          <w:numId w:val="61"/>
        </w:numPr>
        <w:tabs>
          <w:tab w:pos="1506" w:val="left" w:leader="none"/>
        </w:tabs>
        <w:spacing w:line="240" w:lineRule="auto" w:before="55" w:after="0"/>
        <w:ind w:left="1505" w:right="0" w:hanging="738"/>
        <w:jc w:val="left"/>
        <w:rPr>
          <w:sz w:val="21"/>
        </w:rPr>
      </w:pPr>
      <w:r>
        <w:rPr>
          <w:spacing w:val="-2"/>
          <w:sz w:val="21"/>
        </w:rPr>
        <w:t>已经接受了开胸（含胸腔镜下）</w:t>
      </w:r>
      <w:r>
        <w:rPr>
          <w:spacing w:val="-3"/>
          <w:sz w:val="21"/>
        </w:rPr>
        <w:t>进行的心包剥脱或心包切除手术。</w:t>
      </w:r>
    </w:p>
    <w:p>
      <w:pPr>
        <w:pStyle w:val="BodyText"/>
        <w:spacing w:before="5"/>
      </w:pPr>
      <w:r>
        <w:rPr>
          <w:spacing w:val="-3"/>
        </w:rPr>
        <w:t>心包粘连松解手术不在保障范围内。</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心脏粘液瘤</w:t>
      </w:r>
    </w:p>
    <w:p>
      <w:pPr>
        <w:pStyle w:val="BodyText"/>
        <w:spacing w:line="246" w:lineRule="exact"/>
      </w:pPr>
      <w:r>
        <w:rPr>
          <w:spacing w:val="-2"/>
        </w:rPr>
        <w:t>指为了治疗心脏粘液瘤，已经实施了开胸（含胸腔镜下）</w:t>
      </w:r>
      <w:r>
        <w:rPr>
          <w:spacing w:val="-3"/>
        </w:rPr>
        <w:t>进行的心脏粘液瘤切除手术。</w:t>
      </w:r>
    </w:p>
    <w:p>
      <w:pPr>
        <w:pStyle w:val="BodyText"/>
        <w:spacing w:before="2"/>
      </w:pPr>
      <w:r>
        <w:rPr>
          <w:spacing w:val="-3"/>
        </w:rPr>
        <w:t>经导管介入手术治疗不在保障范围内。</w:t>
      </w:r>
    </w:p>
    <w:p>
      <w:pPr>
        <w:pStyle w:val="Heading2"/>
        <w:numPr>
          <w:ilvl w:val="0"/>
          <w:numId w:val="33"/>
        </w:numPr>
        <w:tabs>
          <w:tab w:pos="768" w:val="left" w:leader="none"/>
          <w:tab w:pos="769" w:val="left" w:leader="none"/>
        </w:tabs>
        <w:spacing w:line="363" w:lineRule="exact" w:before="108" w:after="0"/>
        <w:ind w:left="768" w:right="0" w:hanging="558"/>
        <w:jc w:val="left"/>
      </w:pPr>
      <w:r>
        <w:rPr>
          <w:w w:val="95"/>
        </w:rPr>
        <w:t>严</w:t>
      </w:r>
      <w:r>
        <w:rPr>
          <w:w w:val="95"/>
        </w:rPr>
        <w:t>重</w:t>
      </w:r>
      <w:r>
        <w:rPr>
          <w:w w:val="95"/>
        </w:rPr>
        <w:t>心</w:t>
      </w:r>
      <w:r>
        <w:rPr>
          <w:w w:val="95"/>
        </w:rPr>
        <w:t>脏</w:t>
      </w:r>
      <w:r>
        <w:rPr>
          <w:w w:val="95"/>
        </w:rPr>
        <w:t>衰</w:t>
      </w:r>
      <w:r>
        <w:rPr>
          <w:w w:val="95"/>
        </w:rPr>
        <w:t>竭</w:t>
      </w:r>
      <w:r>
        <w:rPr>
          <w:spacing w:val="-13"/>
          <w:w w:val="95"/>
        </w:rPr>
        <w:t> </w:t>
      </w:r>
      <w:r>
        <w:rPr>
          <w:w w:val="95"/>
        </w:rPr>
        <w:t>CRT</w:t>
      </w:r>
      <w:r>
        <w:rPr>
          <w:spacing w:val="-12"/>
          <w:w w:val="95"/>
        </w:rPr>
        <w:t> </w:t>
      </w:r>
      <w:r>
        <w:rPr>
          <w:w w:val="95"/>
        </w:rPr>
        <w:t>治</w:t>
      </w:r>
      <w:r>
        <w:rPr>
          <w:spacing w:val="-10"/>
          <w:w w:val="95"/>
        </w:rPr>
        <w:t>疗</w:t>
      </w:r>
    </w:p>
    <w:p>
      <w:pPr>
        <w:pStyle w:val="BodyText"/>
        <w:spacing w:line="245" w:lineRule="exact"/>
      </w:pPr>
      <w:r>
        <w:rPr>
          <w:spacing w:val="-5"/>
        </w:rPr>
        <w:t>指因缺血性心脏病或扩张性心肌病导致慢性严重心脏衰竭，被保险人实际接受了 </w:t>
      </w:r>
      <w:r>
        <w:rPr>
          <w:spacing w:val="-4"/>
        </w:rPr>
        <w:t>CRT</w:t>
      </w:r>
      <w:r>
        <w:rPr>
          <w:spacing w:val="-10"/>
        </w:rPr>
        <w:t> 治疗，以矫正心</w:t>
      </w:r>
    </w:p>
    <w:p>
      <w:pPr>
        <w:pStyle w:val="BodyText"/>
        <w:spacing w:before="4"/>
      </w:pPr>
      <w:r>
        <w:rPr>
          <w:spacing w:val="-3"/>
        </w:rPr>
        <w:t>室收缩不协调和改善心脏功能。接受治疗之前必须满足下列全部条件：</w:t>
      </w:r>
    </w:p>
    <w:p>
      <w:pPr>
        <w:pStyle w:val="ListParagraph"/>
        <w:numPr>
          <w:ilvl w:val="0"/>
          <w:numId w:val="62"/>
        </w:numPr>
        <w:tabs>
          <w:tab w:pos="1506" w:val="left" w:leader="none"/>
        </w:tabs>
        <w:spacing w:line="242" w:lineRule="auto" w:before="2" w:after="0"/>
        <w:ind w:left="1505" w:right="908" w:hanging="737"/>
        <w:jc w:val="left"/>
        <w:rPr>
          <w:sz w:val="21"/>
        </w:rPr>
      </w:pPr>
      <w:r>
        <w:rPr>
          <w:sz w:val="21"/>
        </w:rPr>
        <w:t>心功能衰竭程度达到美国纽约心脏病学会（New</w:t>
      </w:r>
      <w:r>
        <w:rPr>
          <w:spacing w:val="-2"/>
          <w:sz w:val="21"/>
        </w:rPr>
        <w:t> </w:t>
      </w:r>
      <w:r>
        <w:rPr>
          <w:sz w:val="21"/>
        </w:rPr>
        <w:t>York</w:t>
      </w:r>
      <w:r>
        <w:rPr>
          <w:spacing w:val="-2"/>
          <w:sz w:val="21"/>
        </w:rPr>
        <w:t> </w:t>
      </w:r>
      <w:r>
        <w:rPr>
          <w:sz w:val="21"/>
        </w:rPr>
        <w:t>Heart</w:t>
      </w:r>
      <w:r>
        <w:rPr>
          <w:spacing w:val="-2"/>
          <w:sz w:val="21"/>
        </w:rPr>
        <w:t> </w:t>
      </w:r>
      <w:r>
        <w:rPr>
          <w:sz w:val="21"/>
        </w:rPr>
        <w:t>Association，NYHA）心功能状</w:t>
      </w:r>
      <w:r>
        <w:rPr>
          <w:spacing w:val="-2"/>
          <w:sz w:val="21"/>
        </w:rPr>
        <w:t>态分级Ⅲ级或Ⅳ级；</w:t>
      </w:r>
    </w:p>
    <w:p>
      <w:pPr>
        <w:pStyle w:val="ListParagraph"/>
        <w:numPr>
          <w:ilvl w:val="0"/>
          <w:numId w:val="62"/>
        </w:numPr>
        <w:tabs>
          <w:tab w:pos="1506" w:val="left" w:leader="none"/>
        </w:tabs>
        <w:spacing w:line="240" w:lineRule="auto" w:before="1" w:after="0"/>
        <w:ind w:left="1505" w:right="0" w:hanging="738"/>
        <w:jc w:val="left"/>
        <w:rPr>
          <w:sz w:val="21"/>
        </w:rPr>
      </w:pPr>
      <w:r>
        <w:rPr>
          <w:spacing w:val="-7"/>
          <w:sz w:val="21"/>
        </w:rPr>
        <w:t>左室射血分数低于 </w:t>
      </w:r>
      <w:r>
        <w:rPr>
          <w:spacing w:val="-4"/>
          <w:sz w:val="21"/>
        </w:rPr>
        <w:t>35％；</w:t>
      </w:r>
    </w:p>
    <w:p>
      <w:pPr>
        <w:pStyle w:val="ListParagraph"/>
        <w:numPr>
          <w:ilvl w:val="0"/>
          <w:numId w:val="62"/>
        </w:numPr>
        <w:tabs>
          <w:tab w:pos="1506" w:val="left" w:leader="none"/>
        </w:tabs>
        <w:spacing w:line="240" w:lineRule="auto" w:before="3" w:after="0"/>
        <w:ind w:left="1505" w:right="0" w:hanging="738"/>
        <w:jc w:val="left"/>
        <w:rPr>
          <w:sz w:val="21"/>
        </w:rPr>
      </w:pPr>
      <w:r>
        <w:rPr>
          <w:spacing w:val="-2"/>
          <w:sz w:val="21"/>
        </w:rPr>
        <w:t>左室舒张末期内径≥55mm；</w:t>
      </w:r>
    </w:p>
    <w:p>
      <w:pPr>
        <w:pStyle w:val="ListParagraph"/>
        <w:numPr>
          <w:ilvl w:val="0"/>
          <w:numId w:val="62"/>
        </w:numPr>
        <w:tabs>
          <w:tab w:pos="1506" w:val="left" w:leader="none"/>
        </w:tabs>
        <w:spacing w:line="240" w:lineRule="auto" w:before="4" w:after="0"/>
        <w:ind w:left="1505" w:right="0" w:hanging="738"/>
        <w:jc w:val="left"/>
        <w:rPr>
          <w:sz w:val="21"/>
        </w:rPr>
      </w:pPr>
      <w:r>
        <w:rPr>
          <w:spacing w:val="-2"/>
          <w:sz w:val="21"/>
        </w:rPr>
        <w:t>QRS</w:t>
      </w:r>
      <w:r>
        <w:rPr>
          <w:spacing w:val="-14"/>
          <w:sz w:val="21"/>
        </w:rPr>
        <w:t> 时间≥</w:t>
      </w:r>
      <w:r>
        <w:rPr>
          <w:spacing w:val="-2"/>
          <w:sz w:val="21"/>
        </w:rPr>
        <w:t>130msec；</w:t>
      </w:r>
    </w:p>
    <w:p>
      <w:pPr>
        <w:pStyle w:val="ListParagraph"/>
        <w:numPr>
          <w:ilvl w:val="0"/>
          <w:numId w:val="62"/>
        </w:numPr>
        <w:tabs>
          <w:tab w:pos="1506" w:val="left" w:leader="none"/>
        </w:tabs>
        <w:spacing w:line="240" w:lineRule="auto" w:before="2" w:after="0"/>
        <w:ind w:left="1505" w:right="0" w:hanging="738"/>
        <w:jc w:val="left"/>
        <w:rPr>
          <w:sz w:val="21"/>
        </w:rPr>
      </w:pPr>
      <w:r>
        <w:rPr>
          <w:spacing w:val="-3"/>
          <w:sz w:val="21"/>
        </w:rPr>
        <w:t>药物治疗效果不佳，仍有症状。</w:t>
      </w:r>
    </w:p>
    <w:p>
      <w:pPr>
        <w:pStyle w:val="Heading2"/>
        <w:numPr>
          <w:ilvl w:val="0"/>
          <w:numId w:val="33"/>
        </w:numPr>
        <w:tabs>
          <w:tab w:pos="768" w:val="left" w:leader="none"/>
          <w:tab w:pos="769" w:val="left" w:leader="none"/>
        </w:tabs>
        <w:spacing w:line="363" w:lineRule="exact" w:before="109" w:after="0"/>
        <w:ind w:left="768" w:right="0" w:hanging="558"/>
        <w:jc w:val="left"/>
      </w:pPr>
      <w:r>
        <w:rPr>
          <w:spacing w:val="-2"/>
        </w:rPr>
        <w:t>完全性房室传导阻滞</w:t>
      </w:r>
    </w:p>
    <w:p>
      <w:pPr>
        <w:pStyle w:val="BodyText"/>
        <w:spacing w:line="245" w:lineRule="exact"/>
      </w:pPr>
      <w:r>
        <w:rPr>
          <w:spacing w:val="-7"/>
        </w:rPr>
        <w:t>指因慢性心脏疾病导致Ⅲ度或完全性房室传导阻滞。完全性房室传导阻滞是心房的激动不能正常地传</w:t>
      </w:r>
    </w:p>
    <w:p>
      <w:pPr>
        <w:pStyle w:val="BodyText"/>
        <w:spacing w:line="242" w:lineRule="auto" w:before="4"/>
        <w:ind w:right="911"/>
      </w:pPr>
      <w:r>
        <w:rPr>
          <w:spacing w:val="-2"/>
        </w:rPr>
        <w:t>导到心室，造成心室率过于缓慢，出现心力衰竭和因大脑供血不足导致的晕厥、阿-斯综合征。经相</w:t>
      </w:r>
      <w:r>
        <w:rPr>
          <w:spacing w:val="-2"/>
        </w:rPr>
        <w:t>关专科医生明确诊断，且须满足下列全部条件：</w:t>
      </w:r>
    </w:p>
    <w:p>
      <w:pPr>
        <w:pStyle w:val="ListParagraph"/>
        <w:numPr>
          <w:ilvl w:val="0"/>
          <w:numId w:val="63"/>
        </w:numPr>
        <w:tabs>
          <w:tab w:pos="1506" w:val="left" w:leader="none"/>
        </w:tabs>
        <w:spacing w:line="240" w:lineRule="auto" w:before="2" w:after="0"/>
        <w:ind w:left="1505" w:right="0" w:hanging="738"/>
        <w:jc w:val="left"/>
        <w:rPr>
          <w:sz w:val="21"/>
        </w:rPr>
      </w:pPr>
      <w:r>
        <w:rPr>
          <w:spacing w:val="-3"/>
          <w:sz w:val="21"/>
        </w:rPr>
        <w:t>患有慢性心脏疾病；</w:t>
      </w:r>
    </w:p>
    <w:p>
      <w:pPr>
        <w:pStyle w:val="ListParagraph"/>
        <w:numPr>
          <w:ilvl w:val="0"/>
          <w:numId w:val="63"/>
        </w:numPr>
        <w:tabs>
          <w:tab w:pos="1506" w:val="left" w:leader="none"/>
        </w:tabs>
        <w:spacing w:line="240" w:lineRule="auto" w:before="2" w:after="0"/>
        <w:ind w:left="1505" w:right="0" w:hanging="738"/>
        <w:jc w:val="left"/>
        <w:rPr>
          <w:sz w:val="21"/>
        </w:rPr>
      </w:pPr>
      <w:r>
        <w:rPr>
          <w:spacing w:val="-3"/>
          <w:sz w:val="21"/>
        </w:rPr>
        <w:t>曾经有晕厥、阿-斯综合征发作；</w:t>
      </w:r>
    </w:p>
    <w:p>
      <w:pPr>
        <w:pStyle w:val="ListParagraph"/>
        <w:numPr>
          <w:ilvl w:val="0"/>
          <w:numId w:val="63"/>
        </w:numPr>
        <w:tabs>
          <w:tab w:pos="1506" w:val="left" w:leader="none"/>
        </w:tabs>
        <w:spacing w:line="240" w:lineRule="auto" w:before="4" w:after="0"/>
        <w:ind w:left="1505" w:right="0" w:hanging="738"/>
        <w:jc w:val="left"/>
        <w:rPr>
          <w:sz w:val="21"/>
        </w:rPr>
      </w:pPr>
      <w:r>
        <w:rPr>
          <w:spacing w:val="-4"/>
          <w:sz w:val="21"/>
        </w:rPr>
        <w:t>心电图表现为持续室性逸搏心律，心室率持续低于 </w:t>
      </w:r>
      <w:r>
        <w:rPr>
          <w:spacing w:val="-2"/>
          <w:sz w:val="21"/>
        </w:rPr>
        <w:t>40</w:t>
      </w:r>
      <w:r>
        <w:rPr>
          <w:spacing w:val="-13"/>
          <w:sz w:val="21"/>
        </w:rPr>
        <w:t> 次/分；</w:t>
      </w:r>
    </w:p>
    <w:p>
      <w:pPr>
        <w:pStyle w:val="ListParagraph"/>
        <w:numPr>
          <w:ilvl w:val="0"/>
          <w:numId w:val="63"/>
        </w:numPr>
        <w:tabs>
          <w:tab w:pos="1506" w:val="left" w:leader="none"/>
        </w:tabs>
        <w:spacing w:line="240" w:lineRule="auto" w:before="2" w:after="0"/>
        <w:ind w:left="1505" w:right="0" w:hanging="738"/>
        <w:jc w:val="left"/>
        <w:rPr>
          <w:sz w:val="21"/>
        </w:rPr>
      </w:pPr>
      <w:r>
        <w:rPr>
          <w:spacing w:val="-3"/>
          <w:sz w:val="21"/>
        </w:rPr>
        <w:t>已经植入永久性心脏起搏器。</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3"/>
        </w:rPr>
        <w:t>风湿热导致的心脏瓣膜病变</w:t>
      </w:r>
    </w:p>
    <w:p>
      <w:pPr>
        <w:pStyle w:val="BodyText"/>
        <w:spacing w:line="246" w:lineRule="exact"/>
      </w:pPr>
      <w:r>
        <w:rPr>
          <w:spacing w:val="-5"/>
        </w:rPr>
        <w:t>指经相关专科医生根据已修订的 </w:t>
      </w:r>
      <w:r>
        <w:rPr>
          <w:spacing w:val="-2"/>
        </w:rPr>
        <w:t>Jones</w:t>
      </w:r>
      <w:r>
        <w:rPr>
          <w:spacing w:val="-14"/>
        </w:rPr>
        <w:t> 标准诊断证实罹患风湿热。且因风湿热所导致一个或以上最少</w:t>
      </w:r>
    </w:p>
    <w:p>
      <w:pPr>
        <w:pStyle w:val="BodyText"/>
        <w:spacing w:line="244" w:lineRule="auto" w:before="2"/>
        <w:ind w:right="907"/>
      </w:pPr>
      <w:r>
        <w:rPr/>
        <w:t>轻度心脏瓣膜关闭不全（</w:t>
      </w:r>
      <w:r>
        <w:rPr>
          <w:spacing w:val="-1"/>
        </w:rPr>
        <w:t>即返流部分达 </w:t>
      </w:r>
      <w:r>
        <w:rPr/>
        <w:t>20％或以上）或狭窄的心瓣损伤（即心脏瓣面积为正常值的 </w:t>
      </w:r>
      <w:r>
        <w:rPr>
          <w:spacing w:val="-2"/>
        </w:rPr>
        <w:t>30％或以下</w:t>
      </w:r>
      <w:r>
        <w:rPr>
          <w:spacing w:val="-106"/>
        </w:rPr>
        <w:t>）</w:t>
      </w:r>
      <w:r>
        <w:rPr>
          <w:spacing w:val="-2"/>
        </w:rPr>
        <w:t>。有关诊断须经相关专科医生根据心瓣功能的定量检查证实。</w:t>
      </w:r>
    </w:p>
    <w:p>
      <w:pPr>
        <w:pStyle w:val="Heading2"/>
        <w:numPr>
          <w:ilvl w:val="0"/>
          <w:numId w:val="33"/>
        </w:numPr>
        <w:tabs>
          <w:tab w:pos="768" w:val="left" w:leader="none"/>
          <w:tab w:pos="769" w:val="left" w:leader="none"/>
        </w:tabs>
        <w:spacing w:line="364" w:lineRule="exact" w:before="99" w:after="0"/>
        <w:ind w:left="768" w:right="0" w:hanging="558"/>
        <w:jc w:val="left"/>
      </w:pPr>
      <w:r>
        <w:rPr>
          <w:spacing w:val="-3"/>
        </w:rPr>
        <w:t>多发性大动脉炎旁路移植术</w:t>
      </w:r>
    </w:p>
    <w:p>
      <w:pPr>
        <w:pStyle w:val="BodyText"/>
        <w:spacing w:line="246" w:lineRule="exact"/>
      </w:pPr>
      <w:r>
        <w:rPr>
          <w:spacing w:val="-4"/>
        </w:rPr>
        <w:t>被保险人被明确诊断为头臂动脉型多发性大动脉炎并且实际接受了经胸部切开（含胸腔镜下）</w:t>
      </w:r>
      <w:r>
        <w:rPr>
          <w:spacing w:val="-7"/>
        </w:rPr>
        <w:t>进行的</w:t>
      </w:r>
    </w:p>
    <w:p>
      <w:pPr>
        <w:pStyle w:val="BodyText"/>
        <w:spacing w:before="3"/>
      </w:pPr>
      <w:r>
        <w:rPr>
          <w:spacing w:val="-2"/>
        </w:rPr>
        <w:t>无名动脉（头臂干</w:t>
      </w:r>
      <w:r>
        <w:rPr>
          <w:spacing w:val="-108"/>
        </w:rPr>
        <w:t>）</w:t>
      </w:r>
      <w:r>
        <w:rPr>
          <w:spacing w:val="-3"/>
        </w:rPr>
        <w:t>、颈总动脉、锁骨下动脉旁路移植手术。</w:t>
      </w:r>
    </w:p>
    <w:p>
      <w:pPr>
        <w:pStyle w:val="BodyText"/>
        <w:spacing w:line="244" w:lineRule="auto" w:before="2"/>
        <w:ind w:right="908"/>
      </w:pPr>
      <w:r>
        <w:rPr>
          <w:spacing w:val="-2"/>
        </w:rPr>
        <w:t>因其他病因而进行的旁路移植手术，对其他动脉进行的旁路移植手术，经皮经导管进行的血管内手术</w:t>
      </w:r>
      <w:r>
        <w:rPr>
          <w:spacing w:val="-2"/>
        </w:rPr>
        <w:t>不在保障范围内。</w:t>
      </w:r>
    </w:p>
    <w:p>
      <w:pPr>
        <w:pStyle w:val="Heading2"/>
        <w:numPr>
          <w:ilvl w:val="0"/>
          <w:numId w:val="33"/>
        </w:numPr>
        <w:tabs>
          <w:tab w:pos="768" w:val="left" w:leader="none"/>
          <w:tab w:pos="769" w:val="left" w:leader="none"/>
        </w:tabs>
        <w:spacing w:line="364" w:lineRule="exact" w:before="99" w:after="0"/>
        <w:ind w:left="768" w:right="0" w:hanging="558"/>
        <w:jc w:val="left"/>
      </w:pPr>
      <w:r>
        <w:rPr>
          <w:spacing w:val="-2"/>
        </w:rPr>
        <w:t>肺淋巴管肌瘤病</w:t>
      </w:r>
    </w:p>
    <w:p>
      <w:pPr>
        <w:pStyle w:val="BodyText"/>
        <w:spacing w:line="246" w:lineRule="exact"/>
      </w:pPr>
      <w:r>
        <w:rPr>
          <w:spacing w:val="-5"/>
        </w:rPr>
        <w:t>是一种弥漫性肺部疾病，主要病理改变为肺间质、支气管、血管和淋巴管内出现未成熟的平滑肌异常</w:t>
      </w:r>
    </w:p>
    <w:p>
      <w:pPr>
        <w:pStyle w:val="BodyText"/>
        <w:spacing w:before="2"/>
      </w:pPr>
      <w:r>
        <w:rPr>
          <w:spacing w:val="-3"/>
        </w:rPr>
        <w:t>增生，经相关专科医生明确诊断，且须满足下列全部条件：</w:t>
      </w:r>
    </w:p>
    <w:p>
      <w:pPr>
        <w:pStyle w:val="ListParagraph"/>
        <w:numPr>
          <w:ilvl w:val="0"/>
          <w:numId w:val="64"/>
        </w:numPr>
        <w:tabs>
          <w:tab w:pos="1506" w:val="left" w:leader="none"/>
        </w:tabs>
        <w:spacing w:line="240" w:lineRule="auto" w:before="4" w:after="0"/>
        <w:ind w:left="1505" w:right="0" w:hanging="738"/>
        <w:jc w:val="left"/>
        <w:rPr>
          <w:sz w:val="21"/>
        </w:rPr>
      </w:pPr>
      <w:r>
        <w:rPr>
          <w:spacing w:val="-3"/>
          <w:sz w:val="21"/>
        </w:rPr>
        <w:t>经组织病理学诊断；</w:t>
      </w:r>
    </w:p>
    <w:p>
      <w:pPr>
        <w:pStyle w:val="ListParagraph"/>
        <w:numPr>
          <w:ilvl w:val="0"/>
          <w:numId w:val="64"/>
        </w:numPr>
        <w:tabs>
          <w:tab w:pos="1506" w:val="left" w:leader="none"/>
        </w:tabs>
        <w:spacing w:line="240" w:lineRule="auto" w:before="3" w:after="0"/>
        <w:ind w:left="1505" w:right="0" w:hanging="738"/>
        <w:jc w:val="left"/>
        <w:rPr>
          <w:sz w:val="21"/>
        </w:rPr>
      </w:pPr>
      <w:r>
        <w:rPr>
          <w:spacing w:val="-2"/>
          <w:sz w:val="21"/>
        </w:rPr>
        <w:t>CT</w:t>
      </w:r>
      <w:r>
        <w:rPr>
          <w:spacing w:val="-10"/>
          <w:sz w:val="21"/>
        </w:rPr>
        <w:t> 显示双肺弥漫性囊性改变；</w:t>
      </w:r>
    </w:p>
    <w:p>
      <w:pPr>
        <w:pStyle w:val="ListParagraph"/>
        <w:numPr>
          <w:ilvl w:val="0"/>
          <w:numId w:val="64"/>
        </w:numPr>
        <w:tabs>
          <w:tab w:pos="1506" w:val="left" w:leader="none"/>
        </w:tabs>
        <w:spacing w:line="240" w:lineRule="auto" w:before="4" w:after="0"/>
        <w:ind w:left="1505" w:right="0" w:hanging="738"/>
        <w:jc w:val="left"/>
        <w:rPr>
          <w:sz w:val="21"/>
        </w:rPr>
      </w:pPr>
      <w:r>
        <w:rPr>
          <w:spacing w:val="-2"/>
          <w:position w:val="1"/>
          <w:sz w:val="21"/>
        </w:rPr>
        <w:t>动脉血氧分压（PaO</w:t>
      </w:r>
      <w:r>
        <w:rPr>
          <w:spacing w:val="-2"/>
          <w:sz w:val="11"/>
        </w:rPr>
        <w:t>2</w:t>
      </w:r>
      <w:r>
        <w:rPr>
          <w:spacing w:val="-2"/>
          <w:position w:val="1"/>
          <w:sz w:val="21"/>
        </w:rPr>
        <w:t>）＜55mmHg</w:t>
      </w:r>
      <w:r>
        <w:rPr>
          <w:spacing w:val="-10"/>
          <w:position w:val="1"/>
          <w:sz w:val="21"/>
        </w:rPr>
        <w:t>。</w:t>
      </w:r>
    </w:p>
    <w:p>
      <w:pPr>
        <w:pStyle w:val="Heading2"/>
        <w:numPr>
          <w:ilvl w:val="0"/>
          <w:numId w:val="33"/>
        </w:numPr>
        <w:tabs>
          <w:tab w:pos="768" w:val="left" w:leader="none"/>
          <w:tab w:pos="769" w:val="left" w:leader="none"/>
        </w:tabs>
        <w:spacing w:line="363" w:lineRule="exact" w:before="106" w:after="0"/>
        <w:ind w:left="768" w:right="0" w:hanging="558"/>
        <w:jc w:val="left"/>
      </w:pPr>
      <w:r>
        <w:rPr>
          <w:spacing w:val="-2"/>
        </w:rPr>
        <w:t>严重肺结节病</w:t>
      </w:r>
    </w:p>
    <w:p>
      <w:pPr>
        <w:pStyle w:val="BodyText"/>
        <w:spacing w:line="245" w:lineRule="exact"/>
      </w:pPr>
      <w:r>
        <w:rPr>
          <w:spacing w:val="-5"/>
        </w:rPr>
        <w:t>是一种原因未明的慢性肉芽肿病，可侵犯全身多个器官，以肺和淋巴结受累最为常见。严重肺结节病</w:t>
      </w:r>
    </w:p>
    <w:p>
      <w:pPr>
        <w:pStyle w:val="BodyText"/>
        <w:spacing w:before="4"/>
      </w:pPr>
      <w:r>
        <w:rPr>
          <w:spacing w:val="-3"/>
        </w:rPr>
        <w:t>表现为肺的广泛纤维化导致慢性呼吸功能衰竭，且须满足下列全部条件：</w:t>
      </w:r>
    </w:p>
    <w:p>
      <w:pPr>
        <w:pStyle w:val="ListParagraph"/>
        <w:numPr>
          <w:ilvl w:val="0"/>
          <w:numId w:val="65"/>
        </w:numPr>
        <w:tabs>
          <w:tab w:pos="1506" w:val="left" w:leader="none"/>
        </w:tabs>
        <w:spacing w:line="240" w:lineRule="auto" w:before="2" w:after="0"/>
        <w:ind w:left="1505" w:right="0" w:hanging="738"/>
        <w:jc w:val="left"/>
        <w:rPr>
          <w:sz w:val="21"/>
        </w:rPr>
      </w:pPr>
      <w:r>
        <w:rPr>
          <w:spacing w:val="-10"/>
          <w:sz w:val="21"/>
        </w:rPr>
        <w:t>肺结节病的 </w:t>
      </w:r>
      <w:r>
        <w:rPr>
          <w:spacing w:val="-2"/>
          <w:sz w:val="21"/>
        </w:rPr>
        <w:t>X</w:t>
      </w:r>
      <w:r>
        <w:rPr>
          <w:spacing w:val="-10"/>
          <w:sz w:val="21"/>
        </w:rPr>
        <w:t> 线分期为Ⅳ期，即广泛肺纤维化；</w:t>
      </w:r>
    </w:p>
    <w:p>
      <w:pPr>
        <w:pStyle w:val="ListParagraph"/>
        <w:numPr>
          <w:ilvl w:val="0"/>
          <w:numId w:val="65"/>
        </w:numPr>
        <w:tabs>
          <w:tab w:pos="1506" w:val="left" w:leader="none"/>
        </w:tabs>
        <w:spacing w:line="242" w:lineRule="auto" w:before="4" w:after="0"/>
        <w:ind w:left="1505" w:right="906" w:hanging="737"/>
        <w:jc w:val="left"/>
        <w:rPr>
          <w:sz w:val="21"/>
        </w:rPr>
      </w:pPr>
      <w:r>
        <w:rPr>
          <w:spacing w:val="-3"/>
          <w:position w:val="1"/>
          <w:sz w:val="21"/>
        </w:rPr>
        <w:t>永久不可逆性的慢性呼吸功能衰竭，临床持续 </w:t>
      </w:r>
      <w:r>
        <w:rPr>
          <w:position w:val="1"/>
          <w:sz w:val="21"/>
        </w:rPr>
        <w:t>180</w:t>
      </w:r>
      <w:r>
        <w:rPr>
          <w:spacing w:val="-7"/>
          <w:position w:val="1"/>
          <w:sz w:val="21"/>
        </w:rPr>
        <w:t> 天动脉血氧分压</w:t>
      </w:r>
      <w:r>
        <w:rPr>
          <w:position w:val="1"/>
          <w:sz w:val="21"/>
        </w:rPr>
        <w:t>（PaO</w:t>
      </w:r>
      <w:r>
        <w:rPr>
          <w:sz w:val="11"/>
        </w:rPr>
        <w:t>2</w:t>
      </w:r>
      <w:r>
        <w:rPr>
          <w:position w:val="1"/>
          <w:sz w:val="21"/>
        </w:rPr>
        <w:t>）＜50mmHg</w:t>
      </w:r>
      <w:r>
        <w:rPr>
          <w:spacing w:val="-12"/>
          <w:position w:val="1"/>
          <w:sz w:val="21"/>
        </w:rPr>
        <w:t> 和动脉</w:t>
      </w:r>
      <w:r>
        <w:rPr>
          <w:spacing w:val="-2"/>
          <w:position w:val="1"/>
          <w:sz w:val="21"/>
        </w:rPr>
        <w:t>血氧饱和度（SaO</w:t>
      </w:r>
      <w:r>
        <w:rPr>
          <w:spacing w:val="-2"/>
          <w:sz w:val="11"/>
        </w:rPr>
        <w:t>2</w:t>
      </w:r>
      <w:r>
        <w:rPr>
          <w:spacing w:val="-2"/>
          <w:position w:val="1"/>
          <w:sz w:val="21"/>
        </w:rPr>
        <w:t>）＜80％。</w:t>
      </w:r>
    </w:p>
    <w:p>
      <w:pPr>
        <w:pStyle w:val="Heading2"/>
        <w:numPr>
          <w:ilvl w:val="0"/>
          <w:numId w:val="33"/>
        </w:numPr>
        <w:tabs>
          <w:tab w:pos="768" w:val="left" w:leader="none"/>
          <w:tab w:pos="769" w:val="left" w:leader="none"/>
        </w:tabs>
        <w:spacing w:line="363" w:lineRule="exact" w:before="105" w:after="0"/>
        <w:ind w:left="768" w:right="0" w:hanging="558"/>
        <w:jc w:val="left"/>
      </w:pPr>
      <w:r>
        <w:rPr>
          <w:spacing w:val="-3"/>
        </w:rPr>
        <w:t>非阿尔茨海默病所致严重痴呆</w:t>
      </w:r>
    </w:p>
    <w:p>
      <w:pPr>
        <w:pStyle w:val="BodyText"/>
        <w:spacing w:line="245" w:lineRule="exact"/>
      </w:pPr>
      <w:r>
        <w:rPr>
          <w:spacing w:val="-6"/>
        </w:rPr>
        <w:t>指因阿尔茨海默病以外的脑的器质性疾病造成脑功能衰竭导致永久不可逆性严重痴呆，临床表现为严</w:t>
      </w:r>
    </w:p>
    <w:p>
      <w:pPr>
        <w:pStyle w:val="BodyText"/>
        <w:spacing w:line="242" w:lineRule="auto" w:before="5"/>
        <w:ind w:right="906"/>
        <w:jc w:val="both"/>
      </w:pPr>
      <w:r>
        <w:rPr>
          <w:spacing w:val="-2"/>
        </w:rPr>
        <w:t>重的认知功能障碍、精神行为异常和社交能力减退等，其日常生活必须持续受到他人监护。须由头颅</w:t>
      </w:r>
      <w:r>
        <w:rPr>
          <w:spacing w:val="-2"/>
        </w:rPr>
        <w:t>断层扫描</w:t>
      </w:r>
      <w:r>
        <w:rPr>
          <w:spacing w:val="24"/>
        </w:rPr>
        <w:t>（</w:t>
      </w:r>
      <w:r>
        <w:rPr>
          <w:spacing w:val="25"/>
        </w:rPr>
        <w:t>C</w:t>
      </w:r>
      <w:r>
        <w:rPr>
          <w:spacing w:val="22"/>
        </w:rPr>
        <w:t>T</w:t>
      </w:r>
      <w:r>
        <w:rPr>
          <w:spacing w:val="-81"/>
        </w:rPr>
        <w:t>）</w:t>
      </w:r>
      <w:r>
        <w:rPr>
          <w:spacing w:val="-2"/>
        </w:rPr>
        <w:t>、核磁共振检查（MRI）或正电子发射断层扫描（PET）等影像学检查证实，并经相关</w:t>
      </w:r>
      <w:r>
        <w:rPr>
          <w:spacing w:val="-2"/>
        </w:rPr>
        <w:t>专科医生确诊，且须满足下列至少一项条件：</w:t>
      </w:r>
    </w:p>
    <w:p>
      <w:pPr>
        <w:spacing w:after="0" w:line="242" w:lineRule="auto"/>
        <w:jc w:val="both"/>
        <w:sectPr>
          <w:pgSz w:w="11910" w:h="16840"/>
          <w:pgMar w:header="0" w:footer="574" w:top="1060" w:bottom="760" w:left="720" w:right="340"/>
        </w:sectPr>
      </w:pPr>
    </w:p>
    <w:p>
      <w:pPr>
        <w:pStyle w:val="ListParagraph"/>
        <w:numPr>
          <w:ilvl w:val="0"/>
          <w:numId w:val="66"/>
        </w:numPr>
        <w:tabs>
          <w:tab w:pos="1506" w:val="left" w:leader="none"/>
        </w:tabs>
        <w:spacing w:line="244" w:lineRule="auto" w:before="55" w:after="0"/>
        <w:ind w:left="1505" w:right="906" w:hanging="737"/>
        <w:jc w:val="left"/>
        <w:rPr>
          <w:sz w:val="21"/>
        </w:rPr>
      </w:pPr>
      <w:r>
        <w:rPr>
          <w:spacing w:val="-2"/>
          <w:sz w:val="21"/>
        </w:rPr>
        <w:t>由具有评估资格的专科医生根据临床痴呆评定量表（CDR，Clinical</w:t>
      </w:r>
      <w:r>
        <w:rPr>
          <w:spacing w:val="-4"/>
          <w:sz w:val="21"/>
        </w:rPr>
        <w:t> </w:t>
      </w:r>
      <w:r>
        <w:rPr>
          <w:spacing w:val="-2"/>
          <w:sz w:val="21"/>
        </w:rPr>
        <w:t>Dementia Rating）评估</w:t>
      </w:r>
      <w:r>
        <w:rPr>
          <w:spacing w:val="-6"/>
          <w:sz w:val="21"/>
        </w:rPr>
        <w:t>结果为 </w:t>
      </w:r>
      <w:r>
        <w:rPr>
          <w:sz w:val="21"/>
        </w:rPr>
        <w:t>3</w:t>
      </w:r>
      <w:r>
        <w:rPr>
          <w:spacing w:val="-8"/>
          <w:sz w:val="21"/>
        </w:rPr>
        <w:t> 分；</w:t>
      </w:r>
    </w:p>
    <w:p>
      <w:pPr>
        <w:pStyle w:val="ListParagraph"/>
        <w:numPr>
          <w:ilvl w:val="0"/>
          <w:numId w:val="66"/>
        </w:numPr>
        <w:tabs>
          <w:tab w:pos="1506" w:val="left" w:leader="none"/>
        </w:tabs>
        <w:spacing w:line="265" w:lineRule="exact" w:before="0" w:after="0"/>
        <w:ind w:left="1505" w:right="0" w:hanging="738"/>
        <w:jc w:val="left"/>
        <w:rPr>
          <w:sz w:val="21"/>
        </w:rPr>
      </w:pPr>
      <w:r>
        <w:rPr>
          <w:spacing w:val="-9"/>
          <w:sz w:val="21"/>
        </w:rPr>
        <w:t>被保险人自主生活能力完全丧失，无法独立完成六项基本日常生活活动中的三项或三项以上。</w:t>
      </w:r>
    </w:p>
    <w:p>
      <w:pPr>
        <w:pStyle w:val="BodyText"/>
        <w:spacing w:before="5"/>
      </w:pPr>
      <w:r>
        <w:rPr>
          <w:spacing w:val="-3"/>
        </w:rPr>
        <w:t>神经官能症，精神疾病及酒精中毒所致脑损害不在保障范围内。</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2"/>
        </w:rPr>
        <w:t>进行性核上性麻痹</w:t>
      </w:r>
    </w:p>
    <w:p>
      <w:pPr>
        <w:pStyle w:val="BodyText"/>
        <w:spacing w:line="246" w:lineRule="exact"/>
      </w:pPr>
      <w:r>
        <w:rPr>
          <w:spacing w:val="-5"/>
        </w:rPr>
        <w:t>指一种隐袭起病、逐渐加重的神经系统变性疾病。本病须由医院的神经科专科医生确诊，且须满足下</w:t>
      </w:r>
    </w:p>
    <w:p>
      <w:pPr>
        <w:pStyle w:val="BodyText"/>
        <w:spacing w:before="2"/>
      </w:pPr>
      <w:r>
        <w:rPr>
          <w:spacing w:val="-4"/>
        </w:rPr>
        <w:t>列全部临床特征：</w:t>
      </w:r>
    </w:p>
    <w:p>
      <w:pPr>
        <w:pStyle w:val="ListParagraph"/>
        <w:numPr>
          <w:ilvl w:val="0"/>
          <w:numId w:val="67"/>
        </w:numPr>
        <w:tabs>
          <w:tab w:pos="1506" w:val="left" w:leader="none"/>
        </w:tabs>
        <w:spacing w:line="240" w:lineRule="auto" w:before="5" w:after="0"/>
        <w:ind w:left="1505" w:right="0" w:hanging="738"/>
        <w:jc w:val="left"/>
        <w:rPr>
          <w:sz w:val="21"/>
        </w:rPr>
      </w:pPr>
      <w:r>
        <w:rPr>
          <w:spacing w:val="-4"/>
          <w:sz w:val="21"/>
        </w:rPr>
        <w:t>共济失调；</w:t>
      </w:r>
    </w:p>
    <w:p>
      <w:pPr>
        <w:pStyle w:val="ListParagraph"/>
        <w:numPr>
          <w:ilvl w:val="0"/>
          <w:numId w:val="67"/>
        </w:numPr>
        <w:tabs>
          <w:tab w:pos="1506" w:val="left" w:leader="none"/>
        </w:tabs>
        <w:spacing w:line="240" w:lineRule="auto" w:before="2" w:after="0"/>
        <w:ind w:left="1505" w:right="0" w:hanging="738"/>
        <w:jc w:val="left"/>
        <w:rPr>
          <w:sz w:val="21"/>
        </w:rPr>
      </w:pPr>
      <w:r>
        <w:rPr>
          <w:spacing w:val="-3"/>
          <w:sz w:val="21"/>
        </w:rPr>
        <w:t>对称性眼球垂直运动障碍；</w:t>
      </w:r>
    </w:p>
    <w:p>
      <w:pPr>
        <w:pStyle w:val="ListParagraph"/>
        <w:numPr>
          <w:ilvl w:val="0"/>
          <w:numId w:val="67"/>
        </w:numPr>
        <w:tabs>
          <w:tab w:pos="1506" w:val="left" w:leader="none"/>
        </w:tabs>
        <w:spacing w:line="240" w:lineRule="auto" w:before="5" w:after="0"/>
        <w:ind w:left="1505" w:right="0" w:hanging="738"/>
        <w:jc w:val="left"/>
        <w:rPr>
          <w:sz w:val="21"/>
        </w:rPr>
      </w:pPr>
      <w:r>
        <w:rPr>
          <w:spacing w:val="-2"/>
          <w:sz w:val="21"/>
        </w:rPr>
        <w:t>假性球麻痹（构音障碍和吞咽困难</w:t>
      </w:r>
      <w:r>
        <w:rPr>
          <w:spacing w:val="-108"/>
          <w:sz w:val="21"/>
        </w:rPr>
        <w:t>）</w:t>
      </w:r>
      <w:r>
        <w:rPr>
          <w:spacing w:val="-10"/>
          <w:sz w:val="21"/>
        </w:rPr>
        <w:t>。</w:t>
      </w:r>
    </w:p>
    <w:p>
      <w:pPr>
        <w:pStyle w:val="Heading2"/>
        <w:numPr>
          <w:ilvl w:val="0"/>
          <w:numId w:val="33"/>
        </w:numPr>
        <w:tabs>
          <w:tab w:pos="768" w:val="left" w:leader="none"/>
          <w:tab w:pos="769" w:val="left" w:leader="none"/>
        </w:tabs>
        <w:spacing w:line="381" w:lineRule="exact" w:before="105" w:after="0"/>
        <w:ind w:left="768" w:right="0" w:hanging="558"/>
        <w:jc w:val="left"/>
      </w:pPr>
      <w:r>
        <w:rPr>
          <w:spacing w:val="-3"/>
        </w:rPr>
        <w:t>克雅氏病</w:t>
      </w:r>
    </w:p>
    <w:p>
      <w:pPr>
        <w:pStyle w:val="BodyText"/>
        <w:spacing w:line="242" w:lineRule="auto"/>
        <w:ind w:right="908"/>
      </w:pPr>
      <w:r>
        <w:rPr>
          <w:spacing w:val="-2"/>
        </w:rPr>
        <w:t>是一种由动物传染而来的中枢神经系统变性疾病，大脑呈海绵状改变伴神经元缺失和胶质化。临床表</w:t>
      </w:r>
      <w:r>
        <w:rPr>
          <w:spacing w:val="-2"/>
        </w:rPr>
        <w:t>现为进行性痴呆、不随意运动及抽搐、行动困难等，须经相关专科医生明确诊断。</w:t>
      </w:r>
    </w:p>
    <w:p>
      <w:pPr>
        <w:pStyle w:val="Heading2"/>
        <w:numPr>
          <w:ilvl w:val="0"/>
          <w:numId w:val="33"/>
        </w:numPr>
        <w:tabs>
          <w:tab w:pos="768" w:val="left" w:leader="none"/>
          <w:tab w:pos="769" w:val="left" w:leader="none"/>
        </w:tabs>
        <w:spacing w:line="363" w:lineRule="exact" w:before="99" w:after="0"/>
        <w:ind w:left="768" w:right="0" w:hanging="558"/>
        <w:jc w:val="left"/>
      </w:pPr>
      <w:r>
        <w:rPr>
          <w:spacing w:val="-2"/>
        </w:rPr>
        <w:t>亚急性硬化性全脑炎</w:t>
      </w:r>
    </w:p>
    <w:p>
      <w:pPr>
        <w:pStyle w:val="BodyText"/>
        <w:spacing w:line="245" w:lineRule="exact"/>
      </w:pPr>
      <w:r>
        <w:rPr>
          <w:spacing w:val="-6"/>
        </w:rPr>
        <w:t>指麻疹或麻疹样病毒所致的一种中枢神经系统慢性病毒感染。中枢神经系统呈现灰质和白质破坏为特</w:t>
      </w:r>
    </w:p>
    <w:p>
      <w:pPr>
        <w:pStyle w:val="BodyText"/>
        <w:spacing w:before="4"/>
      </w:pPr>
      <w:r>
        <w:rPr>
          <w:spacing w:val="-3"/>
        </w:rPr>
        <w:t>征的慢性和急性混合存在的炎症。经相关专科医生明确诊断，且须满足下列全部条件：</w:t>
      </w:r>
    </w:p>
    <w:p>
      <w:pPr>
        <w:pStyle w:val="ListParagraph"/>
        <w:numPr>
          <w:ilvl w:val="0"/>
          <w:numId w:val="68"/>
        </w:numPr>
        <w:tabs>
          <w:tab w:pos="1506" w:val="left" w:leader="none"/>
        </w:tabs>
        <w:spacing w:line="244" w:lineRule="auto" w:before="2" w:after="0"/>
        <w:ind w:left="1505" w:right="906" w:hanging="737"/>
        <w:jc w:val="left"/>
        <w:rPr>
          <w:sz w:val="21"/>
        </w:rPr>
      </w:pPr>
      <w:r>
        <w:rPr>
          <w:spacing w:val="-5"/>
          <w:sz w:val="21"/>
        </w:rPr>
        <w:t>临床检查证实脑电图存在周期性复合波、脑脊液 </w:t>
      </w:r>
      <w:r>
        <w:rPr>
          <w:rFonts w:ascii="Cambria" w:hAnsi="Cambria" w:eastAsia="Cambria"/>
          <w:spacing w:val="-2"/>
          <w:sz w:val="21"/>
        </w:rPr>
        <w:t>Ƴ</w:t>
      </w:r>
      <w:r>
        <w:rPr>
          <w:spacing w:val="-2"/>
          <w:sz w:val="21"/>
        </w:rPr>
        <w:t>-球蛋白升高、脑脊液和血清中麻疹抗体滴</w:t>
      </w:r>
      <w:r>
        <w:rPr>
          <w:spacing w:val="-2"/>
          <w:sz w:val="21"/>
        </w:rPr>
        <w:t>定度升高；</w:t>
      </w:r>
    </w:p>
    <w:p>
      <w:pPr>
        <w:pStyle w:val="ListParagraph"/>
        <w:numPr>
          <w:ilvl w:val="0"/>
          <w:numId w:val="68"/>
        </w:numPr>
        <w:tabs>
          <w:tab w:pos="1506" w:val="left" w:leader="none"/>
        </w:tabs>
        <w:spacing w:line="242" w:lineRule="auto" w:before="0" w:after="0"/>
        <w:ind w:left="1505" w:right="907" w:hanging="737"/>
        <w:jc w:val="left"/>
        <w:rPr>
          <w:sz w:val="21"/>
        </w:rPr>
      </w:pPr>
      <w:r>
        <w:rPr>
          <w:spacing w:val="-2"/>
          <w:sz w:val="21"/>
        </w:rPr>
        <w:t>被保险人出现运动障碍，永久不可逆丧失自主生活能力，无法独立完成六项基本日常生活活</w:t>
      </w:r>
      <w:r>
        <w:rPr>
          <w:spacing w:val="-2"/>
          <w:sz w:val="21"/>
        </w:rPr>
        <w:t>动中的三项或三项以上。</w:t>
      </w:r>
    </w:p>
    <w:p>
      <w:pPr>
        <w:pStyle w:val="Heading2"/>
        <w:numPr>
          <w:ilvl w:val="0"/>
          <w:numId w:val="33"/>
        </w:numPr>
        <w:tabs>
          <w:tab w:pos="768" w:val="left" w:leader="none"/>
          <w:tab w:pos="769" w:val="left" w:leader="none"/>
        </w:tabs>
        <w:spacing w:line="363" w:lineRule="exact" w:before="101" w:after="0"/>
        <w:ind w:left="768" w:right="0" w:hanging="558"/>
        <w:jc w:val="left"/>
      </w:pPr>
      <w:r>
        <w:rPr>
          <w:spacing w:val="-3"/>
        </w:rPr>
        <w:t>进行性多灶性白质脑病</w:t>
      </w:r>
    </w:p>
    <w:p>
      <w:pPr>
        <w:pStyle w:val="BodyText"/>
        <w:spacing w:line="245" w:lineRule="exact"/>
      </w:pPr>
      <w:r>
        <w:rPr>
          <w:spacing w:val="-5"/>
        </w:rPr>
        <w:t>是一种亚急性脱髓鞘脑病，常发生于免疫缺陷病人。经相关专科医生明确诊断，且须满足下列全部条</w:t>
      </w:r>
    </w:p>
    <w:p>
      <w:pPr>
        <w:pStyle w:val="BodyText"/>
        <w:spacing w:before="4"/>
      </w:pPr>
      <w:r>
        <w:rPr>
          <w:spacing w:val="-5"/>
        </w:rPr>
        <w:t>件：</w:t>
      </w:r>
    </w:p>
    <w:p>
      <w:pPr>
        <w:pStyle w:val="ListParagraph"/>
        <w:numPr>
          <w:ilvl w:val="0"/>
          <w:numId w:val="69"/>
        </w:numPr>
        <w:tabs>
          <w:tab w:pos="1506" w:val="left" w:leader="none"/>
        </w:tabs>
        <w:spacing w:line="240" w:lineRule="auto" w:before="3" w:after="0"/>
        <w:ind w:left="1505" w:right="0" w:hanging="738"/>
        <w:jc w:val="left"/>
        <w:rPr>
          <w:sz w:val="21"/>
        </w:rPr>
      </w:pPr>
      <w:r>
        <w:rPr>
          <w:spacing w:val="-3"/>
          <w:sz w:val="21"/>
        </w:rPr>
        <w:t>根据脑组织活检确诊；</w:t>
      </w:r>
    </w:p>
    <w:p>
      <w:pPr>
        <w:pStyle w:val="ListParagraph"/>
        <w:numPr>
          <w:ilvl w:val="0"/>
          <w:numId w:val="69"/>
        </w:numPr>
        <w:tabs>
          <w:tab w:pos="1506" w:val="left" w:leader="none"/>
        </w:tabs>
        <w:spacing w:line="240" w:lineRule="auto" w:before="4" w:after="0"/>
        <w:ind w:left="1505" w:right="0" w:hanging="738"/>
        <w:jc w:val="left"/>
        <w:rPr>
          <w:sz w:val="21"/>
        </w:rPr>
      </w:pPr>
      <w:r>
        <w:rPr>
          <w:spacing w:val="-3"/>
          <w:sz w:val="21"/>
        </w:rPr>
        <w:t>永久不可逆丧失自主生活能力，无法独立完成六项基本日常生活活动中的三项或三项以上。</w:t>
      </w:r>
    </w:p>
    <w:p>
      <w:pPr>
        <w:pStyle w:val="Heading2"/>
        <w:numPr>
          <w:ilvl w:val="0"/>
          <w:numId w:val="33"/>
        </w:numPr>
        <w:tabs>
          <w:tab w:pos="768" w:val="left" w:leader="none"/>
          <w:tab w:pos="769" w:val="left" w:leader="none"/>
        </w:tabs>
        <w:spacing w:line="363" w:lineRule="exact" w:before="106" w:after="0"/>
        <w:ind w:left="768" w:right="0" w:hanging="558"/>
        <w:jc w:val="left"/>
      </w:pPr>
      <w:r>
        <w:rPr>
          <w:spacing w:val="-2"/>
        </w:rPr>
        <w:t>丧失独立生活能力</w:t>
      </w:r>
    </w:p>
    <w:p>
      <w:pPr>
        <w:pStyle w:val="BodyText"/>
        <w:spacing w:line="245" w:lineRule="exact"/>
      </w:pPr>
      <w:r>
        <w:rPr>
          <w:spacing w:val="-6"/>
        </w:rPr>
        <w:t>指由于疾病或外伤导致被保险人永久不可逆的完全丧失独立生活能力，无法独立完成六项基本日常生</w:t>
      </w:r>
    </w:p>
    <w:p>
      <w:pPr>
        <w:pStyle w:val="BodyText"/>
        <w:spacing w:before="4"/>
      </w:pPr>
      <w:r>
        <w:rPr>
          <w:spacing w:val="-3"/>
        </w:rPr>
        <w:t>活活动中的四项或四项以上。</w:t>
      </w:r>
    </w:p>
    <w:p>
      <w:pPr>
        <w:pStyle w:val="BodyText"/>
        <w:spacing w:before="2"/>
      </w:pPr>
      <w:r>
        <w:rPr>
          <w:spacing w:val="-9"/>
        </w:rPr>
        <w:t>被保险人在 </w:t>
      </w:r>
      <w:r>
        <w:rPr>
          <w:spacing w:val="-2"/>
        </w:rPr>
        <w:t>6</w:t>
      </w:r>
      <w:r>
        <w:rPr>
          <w:spacing w:val="-10"/>
        </w:rPr>
        <w:t> 周岁之前因疾病导致的丧失独立生活能力不在保障范围内。</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2"/>
        </w:rPr>
        <w:t>脊髓小脑变性症</w:t>
      </w:r>
    </w:p>
    <w:p>
      <w:pPr>
        <w:pStyle w:val="BodyText"/>
        <w:spacing w:line="245" w:lineRule="exact"/>
      </w:pPr>
      <w:r>
        <w:rPr>
          <w:spacing w:val="-5"/>
        </w:rPr>
        <w:t>指一组以小脑萎缩和共济失调为主要临床特点的与遗传有关的疾病，临床表现存在共济失调、语言障</w:t>
      </w:r>
    </w:p>
    <w:p>
      <w:pPr>
        <w:pStyle w:val="BodyText"/>
        <w:spacing w:before="5"/>
      </w:pPr>
      <w:r>
        <w:rPr>
          <w:spacing w:val="-3"/>
        </w:rPr>
        <w:t>碍和肌张力异常，经相关专科医生明确诊断，且须满足下列全部条件：</w:t>
      </w:r>
    </w:p>
    <w:p>
      <w:pPr>
        <w:pStyle w:val="ListParagraph"/>
        <w:numPr>
          <w:ilvl w:val="0"/>
          <w:numId w:val="70"/>
        </w:numPr>
        <w:tabs>
          <w:tab w:pos="1506" w:val="left" w:leader="none"/>
        </w:tabs>
        <w:spacing w:line="240" w:lineRule="auto" w:before="2" w:after="0"/>
        <w:ind w:left="1505" w:right="0" w:hanging="738"/>
        <w:jc w:val="left"/>
        <w:rPr>
          <w:sz w:val="21"/>
        </w:rPr>
      </w:pPr>
      <w:r>
        <w:rPr>
          <w:spacing w:val="-3"/>
          <w:sz w:val="21"/>
        </w:rPr>
        <w:t>影像学检查证实存在小脑萎缩；</w:t>
      </w:r>
    </w:p>
    <w:p>
      <w:pPr>
        <w:pStyle w:val="ListParagraph"/>
        <w:numPr>
          <w:ilvl w:val="0"/>
          <w:numId w:val="70"/>
        </w:numPr>
        <w:tabs>
          <w:tab w:pos="1506" w:val="left" w:leader="none"/>
        </w:tabs>
        <w:spacing w:line="242" w:lineRule="auto" w:before="4" w:after="0"/>
        <w:ind w:left="1505" w:right="907" w:hanging="737"/>
        <w:jc w:val="left"/>
        <w:rPr>
          <w:sz w:val="21"/>
        </w:rPr>
      </w:pPr>
      <w:r>
        <w:rPr>
          <w:spacing w:val="-2"/>
          <w:sz w:val="21"/>
        </w:rPr>
        <w:t>被保险人运动功能严重障碍，自主生活能力永久完全丧失，无法独立完成六项基本日常生活</w:t>
      </w:r>
      <w:r>
        <w:rPr>
          <w:spacing w:val="-2"/>
          <w:sz w:val="21"/>
        </w:rPr>
        <w:t>活动中的三项或三项以上。</w:t>
      </w:r>
    </w:p>
    <w:p>
      <w:pPr>
        <w:pStyle w:val="Heading2"/>
        <w:numPr>
          <w:ilvl w:val="0"/>
          <w:numId w:val="33"/>
        </w:numPr>
        <w:tabs>
          <w:tab w:pos="768" w:val="left" w:leader="none"/>
          <w:tab w:pos="769" w:val="left" w:leader="none"/>
        </w:tabs>
        <w:spacing w:line="364" w:lineRule="exact" w:before="103" w:after="0"/>
        <w:ind w:left="768" w:right="0" w:hanging="558"/>
        <w:jc w:val="left"/>
      </w:pPr>
      <w:r>
        <w:rPr>
          <w:spacing w:val="-2"/>
        </w:rPr>
        <w:t>神经白塞病</w:t>
      </w:r>
    </w:p>
    <w:p>
      <w:pPr>
        <w:pStyle w:val="BodyText"/>
        <w:spacing w:line="246" w:lineRule="exact"/>
      </w:pPr>
      <w:r>
        <w:rPr>
          <w:spacing w:val="-5"/>
        </w:rPr>
        <w:t>是一种慢性全身性血管炎症性疾病，主要表现为复发性口腔溃疡、生殖器溃疡、眼炎及皮肤损害，并</w:t>
      </w:r>
    </w:p>
    <w:p>
      <w:pPr>
        <w:pStyle w:val="BodyText"/>
        <w:spacing w:line="242" w:lineRule="auto" w:before="2"/>
        <w:ind w:right="908"/>
        <w:jc w:val="both"/>
      </w:pPr>
      <w:r>
        <w:rPr>
          <w:spacing w:val="-2"/>
        </w:rPr>
        <w:t>可累及大血管、神经系统、消化道、肺、肾等。累及神经系统损害的白塞病称为神经白塞病。经相关</w:t>
      </w:r>
      <w:r>
        <w:rPr>
          <w:spacing w:val="-2"/>
        </w:rPr>
        <w:t>专科医生明确诊断，并且已经造成永久不可逆的神经系统功能损害。永久不可逆的神经系统损害指被</w:t>
      </w:r>
      <w:r>
        <w:rPr>
          <w:spacing w:val="-4"/>
        </w:rPr>
        <w:t>保险人持续 </w:t>
      </w:r>
      <w:r>
        <w:rPr/>
        <w:t>180</w:t>
      </w:r>
      <w:r>
        <w:rPr>
          <w:spacing w:val="-5"/>
        </w:rPr>
        <w:t> 天无法独立完成下列基本日常生活活动之一：</w:t>
      </w:r>
    </w:p>
    <w:p>
      <w:pPr>
        <w:pStyle w:val="ListParagraph"/>
        <w:numPr>
          <w:ilvl w:val="0"/>
          <w:numId w:val="71"/>
        </w:numPr>
        <w:tabs>
          <w:tab w:pos="1506" w:val="left" w:leader="none"/>
        </w:tabs>
        <w:spacing w:line="240" w:lineRule="auto" w:before="3" w:after="0"/>
        <w:ind w:left="1505" w:right="0" w:hanging="738"/>
        <w:jc w:val="both"/>
        <w:rPr>
          <w:sz w:val="21"/>
        </w:rPr>
      </w:pPr>
      <w:r>
        <w:rPr>
          <w:spacing w:val="-3"/>
          <w:sz w:val="21"/>
        </w:rPr>
        <w:t>移动：自己从一个房间到另一个房间；</w:t>
      </w:r>
    </w:p>
    <w:p>
      <w:pPr>
        <w:pStyle w:val="ListParagraph"/>
        <w:numPr>
          <w:ilvl w:val="0"/>
          <w:numId w:val="71"/>
        </w:numPr>
        <w:tabs>
          <w:tab w:pos="1506" w:val="left" w:leader="none"/>
        </w:tabs>
        <w:spacing w:line="240" w:lineRule="auto" w:before="3" w:after="0"/>
        <w:ind w:left="1505" w:right="0" w:hanging="738"/>
        <w:jc w:val="both"/>
        <w:rPr>
          <w:sz w:val="21"/>
        </w:rPr>
      </w:pPr>
      <w:r>
        <w:rPr>
          <w:spacing w:val="-3"/>
          <w:sz w:val="21"/>
        </w:rPr>
        <w:t>进食：自己从已准备好的碗或碟中取食物放入口中。</w:t>
      </w:r>
    </w:p>
    <w:p>
      <w:pPr>
        <w:pStyle w:val="Heading2"/>
        <w:numPr>
          <w:ilvl w:val="0"/>
          <w:numId w:val="33"/>
        </w:numPr>
        <w:tabs>
          <w:tab w:pos="768" w:val="left" w:leader="none"/>
          <w:tab w:pos="769" w:val="left" w:leader="none"/>
        </w:tabs>
        <w:spacing w:line="363" w:lineRule="exact" w:before="107" w:after="0"/>
        <w:ind w:left="768" w:right="0" w:hanging="558"/>
        <w:jc w:val="left"/>
      </w:pPr>
      <w:r>
        <w:rPr>
          <w:spacing w:val="-3"/>
        </w:rPr>
        <w:t>严重非恶性脊髓内肿瘤</w:t>
      </w:r>
    </w:p>
    <w:p>
      <w:pPr>
        <w:pStyle w:val="BodyText"/>
        <w:spacing w:line="245" w:lineRule="exact"/>
      </w:pPr>
      <w:r>
        <w:rPr>
          <w:spacing w:val="-2"/>
        </w:rPr>
        <w:t>指脊髓内的非恶性肿瘤，ICD-O-3</w:t>
      </w:r>
      <w:r>
        <w:rPr>
          <w:spacing w:val="-11"/>
        </w:rPr>
        <w:t> 肿瘤形态学编码属于 </w:t>
      </w:r>
      <w:r>
        <w:rPr>
          <w:spacing w:val="-2"/>
        </w:rPr>
        <w:t>0（良性肿瘤）、1（动态未定性肿瘤）</w:t>
      </w:r>
      <w:r>
        <w:rPr>
          <w:spacing w:val="-5"/>
        </w:rPr>
        <w:t>范畴。</w:t>
      </w:r>
    </w:p>
    <w:p>
      <w:pPr>
        <w:pStyle w:val="BodyText"/>
        <w:spacing w:before="5"/>
      </w:pPr>
      <w:r>
        <w:rPr>
          <w:spacing w:val="-3"/>
        </w:rPr>
        <w:t>肿瘤造成脊髓损害导致瘫痪，且须满足下列全部条件：</w:t>
      </w:r>
    </w:p>
    <w:p>
      <w:pPr>
        <w:pStyle w:val="ListParagraph"/>
        <w:numPr>
          <w:ilvl w:val="0"/>
          <w:numId w:val="72"/>
        </w:numPr>
        <w:tabs>
          <w:tab w:pos="1506" w:val="left" w:leader="none"/>
        </w:tabs>
        <w:spacing w:line="240" w:lineRule="auto" w:before="2" w:after="0"/>
        <w:ind w:left="1505" w:right="0" w:hanging="738"/>
        <w:jc w:val="left"/>
        <w:rPr>
          <w:sz w:val="21"/>
        </w:rPr>
      </w:pPr>
      <w:r>
        <w:rPr>
          <w:spacing w:val="-3"/>
          <w:sz w:val="21"/>
        </w:rPr>
        <w:t>被保险人实际接受了肿瘤切除的手术治疗；</w:t>
      </w:r>
    </w:p>
    <w:p>
      <w:pPr>
        <w:pStyle w:val="ListParagraph"/>
        <w:numPr>
          <w:ilvl w:val="0"/>
          <w:numId w:val="72"/>
        </w:numPr>
        <w:tabs>
          <w:tab w:pos="1506" w:val="left" w:leader="none"/>
        </w:tabs>
        <w:spacing w:line="240" w:lineRule="auto" w:before="5" w:after="0"/>
        <w:ind w:left="1505" w:right="0" w:hanging="738"/>
        <w:jc w:val="left"/>
        <w:rPr>
          <w:sz w:val="21"/>
        </w:rPr>
      </w:pPr>
      <w:r>
        <w:rPr>
          <w:spacing w:val="-15"/>
          <w:sz w:val="21"/>
        </w:rPr>
        <w:t>手术 </w:t>
      </w:r>
      <w:r>
        <w:rPr>
          <w:spacing w:val="-2"/>
          <w:sz w:val="21"/>
        </w:rPr>
        <w:t>180</w:t>
      </w:r>
      <w:r>
        <w:rPr>
          <w:spacing w:val="-9"/>
          <w:sz w:val="21"/>
        </w:rPr>
        <w:t> 天后遗留下列神经系统损害，无法独立完成下列基本日常生活活动之一：</w:t>
      </w:r>
    </w:p>
    <w:p>
      <w:pPr>
        <w:pStyle w:val="BodyText"/>
        <w:spacing w:before="2"/>
        <w:ind w:left="1505"/>
      </w:pPr>
      <w:r>
        <w:rPr>
          <w:spacing w:val="-3"/>
        </w:rPr>
        <w:t>①移动：自己从一个房间到另一个房间；</w:t>
      </w:r>
    </w:p>
    <w:p>
      <w:pPr>
        <w:spacing w:after="0"/>
        <w:sectPr>
          <w:pgSz w:w="11910" w:h="16840"/>
          <w:pgMar w:header="0" w:footer="574" w:top="1060" w:bottom="760" w:left="720" w:right="340"/>
        </w:sectPr>
      </w:pPr>
    </w:p>
    <w:p>
      <w:pPr>
        <w:pStyle w:val="BodyText"/>
        <w:spacing w:before="55"/>
        <w:ind w:left="80" w:right="2868"/>
        <w:jc w:val="center"/>
      </w:pPr>
      <w:r>
        <w:rPr>
          <w:spacing w:val="-3"/>
        </w:rPr>
        <w:t>②进食：自己从已准备好的碗或碟中取食物放入口中。</w:t>
      </w:r>
    </w:p>
    <w:p>
      <w:pPr>
        <w:pStyle w:val="BodyText"/>
        <w:spacing w:before="5"/>
        <w:ind w:left="78" w:right="2868"/>
        <w:jc w:val="center"/>
      </w:pPr>
      <w:r>
        <w:rPr>
          <w:spacing w:val="-3"/>
        </w:rPr>
        <w:t>非脊髓内的其他椎管内肿瘤、脊柱肿瘤、神经纤维瘤不在保障范围内。</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亚历山大病</w:t>
      </w:r>
    </w:p>
    <w:p>
      <w:pPr>
        <w:pStyle w:val="BodyText"/>
        <w:spacing w:line="246" w:lineRule="exact"/>
      </w:pPr>
      <w:r>
        <w:rPr>
          <w:spacing w:val="-10"/>
        </w:rPr>
        <w:t>是一种遗传性中枢神经系统退行性病变，特点为脑白质营养不良性。临床表现为惊厥发作、智力下降、</w:t>
      </w:r>
    </w:p>
    <w:p>
      <w:pPr>
        <w:pStyle w:val="BodyText"/>
        <w:spacing w:line="242" w:lineRule="auto" w:before="2"/>
        <w:ind w:right="908"/>
        <w:jc w:val="both"/>
      </w:pPr>
      <w:r>
        <w:rPr>
          <w:spacing w:val="-2"/>
        </w:rPr>
        <w:t>球麻痹、共济失调、痉挛性瘫痪。经相关专科医生明确诊断，并且造成永久性神经系统功能障碍。被</w:t>
      </w:r>
      <w:r>
        <w:rPr>
          <w:spacing w:val="-2"/>
        </w:rPr>
        <w:t>保险人自主生活能力完全丧失，无法独立完成六项基本日常生活活动中的三项或三项以上，日常生活</w:t>
      </w:r>
      <w:r>
        <w:rPr>
          <w:spacing w:val="-2"/>
        </w:rPr>
        <w:t>必须持续受到他人护理。</w:t>
      </w:r>
    </w:p>
    <w:p>
      <w:pPr>
        <w:pStyle w:val="Heading2"/>
        <w:numPr>
          <w:ilvl w:val="0"/>
          <w:numId w:val="33"/>
        </w:numPr>
        <w:tabs>
          <w:tab w:pos="768" w:val="left" w:leader="none"/>
          <w:tab w:pos="769" w:val="left" w:leader="none"/>
        </w:tabs>
        <w:spacing w:line="363" w:lineRule="exact" w:before="106" w:after="0"/>
        <w:ind w:left="768" w:right="0" w:hanging="558"/>
        <w:jc w:val="left"/>
      </w:pPr>
      <w:r>
        <w:rPr>
          <w:spacing w:val="-2"/>
        </w:rPr>
        <w:t>脊髓空洞症</w:t>
      </w:r>
    </w:p>
    <w:p>
      <w:pPr>
        <w:pStyle w:val="BodyText"/>
        <w:spacing w:line="245" w:lineRule="exact"/>
      </w:pPr>
      <w:r>
        <w:rPr>
          <w:spacing w:val="-12"/>
        </w:rPr>
        <w:t>为慢性进行性的脊髓变性疾病，其特征为脊髓内空洞形成。表现为感觉异常、肌萎缩及神经营养障碍。</w:t>
      </w:r>
    </w:p>
    <w:p>
      <w:pPr>
        <w:pStyle w:val="BodyText"/>
        <w:spacing w:line="242" w:lineRule="auto" w:before="2"/>
        <w:ind w:right="906"/>
        <w:jc w:val="both"/>
      </w:pPr>
      <w:r>
        <w:rPr>
          <w:spacing w:val="-2"/>
        </w:rPr>
        <w:t>脊髓空洞症累及延髓的称为延髓空洞症，表现为延髓麻痹。经相关专科医生明确诊断，并且造成永久</w:t>
      </w:r>
      <w:r>
        <w:rPr>
          <w:spacing w:val="-5"/>
        </w:rPr>
        <w:t>不可逆的神经系统功能障碍，存在持续至少 </w:t>
      </w:r>
      <w:r>
        <w:rPr>
          <w:spacing w:val="-4"/>
        </w:rPr>
        <w:t>180</w:t>
      </w:r>
      <w:r>
        <w:rPr>
          <w:spacing w:val="-7"/>
        </w:rPr>
        <w:t> 天以上的神经系统功能缺失，且须满足下列至少一项</w:t>
      </w:r>
      <w:r>
        <w:rPr>
          <w:spacing w:val="-4"/>
        </w:rPr>
        <w:t>条件：</w:t>
      </w:r>
    </w:p>
    <w:p>
      <w:pPr>
        <w:pStyle w:val="ListParagraph"/>
        <w:numPr>
          <w:ilvl w:val="0"/>
          <w:numId w:val="73"/>
        </w:numPr>
        <w:tabs>
          <w:tab w:pos="1506" w:val="left" w:leader="none"/>
        </w:tabs>
        <w:spacing w:line="240" w:lineRule="auto" w:before="3" w:after="0"/>
        <w:ind w:left="1505" w:right="0" w:hanging="738"/>
        <w:jc w:val="both"/>
        <w:rPr>
          <w:sz w:val="21"/>
        </w:rPr>
      </w:pPr>
      <w:r>
        <w:rPr>
          <w:spacing w:val="-3"/>
          <w:sz w:val="21"/>
        </w:rPr>
        <w:t>延髓麻痹呈现显著舌肌萎缩、构音困难和吞咽困难；</w:t>
      </w:r>
    </w:p>
    <w:p>
      <w:pPr>
        <w:pStyle w:val="ListParagraph"/>
        <w:numPr>
          <w:ilvl w:val="0"/>
          <w:numId w:val="73"/>
        </w:numPr>
        <w:tabs>
          <w:tab w:pos="1506" w:val="left" w:leader="none"/>
        </w:tabs>
        <w:spacing w:line="240" w:lineRule="auto" w:before="3" w:after="0"/>
        <w:ind w:left="1505" w:right="0" w:hanging="738"/>
        <w:jc w:val="both"/>
        <w:rPr>
          <w:sz w:val="21"/>
        </w:rPr>
      </w:pPr>
      <w:r>
        <w:rPr>
          <w:spacing w:val="-16"/>
          <w:sz w:val="21"/>
        </w:rPr>
        <w:t>双手萎缩呈“爪形手”，肌力 </w:t>
      </w:r>
      <w:r>
        <w:rPr>
          <w:spacing w:val="-2"/>
          <w:sz w:val="21"/>
        </w:rPr>
        <w:t>2</w:t>
      </w:r>
      <w:r>
        <w:rPr>
          <w:spacing w:val="-25"/>
          <w:sz w:val="21"/>
        </w:rPr>
        <w:t> 级</w:t>
      </w:r>
      <w:r>
        <w:rPr>
          <w:spacing w:val="-2"/>
          <w:sz w:val="21"/>
        </w:rPr>
        <w:t>（含）</w:t>
      </w:r>
      <w:r>
        <w:rPr>
          <w:spacing w:val="-5"/>
          <w:sz w:val="21"/>
        </w:rPr>
        <w:t>以下。</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2"/>
        </w:rPr>
        <w:t>脊髓血管病后遗症</w:t>
      </w:r>
    </w:p>
    <w:p>
      <w:pPr>
        <w:pStyle w:val="BodyText"/>
        <w:spacing w:line="245" w:lineRule="exact"/>
      </w:pPr>
      <w:r>
        <w:rPr>
          <w:spacing w:val="-5"/>
        </w:rPr>
        <w:t>指脊髓血管的突发病变引起脊髓梗塞或脊髓出血，导致永久不可逆性的神经系统功能损害，表现为截</w:t>
      </w:r>
    </w:p>
    <w:p>
      <w:pPr>
        <w:pStyle w:val="BodyText"/>
        <w:spacing w:line="242" w:lineRule="auto" w:before="4"/>
        <w:ind w:right="908"/>
      </w:pPr>
      <w:r>
        <w:rPr>
          <w:spacing w:val="-5"/>
        </w:rPr>
        <w:t>瘫或四肢瘫。神经系统永久性的功能障碍指疾病确诊 </w:t>
      </w:r>
      <w:r>
        <w:rPr>
          <w:spacing w:val="-2"/>
        </w:rPr>
        <w:t>180</w:t>
      </w:r>
      <w:r>
        <w:rPr>
          <w:spacing w:val="-10"/>
        </w:rPr>
        <w:t> 天后，仍然遗留后遗症并且无法独立完成下</w:t>
      </w:r>
      <w:r>
        <w:rPr>
          <w:spacing w:val="-2"/>
        </w:rPr>
        <w:t>列基本日常生活活动之一：</w:t>
      </w:r>
    </w:p>
    <w:p>
      <w:pPr>
        <w:pStyle w:val="ListParagraph"/>
        <w:numPr>
          <w:ilvl w:val="0"/>
          <w:numId w:val="74"/>
        </w:numPr>
        <w:tabs>
          <w:tab w:pos="1506" w:val="left" w:leader="none"/>
        </w:tabs>
        <w:spacing w:line="240" w:lineRule="auto" w:before="2" w:after="0"/>
        <w:ind w:left="1505" w:right="0" w:hanging="738"/>
        <w:jc w:val="left"/>
        <w:rPr>
          <w:sz w:val="21"/>
        </w:rPr>
      </w:pPr>
      <w:r>
        <w:rPr>
          <w:spacing w:val="-3"/>
          <w:sz w:val="21"/>
        </w:rPr>
        <w:t>移动：自己从一个房间到另一个房间；</w:t>
      </w:r>
    </w:p>
    <w:p>
      <w:pPr>
        <w:pStyle w:val="ListParagraph"/>
        <w:numPr>
          <w:ilvl w:val="0"/>
          <w:numId w:val="74"/>
        </w:numPr>
        <w:tabs>
          <w:tab w:pos="1506" w:val="left" w:leader="none"/>
        </w:tabs>
        <w:spacing w:line="240" w:lineRule="auto" w:before="2" w:after="0"/>
        <w:ind w:left="1505" w:right="0" w:hanging="738"/>
        <w:jc w:val="left"/>
        <w:rPr>
          <w:sz w:val="21"/>
        </w:rPr>
      </w:pPr>
      <w:r>
        <w:rPr>
          <w:spacing w:val="-3"/>
          <w:sz w:val="21"/>
        </w:rPr>
        <w:t>进食：自己从已准备好的碗或碟中取食物放入口中。</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3"/>
        </w:rPr>
        <w:t>颅脑手术</w:t>
      </w:r>
    </w:p>
    <w:p>
      <w:pPr>
        <w:pStyle w:val="BodyText"/>
        <w:spacing w:line="246" w:lineRule="exact"/>
      </w:pPr>
      <w:r>
        <w:rPr>
          <w:spacing w:val="-5"/>
        </w:rPr>
        <w:t>指被保险人因疾病已经实施全麻下的开颅手术，开颅以切开硬脑膜为准；且不包括颅骨钻孔手术、不</w:t>
      </w:r>
    </w:p>
    <w:p>
      <w:pPr>
        <w:pStyle w:val="BodyText"/>
        <w:spacing w:before="2"/>
      </w:pPr>
      <w:r>
        <w:rPr>
          <w:spacing w:val="-3"/>
        </w:rPr>
        <w:t>包括经鼻蝶窦入颅的手术。</w:t>
      </w:r>
    </w:p>
    <w:p>
      <w:pPr>
        <w:pStyle w:val="BodyText"/>
        <w:spacing w:line="242" w:lineRule="auto" w:before="5"/>
        <w:ind w:right="3558"/>
      </w:pPr>
      <w:r>
        <w:rPr>
          <w:spacing w:val="-2"/>
        </w:rPr>
        <w:t>申请理赔时须提供由医院的神经外科医生出具的诊断报告及手术报告。</w:t>
      </w:r>
      <w:r>
        <w:rPr>
          <w:spacing w:val="-2"/>
        </w:rPr>
        <w:t>因外伤而实施的颅脑手术不在保障范围内。</w:t>
      </w:r>
    </w:p>
    <w:p>
      <w:pPr>
        <w:pStyle w:val="Heading2"/>
        <w:numPr>
          <w:ilvl w:val="0"/>
          <w:numId w:val="33"/>
        </w:numPr>
        <w:tabs>
          <w:tab w:pos="768" w:val="left" w:leader="none"/>
          <w:tab w:pos="769" w:val="left" w:leader="none"/>
        </w:tabs>
        <w:spacing w:line="363" w:lineRule="exact" w:before="105" w:after="0"/>
        <w:ind w:left="768" w:right="0" w:hanging="558"/>
        <w:jc w:val="left"/>
      </w:pPr>
      <w:r>
        <w:rPr>
          <w:spacing w:val="-3"/>
        </w:rPr>
        <w:t>系统性红斑狼疮并发重度的肾功能损害</w:t>
      </w:r>
    </w:p>
    <w:p>
      <w:pPr>
        <w:pStyle w:val="BodyText"/>
        <w:spacing w:line="245" w:lineRule="exact"/>
      </w:pPr>
      <w:r>
        <w:rPr>
          <w:spacing w:val="-6"/>
        </w:rPr>
        <w:t>系统性红斑狼疮是一种有多系统损害的慢性自身免疫性疾病，其血清具有以抗核抗体为代表的多种自</w:t>
      </w:r>
    </w:p>
    <w:p>
      <w:pPr>
        <w:pStyle w:val="BodyText"/>
        <w:spacing w:line="242" w:lineRule="auto" w:before="4"/>
        <w:ind w:right="911"/>
      </w:pPr>
      <w:r>
        <w:rPr>
          <w:spacing w:val="-2"/>
        </w:rPr>
        <w:t>身抗体。本疾病指系统性红斑狼疮累及肾脏，由相关专科医生明确诊断，且经肾脏活检确认的，符合</w:t>
      </w:r>
      <w:r>
        <w:rPr>
          <w:spacing w:val="-2"/>
        </w:rPr>
        <w:t> </w:t>
      </w:r>
      <w:r>
        <w:rPr/>
        <w:t>WHO</w:t>
      </w:r>
      <w:r>
        <w:rPr>
          <w:spacing w:val="-7"/>
        </w:rPr>
        <w:t> 诊断标准定义Ⅲ型</w:t>
      </w:r>
      <w:r>
        <w:rPr/>
        <w:t>（含）以上的狼疮性肾炎。</w:t>
      </w:r>
    </w:p>
    <w:p>
      <w:pPr>
        <w:pStyle w:val="BodyText"/>
        <w:spacing w:line="268" w:lineRule="exact"/>
      </w:pPr>
      <w:r>
        <w:rPr>
          <w:spacing w:val="-3"/>
        </w:rPr>
        <w:t>其他类型的红斑性狼疮，如盘状红斑狼疮、未累及肾脏的红斑狼疮不在保障范围内。</w:t>
      </w:r>
    </w:p>
    <w:p>
      <w:pPr>
        <w:pStyle w:val="BodyText"/>
        <w:spacing w:before="5"/>
      </w:pPr>
      <w:r>
        <w:rPr>
          <w:spacing w:val="-2"/>
        </w:rPr>
        <w:t>世界卫生组织（WHO）</w:t>
      </w:r>
      <w:r>
        <w:rPr>
          <w:spacing w:val="-4"/>
        </w:rPr>
        <w:t>狼疮性肾炎分型：</w:t>
      </w:r>
    </w:p>
    <w:p>
      <w:pPr>
        <w:pStyle w:val="ListParagraph"/>
        <w:numPr>
          <w:ilvl w:val="0"/>
          <w:numId w:val="75"/>
        </w:numPr>
        <w:tabs>
          <w:tab w:pos="1506" w:val="left" w:leader="none"/>
        </w:tabs>
        <w:spacing w:line="240" w:lineRule="auto" w:before="2" w:after="0"/>
        <w:ind w:left="1505" w:right="0" w:hanging="738"/>
        <w:jc w:val="left"/>
        <w:rPr>
          <w:sz w:val="21"/>
        </w:rPr>
      </w:pPr>
      <w:r>
        <w:rPr>
          <w:spacing w:val="-4"/>
          <w:sz w:val="21"/>
        </w:rPr>
        <w:t>Ⅰ型微小病变型；</w:t>
      </w:r>
    </w:p>
    <w:p>
      <w:pPr>
        <w:pStyle w:val="ListParagraph"/>
        <w:numPr>
          <w:ilvl w:val="0"/>
          <w:numId w:val="75"/>
        </w:numPr>
        <w:tabs>
          <w:tab w:pos="1506" w:val="left" w:leader="none"/>
        </w:tabs>
        <w:spacing w:line="240" w:lineRule="auto" w:before="5" w:after="0"/>
        <w:ind w:left="1505" w:right="0" w:hanging="738"/>
        <w:jc w:val="left"/>
        <w:rPr>
          <w:sz w:val="21"/>
        </w:rPr>
      </w:pPr>
      <w:r>
        <w:rPr>
          <w:spacing w:val="-4"/>
          <w:sz w:val="21"/>
        </w:rPr>
        <w:t>Ⅱ型系膜病变型；</w:t>
      </w:r>
    </w:p>
    <w:p>
      <w:pPr>
        <w:pStyle w:val="ListParagraph"/>
        <w:numPr>
          <w:ilvl w:val="0"/>
          <w:numId w:val="75"/>
        </w:numPr>
        <w:tabs>
          <w:tab w:pos="1506" w:val="left" w:leader="none"/>
        </w:tabs>
        <w:spacing w:line="240" w:lineRule="auto" w:before="2" w:after="0"/>
        <w:ind w:left="1505" w:right="0" w:hanging="738"/>
        <w:jc w:val="left"/>
        <w:rPr>
          <w:sz w:val="21"/>
        </w:rPr>
      </w:pPr>
      <w:r>
        <w:rPr>
          <w:spacing w:val="-3"/>
          <w:sz w:val="21"/>
        </w:rPr>
        <w:t>Ⅲ型局灶及节段增生型；</w:t>
      </w:r>
    </w:p>
    <w:p>
      <w:pPr>
        <w:pStyle w:val="ListParagraph"/>
        <w:numPr>
          <w:ilvl w:val="0"/>
          <w:numId w:val="75"/>
        </w:numPr>
        <w:tabs>
          <w:tab w:pos="1506" w:val="left" w:leader="none"/>
        </w:tabs>
        <w:spacing w:line="240" w:lineRule="auto" w:before="4" w:after="0"/>
        <w:ind w:left="1505" w:right="0" w:hanging="738"/>
        <w:jc w:val="left"/>
        <w:rPr>
          <w:sz w:val="21"/>
        </w:rPr>
      </w:pPr>
      <w:r>
        <w:rPr>
          <w:spacing w:val="-4"/>
          <w:sz w:val="21"/>
        </w:rPr>
        <w:t>Ⅳ型弥漫增生型；</w:t>
      </w:r>
    </w:p>
    <w:p>
      <w:pPr>
        <w:pStyle w:val="ListParagraph"/>
        <w:numPr>
          <w:ilvl w:val="0"/>
          <w:numId w:val="75"/>
        </w:numPr>
        <w:tabs>
          <w:tab w:pos="1506" w:val="left" w:leader="none"/>
        </w:tabs>
        <w:spacing w:line="240" w:lineRule="auto" w:before="2" w:after="0"/>
        <w:ind w:left="1505" w:right="0" w:hanging="738"/>
        <w:jc w:val="left"/>
        <w:rPr>
          <w:sz w:val="21"/>
        </w:rPr>
      </w:pPr>
      <w:r>
        <w:rPr>
          <w:spacing w:val="-4"/>
          <w:sz w:val="21"/>
        </w:rPr>
        <w:t>Ⅴ型膜型；</w:t>
      </w:r>
    </w:p>
    <w:p>
      <w:pPr>
        <w:pStyle w:val="ListParagraph"/>
        <w:numPr>
          <w:ilvl w:val="0"/>
          <w:numId w:val="75"/>
        </w:numPr>
        <w:tabs>
          <w:tab w:pos="1506" w:val="left" w:leader="none"/>
        </w:tabs>
        <w:spacing w:line="240" w:lineRule="auto" w:before="5" w:after="0"/>
        <w:ind w:left="1505" w:right="0" w:hanging="738"/>
        <w:jc w:val="left"/>
        <w:rPr>
          <w:sz w:val="21"/>
        </w:rPr>
      </w:pPr>
      <w:r>
        <w:rPr>
          <w:spacing w:val="-3"/>
          <w:sz w:val="21"/>
        </w:rPr>
        <w:t>Ⅵ型肾小球硬化型。</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2"/>
        </w:rPr>
        <w:t>严重Ｉ型糖尿病</w:t>
      </w:r>
    </w:p>
    <w:p>
      <w:pPr>
        <w:pStyle w:val="BodyText"/>
        <w:spacing w:line="246" w:lineRule="exact"/>
      </w:pPr>
      <w:r>
        <w:rPr>
          <w:spacing w:val="-5"/>
        </w:rPr>
        <w:t>指因严重的胰岛素缺乏导致的一组糖、脂肪、蛋白质代谢异常综合症，且须依赖外源性胰岛素进行机</w:t>
      </w:r>
    </w:p>
    <w:p>
      <w:pPr>
        <w:pStyle w:val="BodyText"/>
        <w:spacing w:line="244" w:lineRule="auto" w:before="2"/>
        <w:ind w:right="906"/>
      </w:pPr>
      <w:r>
        <w:rPr>
          <w:spacing w:val="-4"/>
        </w:rPr>
        <w:t>体的葡萄糖代谢和维持生命。本病须经血胰岛素测定、血 </w:t>
      </w:r>
      <w:r>
        <w:rPr>
          <w:spacing w:val="-2"/>
        </w:rPr>
        <w:t>C</w:t>
      </w:r>
      <w:r>
        <w:rPr>
          <w:spacing w:val="-9"/>
        </w:rPr>
        <w:t> 肽测定或尿</w:t>
      </w:r>
      <w:r>
        <w:rPr>
          <w:spacing w:val="-2"/>
        </w:rPr>
        <w:t>C</w:t>
      </w:r>
      <w:r>
        <w:rPr>
          <w:spacing w:val="-8"/>
        </w:rPr>
        <w:t> 肽测定检查证实，且被保险</w:t>
      </w:r>
      <w:r>
        <w:rPr>
          <w:spacing w:val="-2"/>
        </w:rPr>
        <w:t>人已经接受了持续的胰岛素治疗 </w:t>
      </w:r>
      <w:r>
        <w:rPr/>
        <w:t>180</w:t>
      </w:r>
      <w:r>
        <w:rPr>
          <w:spacing w:val="-5"/>
        </w:rPr>
        <w:t> 天以上，并须满足下列至少一项条件：</w:t>
      </w:r>
    </w:p>
    <w:p>
      <w:pPr>
        <w:pStyle w:val="ListParagraph"/>
        <w:numPr>
          <w:ilvl w:val="0"/>
          <w:numId w:val="76"/>
        </w:numPr>
        <w:tabs>
          <w:tab w:pos="1506" w:val="left" w:leader="none"/>
        </w:tabs>
        <w:spacing w:line="265" w:lineRule="exact" w:before="0" w:after="0"/>
        <w:ind w:left="1505" w:right="0" w:hanging="738"/>
        <w:jc w:val="left"/>
        <w:rPr>
          <w:sz w:val="21"/>
        </w:rPr>
      </w:pPr>
      <w:r>
        <w:rPr>
          <w:spacing w:val="-3"/>
          <w:sz w:val="21"/>
        </w:rPr>
        <w:t>并发增殖性视网膜病变；</w:t>
      </w:r>
    </w:p>
    <w:p>
      <w:pPr>
        <w:pStyle w:val="ListParagraph"/>
        <w:numPr>
          <w:ilvl w:val="0"/>
          <w:numId w:val="76"/>
        </w:numPr>
        <w:tabs>
          <w:tab w:pos="1506" w:val="left" w:leader="none"/>
        </w:tabs>
        <w:spacing w:line="240" w:lineRule="auto" w:before="5" w:after="0"/>
        <w:ind w:left="1505" w:right="0" w:hanging="738"/>
        <w:jc w:val="left"/>
        <w:rPr>
          <w:sz w:val="21"/>
        </w:rPr>
      </w:pPr>
      <w:r>
        <w:rPr>
          <w:spacing w:val="-3"/>
          <w:sz w:val="21"/>
        </w:rPr>
        <w:t>并发心脏病变，已经植入心脏起搏器；</w:t>
      </w:r>
    </w:p>
    <w:p>
      <w:pPr>
        <w:pStyle w:val="ListParagraph"/>
        <w:numPr>
          <w:ilvl w:val="0"/>
          <w:numId w:val="76"/>
        </w:numPr>
        <w:tabs>
          <w:tab w:pos="1506" w:val="left" w:leader="none"/>
        </w:tabs>
        <w:spacing w:line="240" w:lineRule="auto" w:before="2" w:after="0"/>
        <w:ind w:left="1505" w:right="0" w:hanging="738"/>
        <w:jc w:val="left"/>
        <w:rPr>
          <w:sz w:val="21"/>
        </w:rPr>
      </w:pPr>
      <w:r>
        <w:rPr>
          <w:spacing w:val="-3"/>
          <w:sz w:val="21"/>
        </w:rPr>
        <w:t>至少一个脚趾发生坏疽并已经实施手术切除。</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席汉氏综合征</w:t>
      </w:r>
    </w:p>
    <w:p>
      <w:pPr>
        <w:pStyle w:val="BodyText"/>
        <w:spacing w:line="246" w:lineRule="exact"/>
      </w:pPr>
      <w:r>
        <w:rPr>
          <w:spacing w:val="-5"/>
        </w:rPr>
        <w:t>指因产后大出血并发休克、全身循环衰竭、弥漫性血管内凝血导致脑垂体缺血坏死和垂体分泌激素不</w:t>
      </w:r>
    </w:p>
    <w:p>
      <w:pPr>
        <w:pStyle w:val="BodyText"/>
        <w:spacing w:before="2"/>
      </w:pPr>
      <w:r>
        <w:rPr>
          <w:spacing w:val="-3"/>
        </w:rPr>
        <w:t>足，造成性腺、甲状腺、肾上腺皮质功能减退。且须满足下列全部条件：</w:t>
      </w:r>
    </w:p>
    <w:p>
      <w:pPr>
        <w:pStyle w:val="ListParagraph"/>
        <w:numPr>
          <w:ilvl w:val="0"/>
          <w:numId w:val="77"/>
        </w:numPr>
        <w:tabs>
          <w:tab w:pos="1506" w:val="left" w:leader="none"/>
        </w:tabs>
        <w:spacing w:line="240" w:lineRule="auto" w:before="4" w:after="0"/>
        <w:ind w:left="1505" w:right="0" w:hanging="738"/>
        <w:jc w:val="left"/>
        <w:rPr>
          <w:sz w:val="21"/>
        </w:rPr>
      </w:pPr>
      <w:r>
        <w:rPr>
          <w:spacing w:val="-3"/>
          <w:sz w:val="21"/>
        </w:rPr>
        <w:t>产后大出血休克病史；</w:t>
      </w:r>
    </w:p>
    <w:p>
      <w:pPr>
        <w:pStyle w:val="ListParagraph"/>
        <w:numPr>
          <w:ilvl w:val="0"/>
          <w:numId w:val="77"/>
        </w:numPr>
        <w:tabs>
          <w:tab w:pos="1506" w:val="left" w:leader="none"/>
        </w:tabs>
        <w:spacing w:line="240" w:lineRule="auto" w:before="2" w:after="0"/>
        <w:ind w:left="1505" w:right="0" w:hanging="738"/>
        <w:jc w:val="left"/>
        <w:rPr>
          <w:sz w:val="21"/>
        </w:rPr>
      </w:pPr>
      <w:r>
        <w:rPr>
          <w:spacing w:val="-2"/>
          <w:sz w:val="21"/>
        </w:rPr>
        <w:t>严重腺垂体功能破坏，破坏程度</w:t>
      </w:r>
      <w:r>
        <w:rPr>
          <w:spacing w:val="-4"/>
          <w:sz w:val="21"/>
        </w:rPr>
        <w:t>＞95％；</w:t>
      </w:r>
    </w:p>
    <w:p>
      <w:pPr>
        <w:spacing w:after="0" w:line="240" w:lineRule="auto"/>
        <w:jc w:val="left"/>
        <w:rPr>
          <w:sz w:val="21"/>
        </w:rPr>
        <w:sectPr>
          <w:pgSz w:w="11910" w:h="16840"/>
          <w:pgMar w:header="0" w:footer="574" w:top="1060" w:bottom="760" w:left="720" w:right="340"/>
        </w:sectPr>
      </w:pPr>
    </w:p>
    <w:p>
      <w:pPr>
        <w:pStyle w:val="ListParagraph"/>
        <w:numPr>
          <w:ilvl w:val="0"/>
          <w:numId w:val="77"/>
        </w:numPr>
        <w:tabs>
          <w:tab w:pos="1506" w:val="left" w:leader="none"/>
        </w:tabs>
        <w:spacing w:line="240" w:lineRule="auto" w:before="55" w:after="0"/>
        <w:ind w:left="1505" w:right="0" w:hanging="738"/>
        <w:jc w:val="left"/>
        <w:rPr>
          <w:sz w:val="21"/>
        </w:rPr>
      </w:pPr>
      <w:r>
        <w:rPr>
          <w:spacing w:val="-3"/>
          <w:sz w:val="21"/>
        </w:rPr>
        <w:t>影像学检查显示脑垂体严重萎缩或消失；</w:t>
      </w:r>
    </w:p>
    <w:p>
      <w:pPr>
        <w:pStyle w:val="ListParagraph"/>
        <w:numPr>
          <w:ilvl w:val="0"/>
          <w:numId w:val="77"/>
        </w:numPr>
        <w:tabs>
          <w:tab w:pos="1506" w:val="left" w:leader="none"/>
        </w:tabs>
        <w:spacing w:line="240" w:lineRule="auto" w:before="5" w:after="0"/>
        <w:ind w:left="1505" w:right="0" w:hanging="738"/>
        <w:jc w:val="left"/>
        <w:rPr>
          <w:sz w:val="21"/>
        </w:rPr>
      </w:pPr>
      <w:r>
        <w:rPr>
          <w:spacing w:val="-4"/>
          <w:sz w:val="21"/>
        </w:rPr>
        <w:t>实验室检查显示：</w:t>
      </w:r>
    </w:p>
    <w:p>
      <w:pPr>
        <w:pStyle w:val="BodyText"/>
        <w:spacing w:before="2"/>
        <w:ind w:left="1505"/>
      </w:pPr>
      <w:r>
        <w:rPr>
          <w:spacing w:val="-3"/>
        </w:rPr>
        <w:t>①垂体前叶激素全面低下；</w:t>
      </w:r>
    </w:p>
    <w:p>
      <w:pPr>
        <w:pStyle w:val="BodyText"/>
        <w:spacing w:line="242" w:lineRule="auto" w:before="5"/>
        <w:ind w:left="1714" w:right="909" w:hanging="212"/>
      </w:pPr>
      <w:r>
        <w:rPr>
          <w:spacing w:val="-2"/>
        </w:rPr>
        <w:t>②性激素、甲状腺素、肾上腺皮质激素全面低下（包括生长激素、促甲状腺素、促肾上腺皮</w:t>
      </w:r>
      <w:r>
        <w:rPr>
          <w:spacing w:val="-2"/>
        </w:rPr>
        <w:t>质激素、卵泡刺激素和黄体生成素</w:t>
      </w:r>
      <w:r>
        <w:rPr>
          <w:spacing w:val="-108"/>
        </w:rPr>
        <w:t>）</w:t>
      </w:r>
      <w:r>
        <w:rPr/>
        <w:t>；</w:t>
      </w:r>
    </w:p>
    <w:p>
      <w:pPr>
        <w:pStyle w:val="ListParagraph"/>
        <w:numPr>
          <w:ilvl w:val="0"/>
          <w:numId w:val="77"/>
        </w:numPr>
        <w:tabs>
          <w:tab w:pos="1506" w:val="left" w:leader="none"/>
        </w:tabs>
        <w:spacing w:line="240" w:lineRule="auto" w:before="1" w:after="0"/>
        <w:ind w:left="1505" w:right="0" w:hanging="738"/>
        <w:jc w:val="left"/>
        <w:rPr>
          <w:sz w:val="21"/>
        </w:rPr>
      </w:pPr>
      <w:r>
        <w:rPr>
          <w:spacing w:val="-3"/>
          <w:sz w:val="21"/>
        </w:rPr>
        <w:t>需要终身激素替代治疗以维持身体功能，持续服用各种替代激素超过一年。</w:t>
      </w:r>
    </w:p>
    <w:p>
      <w:pPr>
        <w:pStyle w:val="BodyText"/>
        <w:spacing w:before="2"/>
      </w:pPr>
      <w:r>
        <w:rPr>
          <w:spacing w:val="-3"/>
        </w:rPr>
        <w:t>垂体功能部分低下及其他原因所致垂体功能低下不在保障范围内。</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2"/>
        </w:rPr>
        <w:t>严重强直性脊柱炎</w:t>
      </w:r>
    </w:p>
    <w:p>
      <w:pPr>
        <w:pStyle w:val="BodyText"/>
        <w:spacing w:line="245" w:lineRule="exact"/>
      </w:pPr>
      <w:r>
        <w:rPr>
          <w:spacing w:val="-5"/>
        </w:rPr>
        <w:t>是一种慢性全身性炎性疾病，主要侵犯脊柱导致脊柱畸形。经相关专科医生明确诊断，且须满足下列</w:t>
      </w:r>
    </w:p>
    <w:p>
      <w:pPr>
        <w:pStyle w:val="BodyText"/>
        <w:spacing w:before="5"/>
      </w:pPr>
      <w:r>
        <w:rPr>
          <w:spacing w:val="-4"/>
        </w:rPr>
        <w:t>全部条件：</w:t>
      </w:r>
    </w:p>
    <w:p>
      <w:pPr>
        <w:pStyle w:val="ListParagraph"/>
        <w:numPr>
          <w:ilvl w:val="0"/>
          <w:numId w:val="78"/>
        </w:numPr>
        <w:tabs>
          <w:tab w:pos="1506" w:val="left" w:leader="none"/>
        </w:tabs>
        <w:spacing w:line="240" w:lineRule="auto" w:before="2" w:after="0"/>
        <w:ind w:left="1505" w:right="0" w:hanging="738"/>
        <w:jc w:val="left"/>
        <w:rPr>
          <w:sz w:val="21"/>
        </w:rPr>
      </w:pPr>
      <w:r>
        <w:rPr>
          <w:spacing w:val="-7"/>
          <w:sz w:val="21"/>
        </w:rPr>
        <w:t>严重脊柱畸形：椎体钙化形成骨桥，脊柱出现“竹节样改变”；骶髂关节硬化、融合、强直；</w:t>
      </w:r>
    </w:p>
    <w:p>
      <w:pPr>
        <w:pStyle w:val="ListParagraph"/>
        <w:numPr>
          <w:ilvl w:val="0"/>
          <w:numId w:val="78"/>
        </w:numPr>
        <w:tabs>
          <w:tab w:pos="1506" w:val="left" w:leader="none"/>
        </w:tabs>
        <w:spacing w:line="240" w:lineRule="auto" w:before="4" w:after="0"/>
        <w:ind w:left="1505" w:right="0" w:hanging="738"/>
        <w:jc w:val="left"/>
        <w:rPr>
          <w:sz w:val="21"/>
        </w:rPr>
      </w:pPr>
      <w:r>
        <w:rPr>
          <w:spacing w:val="-3"/>
          <w:sz w:val="21"/>
        </w:rPr>
        <w:t>自主生活能力完全丧失，无法独立完成六项基本日常生活活动中的三项或三项以上。</w:t>
      </w:r>
    </w:p>
    <w:p>
      <w:pPr>
        <w:pStyle w:val="Heading2"/>
        <w:numPr>
          <w:ilvl w:val="0"/>
          <w:numId w:val="33"/>
        </w:numPr>
        <w:tabs>
          <w:tab w:pos="768" w:val="left" w:leader="none"/>
          <w:tab w:pos="769" w:val="left" w:leader="none"/>
        </w:tabs>
        <w:spacing w:line="363" w:lineRule="exact" w:before="106" w:after="0"/>
        <w:ind w:left="768" w:right="0" w:hanging="558"/>
        <w:jc w:val="left"/>
      </w:pPr>
      <w:r>
        <w:rPr>
          <w:spacing w:val="-2"/>
        </w:rPr>
        <w:t>严重肾髓质囊性病</w:t>
      </w:r>
    </w:p>
    <w:p>
      <w:pPr>
        <w:pStyle w:val="BodyText"/>
        <w:spacing w:line="245" w:lineRule="exact"/>
      </w:pPr>
      <w:r>
        <w:rPr>
          <w:spacing w:val="-3"/>
        </w:rPr>
        <w:t>经相关专科医生明确诊断，且须满足下列全部条件：</w:t>
      </w:r>
    </w:p>
    <w:p>
      <w:pPr>
        <w:pStyle w:val="ListParagraph"/>
        <w:numPr>
          <w:ilvl w:val="0"/>
          <w:numId w:val="79"/>
        </w:numPr>
        <w:tabs>
          <w:tab w:pos="1506" w:val="left" w:leader="none"/>
        </w:tabs>
        <w:spacing w:line="240" w:lineRule="auto" w:before="5" w:after="0"/>
        <w:ind w:left="1505" w:right="0" w:hanging="738"/>
        <w:jc w:val="left"/>
        <w:rPr>
          <w:sz w:val="21"/>
        </w:rPr>
      </w:pPr>
      <w:r>
        <w:rPr>
          <w:spacing w:val="-3"/>
          <w:sz w:val="21"/>
        </w:rPr>
        <w:t>肾髓质有囊肿、肾小管萎缩及间质纤维化等病理改变；</w:t>
      </w:r>
    </w:p>
    <w:p>
      <w:pPr>
        <w:pStyle w:val="ListParagraph"/>
        <w:numPr>
          <w:ilvl w:val="0"/>
          <w:numId w:val="79"/>
        </w:numPr>
        <w:tabs>
          <w:tab w:pos="1506" w:val="left" w:leader="none"/>
        </w:tabs>
        <w:spacing w:line="240" w:lineRule="auto" w:before="2" w:after="0"/>
        <w:ind w:left="1505" w:right="0" w:hanging="738"/>
        <w:jc w:val="left"/>
        <w:rPr>
          <w:sz w:val="21"/>
        </w:rPr>
      </w:pPr>
      <w:r>
        <w:rPr>
          <w:spacing w:val="-3"/>
          <w:sz w:val="21"/>
        </w:rPr>
        <w:t>贫血、多尿及肾功能衰竭等临床表现；</w:t>
      </w:r>
    </w:p>
    <w:p>
      <w:pPr>
        <w:pStyle w:val="ListParagraph"/>
        <w:numPr>
          <w:ilvl w:val="0"/>
          <w:numId w:val="79"/>
        </w:numPr>
        <w:tabs>
          <w:tab w:pos="1506" w:val="left" w:leader="none"/>
        </w:tabs>
        <w:spacing w:line="240" w:lineRule="auto" w:before="5" w:after="0"/>
        <w:ind w:left="1505" w:right="0" w:hanging="738"/>
        <w:jc w:val="left"/>
        <w:rPr>
          <w:sz w:val="21"/>
        </w:rPr>
      </w:pPr>
      <w:r>
        <w:rPr>
          <w:spacing w:val="-3"/>
          <w:sz w:val="21"/>
        </w:rPr>
        <w:t>诊断须由肾组织活检确定。</w:t>
      </w:r>
    </w:p>
    <w:p>
      <w:pPr>
        <w:pStyle w:val="BodyText"/>
        <w:spacing w:before="2"/>
      </w:pPr>
      <w:r>
        <w:rPr>
          <w:spacing w:val="-3"/>
        </w:rPr>
        <w:t>单独或良性肾囊肿则不在保障范围内。</w:t>
      </w:r>
    </w:p>
    <w:p>
      <w:pPr>
        <w:pStyle w:val="Heading2"/>
        <w:numPr>
          <w:ilvl w:val="0"/>
          <w:numId w:val="33"/>
        </w:numPr>
        <w:tabs>
          <w:tab w:pos="768" w:val="left" w:leader="none"/>
          <w:tab w:pos="769" w:val="left" w:leader="none"/>
        </w:tabs>
        <w:spacing w:line="363" w:lineRule="exact" w:before="107" w:after="0"/>
        <w:ind w:left="768" w:right="0" w:hanging="558"/>
        <w:jc w:val="left"/>
      </w:pPr>
      <w:r>
        <w:rPr>
          <w:spacing w:val="-2"/>
        </w:rPr>
        <w:t>肝豆状核变性</w:t>
      </w:r>
    </w:p>
    <w:p>
      <w:pPr>
        <w:pStyle w:val="BodyText"/>
        <w:spacing w:line="245" w:lineRule="exact"/>
      </w:pPr>
      <w:r>
        <w:rPr>
          <w:spacing w:val="-5"/>
        </w:rPr>
        <w:t>是一种遗传性铜代谢障碍疾病。表现为体内的铜离子在肝、脑、肾、角膜等处沉积，引起进行性加重</w:t>
      </w:r>
    </w:p>
    <w:p>
      <w:pPr>
        <w:pStyle w:val="BodyText"/>
        <w:spacing w:line="242" w:lineRule="auto" w:before="5"/>
        <w:ind w:right="908"/>
      </w:pPr>
      <w:r>
        <w:rPr>
          <w:spacing w:val="-2"/>
        </w:rPr>
        <w:t>的肝硬化、锥体外系症状、精神症状、肾损害及角膜色素环。经相关专科医生明确诊断，且须满足下</w:t>
      </w:r>
      <w:r>
        <w:rPr>
          <w:spacing w:val="-2"/>
        </w:rPr>
        <w:t>列至少一项条件：</w:t>
      </w:r>
    </w:p>
    <w:p>
      <w:pPr>
        <w:pStyle w:val="ListParagraph"/>
        <w:numPr>
          <w:ilvl w:val="0"/>
          <w:numId w:val="80"/>
        </w:numPr>
        <w:tabs>
          <w:tab w:pos="1506" w:val="left" w:leader="none"/>
        </w:tabs>
        <w:spacing w:line="244" w:lineRule="auto" w:before="0" w:after="0"/>
        <w:ind w:left="1505" w:right="907" w:hanging="737"/>
        <w:jc w:val="left"/>
        <w:rPr>
          <w:sz w:val="21"/>
        </w:rPr>
      </w:pPr>
      <w:r>
        <w:rPr>
          <w:spacing w:val="-2"/>
          <w:sz w:val="21"/>
        </w:rPr>
        <w:t>帕金森综合征或其他神经系统功能损害，自主生活能力完全丧失，无法独立完成六项基本日</w:t>
      </w:r>
      <w:r>
        <w:rPr>
          <w:spacing w:val="-2"/>
          <w:sz w:val="21"/>
        </w:rPr>
        <w:t>常生活活动中的三项或三项以上；</w:t>
      </w:r>
    </w:p>
    <w:p>
      <w:pPr>
        <w:pStyle w:val="ListParagraph"/>
        <w:numPr>
          <w:ilvl w:val="0"/>
          <w:numId w:val="80"/>
        </w:numPr>
        <w:tabs>
          <w:tab w:pos="1506" w:val="left" w:leader="none"/>
        </w:tabs>
        <w:spacing w:line="265" w:lineRule="exact" w:before="0" w:after="0"/>
        <w:ind w:left="1505" w:right="0" w:hanging="738"/>
        <w:jc w:val="left"/>
        <w:rPr>
          <w:sz w:val="21"/>
        </w:rPr>
      </w:pPr>
      <w:r>
        <w:rPr>
          <w:spacing w:val="-3"/>
          <w:sz w:val="21"/>
        </w:rPr>
        <w:t>失代偿性肝硬化，临床已经出现腹水、食道静脉曲张和脾肿大等表现；</w:t>
      </w:r>
    </w:p>
    <w:p>
      <w:pPr>
        <w:pStyle w:val="ListParagraph"/>
        <w:numPr>
          <w:ilvl w:val="0"/>
          <w:numId w:val="80"/>
        </w:numPr>
        <w:tabs>
          <w:tab w:pos="1506" w:val="left" w:leader="none"/>
        </w:tabs>
        <w:spacing w:line="240" w:lineRule="auto" w:before="3" w:after="0"/>
        <w:ind w:left="1505" w:right="0" w:hanging="738"/>
        <w:jc w:val="left"/>
        <w:rPr>
          <w:sz w:val="21"/>
        </w:rPr>
      </w:pPr>
      <w:r>
        <w:rPr>
          <w:spacing w:val="-3"/>
          <w:sz w:val="21"/>
        </w:rPr>
        <w:t>慢性肾功能衰竭，已开始肾脏透析治疗。</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3"/>
        </w:rPr>
        <w:t>急性出血坏死性胰腺炎开腹手术</w:t>
      </w:r>
    </w:p>
    <w:p>
      <w:pPr>
        <w:pStyle w:val="BodyText"/>
        <w:spacing w:line="246" w:lineRule="exact"/>
      </w:pPr>
      <w:r>
        <w:rPr>
          <w:spacing w:val="-4"/>
        </w:rPr>
        <w:t>指被保险人因为急性出血坏死性胰腺炎已经接受了外科开腹（含腹腔镜下）</w:t>
      </w:r>
      <w:r>
        <w:rPr>
          <w:spacing w:val="-5"/>
        </w:rPr>
        <w:t>手术治疗，以进行坏死组</w:t>
      </w:r>
    </w:p>
    <w:p>
      <w:pPr>
        <w:pStyle w:val="BodyText"/>
        <w:spacing w:before="2"/>
      </w:pPr>
      <w:r>
        <w:rPr>
          <w:spacing w:val="-3"/>
        </w:rPr>
        <w:t>织清除、坏死病灶切除或胰腺切除。</w:t>
      </w:r>
    </w:p>
    <w:p>
      <w:pPr>
        <w:pStyle w:val="BodyText"/>
        <w:spacing w:before="5"/>
      </w:pPr>
      <w:r>
        <w:rPr>
          <w:spacing w:val="-3"/>
        </w:rPr>
        <w:t>因饮酒所致的急性出血坏死性胰腺炎不在保障范围内。</w:t>
      </w:r>
    </w:p>
    <w:p>
      <w:pPr>
        <w:pStyle w:val="Heading2"/>
        <w:numPr>
          <w:ilvl w:val="0"/>
          <w:numId w:val="33"/>
        </w:numPr>
        <w:tabs>
          <w:tab w:pos="768" w:val="left" w:leader="none"/>
          <w:tab w:pos="769" w:val="left" w:leader="none"/>
        </w:tabs>
        <w:spacing w:line="363" w:lineRule="exact" w:before="105" w:after="0"/>
        <w:ind w:left="768" w:right="0" w:hanging="558"/>
        <w:jc w:val="left"/>
      </w:pPr>
      <w:r>
        <w:rPr>
          <w:spacing w:val="-2"/>
        </w:rPr>
        <w:t>重症手足口病</w:t>
      </w:r>
    </w:p>
    <w:p>
      <w:pPr>
        <w:pStyle w:val="BodyText"/>
        <w:spacing w:line="245" w:lineRule="exact"/>
      </w:pPr>
      <w:r>
        <w:rPr>
          <w:spacing w:val="-5"/>
        </w:rPr>
        <w:t>由肠道病毒引起的急性传染病，主要症状表现为手、足、口腔等部位的斑丘疹、疱疹。经相关专科医</w:t>
      </w:r>
    </w:p>
    <w:p>
      <w:pPr>
        <w:pStyle w:val="BodyText"/>
        <w:spacing w:before="5"/>
      </w:pPr>
      <w:r>
        <w:rPr>
          <w:spacing w:val="-3"/>
        </w:rPr>
        <w:t>生明确诊断，且须伴有下列至少一项并发症：</w:t>
      </w:r>
    </w:p>
    <w:p>
      <w:pPr>
        <w:pStyle w:val="ListParagraph"/>
        <w:numPr>
          <w:ilvl w:val="0"/>
          <w:numId w:val="81"/>
        </w:numPr>
        <w:tabs>
          <w:tab w:pos="1506" w:val="left" w:leader="none"/>
        </w:tabs>
        <w:spacing w:line="240" w:lineRule="auto" w:before="2" w:after="0"/>
        <w:ind w:left="1505" w:right="0" w:hanging="738"/>
        <w:jc w:val="left"/>
        <w:rPr>
          <w:sz w:val="21"/>
        </w:rPr>
      </w:pPr>
      <w:r>
        <w:rPr>
          <w:spacing w:val="-3"/>
          <w:sz w:val="21"/>
        </w:rPr>
        <w:t>有脑膜炎或脑炎并发症，且导致意识障碍或瘫痪的临床表现及实验室检查证据；</w:t>
      </w:r>
    </w:p>
    <w:p>
      <w:pPr>
        <w:pStyle w:val="ListParagraph"/>
        <w:numPr>
          <w:ilvl w:val="0"/>
          <w:numId w:val="81"/>
        </w:numPr>
        <w:tabs>
          <w:tab w:pos="1506" w:val="left" w:leader="none"/>
        </w:tabs>
        <w:spacing w:line="240" w:lineRule="auto" w:before="4" w:after="0"/>
        <w:ind w:left="1505" w:right="0" w:hanging="738"/>
        <w:jc w:val="left"/>
        <w:rPr>
          <w:sz w:val="21"/>
        </w:rPr>
      </w:pPr>
      <w:r>
        <w:rPr>
          <w:spacing w:val="-3"/>
          <w:sz w:val="21"/>
        </w:rPr>
        <w:t>有肺炎或肺水肿并发症，且导致呼吸衰竭的临床表现及实验室检查证据；</w:t>
      </w:r>
    </w:p>
    <w:p>
      <w:pPr>
        <w:pStyle w:val="ListParagraph"/>
        <w:numPr>
          <w:ilvl w:val="0"/>
          <w:numId w:val="81"/>
        </w:numPr>
        <w:tabs>
          <w:tab w:pos="1506" w:val="left" w:leader="none"/>
        </w:tabs>
        <w:spacing w:line="240" w:lineRule="auto" w:before="3" w:after="0"/>
        <w:ind w:left="1505" w:right="0" w:hanging="738"/>
        <w:jc w:val="left"/>
        <w:rPr>
          <w:sz w:val="21"/>
        </w:rPr>
      </w:pPr>
      <w:r>
        <w:rPr>
          <w:spacing w:val="-3"/>
          <w:sz w:val="21"/>
        </w:rPr>
        <w:t>有心肌炎并发症，且导致心脏扩大或心力衰竭的临床表现及实验室检查证据。</w:t>
      </w:r>
    </w:p>
    <w:p>
      <w:pPr>
        <w:pStyle w:val="BodyText"/>
        <w:spacing w:before="6"/>
        <w:ind w:left="0"/>
      </w:pPr>
    </w:p>
    <w:p>
      <w:pPr>
        <w:pStyle w:val="Heading2"/>
        <w:numPr>
          <w:ilvl w:val="0"/>
          <w:numId w:val="33"/>
        </w:numPr>
        <w:tabs>
          <w:tab w:pos="768" w:val="left" w:leader="none"/>
          <w:tab w:pos="769" w:val="left" w:leader="none"/>
        </w:tabs>
        <w:spacing w:line="364" w:lineRule="exact" w:before="0" w:after="0"/>
        <w:ind w:left="768" w:right="0" w:hanging="558"/>
        <w:jc w:val="left"/>
      </w:pPr>
      <w:r>
        <w:rPr>
          <w:spacing w:val="-2"/>
        </w:rPr>
        <w:t>严重的结核性脊髓炎</w:t>
      </w:r>
    </w:p>
    <w:p>
      <w:pPr>
        <w:pStyle w:val="BodyText"/>
        <w:spacing w:line="246" w:lineRule="exact"/>
      </w:pPr>
      <w:r>
        <w:rPr>
          <w:spacing w:val="-5"/>
        </w:rPr>
        <w:t>指因结核杆菌引起的脊髓炎，导致永久不可逆的神经系统功能障碍，经相关专科医生明确诊断，诊断</w:t>
      </w:r>
    </w:p>
    <w:p>
      <w:pPr>
        <w:pStyle w:val="BodyText"/>
        <w:spacing w:before="3"/>
      </w:pPr>
      <w:r>
        <w:rPr>
          <w:spacing w:val="-4"/>
        </w:rPr>
        <w:t>必须经微生物或病理学相关检查后证实，且初次确诊 </w:t>
      </w:r>
      <w:r>
        <w:rPr>
          <w:spacing w:val="-2"/>
        </w:rPr>
        <w:t>180</w:t>
      </w:r>
      <w:r>
        <w:rPr>
          <w:spacing w:val="-9"/>
        </w:rPr>
        <w:t> 天后仍须遗留下列至少一项症状：</w:t>
      </w:r>
    </w:p>
    <w:p>
      <w:pPr>
        <w:pStyle w:val="ListParagraph"/>
        <w:numPr>
          <w:ilvl w:val="0"/>
          <w:numId w:val="82"/>
        </w:numPr>
        <w:tabs>
          <w:tab w:pos="1506" w:val="left" w:leader="none"/>
        </w:tabs>
        <w:spacing w:line="240" w:lineRule="auto" w:before="5" w:after="0"/>
        <w:ind w:left="1505" w:right="0" w:hanging="738"/>
        <w:jc w:val="left"/>
        <w:rPr>
          <w:sz w:val="21"/>
        </w:rPr>
      </w:pPr>
      <w:r>
        <w:rPr>
          <w:spacing w:val="-2"/>
          <w:sz w:val="21"/>
        </w:rPr>
        <w:t>两肢（含）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ListParagraph"/>
        <w:numPr>
          <w:ilvl w:val="0"/>
          <w:numId w:val="82"/>
        </w:numPr>
        <w:tabs>
          <w:tab w:pos="1506" w:val="left" w:leader="none"/>
        </w:tabs>
        <w:spacing w:line="240" w:lineRule="auto" w:before="2" w:after="0"/>
        <w:ind w:left="1505" w:right="0" w:hanging="738"/>
        <w:jc w:val="left"/>
        <w:rPr>
          <w:sz w:val="21"/>
        </w:rPr>
      </w:pPr>
      <w:r>
        <w:rPr>
          <w:spacing w:val="-3"/>
          <w:sz w:val="21"/>
        </w:rPr>
        <w:t>自主生活能力完全丧失，无法独立完成六项基本日常生活活动中的三项或三项以上。</w:t>
      </w:r>
    </w:p>
    <w:p>
      <w:pPr>
        <w:pStyle w:val="Heading2"/>
        <w:numPr>
          <w:ilvl w:val="0"/>
          <w:numId w:val="33"/>
        </w:numPr>
        <w:tabs>
          <w:tab w:pos="768" w:val="left" w:leader="none"/>
          <w:tab w:pos="769" w:val="left" w:leader="none"/>
        </w:tabs>
        <w:spacing w:line="363" w:lineRule="exact" w:before="107" w:after="0"/>
        <w:ind w:left="768" w:right="0" w:hanging="558"/>
        <w:jc w:val="left"/>
      </w:pPr>
      <w:r>
        <w:rPr>
          <w:spacing w:val="-3"/>
        </w:rPr>
        <w:t>溶血性链球菌引起的坏疽</w:t>
      </w:r>
    </w:p>
    <w:p>
      <w:pPr>
        <w:pStyle w:val="BodyText"/>
        <w:spacing w:line="245" w:lineRule="exact"/>
      </w:pPr>
      <w:r>
        <w:rPr>
          <w:spacing w:val="-5"/>
        </w:rPr>
        <w:t>指包围肢体或躯干的浅筋膜或深筋膜受到溶血性链球菌的感染，病情在短时间内急剧恶化，且已经立</w:t>
      </w:r>
    </w:p>
    <w:p>
      <w:pPr>
        <w:pStyle w:val="BodyText"/>
        <w:spacing w:before="5"/>
      </w:pPr>
      <w:r>
        <w:rPr>
          <w:spacing w:val="-3"/>
        </w:rPr>
        <w:t>刻实施了手术治疗。诊断必须经微生物或病理学相关检查后证实。</w:t>
      </w:r>
    </w:p>
    <w:p>
      <w:pPr>
        <w:pStyle w:val="Heading2"/>
        <w:numPr>
          <w:ilvl w:val="0"/>
          <w:numId w:val="33"/>
        </w:numPr>
        <w:tabs>
          <w:tab w:pos="768" w:val="left" w:leader="none"/>
          <w:tab w:pos="769" w:val="left" w:leader="none"/>
        </w:tabs>
        <w:spacing w:line="363" w:lineRule="exact" w:before="105" w:after="0"/>
        <w:ind w:left="768" w:right="0" w:hanging="558"/>
        <w:jc w:val="left"/>
      </w:pPr>
      <w:r>
        <w:rPr>
          <w:spacing w:val="-3"/>
        </w:rPr>
        <w:t>因器官移植原因导致的感染艾滋病病毒或患艾滋病</w:t>
      </w:r>
    </w:p>
    <w:p>
      <w:pPr>
        <w:pStyle w:val="BodyText"/>
        <w:spacing w:line="245" w:lineRule="exact"/>
        <w:ind w:left="763"/>
      </w:pPr>
      <w:r>
        <w:rPr>
          <w:spacing w:val="-3"/>
        </w:rPr>
        <w:t>指被保险人感染艾滋病病毒或患艾滋病，且须满足下列全部条件：</w:t>
      </w:r>
    </w:p>
    <w:p>
      <w:pPr>
        <w:pStyle w:val="ListParagraph"/>
        <w:numPr>
          <w:ilvl w:val="0"/>
          <w:numId w:val="83"/>
        </w:numPr>
        <w:tabs>
          <w:tab w:pos="1506" w:val="left" w:leader="none"/>
        </w:tabs>
        <w:spacing w:line="240" w:lineRule="auto" w:before="5" w:after="0"/>
        <w:ind w:left="1505" w:right="0" w:hanging="738"/>
        <w:jc w:val="left"/>
        <w:rPr>
          <w:sz w:val="21"/>
        </w:rPr>
      </w:pPr>
      <w:r>
        <w:rPr>
          <w:spacing w:val="-3"/>
          <w:sz w:val="21"/>
        </w:rPr>
        <w:t>在保险责任起始日或复效日之后接受器官移植，并因此感染艾滋病病毒或患艾滋病；</w:t>
      </w:r>
    </w:p>
    <w:p>
      <w:pPr>
        <w:spacing w:after="0" w:line="240" w:lineRule="auto"/>
        <w:jc w:val="left"/>
        <w:rPr>
          <w:sz w:val="21"/>
        </w:rPr>
        <w:sectPr>
          <w:pgSz w:w="11910" w:h="16840"/>
          <w:pgMar w:header="0" w:footer="574" w:top="1060" w:bottom="760" w:left="720" w:right="340"/>
        </w:sectPr>
      </w:pPr>
    </w:p>
    <w:p>
      <w:pPr>
        <w:pStyle w:val="ListParagraph"/>
        <w:numPr>
          <w:ilvl w:val="0"/>
          <w:numId w:val="83"/>
        </w:numPr>
        <w:tabs>
          <w:tab w:pos="1506" w:val="left" w:leader="none"/>
        </w:tabs>
        <w:spacing w:line="240" w:lineRule="auto" w:before="55" w:after="0"/>
        <w:ind w:left="1505" w:right="0" w:hanging="738"/>
        <w:jc w:val="left"/>
        <w:rPr>
          <w:sz w:val="21"/>
        </w:rPr>
      </w:pPr>
      <w:r>
        <w:rPr>
          <w:spacing w:val="-3"/>
          <w:sz w:val="21"/>
        </w:rPr>
        <w:t>实施器官移植的医院为三级医院；</w:t>
      </w:r>
    </w:p>
    <w:p>
      <w:pPr>
        <w:pStyle w:val="ListParagraph"/>
        <w:numPr>
          <w:ilvl w:val="0"/>
          <w:numId w:val="83"/>
        </w:numPr>
        <w:tabs>
          <w:tab w:pos="1506" w:val="left" w:leader="none"/>
        </w:tabs>
        <w:spacing w:line="240" w:lineRule="auto" w:before="5" w:after="0"/>
        <w:ind w:left="1505" w:right="0" w:hanging="738"/>
        <w:jc w:val="left"/>
        <w:rPr>
          <w:sz w:val="21"/>
        </w:rPr>
      </w:pPr>
      <w:r>
        <w:rPr>
          <w:spacing w:val="-4"/>
          <w:sz w:val="21"/>
        </w:rPr>
        <w:t>实施移植医院出具具有法律效力的证明确认移植器官来自 </w:t>
      </w:r>
      <w:r>
        <w:rPr>
          <w:spacing w:val="-2"/>
          <w:sz w:val="21"/>
        </w:rPr>
        <w:t>HIV</w:t>
      </w:r>
      <w:r>
        <w:rPr>
          <w:spacing w:val="-13"/>
          <w:sz w:val="21"/>
        </w:rPr>
        <w:t> 感染者。</w:t>
      </w:r>
    </w:p>
    <w:p>
      <w:pPr>
        <w:pStyle w:val="BodyText"/>
        <w:spacing w:line="242" w:lineRule="auto" w:before="2"/>
        <w:ind w:left="763" w:right="911"/>
      </w:pPr>
      <w:r>
        <w:rPr>
          <w:spacing w:val="-3"/>
          <w:w w:val="100"/>
        </w:rPr>
        <w:t>本公司具有获得和使用被保险人的所有血液样本的权利以及能够对这些样本进行独立检验的权利。</w:t>
      </w:r>
      <w:r>
        <w:rPr>
          <w:spacing w:val="-6"/>
          <w:w w:val="100"/>
        </w:rPr>
        <w:t>任何因其他传播方式</w:t>
      </w:r>
      <w:r>
        <w:rPr>
          <w:spacing w:val="-3"/>
          <w:w w:val="100"/>
        </w:rPr>
        <w:t>（</w:t>
      </w:r>
      <w:r>
        <w:rPr>
          <w:spacing w:val="-7"/>
          <w:w w:val="100"/>
        </w:rPr>
        <w:t>包括：性传播或静脉注射毒品</w:t>
      </w:r>
      <w:r>
        <w:rPr>
          <w:spacing w:val="-27"/>
          <w:w w:val="100"/>
        </w:rPr>
        <w:t>）</w:t>
      </w:r>
      <w:r>
        <w:rPr>
          <w:spacing w:val="-3"/>
          <w:w w:val="100"/>
        </w:rPr>
        <w:t>导致感染艾滋病病毒或患艾滋病不在保障范围内。</w:t>
      </w:r>
    </w:p>
    <w:p>
      <w:pPr>
        <w:pStyle w:val="Heading2"/>
        <w:numPr>
          <w:ilvl w:val="0"/>
          <w:numId w:val="33"/>
        </w:numPr>
        <w:tabs>
          <w:tab w:pos="768" w:val="left" w:leader="none"/>
          <w:tab w:pos="769" w:val="left" w:leader="none"/>
        </w:tabs>
        <w:spacing w:line="363" w:lineRule="exact" w:before="107" w:after="0"/>
        <w:ind w:left="768" w:right="0" w:hanging="558"/>
        <w:jc w:val="left"/>
      </w:pPr>
      <w:r>
        <w:rPr>
          <w:spacing w:val="-2"/>
        </w:rPr>
        <w:t>埃博拉病毒感染</w:t>
      </w:r>
    </w:p>
    <w:p>
      <w:pPr>
        <w:pStyle w:val="BodyText"/>
        <w:spacing w:line="245" w:lineRule="exact"/>
      </w:pPr>
      <w:r>
        <w:rPr>
          <w:spacing w:val="-11"/>
        </w:rPr>
        <w:t>指埃博拉病毒感染导致的出血性发热。本病须经医院的传染病专科医生确诊，且须满足下列全部条件：</w:t>
      </w:r>
    </w:p>
    <w:p>
      <w:pPr>
        <w:pStyle w:val="ListParagraph"/>
        <w:numPr>
          <w:ilvl w:val="0"/>
          <w:numId w:val="84"/>
        </w:numPr>
        <w:tabs>
          <w:tab w:pos="1506" w:val="left" w:leader="none"/>
        </w:tabs>
        <w:spacing w:line="240" w:lineRule="auto" w:before="4" w:after="0"/>
        <w:ind w:left="1505" w:right="0" w:hanging="738"/>
        <w:jc w:val="left"/>
        <w:rPr>
          <w:sz w:val="21"/>
        </w:rPr>
      </w:pPr>
      <w:r>
        <w:rPr>
          <w:spacing w:val="-3"/>
          <w:sz w:val="21"/>
        </w:rPr>
        <w:t>埃博拉病毒的存在必须经过实验室检查证实；</w:t>
      </w:r>
    </w:p>
    <w:p>
      <w:pPr>
        <w:pStyle w:val="ListParagraph"/>
        <w:numPr>
          <w:ilvl w:val="0"/>
          <w:numId w:val="84"/>
        </w:numPr>
        <w:tabs>
          <w:tab w:pos="1506" w:val="left" w:leader="none"/>
        </w:tabs>
        <w:spacing w:line="240" w:lineRule="auto" w:before="2" w:after="0"/>
        <w:ind w:left="1505" w:right="0" w:hanging="738"/>
        <w:jc w:val="left"/>
        <w:rPr>
          <w:sz w:val="21"/>
        </w:rPr>
      </w:pPr>
      <w:r>
        <w:rPr>
          <w:spacing w:val="-3"/>
          <w:sz w:val="21"/>
        </w:rPr>
        <w:t>存在皮肤粘膜出血，呕血，咯血，便血或血尿等临床表现；</w:t>
      </w:r>
    </w:p>
    <w:p>
      <w:pPr>
        <w:pStyle w:val="ListParagraph"/>
        <w:numPr>
          <w:ilvl w:val="0"/>
          <w:numId w:val="84"/>
        </w:numPr>
        <w:tabs>
          <w:tab w:pos="1506" w:val="left" w:leader="none"/>
        </w:tabs>
        <w:spacing w:line="240" w:lineRule="auto" w:before="5" w:after="0"/>
        <w:ind w:left="1505" w:right="0" w:hanging="738"/>
        <w:jc w:val="left"/>
        <w:rPr>
          <w:sz w:val="21"/>
        </w:rPr>
      </w:pPr>
      <w:r>
        <w:rPr>
          <w:spacing w:val="-5"/>
          <w:sz w:val="21"/>
        </w:rPr>
        <w:t>感染埃博拉病毒并出现出血性发热持续 </w:t>
      </w:r>
      <w:r>
        <w:rPr>
          <w:spacing w:val="-2"/>
          <w:sz w:val="21"/>
        </w:rPr>
        <w:t>30</w:t>
      </w:r>
      <w:r>
        <w:rPr>
          <w:spacing w:val="-14"/>
          <w:sz w:val="21"/>
        </w:rPr>
        <w:t> 天以上。</w:t>
      </w:r>
    </w:p>
    <w:p>
      <w:pPr>
        <w:pStyle w:val="BodyText"/>
        <w:spacing w:before="2"/>
      </w:pPr>
      <w:r>
        <w:rPr>
          <w:spacing w:val="-3"/>
        </w:rPr>
        <w:t>单纯实验室诊断但没有临床出血表现的不在保障范围内。</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2"/>
        </w:rPr>
        <w:t>成骨不全症Ⅲ型</w:t>
      </w:r>
    </w:p>
    <w:p>
      <w:pPr>
        <w:pStyle w:val="BodyText"/>
        <w:spacing w:line="246" w:lineRule="exact"/>
      </w:pPr>
      <w:r>
        <w:rPr>
          <w:spacing w:val="-6"/>
        </w:rPr>
        <w:t>指一种胶原病，特征为骨易碎，骨质疏松和易骨折。该病有 </w:t>
      </w:r>
      <w:r>
        <w:rPr>
          <w:spacing w:val="-4"/>
        </w:rPr>
        <w:t>4</w:t>
      </w:r>
      <w:r>
        <w:rPr>
          <w:spacing w:val="-10"/>
        </w:rPr>
        <w:t> 种类型：Ⅰ型、Ⅱ型、Ⅲ型、Ⅳ型。本</w:t>
      </w:r>
    </w:p>
    <w:p>
      <w:pPr>
        <w:pStyle w:val="BodyText"/>
        <w:spacing w:line="244" w:lineRule="auto" w:before="3"/>
        <w:ind w:right="906"/>
      </w:pPr>
      <w:r>
        <w:rPr>
          <w:spacing w:val="-2"/>
        </w:rPr>
        <w:t>合同仅将Ⅲ型成骨不全的情形列入本合同所定义的重大疾病范围。其主要临床特点有：发展迟缓、多</w:t>
      </w:r>
      <w:r>
        <w:rPr>
          <w:spacing w:val="-2"/>
        </w:rPr>
        <w:t>发性骨折、进行性脊柱后侧凸及听力损害。</w:t>
      </w:r>
    </w:p>
    <w:p>
      <w:pPr>
        <w:pStyle w:val="BodyText"/>
        <w:spacing w:line="266" w:lineRule="exact"/>
      </w:pPr>
      <w:r>
        <w:rPr>
          <w:spacing w:val="-2"/>
        </w:rPr>
        <w:t>Ⅲ型成骨不全的诊断必须根据身体检查，家族史，X</w:t>
      </w:r>
      <w:r>
        <w:rPr>
          <w:spacing w:val="-8"/>
        </w:rPr>
        <w:t> 线检查和皮肤活检报告资料确诊。</w:t>
      </w:r>
    </w:p>
    <w:p>
      <w:pPr>
        <w:pStyle w:val="Heading2"/>
        <w:numPr>
          <w:ilvl w:val="0"/>
          <w:numId w:val="33"/>
        </w:numPr>
        <w:tabs>
          <w:tab w:pos="768" w:val="left" w:leader="none"/>
          <w:tab w:pos="769" w:val="left" w:leader="none"/>
        </w:tabs>
        <w:spacing w:line="363" w:lineRule="exact" w:before="107" w:after="0"/>
        <w:ind w:left="768" w:right="0" w:hanging="558"/>
        <w:jc w:val="left"/>
      </w:pPr>
      <w:r>
        <w:rPr>
          <w:spacing w:val="-2"/>
        </w:rPr>
        <w:t>严重川崎病</w:t>
      </w:r>
    </w:p>
    <w:p>
      <w:pPr>
        <w:pStyle w:val="BodyText"/>
        <w:spacing w:line="245" w:lineRule="exact"/>
      </w:pPr>
      <w:r>
        <w:rPr>
          <w:spacing w:val="-14"/>
        </w:rPr>
        <w:t>是一种血管炎综合征，临床表现为急性发热，皮肤粘膜病损和淋巴结肿大。经相关专科医生明确诊断，</w:t>
      </w:r>
    </w:p>
    <w:p>
      <w:pPr>
        <w:pStyle w:val="BodyText"/>
        <w:spacing w:before="5"/>
      </w:pPr>
      <w:r>
        <w:rPr>
          <w:spacing w:val="-3"/>
        </w:rPr>
        <w:t>且经血管造影或超声心动图检查证实，并须满足下列至少一项条件：</w:t>
      </w:r>
    </w:p>
    <w:p>
      <w:pPr>
        <w:pStyle w:val="ListParagraph"/>
        <w:numPr>
          <w:ilvl w:val="0"/>
          <w:numId w:val="85"/>
        </w:numPr>
        <w:tabs>
          <w:tab w:pos="1506" w:val="left" w:leader="none"/>
        </w:tabs>
        <w:spacing w:line="240" w:lineRule="auto" w:before="2" w:after="0"/>
        <w:ind w:left="1505" w:right="0" w:hanging="738"/>
        <w:jc w:val="left"/>
        <w:rPr>
          <w:sz w:val="21"/>
        </w:rPr>
      </w:pPr>
      <w:r>
        <w:rPr>
          <w:spacing w:val="-4"/>
          <w:sz w:val="21"/>
        </w:rPr>
        <w:t>伴有冠状动脉瘤，且冠状动脉瘤于最初急性发病后持续至少 </w:t>
      </w:r>
      <w:r>
        <w:rPr>
          <w:spacing w:val="-2"/>
          <w:sz w:val="21"/>
        </w:rPr>
        <w:t>180</w:t>
      </w:r>
      <w:r>
        <w:rPr>
          <w:spacing w:val="-18"/>
          <w:sz w:val="21"/>
        </w:rPr>
        <w:t> 天；</w:t>
      </w:r>
    </w:p>
    <w:p>
      <w:pPr>
        <w:pStyle w:val="ListParagraph"/>
        <w:numPr>
          <w:ilvl w:val="0"/>
          <w:numId w:val="85"/>
        </w:numPr>
        <w:tabs>
          <w:tab w:pos="1506" w:val="left" w:leader="none"/>
        </w:tabs>
        <w:spacing w:line="240" w:lineRule="auto" w:before="5" w:after="0"/>
        <w:ind w:left="1505" w:right="0" w:hanging="738"/>
        <w:jc w:val="left"/>
        <w:rPr>
          <w:sz w:val="21"/>
        </w:rPr>
      </w:pPr>
      <w:r>
        <w:rPr>
          <w:spacing w:val="-3"/>
          <w:sz w:val="21"/>
        </w:rPr>
        <w:t>伴有冠状动脉瘤，且已经实施了对冠状动脉瘤进行的手术治疗。</w:t>
      </w:r>
    </w:p>
    <w:p>
      <w:pPr>
        <w:pStyle w:val="Heading2"/>
        <w:numPr>
          <w:ilvl w:val="0"/>
          <w:numId w:val="33"/>
        </w:numPr>
        <w:tabs>
          <w:tab w:pos="768" w:val="left" w:leader="none"/>
          <w:tab w:pos="769" w:val="left" w:leader="none"/>
        </w:tabs>
        <w:spacing w:line="363" w:lineRule="exact" w:before="105" w:after="0"/>
        <w:ind w:left="768" w:right="0" w:hanging="558"/>
        <w:jc w:val="left"/>
      </w:pPr>
      <w:r>
        <w:rPr>
          <w:spacing w:val="-3"/>
        </w:rPr>
        <w:t>严重幼年型类风湿性关节炎</w:t>
      </w:r>
    </w:p>
    <w:p>
      <w:pPr>
        <w:pStyle w:val="BodyText"/>
        <w:spacing w:line="245" w:lineRule="exact"/>
      </w:pPr>
      <w:r>
        <w:rPr>
          <w:spacing w:val="-3"/>
        </w:rPr>
        <w:t>指为了治疗幼年型类风湿关节炎，已经实施了膝关节或髋关节置换手术。</w:t>
      </w:r>
    </w:p>
    <w:p>
      <w:pPr>
        <w:pStyle w:val="BodyText"/>
        <w:spacing w:line="242" w:lineRule="auto" w:before="5"/>
        <w:ind w:right="906"/>
      </w:pPr>
      <w:r>
        <w:rPr>
          <w:spacing w:val="-6"/>
        </w:rPr>
        <w:t>幼年型类风湿关节炎是一种儿童期发病的慢性关节炎，其特点为在高热和系统性病征出现数月后发生</w:t>
      </w:r>
      <w:r>
        <w:rPr>
          <w:spacing w:val="-4"/>
        </w:rPr>
        <w:t>关节炎。</w:t>
      </w:r>
    </w:p>
    <w:p>
      <w:pPr>
        <w:pStyle w:val="Heading2"/>
        <w:numPr>
          <w:ilvl w:val="0"/>
          <w:numId w:val="33"/>
        </w:numPr>
        <w:tabs>
          <w:tab w:pos="768" w:val="left" w:leader="none"/>
          <w:tab w:pos="769" w:val="left" w:leader="none"/>
        </w:tabs>
        <w:spacing w:line="363" w:lineRule="exact" w:before="104" w:after="0"/>
        <w:ind w:left="768" w:right="0" w:hanging="558"/>
        <w:jc w:val="left"/>
      </w:pPr>
      <w:r>
        <w:rPr>
          <w:spacing w:val="-3"/>
        </w:rPr>
        <w:t>疾病或外伤所致智力障碍</w:t>
      </w:r>
    </w:p>
    <w:p>
      <w:pPr>
        <w:pStyle w:val="BodyText"/>
        <w:spacing w:line="245" w:lineRule="exact"/>
      </w:pPr>
      <w:r>
        <w:rPr>
          <w:spacing w:val="-6"/>
        </w:rPr>
        <w:t>因严重头部创伤或疾病造成被保险人智力低常（智力低于常态</w:t>
      </w:r>
      <w:r>
        <w:rPr>
          <w:spacing w:val="-106"/>
        </w:rPr>
        <w:t>）</w:t>
      </w:r>
      <w:r>
        <w:rPr>
          <w:spacing w:val="-6"/>
        </w:rPr>
        <w:t>。根据智商</w:t>
      </w:r>
      <w:r>
        <w:rPr>
          <w:spacing w:val="17"/>
        </w:rPr>
        <w:t>（</w:t>
      </w:r>
      <w:r>
        <w:rPr>
          <w:spacing w:val="20"/>
        </w:rPr>
        <w:t>IQ</w:t>
      </w:r>
      <w:r>
        <w:rPr>
          <w:spacing w:val="-86"/>
        </w:rPr>
        <w:t>）</w:t>
      </w:r>
      <w:r>
        <w:rPr>
          <w:spacing w:val="-7"/>
        </w:rPr>
        <w:t>，智力低常分为轻度</w:t>
      </w:r>
    </w:p>
    <w:p>
      <w:pPr>
        <w:pStyle w:val="BodyText"/>
        <w:spacing w:line="242" w:lineRule="auto" w:before="5"/>
        <w:ind w:right="906"/>
        <w:jc w:val="both"/>
      </w:pPr>
      <w:r>
        <w:rPr>
          <w:spacing w:val="-8"/>
        </w:rPr>
        <w:t>（IQ50-</w:t>
      </w:r>
      <w:r>
        <w:rPr>
          <w:spacing w:val="28"/>
        </w:rPr>
        <w:t>69</w:t>
      </w:r>
      <w:r>
        <w:rPr>
          <w:spacing w:val="-80"/>
        </w:rPr>
        <w:t>）</w:t>
      </w:r>
      <w:r>
        <w:rPr>
          <w:spacing w:val="-8"/>
        </w:rPr>
        <w:t>、中度（IQ35-</w:t>
      </w:r>
      <w:r>
        <w:rPr>
          <w:spacing w:val="27"/>
        </w:rPr>
        <w:t>49</w:t>
      </w:r>
      <w:r>
        <w:rPr>
          <w:spacing w:val="-79"/>
        </w:rPr>
        <w:t>）</w:t>
      </w:r>
      <w:r>
        <w:rPr>
          <w:spacing w:val="-8"/>
        </w:rPr>
        <w:t>、重度（IQ20-34）和极重度</w:t>
      </w:r>
      <w:r>
        <w:rPr>
          <w:spacing w:val="7"/>
        </w:rPr>
        <w:t>（I</w:t>
      </w:r>
      <w:r>
        <w:rPr>
          <w:spacing w:val="4"/>
        </w:rPr>
        <w:t>Q</w:t>
      </w:r>
      <w:r>
        <w:rPr>
          <w:spacing w:val="7"/>
        </w:rPr>
        <w:t>＜20</w:t>
      </w:r>
      <w:r>
        <w:rPr>
          <w:spacing w:val="-99"/>
        </w:rPr>
        <w:t>）</w:t>
      </w:r>
      <w:r>
        <w:rPr>
          <w:spacing w:val="-8"/>
        </w:rPr>
        <w:t>。根据被保险人年龄采用对应的</w:t>
      </w:r>
      <w:r>
        <w:rPr>
          <w:spacing w:val="-2"/>
        </w:rPr>
        <w:t>智力量表如韦克斯勒智力量表（儿童智力量表或成人智力量表）检测证实，智商的检测必须由医院的</w:t>
      </w:r>
      <w:r>
        <w:rPr>
          <w:spacing w:val="-2"/>
        </w:rPr>
        <w:t>儿童或成人精神卫生科、心理科或神经科专科医生进行，且须满足下列全部条件：</w:t>
      </w:r>
    </w:p>
    <w:p>
      <w:pPr>
        <w:pStyle w:val="ListParagraph"/>
        <w:numPr>
          <w:ilvl w:val="0"/>
          <w:numId w:val="86"/>
        </w:numPr>
        <w:tabs>
          <w:tab w:pos="1506" w:val="left" w:leader="none"/>
        </w:tabs>
        <w:spacing w:line="242" w:lineRule="auto" w:before="1" w:after="0"/>
        <w:ind w:left="1505" w:right="907" w:hanging="737"/>
        <w:jc w:val="left"/>
        <w:rPr>
          <w:sz w:val="21"/>
        </w:rPr>
      </w:pPr>
      <w:r>
        <w:rPr>
          <w:spacing w:val="-2"/>
          <w:sz w:val="21"/>
        </w:rPr>
        <w:t>造成被保险人智力低常（智力低于常态）的严重头部创伤或疾病（以入院日期为准）发生在</w:t>
      </w:r>
      <w:r>
        <w:rPr>
          <w:spacing w:val="-5"/>
          <w:sz w:val="21"/>
        </w:rPr>
        <w:t>被保险人 </w:t>
      </w:r>
      <w:r>
        <w:rPr>
          <w:sz w:val="21"/>
        </w:rPr>
        <w:t>6</w:t>
      </w:r>
      <w:r>
        <w:rPr>
          <w:spacing w:val="-5"/>
          <w:sz w:val="21"/>
        </w:rPr>
        <w:t> 周岁以后；</w:t>
      </w:r>
    </w:p>
    <w:p>
      <w:pPr>
        <w:pStyle w:val="ListParagraph"/>
        <w:numPr>
          <w:ilvl w:val="0"/>
          <w:numId w:val="86"/>
        </w:numPr>
        <w:tabs>
          <w:tab w:pos="1506" w:val="left" w:leader="none"/>
        </w:tabs>
        <w:spacing w:line="240" w:lineRule="auto" w:before="1" w:after="0"/>
        <w:ind w:left="1505" w:right="0" w:hanging="738"/>
        <w:jc w:val="left"/>
        <w:rPr>
          <w:sz w:val="21"/>
        </w:rPr>
      </w:pPr>
      <w:r>
        <w:rPr>
          <w:spacing w:val="-3"/>
          <w:sz w:val="21"/>
        </w:rPr>
        <w:t>相关专科医生确诊被保险人由于严重头部创伤或疾病造成智力低常；</w:t>
      </w:r>
    </w:p>
    <w:p>
      <w:pPr>
        <w:pStyle w:val="ListParagraph"/>
        <w:numPr>
          <w:ilvl w:val="0"/>
          <w:numId w:val="86"/>
        </w:numPr>
        <w:tabs>
          <w:tab w:pos="1506" w:val="left" w:leader="none"/>
        </w:tabs>
        <w:spacing w:line="240" w:lineRule="auto" w:before="2" w:after="0"/>
        <w:ind w:left="1505" w:right="0" w:hanging="738"/>
        <w:jc w:val="left"/>
        <w:rPr>
          <w:sz w:val="21"/>
        </w:rPr>
      </w:pPr>
      <w:r>
        <w:rPr>
          <w:spacing w:val="-2"/>
          <w:sz w:val="21"/>
        </w:rPr>
        <w:t>医院的儿童或成人精神卫生科、心理科或神经科专科医生证实被保险人智力低常（IQ＜50）</w:t>
      </w:r>
    </w:p>
    <w:p>
      <w:pPr>
        <w:pStyle w:val="BodyText"/>
        <w:spacing w:before="5"/>
        <w:ind w:left="1505"/>
      </w:pPr>
      <w:r>
        <w:rPr>
          <w:spacing w:val="-2"/>
        </w:rPr>
        <w:t>（中度、重度或极重度</w:t>
      </w:r>
      <w:r>
        <w:rPr>
          <w:spacing w:val="-113"/>
        </w:rPr>
        <w:t>）</w:t>
      </w:r>
      <w:r>
        <w:rPr>
          <w:spacing w:val="-5"/>
        </w:rPr>
        <w:t>；</w:t>
      </w:r>
    </w:p>
    <w:p>
      <w:pPr>
        <w:pStyle w:val="ListParagraph"/>
        <w:numPr>
          <w:ilvl w:val="0"/>
          <w:numId w:val="86"/>
        </w:numPr>
        <w:tabs>
          <w:tab w:pos="1506" w:val="left" w:leader="none"/>
        </w:tabs>
        <w:spacing w:line="240" w:lineRule="auto" w:before="2" w:after="0"/>
        <w:ind w:left="1505" w:right="0" w:hanging="738"/>
        <w:jc w:val="left"/>
        <w:rPr>
          <w:sz w:val="21"/>
        </w:rPr>
      </w:pPr>
      <w:r>
        <w:rPr>
          <w:spacing w:val="-5"/>
          <w:sz w:val="21"/>
        </w:rPr>
        <w:t>被保险人的智力低常自确认日起持续 </w:t>
      </w:r>
      <w:r>
        <w:rPr>
          <w:spacing w:val="-2"/>
          <w:sz w:val="21"/>
        </w:rPr>
        <w:t>180</w:t>
      </w:r>
      <w:r>
        <w:rPr>
          <w:spacing w:val="-14"/>
          <w:sz w:val="21"/>
        </w:rPr>
        <w:t> 天以上。</w:t>
      </w:r>
    </w:p>
    <w:p>
      <w:pPr>
        <w:pStyle w:val="BodyText"/>
        <w:spacing w:before="6"/>
        <w:ind w:left="0"/>
      </w:pPr>
    </w:p>
    <w:p>
      <w:pPr>
        <w:pStyle w:val="Heading2"/>
        <w:numPr>
          <w:ilvl w:val="0"/>
          <w:numId w:val="33"/>
        </w:numPr>
        <w:tabs>
          <w:tab w:pos="768" w:val="left" w:leader="none"/>
          <w:tab w:pos="769" w:val="left" w:leader="none"/>
        </w:tabs>
        <w:spacing w:line="364" w:lineRule="exact" w:before="1" w:after="0"/>
        <w:ind w:left="768" w:right="0" w:hanging="558"/>
        <w:jc w:val="left"/>
      </w:pPr>
      <w:r>
        <w:rPr>
          <w:spacing w:val="-2"/>
        </w:rPr>
        <w:t>严重小肠损害并发症</w:t>
      </w:r>
    </w:p>
    <w:p>
      <w:pPr>
        <w:pStyle w:val="BodyText"/>
        <w:spacing w:line="246" w:lineRule="exact"/>
      </w:pPr>
      <w:r>
        <w:rPr>
          <w:spacing w:val="-3"/>
        </w:rPr>
        <w:t>由疾病或外伤导致小肠损害并发症，且须满足下列全部条件：</w:t>
      </w:r>
    </w:p>
    <w:p>
      <w:pPr>
        <w:pStyle w:val="ListParagraph"/>
        <w:numPr>
          <w:ilvl w:val="0"/>
          <w:numId w:val="87"/>
        </w:numPr>
        <w:tabs>
          <w:tab w:pos="1506" w:val="left" w:leader="none"/>
        </w:tabs>
        <w:spacing w:line="240" w:lineRule="auto" w:before="2" w:after="0"/>
        <w:ind w:left="1505" w:right="0" w:hanging="738"/>
        <w:jc w:val="left"/>
        <w:rPr>
          <w:sz w:val="21"/>
        </w:rPr>
      </w:pPr>
      <w:r>
        <w:rPr>
          <w:spacing w:val="-3"/>
          <w:sz w:val="21"/>
        </w:rPr>
        <w:t>至少切除了三分之二小肠；</w:t>
      </w:r>
    </w:p>
    <w:p>
      <w:pPr>
        <w:pStyle w:val="ListParagraph"/>
        <w:numPr>
          <w:ilvl w:val="0"/>
          <w:numId w:val="87"/>
        </w:numPr>
        <w:tabs>
          <w:tab w:pos="1506" w:val="left" w:leader="none"/>
        </w:tabs>
        <w:spacing w:line="240" w:lineRule="auto" w:before="5" w:after="0"/>
        <w:ind w:left="1505" w:right="0" w:hanging="738"/>
        <w:jc w:val="left"/>
        <w:rPr>
          <w:sz w:val="21"/>
        </w:rPr>
      </w:pPr>
      <w:r>
        <w:rPr>
          <w:spacing w:val="-3"/>
          <w:sz w:val="21"/>
        </w:rPr>
        <w:t>完全肠外营养支持三个月以上。</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2"/>
        </w:rPr>
        <w:t>严重瑞氏综合征</w:t>
      </w:r>
    </w:p>
    <w:p>
      <w:pPr>
        <w:pStyle w:val="BodyText"/>
        <w:spacing w:line="246" w:lineRule="exact"/>
      </w:pPr>
      <w:r>
        <w:rPr>
          <w:spacing w:val="-7"/>
        </w:rPr>
        <w:t>瑞氏综合征是线粒体功能障碍性疾病。导致脂肪代谢障碍，引起短链脂肪酸、血氨升高，造成脑水肿。</w:t>
      </w:r>
    </w:p>
    <w:p>
      <w:pPr>
        <w:pStyle w:val="BodyText"/>
        <w:spacing w:line="244" w:lineRule="auto" w:before="2"/>
        <w:ind w:right="911"/>
      </w:pPr>
      <w:r>
        <w:rPr>
          <w:spacing w:val="-2"/>
        </w:rPr>
        <w:t>主要临床表现为急性发热、反复呕吐、惊厥及意识障碍等等。经相关专科医生明确诊断，且须满足下</w:t>
      </w:r>
      <w:r>
        <w:rPr>
          <w:spacing w:val="-2"/>
        </w:rPr>
        <w:t>列全部条件：</w:t>
      </w:r>
    </w:p>
    <w:p>
      <w:pPr>
        <w:pStyle w:val="ListParagraph"/>
        <w:numPr>
          <w:ilvl w:val="0"/>
          <w:numId w:val="88"/>
        </w:numPr>
        <w:tabs>
          <w:tab w:pos="1506" w:val="left" w:leader="none"/>
        </w:tabs>
        <w:spacing w:line="265" w:lineRule="exact" w:before="0" w:after="0"/>
        <w:ind w:left="1505" w:right="0" w:hanging="738"/>
        <w:jc w:val="left"/>
        <w:rPr>
          <w:sz w:val="21"/>
        </w:rPr>
      </w:pPr>
      <w:r>
        <w:rPr>
          <w:spacing w:val="-3"/>
          <w:sz w:val="21"/>
        </w:rPr>
        <w:t>有脑水肿和颅内压升高的脑脊液检查和影像学检查证据；</w:t>
      </w:r>
    </w:p>
    <w:p>
      <w:pPr>
        <w:pStyle w:val="ListParagraph"/>
        <w:numPr>
          <w:ilvl w:val="0"/>
          <w:numId w:val="88"/>
        </w:numPr>
        <w:tabs>
          <w:tab w:pos="1506" w:val="left" w:leader="none"/>
        </w:tabs>
        <w:spacing w:line="240" w:lineRule="auto" w:before="5" w:after="0"/>
        <w:ind w:left="1505" w:right="0" w:hanging="738"/>
        <w:jc w:val="left"/>
        <w:rPr>
          <w:sz w:val="21"/>
        </w:rPr>
      </w:pPr>
      <w:r>
        <w:rPr>
          <w:spacing w:val="-8"/>
          <w:sz w:val="21"/>
        </w:rPr>
        <w:t>血氨超过正常值的 </w:t>
      </w:r>
      <w:r>
        <w:rPr>
          <w:spacing w:val="-2"/>
          <w:sz w:val="21"/>
        </w:rPr>
        <w:t>3</w:t>
      </w:r>
      <w:r>
        <w:rPr>
          <w:spacing w:val="-25"/>
          <w:sz w:val="21"/>
        </w:rPr>
        <w:t> 倍</w:t>
      </w:r>
      <w:r>
        <w:rPr>
          <w:spacing w:val="-2"/>
          <w:sz w:val="21"/>
        </w:rPr>
        <w:t>（含）</w:t>
      </w:r>
      <w:r>
        <w:rPr>
          <w:spacing w:val="-5"/>
          <w:sz w:val="21"/>
        </w:rPr>
        <w:t>以上；</w:t>
      </w:r>
    </w:p>
    <w:p>
      <w:pPr>
        <w:pStyle w:val="ListParagraph"/>
        <w:numPr>
          <w:ilvl w:val="0"/>
          <w:numId w:val="88"/>
        </w:numPr>
        <w:tabs>
          <w:tab w:pos="1506" w:val="left" w:leader="none"/>
        </w:tabs>
        <w:spacing w:line="240" w:lineRule="auto" w:before="2" w:after="0"/>
        <w:ind w:left="1505" w:right="0" w:hanging="738"/>
        <w:jc w:val="left"/>
        <w:rPr>
          <w:sz w:val="21"/>
        </w:rPr>
      </w:pPr>
      <w:r>
        <w:rPr>
          <w:spacing w:val="-5"/>
          <w:sz w:val="21"/>
        </w:rPr>
        <w:t>临床出现昏迷，病程至少达到疾病分期第 </w:t>
      </w:r>
      <w:r>
        <w:rPr>
          <w:spacing w:val="-2"/>
          <w:sz w:val="21"/>
        </w:rPr>
        <w:t>3</w:t>
      </w:r>
      <w:r>
        <w:rPr>
          <w:spacing w:val="-20"/>
          <w:sz w:val="21"/>
        </w:rPr>
        <w:t> 期。</w:t>
      </w:r>
    </w:p>
    <w:p>
      <w:pPr>
        <w:spacing w:after="0" w:line="240" w:lineRule="auto"/>
        <w:jc w:val="left"/>
        <w:rPr>
          <w:sz w:val="21"/>
        </w:rPr>
        <w:sectPr>
          <w:pgSz w:w="11910" w:h="16840"/>
          <w:pgMar w:header="0" w:footer="574" w:top="1060" w:bottom="760" w:left="720" w:right="340"/>
        </w:sectPr>
      </w:pPr>
    </w:p>
    <w:p>
      <w:pPr>
        <w:pStyle w:val="Heading2"/>
        <w:numPr>
          <w:ilvl w:val="0"/>
          <w:numId w:val="33"/>
        </w:numPr>
        <w:tabs>
          <w:tab w:pos="768" w:val="left" w:leader="none"/>
          <w:tab w:pos="769" w:val="left" w:leader="none"/>
        </w:tabs>
        <w:spacing w:line="352" w:lineRule="exact" w:before="0" w:after="0"/>
        <w:ind w:left="768" w:right="0" w:hanging="558"/>
        <w:jc w:val="left"/>
      </w:pPr>
      <w:r>
        <w:rPr>
          <w:spacing w:val="-2"/>
        </w:rPr>
        <w:t>急性呼吸窘迫综合征（ARDS）</w:t>
      </w:r>
    </w:p>
    <w:p>
      <w:pPr>
        <w:pStyle w:val="BodyText"/>
        <w:spacing w:line="246" w:lineRule="exact"/>
      </w:pPr>
      <w:r>
        <w:rPr>
          <w:spacing w:val="-5"/>
        </w:rPr>
        <w:t>一种表现为无心脏衰竭的肺水肿，为创伤、脓毒血症等临床多种疾病的并发症，造成多器官衰竭，死</w:t>
      </w:r>
    </w:p>
    <w:p>
      <w:pPr>
        <w:pStyle w:val="BodyText"/>
        <w:spacing w:before="2"/>
      </w:pPr>
      <w:r>
        <w:rPr>
          <w:spacing w:val="-3"/>
        </w:rPr>
        <w:t>亡率高。经医院的呼吸系统专科医生明确诊断，且须满足下列全部临床特征：</w:t>
      </w:r>
    </w:p>
    <w:p>
      <w:pPr>
        <w:pStyle w:val="ListParagraph"/>
        <w:numPr>
          <w:ilvl w:val="0"/>
          <w:numId w:val="89"/>
        </w:numPr>
        <w:tabs>
          <w:tab w:pos="1506" w:val="left" w:leader="none"/>
        </w:tabs>
        <w:spacing w:line="242" w:lineRule="auto" w:before="5" w:after="0"/>
        <w:ind w:left="1505" w:right="906" w:hanging="737"/>
        <w:jc w:val="left"/>
        <w:rPr>
          <w:sz w:val="21"/>
        </w:rPr>
      </w:pPr>
      <w:r>
        <w:rPr>
          <w:sz w:val="21"/>
        </w:rPr>
        <w:t>急性发作（</w:t>
      </w:r>
      <w:r>
        <w:rPr>
          <w:spacing w:val="-6"/>
          <w:sz w:val="21"/>
        </w:rPr>
        <w:t>原发疾病起病后 </w:t>
      </w:r>
      <w:r>
        <w:rPr>
          <w:sz w:val="21"/>
        </w:rPr>
        <w:t>6</w:t>
      </w:r>
      <w:r>
        <w:rPr>
          <w:spacing w:val="-32"/>
          <w:sz w:val="21"/>
        </w:rPr>
        <w:t> 至 </w:t>
      </w:r>
      <w:r>
        <w:rPr>
          <w:sz w:val="21"/>
        </w:rPr>
        <w:t>72</w:t>
      </w:r>
      <w:r>
        <w:rPr>
          <w:spacing w:val="-16"/>
          <w:sz w:val="21"/>
        </w:rPr>
        <w:t> 小时</w:t>
      </w:r>
      <w:r>
        <w:rPr>
          <w:spacing w:val="-108"/>
          <w:sz w:val="21"/>
        </w:rPr>
        <w:t>）</w:t>
      </w:r>
      <w:r>
        <w:rPr>
          <w:sz w:val="21"/>
        </w:rPr>
        <w:t>，临床症状体征，包括呼吸急促、呼吸困难、心动</w:t>
      </w:r>
      <w:r>
        <w:rPr>
          <w:spacing w:val="-2"/>
          <w:sz w:val="21"/>
        </w:rPr>
        <w:t>过速、大汗、面色苍白及辅助呼吸肌活动加强（点头呼吸、提肩呼吸</w:t>
      </w:r>
      <w:r>
        <w:rPr>
          <w:spacing w:val="-108"/>
          <w:sz w:val="21"/>
        </w:rPr>
        <w:t>）</w:t>
      </w:r>
      <w:r>
        <w:rPr>
          <w:sz w:val="21"/>
        </w:rPr>
        <w:t>；</w:t>
      </w:r>
    </w:p>
    <w:p>
      <w:pPr>
        <w:pStyle w:val="ListParagraph"/>
        <w:numPr>
          <w:ilvl w:val="0"/>
          <w:numId w:val="89"/>
        </w:numPr>
        <w:tabs>
          <w:tab w:pos="1506" w:val="left" w:leader="none"/>
        </w:tabs>
        <w:spacing w:line="240" w:lineRule="auto" w:before="1" w:after="0"/>
        <w:ind w:left="1505" w:right="0" w:hanging="738"/>
        <w:jc w:val="left"/>
        <w:rPr>
          <w:sz w:val="21"/>
        </w:rPr>
      </w:pPr>
      <w:r>
        <w:rPr>
          <w:spacing w:val="-3"/>
          <w:sz w:val="21"/>
        </w:rPr>
        <w:t>影像学提示：双肺浸润影；</w:t>
      </w:r>
    </w:p>
    <w:p>
      <w:pPr>
        <w:pStyle w:val="ListParagraph"/>
        <w:numPr>
          <w:ilvl w:val="0"/>
          <w:numId w:val="89"/>
        </w:numPr>
        <w:tabs>
          <w:tab w:pos="1506" w:val="left" w:leader="none"/>
        </w:tabs>
        <w:spacing w:line="240" w:lineRule="auto" w:before="2" w:after="0"/>
        <w:ind w:left="1505" w:right="0" w:hanging="738"/>
        <w:jc w:val="left"/>
        <w:rPr>
          <w:sz w:val="21"/>
        </w:rPr>
      </w:pPr>
      <w:r>
        <w:rPr>
          <w:spacing w:val="-2"/>
          <w:position w:val="1"/>
          <w:sz w:val="21"/>
        </w:rPr>
        <w:t>检查证实：PaO</w:t>
      </w:r>
      <w:r>
        <w:rPr>
          <w:spacing w:val="-2"/>
          <w:sz w:val="11"/>
        </w:rPr>
        <w:t>2</w:t>
      </w:r>
      <w:r>
        <w:rPr>
          <w:spacing w:val="-2"/>
          <w:position w:val="1"/>
          <w:sz w:val="21"/>
        </w:rPr>
        <w:t>/FiO</w:t>
      </w:r>
      <w:r>
        <w:rPr>
          <w:spacing w:val="-2"/>
          <w:sz w:val="11"/>
        </w:rPr>
        <w:t>2</w:t>
      </w:r>
      <w:r>
        <w:rPr>
          <w:spacing w:val="-2"/>
          <w:position w:val="1"/>
          <w:sz w:val="21"/>
        </w:rPr>
        <w:t>（动脉氧分压/吸入氧浓度）</w:t>
      </w:r>
      <w:r>
        <w:rPr>
          <w:spacing w:val="-13"/>
          <w:position w:val="1"/>
          <w:sz w:val="21"/>
        </w:rPr>
        <w:t>低于 </w:t>
      </w:r>
      <w:r>
        <w:rPr>
          <w:spacing w:val="-2"/>
          <w:position w:val="1"/>
          <w:sz w:val="21"/>
        </w:rPr>
        <w:t>200mmHg</w:t>
      </w:r>
      <w:r>
        <w:rPr>
          <w:spacing w:val="-5"/>
          <w:position w:val="1"/>
          <w:sz w:val="21"/>
        </w:rPr>
        <w:t>；肺动脉嵌入压低于 </w:t>
      </w:r>
      <w:r>
        <w:rPr>
          <w:spacing w:val="-2"/>
          <w:position w:val="1"/>
          <w:sz w:val="21"/>
        </w:rPr>
        <w:t>18mmHg；</w:t>
      </w:r>
    </w:p>
    <w:p>
      <w:pPr>
        <w:pStyle w:val="ListParagraph"/>
        <w:numPr>
          <w:ilvl w:val="0"/>
          <w:numId w:val="89"/>
        </w:numPr>
        <w:tabs>
          <w:tab w:pos="1506" w:val="left" w:leader="none"/>
        </w:tabs>
        <w:spacing w:line="240" w:lineRule="auto" w:before="5" w:after="0"/>
        <w:ind w:left="1505" w:right="0" w:hanging="738"/>
        <w:jc w:val="left"/>
        <w:rPr>
          <w:sz w:val="21"/>
        </w:rPr>
      </w:pPr>
      <w:r>
        <w:rPr>
          <w:spacing w:val="-3"/>
          <w:sz w:val="21"/>
        </w:rPr>
        <w:t>临床无左房高压表现。</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2"/>
        </w:rPr>
        <w:t>溶血性尿毒综合征</w:t>
      </w:r>
    </w:p>
    <w:p>
      <w:pPr>
        <w:pStyle w:val="BodyText"/>
        <w:spacing w:line="246" w:lineRule="exact"/>
      </w:pPr>
      <w:r>
        <w:rPr>
          <w:spacing w:val="-5"/>
        </w:rPr>
        <w:t>一种由于感染导致的急性综合征，引起红细胞溶血，肾功能衰竭及尿毒症。本病须经医院的血液或肾</w:t>
      </w:r>
    </w:p>
    <w:p>
      <w:pPr>
        <w:pStyle w:val="BodyText"/>
        <w:spacing w:before="2"/>
      </w:pPr>
      <w:r>
        <w:rPr>
          <w:spacing w:val="-3"/>
        </w:rPr>
        <w:t>脏专科医生明确诊断，且须满足下列全部条件：</w:t>
      </w:r>
    </w:p>
    <w:p>
      <w:pPr>
        <w:pStyle w:val="ListParagraph"/>
        <w:numPr>
          <w:ilvl w:val="0"/>
          <w:numId w:val="90"/>
        </w:numPr>
        <w:tabs>
          <w:tab w:pos="1506" w:val="left" w:leader="none"/>
        </w:tabs>
        <w:spacing w:line="240" w:lineRule="auto" w:before="5" w:after="0"/>
        <w:ind w:left="1505" w:right="0" w:hanging="738"/>
        <w:jc w:val="left"/>
        <w:rPr>
          <w:sz w:val="21"/>
        </w:rPr>
      </w:pPr>
      <w:r>
        <w:rPr>
          <w:spacing w:val="-3"/>
          <w:sz w:val="21"/>
        </w:rPr>
        <w:t>实验室检查确认有溶血性贫血、血尿、尿毒症、血小板减少性紫癜；</w:t>
      </w:r>
    </w:p>
    <w:p>
      <w:pPr>
        <w:pStyle w:val="ListParagraph"/>
        <w:numPr>
          <w:ilvl w:val="0"/>
          <w:numId w:val="90"/>
        </w:numPr>
        <w:tabs>
          <w:tab w:pos="1506" w:val="left" w:leader="none"/>
        </w:tabs>
        <w:spacing w:line="240" w:lineRule="auto" w:before="2" w:after="0"/>
        <w:ind w:left="1505" w:right="0" w:hanging="738"/>
        <w:jc w:val="left"/>
        <w:rPr>
          <w:sz w:val="21"/>
        </w:rPr>
      </w:pPr>
      <w:r>
        <w:rPr>
          <w:spacing w:val="-3"/>
          <w:sz w:val="21"/>
        </w:rPr>
        <w:t>因肾脏功能衰竭实施了肾脏透析治疗。</w:t>
      </w:r>
    </w:p>
    <w:p>
      <w:pPr>
        <w:pStyle w:val="BodyText"/>
        <w:spacing w:line="242" w:lineRule="auto" w:before="4"/>
        <w:ind w:right="827"/>
      </w:pPr>
      <w:r>
        <w:rPr>
          <w:spacing w:val="-2"/>
        </w:rPr>
        <w:t>任何非因感染导致的溶血性贫血，如：自身免疫性溶血性贫血、与红细胞膜缺陷有关的溶血性贫血、</w:t>
      </w:r>
      <w:r>
        <w:rPr>
          <w:spacing w:val="-2"/>
        </w:rPr>
        <w:t>红细胞酶病、血红蛋白病等，不在保障范围内。</w:t>
      </w:r>
    </w:p>
    <w:p>
      <w:pPr>
        <w:pStyle w:val="Heading2"/>
        <w:numPr>
          <w:ilvl w:val="0"/>
          <w:numId w:val="33"/>
        </w:numPr>
        <w:tabs>
          <w:tab w:pos="768" w:val="left" w:leader="none"/>
          <w:tab w:pos="769" w:val="left" w:leader="none"/>
        </w:tabs>
        <w:spacing w:line="364" w:lineRule="exact" w:before="103" w:after="0"/>
        <w:ind w:left="768" w:right="0" w:hanging="558"/>
        <w:jc w:val="left"/>
      </w:pPr>
      <w:r>
        <w:rPr>
          <w:spacing w:val="-2"/>
        </w:rPr>
        <w:t>严重登革出血热</w:t>
      </w:r>
    </w:p>
    <w:p>
      <w:pPr>
        <w:pStyle w:val="BodyText"/>
        <w:spacing w:line="246" w:lineRule="exact"/>
      </w:pPr>
      <w:r>
        <w:rPr>
          <w:spacing w:val="-3"/>
        </w:rPr>
        <w:t>经相关专科医生明确诊断，且须满足下列一种或多种严重登革热的临床表现：</w:t>
      </w:r>
    </w:p>
    <w:p>
      <w:pPr>
        <w:pStyle w:val="ListParagraph"/>
        <w:numPr>
          <w:ilvl w:val="0"/>
          <w:numId w:val="91"/>
        </w:numPr>
        <w:tabs>
          <w:tab w:pos="1506" w:val="left" w:leader="none"/>
        </w:tabs>
        <w:spacing w:line="240" w:lineRule="auto" w:before="2" w:after="0"/>
        <w:ind w:left="1505" w:right="0" w:hanging="738"/>
        <w:jc w:val="left"/>
        <w:rPr>
          <w:sz w:val="21"/>
        </w:rPr>
      </w:pPr>
      <w:r>
        <w:rPr>
          <w:spacing w:val="-3"/>
          <w:sz w:val="21"/>
        </w:rPr>
        <w:t>血浆渗漏致休克或胸腔积液伴呼吸困难；</w:t>
      </w:r>
    </w:p>
    <w:p>
      <w:pPr>
        <w:pStyle w:val="ListParagraph"/>
        <w:numPr>
          <w:ilvl w:val="0"/>
          <w:numId w:val="91"/>
        </w:numPr>
        <w:tabs>
          <w:tab w:pos="1506" w:val="left" w:leader="none"/>
        </w:tabs>
        <w:spacing w:line="240" w:lineRule="auto" w:before="5" w:after="0"/>
        <w:ind w:left="1505" w:right="0" w:hanging="738"/>
        <w:jc w:val="left"/>
        <w:rPr>
          <w:sz w:val="21"/>
        </w:rPr>
      </w:pPr>
      <w:r>
        <w:rPr>
          <w:spacing w:val="-8"/>
          <w:sz w:val="21"/>
        </w:rPr>
        <w:t>严重出血：消化道出血、阴道大出血、颅内出血、肉眼血尿或皮下血肿（不包括皮下出血点</w:t>
      </w:r>
      <w:r>
        <w:rPr>
          <w:spacing w:val="-111"/>
          <w:sz w:val="21"/>
        </w:rPr>
        <w:t>）</w:t>
      </w:r>
      <w:r>
        <w:rPr>
          <w:spacing w:val="-5"/>
          <w:sz w:val="21"/>
        </w:rPr>
        <w:t>；</w:t>
      </w:r>
    </w:p>
    <w:p>
      <w:pPr>
        <w:pStyle w:val="ListParagraph"/>
        <w:numPr>
          <w:ilvl w:val="0"/>
          <w:numId w:val="91"/>
        </w:numPr>
        <w:tabs>
          <w:tab w:pos="1506" w:val="left" w:leader="none"/>
        </w:tabs>
        <w:spacing w:line="244" w:lineRule="auto" w:before="2" w:after="0"/>
        <w:ind w:left="1505" w:right="906" w:hanging="737"/>
        <w:jc w:val="left"/>
        <w:rPr>
          <w:sz w:val="21"/>
        </w:rPr>
      </w:pPr>
      <w:r>
        <w:rPr>
          <w:spacing w:val="-4"/>
          <w:sz w:val="21"/>
        </w:rPr>
        <w:t>伴发下列一种或一种以上严重器官损害：肝脏损伤（ALT</w:t>
      </w:r>
      <w:r>
        <w:rPr>
          <w:spacing w:val="-38"/>
          <w:sz w:val="21"/>
        </w:rPr>
        <w:t> 或 </w:t>
      </w:r>
      <w:r>
        <w:rPr>
          <w:spacing w:val="5"/>
          <w:sz w:val="21"/>
        </w:rPr>
        <w:t>A</w:t>
      </w:r>
      <w:r>
        <w:rPr>
          <w:spacing w:val="2"/>
          <w:sz w:val="21"/>
        </w:rPr>
        <w:t>S</w:t>
      </w:r>
      <w:r>
        <w:rPr>
          <w:spacing w:val="4"/>
          <w:sz w:val="21"/>
        </w:rPr>
        <w:t>T</w:t>
      </w:r>
      <w:r>
        <w:rPr>
          <w:rFonts w:ascii="Times New Roman" w:hAnsi="Times New Roman" w:eastAsia="Times New Roman"/>
          <w:spacing w:val="3"/>
          <w:sz w:val="21"/>
        </w:rPr>
        <w:t>˃</w:t>
      </w:r>
      <w:r>
        <w:rPr>
          <w:spacing w:val="5"/>
          <w:sz w:val="21"/>
        </w:rPr>
        <w:t>100</w:t>
      </w:r>
      <w:r>
        <w:rPr>
          <w:spacing w:val="2"/>
          <w:sz w:val="21"/>
        </w:rPr>
        <w:t>0</w:t>
      </w:r>
      <w:r>
        <w:rPr>
          <w:spacing w:val="5"/>
          <w:sz w:val="21"/>
        </w:rPr>
        <w:t>IU/</w:t>
      </w:r>
      <w:r>
        <w:rPr>
          <w:spacing w:val="2"/>
          <w:sz w:val="21"/>
        </w:rPr>
        <w:t>L</w:t>
      </w:r>
      <w:r>
        <w:rPr>
          <w:spacing w:val="-101"/>
          <w:sz w:val="21"/>
        </w:rPr>
        <w:t>）</w:t>
      </w:r>
      <w:r>
        <w:rPr>
          <w:spacing w:val="-4"/>
          <w:sz w:val="21"/>
        </w:rPr>
        <w:t>、急性呼吸窘迫综</w:t>
      </w:r>
      <w:r>
        <w:rPr>
          <w:spacing w:val="-2"/>
          <w:sz w:val="21"/>
        </w:rPr>
        <w:t>合征</w:t>
      </w:r>
      <w:r>
        <w:rPr>
          <w:spacing w:val="13"/>
          <w:sz w:val="21"/>
        </w:rPr>
        <w:t>（</w:t>
      </w:r>
      <w:r>
        <w:rPr>
          <w:spacing w:val="16"/>
          <w:sz w:val="21"/>
        </w:rPr>
        <w:t>ARD</w:t>
      </w:r>
      <w:r>
        <w:rPr>
          <w:spacing w:val="13"/>
          <w:sz w:val="21"/>
        </w:rPr>
        <w:t>S</w:t>
      </w:r>
      <w:r>
        <w:rPr>
          <w:spacing w:val="-90"/>
          <w:sz w:val="21"/>
        </w:rPr>
        <w:t>）</w:t>
      </w:r>
      <w:r>
        <w:rPr>
          <w:spacing w:val="-2"/>
          <w:sz w:val="21"/>
        </w:rPr>
        <w:t>、急性心功能衰竭、急性肾功能衰竭、脑病。</w:t>
      </w:r>
    </w:p>
    <w:p>
      <w:pPr>
        <w:pStyle w:val="Heading2"/>
        <w:numPr>
          <w:ilvl w:val="0"/>
          <w:numId w:val="33"/>
        </w:numPr>
        <w:tabs>
          <w:tab w:pos="768" w:val="left" w:leader="none"/>
          <w:tab w:pos="769" w:val="left" w:leader="none"/>
        </w:tabs>
        <w:spacing w:line="363" w:lineRule="exact" w:before="99" w:after="0"/>
        <w:ind w:left="768" w:right="0" w:hanging="558"/>
        <w:jc w:val="left"/>
      </w:pPr>
      <w:r>
        <w:rPr>
          <w:spacing w:val="-2"/>
        </w:rPr>
        <w:t>严重癫痫症</w:t>
      </w:r>
    </w:p>
    <w:p>
      <w:pPr>
        <w:pStyle w:val="BodyText"/>
        <w:spacing w:line="245" w:lineRule="exact"/>
      </w:pPr>
      <w:r>
        <w:rPr>
          <w:spacing w:val="-4"/>
        </w:rPr>
        <w:t>经医院的神经科或儿科专科医生明确诊断，根据典型临床症状和脑电图及头颅断层扫描（CT）</w:t>
      </w:r>
      <w:r>
        <w:rPr>
          <w:spacing w:val="-7"/>
        </w:rPr>
        <w:t>、核磁</w:t>
      </w:r>
    </w:p>
    <w:p>
      <w:pPr>
        <w:pStyle w:val="BodyText"/>
        <w:spacing w:before="5"/>
      </w:pPr>
      <w:r>
        <w:rPr>
          <w:spacing w:val="-2"/>
        </w:rPr>
        <w:t>共振检查（MRI）或正电子发射断层扫描（PET）</w:t>
      </w:r>
      <w:r>
        <w:rPr>
          <w:spacing w:val="-3"/>
        </w:rPr>
        <w:t>等影像学检查证实。</w:t>
      </w:r>
    </w:p>
    <w:p>
      <w:pPr>
        <w:pStyle w:val="BodyText"/>
        <w:spacing w:line="244" w:lineRule="auto" w:before="2"/>
        <w:ind w:right="907"/>
      </w:pPr>
      <w:r>
        <w:rPr>
          <w:spacing w:val="-1"/>
        </w:rPr>
        <w:t>申请理赔时须提供 </w:t>
      </w:r>
      <w:r>
        <w:rPr/>
        <w:t>6 个月以上的相关病历记录证明被保险人存在经抗癫痫药物治疗无效而反复发作</w:t>
      </w:r>
      <w:r>
        <w:rPr>
          <w:spacing w:val="-2"/>
        </w:rPr>
        <w:t>的强直阵挛性发作或癫痫大发作，且已经实施了神经外科手术以治疗反复发作的癫痫。</w:t>
      </w:r>
    </w:p>
    <w:p>
      <w:pPr>
        <w:pStyle w:val="BodyText"/>
        <w:spacing w:line="265" w:lineRule="exact"/>
      </w:pPr>
      <w:r>
        <w:rPr>
          <w:spacing w:val="-2"/>
        </w:rPr>
        <w:t>发热性惊厥以及没有全身性发作的失神发作（癫痫小发作）</w:t>
      </w:r>
      <w:r>
        <w:rPr>
          <w:spacing w:val="-4"/>
        </w:rPr>
        <w:t>不在保障范围内。</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2"/>
        </w:rPr>
        <w:t>左室室壁瘤切除手术</w:t>
      </w:r>
    </w:p>
    <w:p>
      <w:pPr>
        <w:pStyle w:val="BodyText"/>
        <w:spacing w:line="245" w:lineRule="exact"/>
      </w:pPr>
      <w:r>
        <w:rPr>
          <w:spacing w:val="-3"/>
        </w:rPr>
        <w:t>被保险人已明确诊断为左室室壁瘤，且已经实施了左心室壁瘤切除手术治疗。</w:t>
      </w:r>
    </w:p>
    <w:p>
      <w:pPr>
        <w:pStyle w:val="Heading2"/>
        <w:numPr>
          <w:ilvl w:val="0"/>
          <w:numId w:val="33"/>
        </w:numPr>
        <w:tabs>
          <w:tab w:pos="768" w:val="left" w:leader="none"/>
          <w:tab w:pos="769" w:val="left" w:leader="none"/>
        </w:tabs>
        <w:spacing w:line="381" w:lineRule="exact" w:before="105" w:after="0"/>
        <w:ind w:left="768" w:right="0" w:hanging="558"/>
        <w:jc w:val="left"/>
      </w:pPr>
      <w:r>
        <w:rPr>
          <w:spacing w:val="-2"/>
        </w:rPr>
        <w:t>侵蚀性葡萄胎（或称恶性葡萄胎</w:t>
      </w:r>
      <w:r>
        <w:rPr>
          <w:spacing w:val="-10"/>
        </w:rPr>
        <w:t>）</w:t>
      </w:r>
    </w:p>
    <w:p>
      <w:pPr>
        <w:pStyle w:val="BodyText"/>
        <w:spacing w:line="244" w:lineRule="auto"/>
        <w:ind w:right="906"/>
      </w:pPr>
      <w:r>
        <w:rPr>
          <w:spacing w:val="-5"/>
        </w:rPr>
        <w:t>指异常增生的绒毛组织浸润性生长浸入子宫肌层或转移至其他器官或组织的葡萄胎，被保险人已明确</w:t>
      </w:r>
      <w:r>
        <w:rPr>
          <w:spacing w:val="-2"/>
        </w:rPr>
        <w:t>诊断为侵蚀性葡萄胎（或称恶性葡萄胎</w:t>
      </w:r>
      <w:r>
        <w:rPr>
          <w:spacing w:val="-108"/>
        </w:rPr>
        <w:t>）</w:t>
      </w:r>
      <w:r>
        <w:rPr>
          <w:spacing w:val="-2"/>
        </w:rPr>
        <w:t>，且已经进行了化疗或手术治疗。</w:t>
      </w:r>
    </w:p>
    <w:p>
      <w:pPr>
        <w:pStyle w:val="Heading2"/>
        <w:numPr>
          <w:ilvl w:val="0"/>
          <w:numId w:val="33"/>
        </w:numPr>
        <w:tabs>
          <w:tab w:pos="768" w:val="left" w:leader="none"/>
          <w:tab w:pos="769" w:val="left" w:leader="none"/>
        </w:tabs>
        <w:spacing w:line="364" w:lineRule="exact" w:before="93" w:after="0"/>
        <w:ind w:left="768" w:right="0" w:hanging="558"/>
        <w:jc w:val="left"/>
      </w:pPr>
      <w:r>
        <w:rPr>
          <w:spacing w:val="-2"/>
        </w:rPr>
        <w:t>严重感染性心内膜炎</w:t>
      </w:r>
    </w:p>
    <w:p>
      <w:pPr>
        <w:pStyle w:val="BodyText"/>
        <w:spacing w:line="246" w:lineRule="exact"/>
      </w:pPr>
      <w:r>
        <w:rPr>
          <w:spacing w:val="-5"/>
        </w:rPr>
        <w:t>指由感染性微生物引致的心脏内膜炎症，本病须经医院的心脏病专科医生明确诊断，且须满足下列全</w:t>
      </w:r>
    </w:p>
    <w:p>
      <w:pPr>
        <w:pStyle w:val="BodyText"/>
        <w:spacing w:before="2"/>
      </w:pPr>
      <w:r>
        <w:rPr>
          <w:spacing w:val="-4"/>
        </w:rPr>
        <w:t>部条件：</w:t>
      </w:r>
    </w:p>
    <w:p>
      <w:pPr>
        <w:pStyle w:val="ListParagraph"/>
        <w:numPr>
          <w:ilvl w:val="0"/>
          <w:numId w:val="92"/>
        </w:numPr>
        <w:tabs>
          <w:tab w:pos="1506" w:val="left" w:leader="none"/>
        </w:tabs>
        <w:spacing w:line="240" w:lineRule="auto" w:before="5" w:after="0"/>
        <w:ind w:left="1505" w:right="0" w:hanging="738"/>
        <w:jc w:val="left"/>
        <w:rPr>
          <w:sz w:val="21"/>
        </w:rPr>
      </w:pPr>
      <w:r>
        <w:rPr>
          <w:spacing w:val="-3"/>
          <w:sz w:val="21"/>
        </w:rPr>
        <w:t>血液细菌培养结果呈阳性，证明感染性微生物的存在，导致感染性心内膜炎；</w:t>
      </w:r>
    </w:p>
    <w:p>
      <w:pPr>
        <w:pStyle w:val="ListParagraph"/>
        <w:numPr>
          <w:ilvl w:val="0"/>
          <w:numId w:val="92"/>
        </w:numPr>
        <w:tabs>
          <w:tab w:pos="1506" w:val="left" w:leader="none"/>
        </w:tabs>
        <w:spacing w:line="244" w:lineRule="auto" w:before="2" w:after="0"/>
        <w:ind w:left="1505" w:right="907" w:hanging="737"/>
        <w:jc w:val="left"/>
        <w:rPr>
          <w:sz w:val="21"/>
        </w:rPr>
      </w:pPr>
      <w:r>
        <w:rPr>
          <w:spacing w:val="-2"/>
          <w:sz w:val="21"/>
        </w:rPr>
        <w:t>由感染性心内膜炎导致至少中度的心脏瓣膜关闭不全（即返流部分达百分之二十或以上）</w:t>
      </w:r>
      <w:r>
        <w:rPr>
          <w:spacing w:val="-2"/>
          <w:sz w:val="21"/>
        </w:rPr>
        <w:t>或</w:t>
      </w:r>
      <w:r>
        <w:rPr>
          <w:spacing w:val="-2"/>
          <w:sz w:val="21"/>
        </w:rPr>
        <w:t>中度的心脏瓣膜狭窄（即心脏瓣面积为正常值的百分之三十或以下</w:t>
      </w:r>
      <w:r>
        <w:rPr>
          <w:spacing w:val="-106"/>
          <w:sz w:val="21"/>
        </w:rPr>
        <w:t>）</w:t>
      </w:r>
      <w:r>
        <w:rPr>
          <w:sz w:val="21"/>
        </w:rPr>
        <w:t>；</w:t>
      </w:r>
    </w:p>
    <w:p>
      <w:pPr>
        <w:pStyle w:val="ListParagraph"/>
        <w:numPr>
          <w:ilvl w:val="0"/>
          <w:numId w:val="92"/>
        </w:numPr>
        <w:tabs>
          <w:tab w:pos="1506" w:val="left" w:leader="none"/>
        </w:tabs>
        <w:spacing w:line="266" w:lineRule="exact" w:before="0" w:after="0"/>
        <w:ind w:left="1505" w:right="0" w:hanging="738"/>
        <w:jc w:val="left"/>
        <w:rPr>
          <w:sz w:val="21"/>
        </w:rPr>
      </w:pPr>
      <w:r>
        <w:rPr>
          <w:spacing w:val="-3"/>
          <w:sz w:val="21"/>
        </w:rPr>
        <w:t>超声心动图或放射影像学检查结果支持感染性心内膜炎的诊断及明确瓣膜受损的严重程度。</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3"/>
        </w:rPr>
        <w:t>肺泡蛋白质沉积症全肺灌洗治疗</w:t>
      </w:r>
    </w:p>
    <w:p>
      <w:pPr>
        <w:pStyle w:val="BodyText"/>
        <w:spacing w:line="246" w:lineRule="exact"/>
      </w:pPr>
      <w:r>
        <w:rPr>
          <w:spacing w:val="-6"/>
        </w:rPr>
        <w:t>指双肺肺泡和细支气管腔内充满不可溶性富磷脂蛋白的疾病，经支气管镜活检或肺活检病理检查证实</w:t>
      </w:r>
    </w:p>
    <w:p>
      <w:pPr>
        <w:pStyle w:val="BodyText"/>
        <w:spacing w:before="2"/>
      </w:pPr>
      <w:r>
        <w:rPr>
          <w:spacing w:val="-2"/>
        </w:rPr>
        <w:t>肺泡内充满有过碘酸雪夫（PAS）</w:t>
      </w:r>
      <w:r>
        <w:rPr>
          <w:spacing w:val="-3"/>
        </w:rPr>
        <w:t>染色阳性的蛋白样物质，且已经实施全身麻醉下的全肺灌洗治疗。</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2"/>
        </w:rPr>
        <w:t>严重面部烧伤</w:t>
      </w:r>
    </w:p>
    <w:p>
      <w:pPr>
        <w:pStyle w:val="BodyText"/>
        <w:spacing w:line="245" w:lineRule="exact"/>
      </w:pPr>
      <w:r>
        <w:rPr>
          <w:spacing w:val="-4"/>
        </w:rPr>
        <w:t>指烧伤程度为Ⅲ度，且Ⅲ度烧伤的面积达到面部表面积的 </w:t>
      </w:r>
      <w:r>
        <w:rPr>
          <w:spacing w:val="-2"/>
        </w:rPr>
        <w:t>80</w:t>
      </w:r>
      <w:r>
        <w:rPr>
          <w:spacing w:val="-15"/>
        </w:rPr>
        <w:t>％或 </w:t>
      </w:r>
      <w:r>
        <w:rPr>
          <w:spacing w:val="-2"/>
        </w:rPr>
        <w:t>80</w:t>
      </w:r>
      <w:r>
        <w:rPr>
          <w:spacing w:val="-4"/>
        </w:rPr>
        <w:t>％以上。</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失去一肢及一眼</w:t>
      </w:r>
    </w:p>
    <w:p>
      <w:pPr>
        <w:pStyle w:val="BodyText"/>
        <w:spacing w:line="246" w:lineRule="exact"/>
      </w:pPr>
      <w:r>
        <w:rPr>
          <w:spacing w:val="-4"/>
        </w:rPr>
        <w:t>因疾病或意外伤害导致单眼视力丧失及任何一肢自腕关节或踝关节近端（靠近躯干端）</w:t>
      </w:r>
      <w:r>
        <w:rPr>
          <w:spacing w:val="-5"/>
        </w:rPr>
        <w:t>以上完全性断</w:t>
      </w:r>
    </w:p>
    <w:p>
      <w:pPr>
        <w:pStyle w:val="BodyText"/>
        <w:spacing w:before="2"/>
      </w:pPr>
      <w:r>
        <w:rPr>
          <w:spacing w:val="-3"/>
        </w:rPr>
        <w:t>离。单眼视力丧失指单眼视力永久不可逆性丧失，患眼须满足下列至少一项条件：</w:t>
      </w:r>
    </w:p>
    <w:p>
      <w:pPr>
        <w:spacing w:after="0"/>
        <w:sectPr>
          <w:pgSz w:w="11910" w:h="16840"/>
          <w:pgMar w:header="0" w:footer="574" w:top="1060" w:bottom="760" w:left="720" w:right="340"/>
        </w:sectPr>
      </w:pPr>
    </w:p>
    <w:p>
      <w:pPr>
        <w:pStyle w:val="ListParagraph"/>
        <w:numPr>
          <w:ilvl w:val="0"/>
          <w:numId w:val="93"/>
        </w:numPr>
        <w:tabs>
          <w:tab w:pos="1506" w:val="left" w:leader="none"/>
        </w:tabs>
        <w:spacing w:line="240" w:lineRule="auto" w:before="55" w:after="0"/>
        <w:ind w:left="1505" w:right="0" w:hanging="738"/>
        <w:jc w:val="left"/>
        <w:rPr>
          <w:sz w:val="21"/>
        </w:rPr>
      </w:pPr>
      <w:r>
        <w:rPr>
          <w:spacing w:val="-4"/>
          <w:sz w:val="21"/>
        </w:rPr>
        <w:t>眼球缺失或摘除；</w:t>
      </w:r>
    </w:p>
    <w:p>
      <w:pPr>
        <w:pStyle w:val="ListParagraph"/>
        <w:numPr>
          <w:ilvl w:val="0"/>
          <w:numId w:val="93"/>
        </w:numPr>
        <w:tabs>
          <w:tab w:pos="1506" w:val="left" w:leader="none"/>
        </w:tabs>
        <w:spacing w:line="240" w:lineRule="auto" w:before="5" w:after="0"/>
        <w:ind w:left="1505" w:right="0" w:hanging="738"/>
        <w:jc w:val="left"/>
        <w:rPr>
          <w:sz w:val="21"/>
        </w:rPr>
      </w:pPr>
      <w:r>
        <w:rPr>
          <w:spacing w:val="-6"/>
          <w:sz w:val="21"/>
        </w:rPr>
        <w:t>矫正视力低于 </w:t>
      </w:r>
      <w:r>
        <w:rPr>
          <w:spacing w:val="-2"/>
          <w:sz w:val="21"/>
        </w:rPr>
        <w:t>0.02（采用国际标准视力表，如果使用其他视力表应进行换算</w:t>
      </w:r>
      <w:r>
        <w:rPr>
          <w:spacing w:val="-113"/>
          <w:sz w:val="21"/>
        </w:rPr>
        <w:t>）</w:t>
      </w:r>
      <w:r>
        <w:rPr>
          <w:spacing w:val="-5"/>
          <w:sz w:val="21"/>
        </w:rPr>
        <w:t>；</w:t>
      </w:r>
    </w:p>
    <w:p>
      <w:pPr>
        <w:pStyle w:val="ListParagraph"/>
        <w:numPr>
          <w:ilvl w:val="0"/>
          <w:numId w:val="93"/>
        </w:numPr>
        <w:tabs>
          <w:tab w:pos="1506" w:val="left" w:leader="none"/>
        </w:tabs>
        <w:spacing w:line="240" w:lineRule="auto" w:before="2" w:after="0"/>
        <w:ind w:left="1505" w:right="0" w:hanging="738"/>
        <w:jc w:val="left"/>
        <w:rPr>
          <w:sz w:val="21"/>
        </w:rPr>
      </w:pPr>
      <w:r>
        <w:rPr>
          <w:spacing w:val="-9"/>
          <w:sz w:val="21"/>
        </w:rPr>
        <w:t>视野半径小于 </w:t>
      </w:r>
      <w:r>
        <w:rPr>
          <w:spacing w:val="-2"/>
          <w:sz w:val="21"/>
        </w:rPr>
        <w:t>5</w:t>
      </w:r>
      <w:r>
        <w:rPr>
          <w:spacing w:val="-21"/>
          <w:sz w:val="21"/>
        </w:rPr>
        <w:t> 度。</w:t>
      </w:r>
    </w:p>
    <w:p>
      <w:pPr>
        <w:pStyle w:val="BodyText"/>
        <w:spacing w:before="5"/>
      </w:pPr>
      <w:r>
        <w:rPr>
          <w:spacing w:val="-10"/>
        </w:rPr>
        <w:t>被保险人在 </w:t>
      </w:r>
      <w:r>
        <w:rPr>
          <w:spacing w:val="-2"/>
        </w:rPr>
        <w:t>3</w:t>
      </w:r>
      <w:r>
        <w:rPr>
          <w:spacing w:val="-10"/>
        </w:rPr>
        <w:t> 周岁之前因疾病导致单眼视力丧失不在保障范围内。</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3"/>
        </w:rPr>
        <w:t>严重哮喘</w:t>
      </w:r>
    </w:p>
    <w:p>
      <w:pPr>
        <w:pStyle w:val="BodyText"/>
        <w:spacing w:line="246" w:lineRule="exact"/>
      </w:pPr>
      <w:r>
        <w:rPr>
          <w:spacing w:val="-5"/>
        </w:rPr>
        <w:t>指经相关专科医生明确诊断，因慢性肺部过度膨胀充气导致的由影像学检查证实的胸廓畸形，且须满</w:t>
      </w:r>
    </w:p>
    <w:p>
      <w:pPr>
        <w:pStyle w:val="BodyText"/>
        <w:spacing w:before="2"/>
      </w:pPr>
      <w:r>
        <w:rPr>
          <w:spacing w:val="-3"/>
        </w:rPr>
        <w:t>足下列至少两项条件：</w:t>
      </w:r>
    </w:p>
    <w:p>
      <w:pPr>
        <w:pStyle w:val="ListParagraph"/>
        <w:numPr>
          <w:ilvl w:val="0"/>
          <w:numId w:val="94"/>
        </w:numPr>
        <w:tabs>
          <w:tab w:pos="1506" w:val="left" w:leader="none"/>
        </w:tabs>
        <w:spacing w:line="240" w:lineRule="auto" w:before="5" w:after="0"/>
        <w:ind w:left="1505" w:right="0" w:hanging="738"/>
        <w:jc w:val="left"/>
        <w:rPr>
          <w:sz w:val="21"/>
        </w:rPr>
      </w:pPr>
      <w:r>
        <w:rPr>
          <w:spacing w:val="-3"/>
          <w:sz w:val="21"/>
        </w:rPr>
        <w:t>过去两年中有哮喘持续状态病史；</w:t>
      </w:r>
    </w:p>
    <w:p>
      <w:pPr>
        <w:pStyle w:val="ListParagraph"/>
        <w:numPr>
          <w:ilvl w:val="0"/>
          <w:numId w:val="94"/>
        </w:numPr>
        <w:tabs>
          <w:tab w:pos="1506" w:val="left" w:leader="none"/>
        </w:tabs>
        <w:spacing w:line="240" w:lineRule="auto" w:before="2" w:after="0"/>
        <w:ind w:left="1505" w:right="0" w:hanging="738"/>
        <w:jc w:val="left"/>
        <w:rPr>
          <w:sz w:val="21"/>
        </w:rPr>
      </w:pPr>
      <w:r>
        <w:rPr>
          <w:spacing w:val="-3"/>
          <w:sz w:val="21"/>
        </w:rPr>
        <w:t>身体活动耐受能力显著下降，轻微体力活动即有呼吸困难，且持续六个月以上；</w:t>
      </w:r>
    </w:p>
    <w:p>
      <w:pPr>
        <w:pStyle w:val="ListParagraph"/>
        <w:numPr>
          <w:ilvl w:val="0"/>
          <w:numId w:val="94"/>
        </w:numPr>
        <w:tabs>
          <w:tab w:pos="1506" w:val="left" w:leader="none"/>
        </w:tabs>
        <w:spacing w:line="240" w:lineRule="auto" w:before="5" w:after="0"/>
        <w:ind w:left="1505" w:right="0" w:hanging="738"/>
        <w:jc w:val="left"/>
        <w:rPr>
          <w:sz w:val="21"/>
        </w:rPr>
      </w:pPr>
      <w:r>
        <w:rPr>
          <w:spacing w:val="-3"/>
          <w:sz w:val="21"/>
        </w:rPr>
        <w:t>每日服用皮质类固醇激素，至少持续六个月以上。</w:t>
      </w:r>
    </w:p>
    <w:p>
      <w:pPr>
        <w:pStyle w:val="Heading2"/>
        <w:numPr>
          <w:ilvl w:val="0"/>
          <w:numId w:val="33"/>
        </w:numPr>
        <w:tabs>
          <w:tab w:pos="768" w:val="left" w:leader="none"/>
          <w:tab w:pos="769" w:val="left" w:leader="none"/>
        </w:tabs>
        <w:spacing w:line="363" w:lineRule="exact" w:before="105" w:after="0"/>
        <w:ind w:left="768" w:right="0" w:hanging="558"/>
        <w:jc w:val="left"/>
      </w:pPr>
      <w:r>
        <w:rPr>
          <w:spacing w:val="-2"/>
        </w:rPr>
        <w:t>严重大动脉炎</w:t>
      </w:r>
    </w:p>
    <w:p>
      <w:pPr>
        <w:pStyle w:val="BodyText"/>
        <w:spacing w:line="245" w:lineRule="exact"/>
      </w:pPr>
      <w:r>
        <w:rPr>
          <w:spacing w:val="-3"/>
        </w:rPr>
        <w:t>指经医院的心脏或血管外科专科医生确诊为大动脉炎，且须满足下列全部条件：</w:t>
      </w:r>
    </w:p>
    <w:p>
      <w:pPr>
        <w:pStyle w:val="ListParagraph"/>
        <w:numPr>
          <w:ilvl w:val="0"/>
          <w:numId w:val="95"/>
        </w:numPr>
        <w:tabs>
          <w:tab w:pos="1506" w:val="left" w:leader="none"/>
        </w:tabs>
        <w:spacing w:line="240" w:lineRule="auto" w:before="5" w:after="0"/>
        <w:ind w:left="1505" w:right="0" w:hanging="738"/>
        <w:jc w:val="left"/>
        <w:rPr>
          <w:sz w:val="21"/>
        </w:rPr>
      </w:pPr>
      <w:r>
        <w:rPr>
          <w:spacing w:val="4"/>
          <w:sz w:val="21"/>
        </w:rPr>
        <w:t>红细胞沉降率及</w:t>
      </w:r>
      <w:r>
        <w:rPr>
          <w:sz w:val="21"/>
        </w:rPr>
        <w:t>C</w:t>
      </w:r>
      <w:r>
        <w:rPr>
          <w:spacing w:val="-9"/>
          <w:sz w:val="21"/>
        </w:rPr>
        <w:t> 反应蛋白高于正常值；</w:t>
      </w:r>
    </w:p>
    <w:p>
      <w:pPr>
        <w:pStyle w:val="ListParagraph"/>
        <w:numPr>
          <w:ilvl w:val="0"/>
          <w:numId w:val="95"/>
        </w:numPr>
        <w:tabs>
          <w:tab w:pos="1506" w:val="left" w:leader="none"/>
        </w:tabs>
        <w:spacing w:line="240" w:lineRule="auto" w:before="2" w:after="0"/>
        <w:ind w:left="1505" w:right="0" w:hanging="738"/>
        <w:jc w:val="left"/>
        <w:rPr>
          <w:sz w:val="21"/>
        </w:rPr>
      </w:pPr>
      <w:r>
        <w:rPr>
          <w:spacing w:val="-2"/>
          <w:sz w:val="21"/>
        </w:rPr>
        <w:t>超声检查、CTA</w:t>
      </w:r>
      <w:r>
        <w:rPr>
          <w:spacing w:val="-9"/>
          <w:sz w:val="21"/>
        </w:rPr>
        <w:t> 检查或血管造影检查证实主动脉及其主要分支存在狭窄。</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2"/>
        </w:rPr>
        <w:t>艾森门格综合征</w:t>
      </w:r>
    </w:p>
    <w:p>
      <w:pPr>
        <w:pStyle w:val="BodyText"/>
        <w:spacing w:line="245" w:lineRule="exact"/>
      </w:pPr>
      <w:r>
        <w:rPr>
          <w:spacing w:val="-7"/>
        </w:rPr>
        <w:t>指因心脏病导致的严重肺动脉高压及右向左分流。诊断必须经相关专科医生经超声心动图和心导管检</w:t>
      </w:r>
    </w:p>
    <w:p>
      <w:pPr>
        <w:pStyle w:val="BodyText"/>
        <w:spacing w:before="5"/>
      </w:pPr>
      <w:r>
        <w:rPr>
          <w:spacing w:val="-3"/>
        </w:rPr>
        <w:t>查证实，且须满足下列全部条件：</w:t>
      </w:r>
    </w:p>
    <w:p>
      <w:pPr>
        <w:pStyle w:val="ListParagraph"/>
        <w:numPr>
          <w:ilvl w:val="0"/>
          <w:numId w:val="96"/>
        </w:numPr>
        <w:tabs>
          <w:tab w:pos="1506" w:val="left" w:leader="none"/>
        </w:tabs>
        <w:spacing w:line="240" w:lineRule="auto" w:before="2" w:after="0"/>
        <w:ind w:left="1505" w:right="0" w:hanging="738"/>
        <w:jc w:val="left"/>
        <w:rPr>
          <w:sz w:val="21"/>
        </w:rPr>
      </w:pPr>
      <w:r>
        <w:rPr>
          <w:spacing w:val="-7"/>
          <w:sz w:val="21"/>
        </w:rPr>
        <w:t>平均肺动脉压高于 </w:t>
      </w:r>
      <w:r>
        <w:rPr>
          <w:spacing w:val="-2"/>
          <w:sz w:val="21"/>
        </w:rPr>
        <w:t>40mmHg；</w:t>
      </w:r>
    </w:p>
    <w:p>
      <w:pPr>
        <w:pStyle w:val="ListParagraph"/>
        <w:numPr>
          <w:ilvl w:val="0"/>
          <w:numId w:val="96"/>
        </w:numPr>
        <w:tabs>
          <w:tab w:pos="1506" w:val="left" w:leader="none"/>
        </w:tabs>
        <w:spacing w:line="240" w:lineRule="auto" w:before="4" w:after="0"/>
        <w:ind w:left="1505" w:right="0" w:hanging="738"/>
        <w:jc w:val="left"/>
        <w:rPr>
          <w:sz w:val="21"/>
        </w:rPr>
      </w:pPr>
      <w:r>
        <w:rPr>
          <w:spacing w:val="-8"/>
          <w:sz w:val="21"/>
        </w:rPr>
        <w:t>肺血管阻力高于 </w:t>
      </w:r>
      <w:r>
        <w:rPr>
          <w:spacing w:val="-2"/>
          <w:sz w:val="21"/>
        </w:rPr>
        <w:t>3mm/L/min（Wood</w:t>
      </w:r>
      <w:r>
        <w:rPr>
          <w:spacing w:val="-16"/>
          <w:sz w:val="21"/>
        </w:rPr>
        <w:t> 单位</w:t>
      </w:r>
      <w:r>
        <w:rPr>
          <w:spacing w:val="-113"/>
          <w:sz w:val="21"/>
        </w:rPr>
        <w:t>）</w:t>
      </w:r>
      <w:r>
        <w:rPr>
          <w:spacing w:val="-5"/>
          <w:sz w:val="21"/>
        </w:rPr>
        <w:t>；</w:t>
      </w:r>
    </w:p>
    <w:p>
      <w:pPr>
        <w:pStyle w:val="ListParagraph"/>
        <w:numPr>
          <w:ilvl w:val="0"/>
          <w:numId w:val="96"/>
        </w:numPr>
        <w:tabs>
          <w:tab w:pos="1506" w:val="left" w:leader="none"/>
        </w:tabs>
        <w:spacing w:line="240" w:lineRule="auto" w:before="2" w:after="0"/>
        <w:ind w:left="1505" w:right="0" w:hanging="738"/>
        <w:jc w:val="left"/>
        <w:rPr>
          <w:sz w:val="21"/>
        </w:rPr>
      </w:pPr>
      <w:r>
        <w:rPr>
          <w:spacing w:val="-6"/>
          <w:sz w:val="21"/>
        </w:rPr>
        <w:t>正常肺微血管楔压低于 </w:t>
      </w:r>
      <w:r>
        <w:rPr>
          <w:spacing w:val="-2"/>
          <w:sz w:val="21"/>
        </w:rPr>
        <w:t>15mmHg</w:t>
      </w:r>
      <w:r>
        <w:rPr>
          <w:spacing w:val="-10"/>
          <w:sz w:val="21"/>
        </w:rPr>
        <w:t>。</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严重结核性脑膜炎</w:t>
      </w:r>
    </w:p>
    <w:p>
      <w:pPr>
        <w:pStyle w:val="BodyText"/>
        <w:spacing w:line="246" w:lineRule="exact"/>
      </w:pPr>
      <w:r>
        <w:rPr>
          <w:spacing w:val="-3"/>
        </w:rPr>
        <w:t>指由结核杆菌引起的脑膜非化脓性炎症性疾病，经相关专科医生明确诊断,诊断必须经微生物或病理</w:t>
      </w:r>
    </w:p>
    <w:p>
      <w:pPr>
        <w:pStyle w:val="BodyText"/>
        <w:spacing w:before="2"/>
      </w:pPr>
      <w:r>
        <w:rPr>
          <w:spacing w:val="-3"/>
        </w:rPr>
        <w:t>学相关检查后证实，且须满足下列全部条件：</w:t>
      </w:r>
    </w:p>
    <w:p>
      <w:pPr>
        <w:pStyle w:val="ListParagraph"/>
        <w:numPr>
          <w:ilvl w:val="0"/>
          <w:numId w:val="97"/>
        </w:numPr>
        <w:tabs>
          <w:tab w:pos="1506" w:val="left" w:leader="none"/>
        </w:tabs>
        <w:spacing w:line="240" w:lineRule="auto" w:before="4" w:after="0"/>
        <w:ind w:left="1505" w:right="0" w:hanging="738"/>
        <w:jc w:val="left"/>
        <w:rPr>
          <w:sz w:val="21"/>
        </w:rPr>
      </w:pPr>
      <w:r>
        <w:rPr>
          <w:spacing w:val="-3"/>
          <w:sz w:val="21"/>
        </w:rPr>
        <w:t>出现颅内压明显增高，表现头痛、呕吐和视乳头水肿；</w:t>
      </w:r>
    </w:p>
    <w:p>
      <w:pPr>
        <w:pStyle w:val="ListParagraph"/>
        <w:numPr>
          <w:ilvl w:val="0"/>
          <w:numId w:val="97"/>
        </w:numPr>
        <w:tabs>
          <w:tab w:pos="1506" w:val="left" w:leader="none"/>
        </w:tabs>
        <w:spacing w:line="240" w:lineRule="auto" w:before="3" w:after="0"/>
        <w:ind w:left="1505" w:right="0" w:hanging="738"/>
        <w:jc w:val="left"/>
        <w:rPr>
          <w:sz w:val="21"/>
        </w:rPr>
      </w:pPr>
      <w:r>
        <w:rPr>
          <w:spacing w:val="-3"/>
          <w:sz w:val="21"/>
        </w:rPr>
        <w:t>出现部分性、全身性癫痫发作或癫痫持续状态；</w:t>
      </w:r>
    </w:p>
    <w:p>
      <w:pPr>
        <w:pStyle w:val="ListParagraph"/>
        <w:numPr>
          <w:ilvl w:val="0"/>
          <w:numId w:val="97"/>
        </w:numPr>
        <w:tabs>
          <w:tab w:pos="1506" w:val="left" w:leader="none"/>
        </w:tabs>
        <w:spacing w:line="240" w:lineRule="auto" w:before="4" w:after="0"/>
        <w:ind w:left="1505" w:right="0" w:hanging="738"/>
        <w:jc w:val="left"/>
        <w:rPr>
          <w:sz w:val="21"/>
        </w:rPr>
      </w:pPr>
      <w:r>
        <w:rPr>
          <w:spacing w:val="-4"/>
          <w:sz w:val="21"/>
        </w:rPr>
        <w:t>昏睡或意识模糊；</w:t>
      </w:r>
    </w:p>
    <w:p>
      <w:pPr>
        <w:pStyle w:val="ListParagraph"/>
        <w:numPr>
          <w:ilvl w:val="0"/>
          <w:numId w:val="97"/>
        </w:numPr>
        <w:tabs>
          <w:tab w:pos="1506" w:val="left" w:leader="none"/>
        </w:tabs>
        <w:spacing w:line="240" w:lineRule="auto" w:before="3" w:after="0"/>
        <w:ind w:left="1505" w:right="0" w:hanging="738"/>
        <w:jc w:val="left"/>
        <w:rPr>
          <w:sz w:val="21"/>
        </w:rPr>
      </w:pPr>
      <w:r>
        <w:rPr>
          <w:spacing w:val="-3"/>
          <w:sz w:val="21"/>
        </w:rPr>
        <w:t>视力减退、复视和面神经麻痹。</w:t>
      </w:r>
    </w:p>
    <w:p>
      <w:pPr>
        <w:pStyle w:val="Heading2"/>
        <w:numPr>
          <w:ilvl w:val="0"/>
          <w:numId w:val="33"/>
        </w:numPr>
        <w:tabs>
          <w:tab w:pos="768" w:val="left" w:leader="none"/>
          <w:tab w:pos="769" w:val="left" w:leader="none"/>
        </w:tabs>
        <w:spacing w:line="363" w:lineRule="exact" w:before="107" w:after="0"/>
        <w:ind w:left="768" w:right="0" w:hanging="558"/>
        <w:jc w:val="left"/>
      </w:pPr>
      <w:r>
        <w:rPr>
          <w:spacing w:val="-3"/>
        </w:rPr>
        <w:t>急性弥漫性血管内凝血</w:t>
      </w:r>
    </w:p>
    <w:p>
      <w:pPr>
        <w:pStyle w:val="BodyText"/>
        <w:spacing w:line="245" w:lineRule="exact"/>
      </w:pPr>
      <w:r>
        <w:rPr>
          <w:spacing w:val="-5"/>
        </w:rPr>
        <w:t>指血液凝固系统和纤溶系统的过度活动导致微血管血栓形成、血小板及凝血因子耗竭和严重出血，需</w:t>
      </w:r>
    </w:p>
    <w:p>
      <w:pPr>
        <w:pStyle w:val="BodyText"/>
        <w:spacing w:before="3"/>
      </w:pPr>
      <w:r>
        <w:rPr>
          <w:spacing w:val="-3"/>
        </w:rPr>
        <w:t>要输注血浆和浓缩血小板进行治疗。经相关专科医生明确诊断，且须满足下列全部条件：</w:t>
      </w:r>
    </w:p>
    <w:p>
      <w:pPr>
        <w:pStyle w:val="ListParagraph"/>
        <w:numPr>
          <w:ilvl w:val="0"/>
          <w:numId w:val="98"/>
        </w:numPr>
        <w:tabs>
          <w:tab w:pos="1506" w:val="left" w:leader="none"/>
        </w:tabs>
        <w:spacing w:line="240" w:lineRule="auto" w:before="4" w:after="0"/>
        <w:ind w:left="1505" w:right="0" w:hanging="738"/>
        <w:jc w:val="left"/>
        <w:rPr>
          <w:sz w:val="21"/>
        </w:rPr>
      </w:pPr>
      <w:r>
        <w:rPr>
          <w:spacing w:val="-3"/>
          <w:sz w:val="21"/>
        </w:rPr>
        <w:t>突发性起病，一般持续数小时或数天；</w:t>
      </w:r>
    </w:p>
    <w:p>
      <w:pPr>
        <w:pStyle w:val="ListParagraph"/>
        <w:numPr>
          <w:ilvl w:val="0"/>
          <w:numId w:val="98"/>
        </w:numPr>
        <w:tabs>
          <w:tab w:pos="1506" w:val="left" w:leader="none"/>
        </w:tabs>
        <w:spacing w:line="240" w:lineRule="auto" w:before="2" w:after="0"/>
        <w:ind w:left="1505" w:right="0" w:hanging="738"/>
        <w:jc w:val="left"/>
        <w:rPr>
          <w:sz w:val="21"/>
        </w:rPr>
      </w:pPr>
      <w:r>
        <w:rPr>
          <w:spacing w:val="-4"/>
          <w:sz w:val="21"/>
        </w:rPr>
        <w:t>严重广泛的出血；</w:t>
      </w:r>
    </w:p>
    <w:p>
      <w:pPr>
        <w:pStyle w:val="ListParagraph"/>
        <w:numPr>
          <w:ilvl w:val="0"/>
          <w:numId w:val="98"/>
        </w:numPr>
        <w:tabs>
          <w:tab w:pos="1506" w:val="left" w:leader="none"/>
        </w:tabs>
        <w:spacing w:line="240" w:lineRule="auto" w:before="5" w:after="0"/>
        <w:ind w:left="1505" w:right="0" w:hanging="738"/>
        <w:jc w:val="left"/>
        <w:rPr>
          <w:sz w:val="21"/>
        </w:rPr>
      </w:pPr>
      <w:r>
        <w:rPr>
          <w:spacing w:val="-4"/>
          <w:sz w:val="21"/>
        </w:rPr>
        <w:t>伴有休克；</w:t>
      </w:r>
    </w:p>
    <w:p>
      <w:pPr>
        <w:pStyle w:val="ListParagraph"/>
        <w:numPr>
          <w:ilvl w:val="0"/>
          <w:numId w:val="98"/>
        </w:numPr>
        <w:tabs>
          <w:tab w:pos="1506" w:val="left" w:leader="none"/>
        </w:tabs>
        <w:spacing w:line="240" w:lineRule="auto" w:before="2" w:after="0"/>
        <w:ind w:left="1505" w:right="0" w:hanging="738"/>
        <w:jc w:val="left"/>
        <w:rPr>
          <w:sz w:val="21"/>
        </w:rPr>
      </w:pPr>
      <w:r>
        <w:rPr>
          <w:spacing w:val="-3"/>
          <w:sz w:val="21"/>
        </w:rPr>
        <w:t>已经实施了血浆或浓缩血小板进行治疗。</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3"/>
        </w:rPr>
        <w:t>败血症导致的多器官功能障碍综合症</w:t>
      </w:r>
    </w:p>
    <w:p>
      <w:pPr>
        <w:pStyle w:val="BodyText"/>
        <w:spacing w:line="245" w:lineRule="exact"/>
      </w:pPr>
      <w:r>
        <w:rPr>
          <w:spacing w:val="-4"/>
        </w:rPr>
        <w:t>指经血液检查证实败血症，且导致的一个或多个器官系统生理功能障碍</w:t>
      </w:r>
      <w:r>
        <w:rPr>
          <w:spacing w:val="11"/>
        </w:rPr>
        <w:t>（</w:t>
      </w:r>
      <w:r>
        <w:rPr>
          <w:spacing w:val="8"/>
        </w:rPr>
        <w:t>M</w:t>
      </w:r>
      <w:r>
        <w:rPr>
          <w:spacing w:val="11"/>
        </w:rPr>
        <w:t>O</w:t>
      </w:r>
      <w:r>
        <w:rPr>
          <w:spacing w:val="8"/>
        </w:rPr>
        <w:t>D</w:t>
      </w:r>
      <w:r>
        <w:rPr>
          <w:spacing w:val="10"/>
        </w:rPr>
        <w:t>S</w:t>
      </w:r>
      <w:r>
        <w:rPr>
          <w:spacing w:val="-93"/>
        </w:rPr>
        <w:t>）</w:t>
      </w:r>
      <w:r>
        <w:rPr>
          <w:spacing w:val="-5"/>
        </w:rPr>
        <w:t>，因该疾病连续住院</w:t>
      </w:r>
    </w:p>
    <w:p>
      <w:pPr>
        <w:pStyle w:val="BodyText"/>
        <w:spacing w:before="4"/>
      </w:pPr>
      <w:r>
        <w:rPr>
          <w:spacing w:val="-18"/>
        </w:rPr>
        <w:t>至少 </w:t>
      </w:r>
      <w:r>
        <w:rPr>
          <w:spacing w:val="-2"/>
        </w:rPr>
        <w:t>96</w:t>
      </w:r>
      <w:r>
        <w:rPr>
          <w:spacing w:val="-10"/>
        </w:rPr>
        <w:t> 小时，并须满足下列至少一项条件：</w:t>
      </w:r>
    </w:p>
    <w:p>
      <w:pPr>
        <w:pStyle w:val="ListParagraph"/>
        <w:numPr>
          <w:ilvl w:val="0"/>
          <w:numId w:val="99"/>
        </w:numPr>
        <w:tabs>
          <w:tab w:pos="1506" w:val="left" w:leader="none"/>
        </w:tabs>
        <w:spacing w:line="240" w:lineRule="auto" w:before="2" w:after="0"/>
        <w:ind w:left="1505" w:right="0" w:hanging="738"/>
        <w:jc w:val="left"/>
        <w:rPr>
          <w:sz w:val="21"/>
        </w:rPr>
      </w:pPr>
      <w:r>
        <w:rPr>
          <w:spacing w:val="-2"/>
          <w:sz w:val="21"/>
        </w:rPr>
        <w:t>凝血血小板计数＜50×10³</w:t>
      </w:r>
      <w:r>
        <w:rPr>
          <w:spacing w:val="-4"/>
          <w:sz w:val="21"/>
        </w:rPr>
        <w:t>/微升；</w:t>
      </w:r>
    </w:p>
    <w:p>
      <w:pPr>
        <w:pStyle w:val="ListParagraph"/>
        <w:numPr>
          <w:ilvl w:val="0"/>
          <w:numId w:val="99"/>
        </w:numPr>
        <w:tabs>
          <w:tab w:pos="1506" w:val="left" w:leader="none"/>
        </w:tabs>
        <w:spacing w:line="240" w:lineRule="auto" w:before="6" w:after="0"/>
        <w:ind w:left="1505" w:right="0" w:hanging="738"/>
        <w:jc w:val="left"/>
        <w:rPr>
          <w:sz w:val="21"/>
        </w:rPr>
      </w:pPr>
      <w:r>
        <w:rPr>
          <w:spacing w:val="-2"/>
          <w:sz w:val="21"/>
        </w:rPr>
        <w:t>肝功能不全，胆红素＞6mg/dl</w:t>
      </w:r>
      <w:r>
        <w:rPr>
          <w:spacing w:val="-21"/>
          <w:sz w:val="21"/>
        </w:rPr>
        <w:t> 或</w:t>
      </w:r>
      <w:r>
        <w:rPr>
          <w:spacing w:val="-2"/>
          <w:sz w:val="21"/>
        </w:rPr>
        <w:t>＞102</w:t>
      </w:r>
      <w:r>
        <w:rPr>
          <w:rFonts w:ascii="Times New Roman" w:hAnsi="Times New Roman" w:eastAsia="Times New Roman"/>
          <w:spacing w:val="-2"/>
          <w:sz w:val="21"/>
        </w:rPr>
        <w:t>μ</w:t>
      </w:r>
      <w:r>
        <w:rPr>
          <w:spacing w:val="-2"/>
          <w:sz w:val="21"/>
        </w:rPr>
        <w:t>mol/L；</w:t>
      </w:r>
    </w:p>
    <w:p>
      <w:pPr>
        <w:pStyle w:val="ListParagraph"/>
        <w:numPr>
          <w:ilvl w:val="0"/>
          <w:numId w:val="99"/>
        </w:numPr>
        <w:tabs>
          <w:tab w:pos="1506" w:val="left" w:leader="none"/>
        </w:tabs>
        <w:spacing w:line="240" w:lineRule="auto" w:before="2" w:after="0"/>
        <w:ind w:left="1505" w:right="0" w:hanging="738"/>
        <w:jc w:val="left"/>
        <w:rPr>
          <w:sz w:val="21"/>
        </w:rPr>
      </w:pPr>
      <w:r>
        <w:rPr>
          <w:spacing w:val="-4"/>
          <w:sz w:val="21"/>
        </w:rPr>
        <w:t>已经应用强心剂；</w:t>
      </w:r>
    </w:p>
    <w:p>
      <w:pPr>
        <w:pStyle w:val="ListParagraph"/>
        <w:numPr>
          <w:ilvl w:val="0"/>
          <w:numId w:val="99"/>
        </w:numPr>
        <w:tabs>
          <w:tab w:pos="1506" w:val="left" w:leader="none"/>
        </w:tabs>
        <w:spacing w:line="240" w:lineRule="auto" w:before="4" w:after="0"/>
        <w:ind w:left="1505" w:right="0" w:hanging="738"/>
        <w:jc w:val="left"/>
        <w:rPr>
          <w:sz w:val="21"/>
        </w:rPr>
      </w:pPr>
      <w:r>
        <w:rPr>
          <w:spacing w:val="-2"/>
          <w:sz w:val="21"/>
        </w:rPr>
        <w:t>昏迷，格拉斯哥昏迷评分（GCS）≤9；</w:t>
      </w:r>
    </w:p>
    <w:p>
      <w:pPr>
        <w:pStyle w:val="ListParagraph"/>
        <w:numPr>
          <w:ilvl w:val="0"/>
          <w:numId w:val="99"/>
        </w:numPr>
        <w:tabs>
          <w:tab w:pos="1506" w:val="left" w:leader="none"/>
        </w:tabs>
        <w:spacing w:line="240" w:lineRule="auto" w:before="2" w:after="0"/>
        <w:ind w:left="1505" w:right="0" w:hanging="738"/>
        <w:jc w:val="left"/>
        <w:rPr>
          <w:sz w:val="21"/>
        </w:rPr>
      </w:pPr>
      <w:r>
        <w:rPr>
          <w:spacing w:val="-2"/>
          <w:sz w:val="21"/>
        </w:rPr>
        <w:t>肾功能衰竭，血清肌酐＞300</w:t>
      </w:r>
      <w:r>
        <w:rPr>
          <w:rFonts w:ascii="Times New Roman" w:hAnsi="Times New Roman" w:eastAsia="Times New Roman"/>
          <w:spacing w:val="-2"/>
          <w:sz w:val="21"/>
        </w:rPr>
        <w:t>μ</w:t>
      </w:r>
      <w:r>
        <w:rPr>
          <w:spacing w:val="-2"/>
          <w:sz w:val="21"/>
        </w:rPr>
        <w:t>mol/L</w:t>
      </w:r>
      <w:r>
        <w:rPr>
          <w:spacing w:val="-19"/>
          <w:sz w:val="21"/>
        </w:rPr>
        <w:t> 或</w:t>
      </w:r>
      <w:r>
        <w:rPr>
          <w:spacing w:val="-2"/>
          <w:sz w:val="21"/>
        </w:rPr>
        <w:t>＞3.5mg/dl</w:t>
      </w:r>
      <w:r>
        <w:rPr>
          <w:spacing w:val="-10"/>
          <w:sz w:val="21"/>
        </w:rPr>
        <w:t> 或尿量＜</w:t>
      </w:r>
      <w:r>
        <w:rPr>
          <w:spacing w:val="-2"/>
          <w:sz w:val="21"/>
        </w:rPr>
        <w:t>500ml/d</w:t>
      </w:r>
      <w:r>
        <w:rPr>
          <w:spacing w:val="-10"/>
          <w:sz w:val="21"/>
        </w:rPr>
        <w:t>。</w:t>
      </w:r>
    </w:p>
    <w:p>
      <w:pPr>
        <w:pStyle w:val="BodyText"/>
        <w:spacing w:before="5"/>
      </w:pPr>
      <w:r>
        <w:rPr>
          <w:spacing w:val="-2"/>
        </w:rPr>
        <w:t>败血症引起的MODS</w:t>
      </w:r>
      <w:r>
        <w:rPr>
          <w:spacing w:val="-8"/>
        </w:rPr>
        <w:t> 的诊断应经相关专科医生明确诊断。非败血症引起的 </w:t>
      </w:r>
      <w:r>
        <w:rPr>
          <w:spacing w:val="-2"/>
        </w:rPr>
        <w:t>MODS</w:t>
      </w:r>
      <w:r>
        <w:rPr>
          <w:spacing w:val="-8"/>
        </w:rPr>
        <w:t> 不在保障范围内。</w:t>
      </w:r>
    </w:p>
    <w:p>
      <w:pPr>
        <w:pStyle w:val="Heading2"/>
        <w:numPr>
          <w:ilvl w:val="0"/>
          <w:numId w:val="33"/>
        </w:numPr>
        <w:tabs>
          <w:tab w:pos="768" w:val="left" w:leader="none"/>
          <w:tab w:pos="769" w:val="left" w:leader="none"/>
        </w:tabs>
        <w:spacing w:line="363" w:lineRule="exact" w:before="105" w:after="0"/>
        <w:ind w:left="768" w:right="0" w:hanging="558"/>
        <w:jc w:val="left"/>
      </w:pPr>
      <w:r>
        <w:rPr>
          <w:spacing w:val="-2"/>
        </w:rPr>
        <w:t>范可尼综合征</w:t>
      </w:r>
    </w:p>
    <w:p>
      <w:pPr>
        <w:pStyle w:val="BodyText"/>
        <w:spacing w:line="245" w:lineRule="exact"/>
      </w:pPr>
      <w:r>
        <w:rPr>
          <w:spacing w:val="-14"/>
        </w:rPr>
        <w:t>也称 </w:t>
      </w:r>
      <w:r>
        <w:rPr>
          <w:spacing w:val="-4"/>
        </w:rPr>
        <w:t>Fanconi</w:t>
      </w:r>
      <w:r>
        <w:rPr>
          <w:spacing w:val="-10"/>
        </w:rPr>
        <w:t> 综合征，指近端肾小管的功能异常引起的一组症候群。经相关专科医生明确诊断，且须</w:t>
      </w:r>
    </w:p>
    <w:p>
      <w:pPr>
        <w:pStyle w:val="BodyText"/>
        <w:spacing w:before="5"/>
      </w:pPr>
      <w:r>
        <w:rPr>
          <w:spacing w:val="-3"/>
        </w:rPr>
        <w:t>满足下列至少两项条件：</w:t>
      </w:r>
    </w:p>
    <w:p>
      <w:pPr>
        <w:pStyle w:val="ListParagraph"/>
        <w:numPr>
          <w:ilvl w:val="0"/>
          <w:numId w:val="100"/>
        </w:numPr>
        <w:tabs>
          <w:tab w:pos="1506" w:val="left" w:leader="none"/>
        </w:tabs>
        <w:spacing w:line="240" w:lineRule="auto" w:before="2" w:after="0"/>
        <w:ind w:left="1505" w:right="0" w:hanging="738"/>
        <w:jc w:val="left"/>
        <w:rPr>
          <w:sz w:val="21"/>
        </w:rPr>
      </w:pPr>
      <w:r>
        <w:rPr>
          <w:spacing w:val="-3"/>
          <w:sz w:val="21"/>
        </w:rPr>
        <w:t>尿液检查出现肾性糖尿、全氨基酸糖尿或磷酸盐尿；</w:t>
      </w:r>
    </w:p>
    <w:p>
      <w:pPr>
        <w:pStyle w:val="ListParagraph"/>
        <w:numPr>
          <w:ilvl w:val="0"/>
          <w:numId w:val="100"/>
        </w:numPr>
        <w:tabs>
          <w:tab w:pos="1506" w:val="left" w:leader="none"/>
        </w:tabs>
        <w:spacing w:line="240" w:lineRule="auto" w:before="4" w:after="0"/>
        <w:ind w:left="1505" w:right="0" w:hanging="738"/>
        <w:jc w:val="left"/>
        <w:rPr>
          <w:sz w:val="21"/>
        </w:rPr>
      </w:pPr>
      <w:r>
        <w:rPr>
          <w:spacing w:val="-3"/>
          <w:sz w:val="21"/>
        </w:rPr>
        <w:t>血液检查出现低磷血症、低尿酸血症或近端肾小管酸中毒；</w:t>
      </w:r>
    </w:p>
    <w:p>
      <w:pPr>
        <w:pStyle w:val="ListParagraph"/>
        <w:numPr>
          <w:ilvl w:val="0"/>
          <w:numId w:val="100"/>
        </w:numPr>
        <w:tabs>
          <w:tab w:pos="1506" w:val="left" w:leader="none"/>
        </w:tabs>
        <w:spacing w:line="240" w:lineRule="auto" w:before="3" w:after="0"/>
        <w:ind w:left="1505" w:right="0" w:hanging="738"/>
        <w:jc w:val="left"/>
        <w:rPr>
          <w:sz w:val="21"/>
        </w:rPr>
      </w:pPr>
      <w:r>
        <w:rPr>
          <w:spacing w:val="-3"/>
          <w:sz w:val="21"/>
        </w:rPr>
        <w:t>出现骨质疏松、骨骼畸形或尿路结石；</w:t>
      </w:r>
    </w:p>
    <w:p>
      <w:pPr>
        <w:spacing w:after="0" w:line="240" w:lineRule="auto"/>
        <w:jc w:val="left"/>
        <w:rPr>
          <w:sz w:val="21"/>
        </w:rPr>
        <w:sectPr>
          <w:pgSz w:w="11910" w:h="16840"/>
          <w:pgMar w:header="0" w:footer="574" w:top="1060" w:bottom="760" w:left="720" w:right="340"/>
        </w:sectPr>
      </w:pPr>
    </w:p>
    <w:p>
      <w:pPr>
        <w:pStyle w:val="ListParagraph"/>
        <w:numPr>
          <w:ilvl w:val="0"/>
          <w:numId w:val="100"/>
        </w:numPr>
        <w:tabs>
          <w:tab w:pos="1506" w:val="left" w:leader="none"/>
        </w:tabs>
        <w:spacing w:line="240" w:lineRule="auto" w:before="55" w:after="0"/>
        <w:ind w:left="1505" w:right="0" w:hanging="738"/>
        <w:jc w:val="left"/>
        <w:rPr>
          <w:sz w:val="21"/>
        </w:rPr>
      </w:pPr>
      <w:r>
        <w:rPr>
          <w:spacing w:val="-3"/>
          <w:sz w:val="21"/>
        </w:rPr>
        <w:t>通过骨髓片、白细胞、直肠黏膜中的结晶分析或裂隙灯检查角膜有胱氨酸结晶。</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3"/>
        </w:rPr>
        <w:t>严重继发性肺动脉高压</w:t>
      </w:r>
    </w:p>
    <w:p>
      <w:pPr>
        <w:pStyle w:val="BodyText"/>
        <w:spacing w:line="245" w:lineRule="exact"/>
      </w:pPr>
      <w:r>
        <w:rPr>
          <w:spacing w:val="-5"/>
        </w:rPr>
        <w:t>指继发性肺动脉压力持续增高，导致右心室肥厚，已经造成永久不可逆性的体力活动能力受限，达到</w:t>
      </w:r>
    </w:p>
    <w:p>
      <w:pPr>
        <w:pStyle w:val="BodyText"/>
        <w:spacing w:line="242" w:lineRule="auto" w:before="5"/>
        <w:ind w:right="909"/>
      </w:pPr>
      <w:r>
        <w:rPr/>
        <w:t>美国纽约心脏病学会（New</w:t>
      </w:r>
      <w:r>
        <w:rPr>
          <w:spacing w:val="-29"/>
        </w:rPr>
        <w:t> </w:t>
      </w:r>
      <w:r>
        <w:rPr/>
        <w:t>York</w:t>
      </w:r>
      <w:r>
        <w:rPr>
          <w:spacing w:val="-27"/>
        </w:rPr>
        <w:t> </w:t>
      </w:r>
      <w:r>
        <w:rPr/>
        <w:t>Heart</w:t>
      </w:r>
      <w:r>
        <w:rPr>
          <w:spacing w:val="-29"/>
        </w:rPr>
        <w:t> </w:t>
      </w:r>
      <w:r>
        <w:rPr/>
        <w:t>Association，NYHA）心功能状态分级Ⅳ级。须由医院的心脏</w:t>
      </w:r>
      <w:r>
        <w:rPr>
          <w:spacing w:val="-2"/>
        </w:rPr>
        <w:t>专科医生确诊，并且心导管检查报告显示静息状态下肺动脉平均压超过 </w:t>
      </w:r>
      <w:r>
        <w:rPr/>
        <w:t>36mmHg。</w:t>
      </w:r>
    </w:p>
    <w:p>
      <w:pPr>
        <w:pStyle w:val="BodyText"/>
        <w:spacing w:before="1"/>
      </w:pPr>
      <w:r>
        <w:rPr>
          <w:spacing w:val="-3"/>
        </w:rPr>
        <w:t>先天性心脏疾病直接或间接引起的肺动脉高压不在保障范围内。</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严重气性坏疽</w:t>
      </w:r>
    </w:p>
    <w:p>
      <w:pPr>
        <w:pStyle w:val="BodyText"/>
        <w:spacing w:line="246" w:lineRule="exact"/>
      </w:pPr>
      <w:r>
        <w:rPr>
          <w:spacing w:val="-3"/>
        </w:rPr>
        <w:t>指由梭状芽胞杆菌所致的肌坏死或肌炎。经相关专科医生明确诊断，且须满足下列全部条件：</w:t>
      </w:r>
    </w:p>
    <w:p>
      <w:pPr>
        <w:pStyle w:val="ListParagraph"/>
        <w:numPr>
          <w:ilvl w:val="0"/>
          <w:numId w:val="101"/>
        </w:numPr>
        <w:tabs>
          <w:tab w:pos="1506" w:val="left" w:leader="none"/>
        </w:tabs>
        <w:spacing w:line="240" w:lineRule="auto" w:before="2" w:after="0"/>
        <w:ind w:left="1505" w:right="0" w:hanging="738"/>
        <w:jc w:val="left"/>
        <w:rPr>
          <w:sz w:val="21"/>
        </w:rPr>
      </w:pPr>
      <w:r>
        <w:rPr>
          <w:spacing w:val="-3"/>
          <w:sz w:val="21"/>
        </w:rPr>
        <w:t>符合气性坏疽的临床表现；</w:t>
      </w:r>
    </w:p>
    <w:p>
      <w:pPr>
        <w:pStyle w:val="ListParagraph"/>
        <w:numPr>
          <w:ilvl w:val="0"/>
          <w:numId w:val="101"/>
        </w:numPr>
        <w:tabs>
          <w:tab w:pos="1506" w:val="left" w:leader="none"/>
        </w:tabs>
        <w:spacing w:line="240" w:lineRule="auto" w:before="2" w:after="0"/>
        <w:ind w:left="1505" w:right="0" w:hanging="738"/>
        <w:jc w:val="left"/>
        <w:rPr>
          <w:sz w:val="21"/>
        </w:rPr>
      </w:pPr>
      <w:r>
        <w:rPr>
          <w:spacing w:val="-3"/>
          <w:sz w:val="21"/>
        </w:rPr>
        <w:t>细菌培养检出致病菌；</w:t>
      </w:r>
    </w:p>
    <w:p>
      <w:pPr>
        <w:pStyle w:val="ListParagraph"/>
        <w:numPr>
          <w:ilvl w:val="0"/>
          <w:numId w:val="101"/>
        </w:numPr>
        <w:tabs>
          <w:tab w:pos="1506" w:val="left" w:leader="none"/>
        </w:tabs>
        <w:spacing w:line="242" w:lineRule="auto" w:before="4" w:after="0"/>
        <w:ind w:left="1505" w:right="906" w:hanging="737"/>
        <w:jc w:val="left"/>
        <w:rPr>
          <w:sz w:val="21"/>
        </w:rPr>
      </w:pPr>
      <w:r>
        <w:rPr>
          <w:spacing w:val="-2"/>
          <w:sz w:val="21"/>
        </w:rPr>
        <w:t>出现广泛性肌肉及组织坏死，并已经实施了坏死组织和筋膜以及肌肉的切除手术。清创术不</w:t>
      </w:r>
      <w:r>
        <w:rPr>
          <w:spacing w:val="-2"/>
          <w:sz w:val="21"/>
        </w:rPr>
        <w:t>在保障范围内。</w:t>
      </w:r>
    </w:p>
    <w:p>
      <w:pPr>
        <w:pStyle w:val="Heading2"/>
        <w:numPr>
          <w:ilvl w:val="0"/>
          <w:numId w:val="33"/>
        </w:numPr>
        <w:tabs>
          <w:tab w:pos="768" w:val="left" w:leader="none"/>
          <w:tab w:pos="769" w:val="left" w:leader="none"/>
        </w:tabs>
        <w:spacing w:line="363" w:lineRule="exact" w:before="105" w:after="0"/>
        <w:ind w:left="768" w:right="0" w:hanging="558"/>
        <w:jc w:val="left"/>
      </w:pPr>
      <w:r>
        <w:rPr>
          <w:spacing w:val="-2"/>
        </w:rPr>
        <w:t>进行性风疹性全脑炎</w:t>
      </w:r>
    </w:p>
    <w:p>
      <w:pPr>
        <w:pStyle w:val="BodyText"/>
        <w:spacing w:line="245" w:lineRule="exact"/>
      </w:pPr>
      <w:r>
        <w:rPr>
          <w:spacing w:val="-4"/>
        </w:rPr>
        <w:t>指由风疹病毒感染引起的儿童和青少年的慢性脑炎。疾病确诊 </w:t>
      </w:r>
      <w:r>
        <w:rPr>
          <w:spacing w:val="-2"/>
        </w:rPr>
        <w:t>180</w:t>
      </w:r>
      <w:r>
        <w:rPr>
          <w:spacing w:val="-9"/>
        </w:rPr>
        <w:t> 天后，仍遗留下列至少一种障碍：</w:t>
      </w:r>
    </w:p>
    <w:p>
      <w:pPr>
        <w:pStyle w:val="ListParagraph"/>
        <w:numPr>
          <w:ilvl w:val="0"/>
          <w:numId w:val="102"/>
        </w:numPr>
        <w:tabs>
          <w:tab w:pos="1506" w:val="left" w:leader="none"/>
        </w:tabs>
        <w:spacing w:line="240" w:lineRule="auto" w:before="5" w:after="0"/>
        <w:ind w:left="1505" w:right="0" w:hanging="738"/>
        <w:jc w:val="left"/>
        <w:rPr>
          <w:sz w:val="21"/>
        </w:rPr>
      </w:pPr>
      <w:r>
        <w:rPr>
          <w:spacing w:val="-2"/>
          <w:sz w:val="21"/>
        </w:rPr>
        <w:t>一肢（含）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ListParagraph"/>
        <w:numPr>
          <w:ilvl w:val="0"/>
          <w:numId w:val="102"/>
        </w:numPr>
        <w:tabs>
          <w:tab w:pos="1506" w:val="left" w:leader="none"/>
        </w:tabs>
        <w:spacing w:line="240" w:lineRule="auto" w:before="2" w:after="0"/>
        <w:ind w:left="1505" w:right="0" w:hanging="738"/>
        <w:jc w:val="left"/>
        <w:rPr>
          <w:sz w:val="21"/>
        </w:rPr>
      </w:pPr>
      <w:r>
        <w:rPr>
          <w:spacing w:val="-3"/>
          <w:sz w:val="21"/>
        </w:rPr>
        <w:t>语言能力完全丧失，或严重咀嚼吞咽功能障碍；</w:t>
      </w:r>
    </w:p>
    <w:p>
      <w:pPr>
        <w:pStyle w:val="ListParagraph"/>
        <w:numPr>
          <w:ilvl w:val="0"/>
          <w:numId w:val="102"/>
        </w:numPr>
        <w:tabs>
          <w:tab w:pos="1506" w:val="left" w:leader="none"/>
        </w:tabs>
        <w:spacing w:line="240" w:lineRule="auto" w:before="4" w:after="0"/>
        <w:ind w:left="1505" w:right="0" w:hanging="738"/>
        <w:jc w:val="left"/>
        <w:rPr>
          <w:sz w:val="21"/>
        </w:rPr>
      </w:pPr>
      <w:r>
        <w:rPr>
          <w:spacing w:val="-3"/>
          <w:sz w:val="21"/>
        </w:rPr>
        <w:t>自主生活能力完全丧失，无法独立完成六项基本日常生活活动中的三项或三项以上。</w:t>
      </w:r>
    </w:p>
    <w:p>
      <w:pPr>
        <w:pStyle w:val="Heading2"/>
        <w:numPr>
          <w:ilvl w:val="0"/>
          <w:numId w:val="33"/>
        </w:numPr>
        <w:tabs>
          <w:tab w:pos="768" w:val="left" w:leader="none"/>
          <w:tab w:pos="769" w:val="left" w:leader="none"/>
        </w:tabs>
        <w:spacing w:line="363" w:lineRule="exact" w:before="106" w:after="0"/>
        <w:ind w:left="768" w:right="0" w:hanging="558"/>
        <w:jc w:val="left"/>
      </w:pPr>
      <w:r>
        <w:rPr>
          <w:spacing w:val="-3"/>
        </w:rPr>
        <w:t>多处臂丛神经根性撕脱</w:t>
      </w:r>
    </w:p>
    <w:p>
      <w:pPr>
        <w:pStyle w:val="BodyText"/>
        <w:spacing w:line="245" w:lineRule="exact"/>
      </w:pPr>
      <w:r>
        <w:rPr>
          <w:spacing w:val="-1"/>
        </w:rPr>
        <w:t>指由疾病或意外导致至少两根臂丛神经根性撕脱，所造成的手臂感觉功能与运动功能完全永久性丧</w:t>
      </w:r>
    </w:p>
    <w:p>
      <w:pPr>
        <w:pStyle w:val="BodyText"/>
        <w:spacing w:before="4"/>
      </w:pPr>
      <w:r>
        <w:rPr>
          <w:spacing w:val="-3"/>
        </w:rPr>
        <w:t>失。该病须经相关专科医生明确诊断，并且有电生理检查结果证实。</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皮质基底节变性</w:t>
      </w:r>
    </w:p>
    <w:p>
      <w:pPr>
        <w:pStyle w:val="BodyText"/>
        <w:spacing w:line="246" w:lineRule="exact"/>
      </w:pPr>
      <w:r>
        <w:rPr>
          <w:spacing w:val="-5"/>
        </w:rPr>
        <w:t>指一种慢性进展性神经变性疾病，以不对称发作的无动性强直综合征、失用、肌张力障碍及姿势异常</w:t>
      </w:r>
    </w:p>
    <w:p>
      <w:pPr>
        <w:pStyle w:val="BodyText"/>
        <w:spacing w:line="244" w:lineRule="auto" w:before="2"/>
        <w:ind w:right="906"/>
      </w:pPr>
      <w:r>
        <w:rPr>
          <w:spacing w:val="-2"/>
        </w:rPr>
        <w:t>为其临床特征。经相关专科医生明确诊断，被保险人自主生活能力完全丧失，无法独立完成六项基本</w:t>
      </w:r>
      <w:r>
        <w:rPr>
          <w:spacing w:val="-2"/>
        </w:rPr>
        <w:t>日常生活活动中的三项或三项以上，日常生活必须持续受到他人监护。</w:t>
      </w:r>
    </w:p>
    <w:p>
      <w:pPr>
        <w:pStyle w:val="Heading2"/>
        <w:numPr>
          <w:ilvl w:val="0"/>
          <w:numId w:val="33"/>
        </w:numPr>
        <w:tabs>
          <w:tab w:pos="768" w:val="left" w:leader="none"/>
          <w:tab w:pos="769" w:val="left" w:leader="none"/>
        </w:tabs>
        <w:spacing w:line="363" w:lineRule="exact" w:before="99" w:after="0"/>
        <w:ind w:left="768" w:right="0" w:hanging="558"/>
        <w:jc w:val="left"/>
      </w:pPr>
      <w:r>
        <w:rPr>
          <w:spacing w:val="-2"/>
        </w:rPr>
        <w:t>糖尿病导致双足截除</w:t>
      </w:r>
    </w:p>
    <w:p>
      <w:pPr>
        <w:pStyle w:val="BodyText"/>
        <w:spacing w:line="245" w:lineRule="exact"/>
      </w:pPr>
      <w:r>
        <w:rPr>
          <w:spacing w:val="-4"/>
        </w:rPr>
        <w:t>指因糖尿病引起的神经及血管病变累及足部，为了维持生命已经实施了足踝或以上（靠近躯干端）</w:t>
      </w:r>
      <w:r>
        <w:rPr>
          <w:spacing w:val="-10"/>
        </w:rPr>
        <w:t>位</w:t>
      </w:r>
    </w:p>
    <w:p>
      <w:pPr>
        <w:pStyle w:val="BodyText"/>
        <w:spacing w:before="4"/>
      </w:pPr>
      <w:r>
        <w:rPr>
          <w:spacing w:val="-3"/>
        </w:rPr>
        <w:t>置的双足截除手术。</w:t>
      </w:r>
    </w:p>
    <w:p>
      <w:pPr>
        <w:pStyle w:val="BodyText"/>
        <w:spacing w:before="2"/>
      </w:pPr>
      <w:r>
        <w:rPr>
          <w:spacing w:val="-3"/>
        </w:rPr>
        <w:t>切除多只脚趾或因任何其他原因引起的截除术不在保障范围内。</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2"/>
        </w:rPr>
        <w:t>闭锁综合征</w:t>
      </w:r>
    </w:p>
    <w:p>
      <w:pPr>
        <w:pStyle w:val="BodyText"/>
        <w:spacing w:line="245" w:lineRule="exact"/>
      </w:pPr>
      <w:r>
        <w:rPr>
          <w:spacing w:val="-5"/>
        </w:rPr>
        <w:t>指严重脑功能障碍，但剩余脑干功能完整。障碍的特征是缺失基本的认知功能，缺失对任何刺激的反</w:t>
      </w:r>
    </w:p>
    <w:p>
      <w:pPr>
        <w:pStyle w:val="BodyText"/>
        <w:spacing w:before="5"/>
      </w:pPr>
      <w:r>
        <w:rPr>
          <w:spacing w:val="-4"/>
        </w:rPr>
        <w:t>应，不能与其他人互动。经相关专科医生明确诊断，且有持续至少 </w:t>
      </w:r>
      <w:r>
        <w:rPr>
          <w:spacing w:val="-2"/>
        </w:rPr>
        <w:t>30</w:t>
      </w:r>
      <w:r>
        <w:rPr>
          <w:spacing w:val="-10"/>
        </w:rPr>
        <w:t> 天的病史记录。</w:t>
      </w:r>
    </w:p>
    <w:p>
      <w:pPr>
        <w:pStyle w:val="Heading2"/>
        <w:numPr>
          <w:ilvl w:val="0"/>
          <w:numId w:val="33"/>
        </w:numPr>
        <w:tabs>
          <w:tab w:pos="768" w:val="left" w:leader="none"/>
          <w:tab w:pos="769" w:val="left" w:leader="none"/>
        </w:tabs>
        <w:spacing w:line="363" w:lineRule="exact" w:before="105" w:after="0"/>
        <w:ind w:left="768" w:right="0" w:hanging="558"/>
        <w:jc w:val="left"/>
      </w:pPr>
      <w:r>
        <w:rPr>
          <w:spacing w:val="-2"/>
        </w:rPr>
        <w:t>严重巨细胞动脉炎</w:t>
      </w:r>
    </w:p>
    <w:p>
      <w:pPr>
        <w:pStyle w:val="BodyText"/>
        <w:spacing w:line="245" w:lineRule="exact"/>
      </w:pPr>
      <w:r>
        <w:rPr>
          <w:spacing w:val="-5"/>
        </w:rPr>
        <w:t>巨细胞动脉炎又称颅动脉炎、颞动脉炎、肉芽肿性动脉炎，须经相关专科医生明确诊断，并造成永久</w:t>
      </w:r>
    </w:p>
    <w:p>
      <w:pPr>
        <w:pStyle w:val="BodyText"/>
        <w:spacing w:line="242" w:lineRule="auto" w:before="5"/>
        <w:ind w:right="908"/>
      </w:pPr>
      <w:r>
        <w:rPr>
          <w:spacing w:val="-2"/>
        </w:rPr>
        <w:t>不可逆性的单个肢体功能障碍或单眼失明。功能障碍指肢体机能完全丧失；单眼失明指单眼视力永久</w:t>
      </w:r>
      <w:r>
        <w:rPr>
          <w:spacing w:val="-2"/>
        </w:rPr>
        <w:t>不可逆性丧失，患眼须满足下列至少一项条件：</w:t>
      </w:r>
    </w:p>
    <w:p>
      <w:pPr>
        <w:pStyle w:val="ListParagraph"/>
        <w:numPr>
          <w:ilvl w:val="0"/>
          <w:numId w:val="103"/>
        </w:numPr>
        <w:tabs>
          <w:tab w:pos="1506" w:val="left" w:leader="none"/>
        </w:tabs>
        <w:spacing w:line="240" w:lineRule="auto" w:before="1" w:after="0"/>
        <w:ind w:left="1505" w:right="0" w:hanging="738"/>
        <w:jc w:val="left"/>
        <w:rPr>
          <w:sz w:val="21"/>
        </w:rPr>
      </w:pPr>
      <w:r>
        <w:rPr>
          <w:spacing w:val="-4"/>
          <w:sz w:val="21"/>
        </w:rPr>
        <w:t>眼球缺失或摘除；</w:t>
      </w:r>
    </w:p>
    <w:p>
      <w:pPr>
        <w:pStyle w:val="ListParagraph"/>
        <w:numPr>
          <w:ilvl w:val="0"/>
          <w:numId w:val="103"/>
        </w:numPr>
        <w:tabs>
          <w:tab w:pos="1506" w:val="left" w:leader="none"/>
        </w:tabs>
        <w:spacing w:line="240" w:lineRule="auto" w:before="2" w:after="0"/>
        <w:ind w:left="1505" w:right="0" w:hanging="738"/>
        <w:jc w:val="left"/>
        <w:rPr>
          <w:sz w:val="21"/>
        </w:rPr>
      </w:pPr>
      <w:r>
        <w:rPr>
          <w:spacing w:val="-6"/>
          <w:sz w:val="21"/>
        </w:rPr>
        <w:t>矫正视力低于 </w:t>
      </w:r>
      <w:r>
        <w:rPr>
          <w:spacing w:val="-2"/>
          <w:sz w:val="21"/>
        </w:rPr>
        <w:t>0.02（采用国际标准视力表，如果使用其他视力表应进行换算</w:t>
      </w:r>
      <w:r>
        <w:rPr>
          <w:spacing w:val="-113"/>
          <w:sz w:val="21"/>
        </w:rPr>
        <w:t>）</w:t>
      </w:r>
      <w:r>
        <w:rPr>
          <w:spacing w:val="-5"/>
          <w:sz w:val="21"/>
        </w:rPr>
        <w:t>；</w:t>
      </w:r>
    </w:p>
    <w:p>
      <w:pPr>
        <w:pStyle w:val="ListParagraph"/>
        <w:numPr>
          <w:ilvl w:val="0"/>
          <w:numId w:val="103"/>
        </w:numPr>
        <w:tabs>
          <w:tab w:pos="1506" w:val="left" w:leader="none"/>
        </w:tabs>
        <w:spacing w:line="240" w:lineRule="auto" w:before="5" w:after="0"/>
        <w:ind w:left="1505" w:right="0" w:hanging="738"/>
        <w:jc w:val="left"/>
        <w:rPr>
          <w:sz w:val="21"/>
        </w:rPr>
      </w:pPr>
      <w:r>
        <w:rPr>
          <w:spacing w:val="-9"/>
          <w:sz w:val="21"/>
        </w:rPr>
        <w:t>视野半径小于 </w:t>
      </w:r>
      <w:r>
        <w:rPr>
          <w:spacing w:val="-2"/>
          <w:sz w:val="21"/>
        </w:rPr>
        <w:t>5</w:t>
      </w:r>
      <w:r>
        <w:rPr>
          <w:spacing w:val="-21"/>
          <w:sz w:val="21"/>
        </w:rPr>
        <w:t> 度。</w:t>
      </w:r>
    </w:p>
    <w:p>
      <w:pPr>
        <w:pStyle w:val="Heading2"/>
        <w:numPr>
          <w:ilvl w:val="0"/>
          <w:numId w:val="33"/>
        </w:numPr>
        <w:tabs>
          <w:tab w:pos="768" w:val="left" w:leader="none"/>
          <w:tab w:pos="769" w:val="left" w:leader="none"/>
        </w:tabs>
        <w:spacing w:line="364" w:lineRule="exact" w:before="106" w:after="0"/>
        <w:ind w:left="768" w:right="0" w:hanging="558"/>
        <w:jc w:val="left"/>
      </w:pPr>
      <w:r>
        <w:rPr>
          <w:spacing w:val="-2"/>
        </w:rPr>
        <w:t>肺孢子菌肺炎</w:t>
      </w:r>
    </w:p>
    <w:p>
      <w:pPr>
        <w:pStyle w:val="BodyText"/>
        <w:spacing w:line="246" w:lineRule="exact"/>
      </w:pPr>
      <w:r>
        <w:rPr>
          <w:spacing w:val="-3"/>
        </w:rPr>
        <w:t>指由肺孢子菌引起的间质性浆细胞性肺炎，且须满足下列全部条件：</w:t>
      </w:r>
    </w:p>
    <w:p>
      <w:pPr>
        <w:pStyle w:val="ListParagraph"/>
        <w:numPr>
          <w:ilvl w:val="0"/>
          <w:numId w:val="104"/>
        </w:numPr>
        <w:tabs>
          <w:tab w:pos="1506" w:val="left" w:leader="none"/>
        </w:tabs>
        <w:spacing w:line="240" w:lineRule="auto" w:before="1" w:after="0"/>
        <w:ind w:left="1505" w:right="0" w:hanging="738"/>
        <w:jc w:val="left"/>
        <w:rPr>
          <w:sz w:val="21"/>
        </w:rPr>
      </w:pPr>
      <w:r>
        <w:rPr>
          <w:spacing w:val="-2"/>
          <w:position w:val="1"/>
          <w:sz w:val="21"/>
        </w:rPr>
        <w:t>第一秒末用力呼气量（FEV</w:t>
      </w:r>
      <w:r>
        <w:rPr>
          <w:spacing w:val="-2"/>
          <w:sz w:val="11"/>
        </w:rPr>
        <w:t>1</w:t>
      </w:r>
      <w:r>
        <w:rPr>
          <w:spacing w:val="-2"/>
          <w:position w:val="1"/>
          <w:sz w:val="21"/>
        </w:rPr>
        <w:t>）</w:t>
      </w:r>
      <w:r>
        <w:rPr>
          <w:spacing w:val="-18"/>
          <w:position w:val="1"/>
          <w:sz w:val="21"/>
        </w:rPr>
        <w:t>小于 </w:t>
      </w:r>
      <w:r>
        <w:rPr>
          <w:spacing w:val="-2"/>
          <w:position w:val="1"/>
          <w:sz w:val="21"/>
        </w:rPr>
        <w:t>1</w:t>
      </w:r>
      <w:r>
        <w:rPr>
          <w:spacing w:val="-20"/>
          <w:position w:val="1"/>
          <w:sz w:val="21"/>
        </w:rPr>
        <w:t> 升；</w:t>
      </w:r>
    </w:p>
    <w:p>
      <w:pPr>
        <w:pStyle w:val="ListParagraph"/>
        <w:numPr>
          <w:ilvl w:val="0"/>
          <w:numId w:val="104"/>
        </w:numPr>
        <w:tabs>
          <w:tab w:pos="1506" w:val="left" w:leader="none"/>
        </w:tabs>
        <w:spacing w:line="240" w:lineRule="auto" w:before="5" w:after="0"/>
        <w:ind w:left="1505" w:right="0" w:hanging="738"/>
        <w:jc w:val="left"/>
        <w:rPr>
          <w:sz w:val="21"/>
        </w:rPr>
      </w:pPr>
      <w:r>
        <w:rPr>
          <w:spacing w:val="-6"/>
          <w:sz w:val="21"/>
        </w:rPr>
        <w:t>气道内阻力增加，至少达到 </w:t>
      </w:r>
      <w:r>
        <w:rPr>
          <w:spacing w:val="-2"/>
          <w:sz w:val="21"/>
        </w:rPr>
        <w:t>0.5kPa/l/s；</w:t>
      </w:r>
    </w:p>
    <w:p>
      <w:pPr>
        <w:pStyle w:val="ListParagraph"/>
        <w:numPr>
          <w:ilvl w:val="0"/>
          <w:numId w:val="104"/>
        </w:numPr>
        <w:tabs>
          <w:tab w:pos="1506" w:val="left" w:leader="none"/>
        </w:tabs>
        <w:spacing w:line="240" w:lineRule="auto" w:before="2" w:after="0"/>
        <w:ind w:left="1505" w:right="0" w:hanging="738"/>
        <w:jc w:val="left"/>
        <w:rPr>
          <w:sz w:val="21"/>
        </w:rPr>
      </w:pPr>
      <w:r>
        <w:rPr>
          <w:spacing w:val="-2"/>
          <w:sz w:val="21"/>
        </w:rPr>
        <w:t>残气容积占肺总量（TLC）</w:t>
      </w:r>
      <w:r>
        <w:rPr>
          <w:spacing w:val="-22"/>
          <w:sz w:val="21"/>
        </w:rPr>
        <w:t>的 </w:t>
      </w:r>
      <w:r>
        <w:rPr>
          <w:spacing w:val="-2"/>
          <w:sz w:val="21"/>
        </w:rPr>
        <w:t>60</w:t>
      </w:r>
      <w:r>
        <w:rPr>
          <w:spacing w:val="-4"/>
          <w:sz w:val="21"/>
        </w:rPr>
        <w:t>％以上；</w:t>
      </w:r>
    </w:p>
    <w:p>
      <w:pPr>
        <w:pStyle w:val="ListParagraph"/>
        <w:numPr>
          <w:ilvl w:val="0"/>
          <w:numId w:val="104"/>
        </w:numPr>
        <w:tabs>
          <w:tab w:pos="1506" w:val="left" w:leader="none"/>
        </w:tabs>
        <w:spacing w:line="240" w:lineRule="auto" w:before="3" w:after="0"/>
        <w:ind w:left="1505" w:right="0" w:hanging="738"/>
        <w:jc w:val="left"/>
        <w:rPr>
          <w:sz w:val="21"/>
        </w:rPr>
      </w:pPr>
      <w:r>
        <w:rPr>
          <w:spacing w:val="-5"/>
          <w:sz w:val="21"/>
        </w:rPr>
        <w:t>胸内气体容积升高，超过基值的 </w:t>
      </w:r>
      <w:r>
        <w:rPr>
          <w:spacing w:val="-4"/>
          <w:sz w:val="21"/>
        </w:rPr>
        <w:t>170％；</w:t>
      </w:r>
    </w:p>
    <w:p>
      <w:pPr>
        <w:pStyle w:val="ListParagraph"/>
        <w:numPr>
          <w:ilvl w:val="0"/>
          <w:numId w:val="104"/>
        </w:numPr>
        <w:tabs>
          <w:tab w:pos="1506" w:val="left" w:leader="none"/>
        </w:tabs>
        <w:spacing w:line="240" w:lineRule="auto" w:before="4" w:after="0"/>
        <w:ind w:left="1505" w:right="0" w:hanging="738"/>
        <w:jc w:val="left"/>
        <w:rPr>
          <w:sz w:val="21"/>
        </w:rPr>
      </w:pPr>
      <w:r>
        <w:rPr>
          <w:spacing w:val="-2"/>
          <w:position w:val="1"/>
          <w:sz w:val="21"/>
        </w:rPr>
        <w:t>PaO</w:t>
      </w:r>
      <w:r>
        <w:rPr>
          <w:rFonts w:ascii="Times New Roman" w:hAnsi="Times New Roman" w:eastAsia="Times New Roman"/>
          <w:spacing w:val="-2"/>
          <w:position w:val="1"/>
          <w:sz w:val="21"/>
        </w:rPr>
        <w:t>₂</w:t>
      </w:r>
      <w:r>
        <w:rPr>
          <w:spacing w:val="-2"/>
          <w:position w:val="1"/>
          <w:sz w:val="21"/>
        </w:rPr>
        <w:t>＜60mmHg，PaCO</w:t>
      </w:r>
      <w:r>
        <w:rPr>
          <w:spacing w:val="-2"/>
          <w:sz w:val="11"/>
        </w:rPr>
        <w:t>2</w:t>
      </w:r>
      <w:r>
        <w:rPr>
          <w:spacing w:val="-2"/>
          <w:position w:val="1"/>
          <w:sz w:val="21"/>
        </w:rPr>
        <w:t>＞50mmHg</w:t>
      </w:r>
      <w:r>
        <w:rPr>
          <w:spacing w:val="-10"/>
          <w:position w:val="1"/>
          <w:sz w:val="21"/>
        </w:rPr>
        <w:t>。</w:t>
      </w:r>
    </w:p>
    <w:p>
      <w:pPr>
        <w:pStyle w:val="Heading2"/>
        <w:numPr>
          <w:ilvl w:val="0"/>
          <w:numId w:val="33"/>
        </w:numPr>
        <w:tabs>
          <w:tab w:pos="768" w:val="left" w:leader="none"/>
          <w:tab w:pos="769" w:val="left" w:leader="none"/>
        </w:tabs>
        <w:spacing w:line="364" w:lineRule="exact" w:before="105" w:after="0"/>
        <w:ind w:left="768" w:right="0" w:hanging="558"/>
        <w:jc w:val="left"/>
      </w:pPr>
      <w:r>
        <w:rPr>
          <w:spacing w:val="-3"/>
        </w:rPr>
        <w:t>湿性年龄相关性黄斑变性</w:t>
      </w:r>
    </w:p>
    <w:p>
      <w:pPr>
        <w:pStyle w:val="BodyText"/>
        <w:spacing w:line="246" w:lineRule="exact"/>
      </w:pPr>
      <w:r>
        <w:rPr>
          <w:spacing w:val="-2"/>
        </w:rPr>
        <w:t>又称新生血管性年龄相关性黄斑变性或渗出性年龄相关性黄斑变性，指发生脉络膜新生血管（CNV）</w:t>
      </w:r>
    </w:p>
    <w:p>
      <w:pPr>
        <w:spacing w:after="0" w:line="246" w:lineRule="exact"/>
        <w:sectPr>
          <w:pgSz w:w="11910" w:h="16840"/>
          <w:pgMar w:header="0" w:footer="574" w:top="1060" w:bottom="760" w:left="720" w:right="340"/>
        </w:sectPr>
      </w:pPr>
    </w:p>
    <w:p>
      <w:pPr>
        <w:pStyle w:val="BodyText"/>
        <w:spacing w:line="244" w:lineRule="auto" w:before="55"/>
        <w:ind w:right="906"/>
      </w:pPr>
      <w:r>
        <w:rPr>
          <w:spacing w:val="-2"/>
        </w:rPr>
        <w:t>异常生长进入视网膜，新生血管渗漏，渗出及出血。须经相关专科医生通过荧光素眼底血管造影检查</w:t>
      </w:r>
      <w:r>
        <w:rPr>
          <w:spacing w:val="-2"/>
        </w:rPr>
        <w:t>提示黄斑区新生血管形成并确诊。</w:t>
      </w:r>
    </w:p>
    <w:p>
      <w:pPr>
        <w:pStyle w:val="BodyText"/>
        <w:spacing w:line="265" w:lineRule="exact"/>
      </w:pPr>
      <w:r>
        <w:rPr>
          <w:spacing w:val="-6"/>
        </w:rPr>
        <w:t>申请理赔时须提供近 </w:t>
      </w:r>
      <w:r>
        <w:rPr>
          <w:spacing w:val="-2"/>
        </w:rPr>
        <w:t>3</w:t>
      </w:r>
      <w:r>
        <w:rPr>
          <w:spacing w:val="-9"/>
        </w:rPr>
        <w:t> 个月内视力改变显示病情恶化的相关检查报告、诊断报告。</w:t>
      </w:r>
    </w:p>
    <w:p>
      <w:pPr>
        <w:pStyle w:val="Heading2"/>
        <w:numPr>
          <w:ilvl w:val="0"/>
          <w:numId w:val="33"/>
        </w:numPr>
        <w:tabs>
          <w:tab w:pos="768" w:val="left" w:leader="none"/>
          <w:tab w:pos="769" w:val="left" w:leader="none"/>
        </w:tabs>
        <w:spacing w:line="363" w:lineRule="exact" w:before="108" w:after="0"/>
        <w:ind w:left="768" w:right="0" w:hanging="558"/>
        <w:jc w:val="left"/>
      </w:pPr>
      <w:r>
        <w:rPr>
          <w:spacing w:val="-3"/>
        </w:rPr>
        <w:t>异染性脑白质营养不良</w:t>
      </w:r>
    </w:p>
    <w:p>
      <w:pPr>
        <w:pStyle w:val="BodyText"/>
        <w:spacing w:line="245" w:lineRule="exact"/>
      </w:pPr>
      <w:r>
        <w:rPr>
          <w:spacing w:val="-7"/>
        </w:rPr>
        <w:t>是一种严重的神经退化性代谢病，主要表现为行走困难、智力低下、废用性肌萎缩、四肢痉挛性瘫痪、</w:t>
      </w:r>
    </w:p>
    <w:p>
      <w:pPr>
        <w:pStyle w:val="BodyText"/>
        <w:spacing w:line="242" w:lineRule="auto" w:before="5"/>
        <w:ind w:right="911"/>
      </w:pPr>
      <w:r>
        <w:rPr>
          <w:spacing w:val="-2"/>
        </w:rPr>
        <w:t>视神经萎缩、失语等。须经相关专科医生诊断，且已经造成自主生活能力完全丧失，无法独立完成六</w:t>
      </w:r>
      <w:r>
        <w:rPr>
          <w:spacing w:val="-1"/>
        </w:rPr>
        <w:t>项基本日常生活活动中的三项或三项以上，持续至少 </w:t>
      </w:r>
      <w:r>
        <w:rPr/>
        <w:t>180</w:t>
      </w:r>
      <w:r>
        <w:rPr>
          <w:spacing w:val="-9"/>
        </w:rPr>
        <w:t> 天。</w:t>
      </w:r>
    </w:p>
    <w:p>
      <w:pPr>
        <w:pStyle w:val="Heading2"/>
        <w:numPr>
          <w:ilvl w:val="0"/>
          <w:numId w:val="33"/>
        </w:numPr>
        <w:tabs>
          <w:tab w:pos="768" w:val="left" w:leader="none"/>
          <w:tab w:pos="769" w:val="left" w:leader="none"/>
        </w:tabs>
        <w:spacing w:line="363" w:lineRule="exact" w:before="104" w:after="0"/>
        <w:ind w:left="768" w:right="0" w:hanging="558"/>
        <w:jc w:val="left"/>
      </w:pPr>
      <w:r>
        <w:rPr>
          <w:spacing w:val="-2"/>
        </w:rPr>
        <w:t>严重斯蒂尔病</w:t>
      </w:r>
    </w:p>
    <w:p>
      <w:pPr>
        <w:pStyle w:val="BodyText"/>
        <w:spacing w:line="245" w:lineRule="exact"/>
      </w:pPr>
      <w:r>
        <w:rPr>
          <w:spacing w:val="-3"/>
        </w:rPr>
        <w:t>经风湿病专科医生明确诊断，且须满足下列至少两项条件：</w:t>
      </w:r>
    </w:p>
    <w:p>
      <w:pPr>
        <w:pStyle w:val="ListParagraph"/>
        <w:numPr>
          <w:ilvl w:val="0"/>
          <w:numId w:val="105"/>
        </w:numPr>
        <w:tabs>
          <w:tab w:pos="1506" w:val="left" w:leader="none"/>
        </w:tabs>
        <w:spacing w:line="240" w:lineRule="auto" w:before="2" w:after="0"/>
        <w:ind w:left="1505" w:right="0" w:hanging="738"/>
        <w:jc w:val="left"/>
        <w:rPr>
          <w:sz w:val="21"/>
        </w:rPr>
      </w:pPr>
      <w:r>
        <w:rPr>
          <w:spacing w:val="-3"/>
          <w:sz w:val="21"/>
        </w:rPr>
        <w:t>因该病导致心包炎；</w:t>
      </w:r>
    </w:p>
    <w:p>
      <w:pPr>
        <w:pStyle w:val="ListParagraph"/>
        <w:numPr>
          <w:ilvl w:val="0"/>
          <w:numId w:val="105"/>
        </w:numPr>
        <w:tabs>
          <w:tab w:pos="1506" w:val="left" w:leader="none"/>
        </w:tabs>
        <w:spacing w:line="240" w:lineRule="auto" w:before="5" w:after="0"/>
        <w:ind w:left="1505" w:right="0" w:hanging="738"/>
        <w:jc w:val="left"/>
        <w:rPr>
          <w:sz w:val="21"/>
        </w:rPr>
      </w:pPr>
      <w:r>
        <w:rPr>
          <w:spacing w:val="-3"/>
          <w:sz w:val="21"/>
        </w:rPr>
        <w:t>因该病导致肺间质病变；</w:t>
      </w:r>
    </w:p>
    <w:p>
      <w:pPr>
        <w:pStyle w:val="ListParagraph"/>
        <w:numPr>
          <w:ilvl w:val="0"/>
          <w:numId w:val="105"/>
        </w:numPr>
        <w:tabs>
          <w:tab w:pos="1506" w:val="left" w:leader="none"/>
        </w:tabs>
        <w:spacing w:line="240" w:lineRule="auto" w:before="2" w:after="0"/>
        <w:ind w:left="1505" w:right="0" w:hanging="738"/>
        <w:jc w:val="left"/>
        <w:rPr>
          <w:sz w:val="21"/>
        </w:rPr>
      </w:pPr>
      <w:r>
        <w:rPr>
          <w:spacing w:val="-10"/>
          <w:sz w:val="21"/>
        </w:rPr>
        <w:t>巨噬细胞活化综合征</w:t>
      </w:r>
      <w:r>
        <w:rPr>
          <w:spacing w:val="12"/>
          <w:sz w:val="21"/>
        </w:rPr>
        <w:t>（M</w:t>
      </w:r>
      <w:r>
        <w:rPr>
          <w:spacing w:val="9"/>
          <w:sz w:val="21"/>
        </w:rPr>
        <w:t>AS</w:t>
      </w:r>
      <w:r>
        <w:rPr>
          <w:spacing w:val="-94"/>
          <w:sz w:val="21"/>
        </w:rPr>
        <w:t>）</w:t>
      </w:r>
      <w:r>
        <w:rPr>
          <w:spacing w:val="-116"/>
          <w:sz w:val="21"/>
        </w:rPr>
        <w:t>。</w:t>
      </w:r>
    </w:p>
    <w:p>
      <w:pPr>
        <w:pStyle w:val="BodyText"/>
        <w:spacing w:before="175"/>
        <w:ind w:left="696"/>
      </w:pPr>
      <w:r>
        <w:rPr>
          <w:spacing w:val="-2"/>
        </w:rPr>
        <w:t>（此页正文完</w:t>
      </w:r>
      <w:r>
        <w:rPr>
          <w:spacing w:val="-12"/>
        </w:rPr>
        <w:t>）</w:t>
      </w:r>
    </w:p>
    <w:p>
      <w:pPr>
        <w:spacing w:after="0"/>
        <w:sectPr>
          <w:pgSz w:w="11910" w:h="16840"/>
          <w:pgMar w:header="0" w:footer="574" w:top="1060" w:bottom="760" w:left="720" w:right="340"/>
        </w:sectPr>
      </w:pPr>
    </w:p>
    <w:p>
      <w:pPr>
        <w:pStyle w:val="Heading1"/>
        <w:spacing w:line="422" w:lineRule="exact"/>
        <w:ind w:left="521" w:firstLine="0"/>
      </w:pPr>
      <w:r>
        <w:rPr>
          <w:spacing w:val="4"/>
        </w:rPr>
        <w:t>附件三 术语释义</w:t>
      </w:r>
    </w:p>
    <w:p>
      <w:pPr>
        <w:pStyle w:val="BodyText"/>
        <w:spacing w:line="20" w:lineRule="exact"/>
        <w:ind w:left="412"/>
        <w:rPr>
          <w:rFonts w:ascii="微软雅黑"/>
          <w:sz w:val="2"/>
        </w:rPr>
      </w:pPr>
      <w:r>
        <w:rPr>
          <w:rFonts w:ascii="微软雅黑"/>
          <w:sz w:val="2"/>
        </w:rPr>
        <w:drawing>
          <wp:inline distT="0" distB="0" distL="0" distR="0">
            <wp:extent cx="6356793" cy="12287"/>
            <wp:effectExtent l="0" t="0" r="0" b="0"/>
            <wp:docPr id="67" name="image21.png"/>
            <wp:cNvGraphicFramePr>
              <a:graphicFrameLocks noChangeAspect="1"/>
            </wp:cNvGraphicFramePr>
            <a:graphic>
              <a:graphicData uri="http://schemas.openxmlformats.org/drawingml/2006/picture">
                <pic:pic>
                  <pic:nvPicPr>
                    <pic:cNvPr id="68" name="image21.png"/>
                    <pic:cNvPicPr/>
                  </pic:nvPicPr>
                  <pic:blipFill>
                    <a:blip r:embed="rId28" cstate="print"/>
                    <a:stretch>
                      <a:fillRect/>
                    </a:stretch>
                  </pic:blipFill>
                  <pic:spPr>
                    <a:xfrm>
                      <a:off x="0" y="0"/>
                      <a:ext cx="6356793" cy="12287"/>
                    </a:xfrm>
                    <a:prstGeom prst="rect">
                      <a:avLst/>
                    </a:prstGeom>
                  </pic:spPr>
                </pic:pic>
              </a:graphicData>
            </a:graphic>
          </wp:inline>
        </w:drawing>
      </w:r>
      <w:r>
        <w:rPr>
          <w:rFonts w:ascii="微软雅黑"/>
          <w:sz w:val="2"/>
        </w:rPr>
      </w:r>
    </w:p>
    <w:p>
      <w:pPr>
        <w:pStyle w:val="Heading2"/>
        <w:numPr>
          <w:ilvl w:val="0"/>
          <w:numId w:val="106"/>
        </w:numPr>
        <w:tabs>
          <w:tab w:pos="979" w:val="left" w:leader="none"/>
          <w:tab w:pos="980" w:val="left" w:leader="none"/>
        </w:tabs>
        <w:spacing w:line="363" w:lineRule="exact" w:before="85" w:after="0"/>
        <w:ind w:left="979" w:right="0" w:hanging="459"/>
        <w:jc w:val="left"/>
      </w:pPr>
      <w:r>
        <w:rPr>
          <w:spacing w:val="-2"/>
        </w:rPr>
        <w:t>组织病理学检查</w:t>
      </w:r>
    </w:p>
    <w:p>
      <w:pPr>
        <w:pStyle w:val="BodyText"/>
        <w:spacing w:line="245" w:lineRule="exact"/>
        <w:ind w:left="979"/>
      </w:pPr>
      <w:r>
        <w:rPr>
          <w:spacing w:val="-3"/>
        </w:rPr>
        <w:t>组织病理学检查是通过局部切除、钳取、穿刺等手术方法，从患者机体采取病变组织块，经过包埋、</w:t>
      </w:r>
    </w:p>
    <w:p>
      <w:pPr>
        <w:pStyle w:val="BodyText"/>
        <w:spacing w:before="4"/>
        <w:ind w:left="979"/>
      </w:pPr>
      <w:r>
        <w:rPr>
          <w:spacing w:val="-3"/>
        </w:rPr>
        <w:t>切片后，进行病理检查的方法。</w:t>
      </w:r>
    </w:p>
    <w:p>
      <w:pPr>
        <w:pStyle w:val="BodyText"/>
        <w:spacing w:line="244" w:lineRule="auto" w:before="2"/>
        <w:ind w:left="979" w:right="606"/>
      </w:pPr>
      <w:r>
        <w:rPr>
          <w:spacing w:val="-2"/>
        </w:rPr>
        <w:t>通过采集病变部位脱落细胞、细针吸取病变部位细胞、体腔积液分离病变细胞等方式获取病变细胞，</w:t>
      </w:r>
      <w:r>
        <w:rPr>
          <w:spacing w:val="-2"/>
        </w:rPr>
        <w:t>制成涂片，进行病理检查的方法，属于细胞病理学检查，不属于组织病理学检查。</w:t>
      </w:r>
    </w:p>
    <w:p>
      <w:pPr>
        <w:pStyle w:val="Heading2"/>
        <w:numPr>
          <w:ilvl w:val="0"/>
          <w:numId w:val="106"/>
        </w:numPr>
        <w:tabs>
          <w:tab w:pos="979" w:val="left" w:leader="none"/>
          <w:tab w:pos="980" w:val="left" w:leader="none"/>
        </w:tabs>
        <w:spacing w:line="364" w:lineRule="exact" w:before="99" w:after="0"/>
        <w:ind w:left="979" w:right="0" w:hanging="459"/>
        <w:jc w:val="left"/>
      </w:pPr>
      <w:r>
        <w:rPr>
          <w:w w:val="85"/>
        </w:rPr>
        <w:t>ICD-10</w:t>
      </w:r>
      <w:r>
        <w:rPr>
          <w:spacing w:val="14"/>
        </w:rPr>
        <w:t> </w:t>
      </w:r>
      <w:r>
        <w:rPr>
          <w:w w:val="85"/>
        </w:rPr>
        <w:t>与</w:t>
      </w:r>
      <w:r>
        <w:rPr>
          <w:spacing w:val="14"/>
        </w:rPr>
        <w:t> </w:t>
      </w:r>
      <w:r>
        <w:rPr>
          <w:w w:val="85"/>
        </w:rPr>
        <w:t>ICD-O-</w:t>
      </w:r>
      <w:r>
        <w:rPr>
          <w:spacing w:val="-10"/>
          <w:w w:val="85"/>
        </w:rPr>
        <w:t>3</w:t>
      </w:r>
    </w:p>
    <w:p>
      <w:pPr>
        <w:pStyle w:val="BodyText"/>
        <w:spacing w:line="246" w:lineRule="exact"/>
        <w:ind w:left="979"/>
      </w:pPr>
      <w:r>
        <w:rPr>
          <w:spacing w:val="-4"/>
        </w:rPr>
        <w:t>《疾病和有关健康问题的国际统计分类》第十次修订版（ICD-</w:t>
      </w:r>
      <w:r>
        <w:rPr>
          <w:spacing w:val="23"/>
        </w:rPr>
        <w:t>10</w:t>
      </w:r>
      <w:r>
        <w:rPr>
          <w:spacing w:val="-85"/>
        </w:rPr>
        <w:t>）</w:t>
      </w:r>
      <w:r>
        <w:rPr>
          <w:spacing w:val="-3"/>
        </w:rPr>
        <w:t>，是世界卫生组织</w:t>
      </w:r>
      <w:r>
        <w:rPr>
          <w:spacing w:val="-4"/>
        </w:rPr>
        <w:t>（WHO）</w:t>
      </w:r>
      <w:r>
        <w:rPr>
          <w:spacing w:val="-6"/>
        </w:rPr>
        <w:t>发布的国</w:t>
      </w:r>
    </w:p>
    <w:p>
      <w:pPr>
        <w:pStyle w:val="BodyText"/>
        <w:spacing w:line="242" w:lineRule="auto" w:before="2"/>
        <w:ind w:left="979" w:right="568"/>
        <w:jc w:val="both"/>
      </w:pPr>
      <w:r>
        <w:rPr>
          <w:w w:val="95"/>
        </w:rPr>
        <w:t>际</w:t>
      </w:r>
      <w:r>
        <w:rPr>
          <w:w w:val="95"/>
        </w:rPr>
        <w:t>通</w:t>
      </w:r>
      <w:r>
        <w:rPr>
          <w:w w:val="95"/>
        </w:rPr>
        <w:t>用的疾病分类方法</w:t>
      </w:r>
      <w:r>
        <w:rPr>
          <w:spacing w:val="-65"/>
          <w:w w:val="95"/>
        </w:rPr>
        <w:t>。《</w:t>
      </w:r>
      <w:r>
        <w:rPr>
          <w:w w:val="95"/>
        </w:rPr>
        <w:t>国</w:t>
      </w:r>
      <w:r>
        <w:rPr>
          <w:w w:val="95"/>
        </w:rPr>
        <w:t>际</w:t>
      </w:r>
      <w:r>
        <w:rPr>
          <w:w w:val="95"/>
        </w:rPr>
        <w:t>疾病分类肿瘤学专辑》第三版（ICD-O-</w:t>
      </w:r>
      <w:r>
        <w:rPr>
          <w:spacing w:val="41"/>
          <w:w w:val="95"/>
        </w:rPr>
        <w:t>3</w:t>
      </w:r>
      <w:r>
        <w:rPr>
          <w:spacing w:val="-62"/>
          <w:w w:val="95"/>
        </w:rPr>
        <w:t>）</w:t>
      </w:r>
      <w:r>
        <w:rPr>
          <w:spacing w:val="6"/>
          <w:w w:val="95"/>
        </w:rPr>
        <w:t>，是 </w:t>
      </w:r>
      <w:r>
        <w:rPr>
          <w:w w:val="95"/>
        </w:rPr>
        <w:t>WHO 发布的</w:t>
      </w:r>
      <w:r>
        <w:rPr>
          <w:w w:val="95"/>
        </w:rPr>
        <w:t>针</w:t>
      </w:r>
      <w:r>
        <w:rPr>
          <w:w w:val="95"/>
        </w:rPr>
        <w:t>对</w:t>
      </w:r>
      <w:r>
        <w:rPr>
          <w:w w:val="95"/>
        </w:rPr>
        <w:t> ICD </w:t>
      </w:r>
      <w:r>
        <w:rPr>
          <w:w w:val="95"/>
        </w:rPr>
        <w:t>中</w:t>
      </w:r>
      <w:r>
        <w:rPr>
          <w:w w:val="95"/>
        </w:rPr>
        <w:t>肿</w:t>
      </w:r>
      <w:r>
        <w:rPr>
          <w:spacing w:val="-4"/>
        </w:rPr>
        <w:t>瘤形态学组织学细胞类型、动态、分化程度的补充编码。其中形态学编码：0 代表良性肿瘤；1 代表动</w:t>
      </w:r>
      <w:r>
        <w:rPr>
          <w:w w:val="95"/>
        </w:rPr>
        <w:t>态</w:t>
      </w:r>
      <w:r>
        <w:rPr>
          <w:w w:val="95"/>
        </w:rPr>
        <w:t>未</w:t>
      </w:r>
      <w:r>
        <w:rPr>
          <w:w w:val="95"/>
        </w:rPr>
        <w:t>定性肿瘤；2</w:t>
      </w:r>
      <w:r>
        <w:rPr>
          <w:spacing w:val="40"/>
        </w:rPr>
        <w:t> </w:t>
      </w:r>
      <w:r>
        <w:rPr>
          <w:w w:val="95"/>
        </w:rPr>
        <w:t>代表原</w:t>
      </w:r>
      <w:r>
        <w:rPr>
          <w:w w:val="95"/>
        </w:rPr>
        <w:t>位</w:t>
      </w:r>
      <w:r>
        <w:rPr>
          <w:w w:val="95"/>
        </w:rPr>
        <w:t>癌</w:t>
      </w:r>
      <w:r>
        <w:rPr>
          <w:w w:val="95"/>
        </w:rPr>
        <w:t>和非侵袭性癌；3</w:t>
      </w:r>
      <w:r>
        <w:rPr>
          <w:spacing w:val="40"/>
        </w:rPr>
        <w:t> </w:t>
      </w:r>
      <w:r>
        <w:rPr>
          <w:w w:val="95"/>
        </w:rPr>
        <w:t>代</w:t>
      </w:r>
      <w:r>
        <w:rPr>
          <w:w w:val="95"/>
        </w:rPr>
        <w:t>表</w:t>
      </w:r>
      <w:r>
        <w:rPr>
          <w:w w:val="95"/>
        </w:rPr>
        <w:t>恶</w:t>
      </w:r>
      <w:r>
        <w:rPr>
          <w:w w:val="95"/>
        </w:rPr>
        <w:t>性肿瘤（原发性</w:t>
      </w:r>
      <w:r>
        <w:rPr>
          <w:spacing w:val="-70"/>
          <w:w w:val="95"/>
        </w:rPr>
        <w:t>）</w:t>
      </w:r>
      <w:r>
        <w:rPr>
          <w:spacing w:val="33"/>
          <w:w w:val="95"/>
        </w:rPr>
        <w:t>；</w:t>
      </w:r>
      <w:r>
        <w:rPr>
          <w:spacing w:val="36"/>
          <w:w w:val="95"/>
        </w:rPr>
        <w:t>6</w:t>
      </w:r>
      <w:r>
        <w:rPr>
          <w:spacing w:val="35"/>
        </w:rPr>
        <w:t> </w:t>
      </w:r>
      <w:r>
        <w:rPr>
          <w:w w:val="95"/>
        </w:rPr>
        <w:t>代</w:t>
      </w:r>
      <w:r>
        <w:rPr>
          <w:w w:val="95"/>
        </w:rPr>
        <w:t>表</w:t>
      </w:r>
      <w:r>
        <w:rPr>
          <w:w w:val="95"/>
        </w:rPr>
        <w:t>恶性肿瘤（转移性</w:t>
      </w:r>
      <w:r>
        <w:rPr>
          <w:spacing w:val="-108"/>
          <w:w w:val="95"/>
        </w:rPr>
        <w:t>）</w:t>
      </w:r>
      <w:r>
        <w:rPr>
          <w:w w:val="95"/>
        </w:rPr>
        <w:t>；</w:t>
      </w:r>
      <w:r>
        <w:rPr>
          <w:spacing w:val="-54"/>
          <w:w w:val="95"/>
        </w:rPr>
        <w:t> </w:t>
      </w:r>
      <w:r>
        <w:rPr>
          <w:w w:val="95"/>
        </w:rPr>
        <w:t>9 代表恶性肿瘤（原发性或</w:t>
      </w:r>
      <w:r>
        <w:rPr>
          <w:w w:val="95"/>
        </w:rPr>
        <w:t>转</w:t>
      </w:r>
      <w:r>
        <w:rPr>
          <w:w w:val="95"/>
        </w:rPr>
        <w:t>移</w:t>
      </w:r>
      <w:r>
        <w:rPr>
          <w:w w:val="95"/>
        </w:rPr>
        <w:t>性未肯定</w:t>
      </w:r>
      <w:r>
        <w:rPr>
          <w:spacing w:val="-108"/>
          <w:w w:val="95"/>
        </w:rPr>
        <w:t>）</w:t>
      </w:r>
      <w:r>
        <w:rPr>
          <w:w w:val="95"/>
        </w:rPr>
        <w:t>。如果</w:t>
      </w:r>
      <w:r>
        <w:rPr>
          <w:w w:val="95"/>
        </w:rPr>
        <w:t>出</w:t>
      </w:r>
      <w:r>
        <w:rPr>
          <w:w w:val="95"/>
        </w:rPr>
        <w:t>现</w:t>
      </w:r>
      <w:r>
        <w:rPr>
          <w:spacing w:val="-4"/>
          <w:w w:val="95"/>
        </w:rPr>
        <w:t> </w:t>
      </w:r>
      <w:r>
        <w:rPr>
          <w:w w:val="95"/>
        </w:rPr>
        <w:t>ICD-10 与 ICD-O-3</w:t>
      </w:r>
      <w:r>
        <w:rPr>
          <w:spacing w:val="-2"/>
          <w:w w:val="95"/>
        </w:rPr>
        <w:t> 不</w:t>
      </w:r>
      <w:r>
        <w:rPr>
          <w:w w:val="95"/>
        </w:rPr>
        <w:t>一</w:t>
      </w:r>
      <w:r>
        <w:rPr>
          <w:w w:val="95"/>
        </w:rPr>
        <w:t>致</w:t>
      </w:r>
      <w:r>
        <w:rPr>
          <w:w w:val="95"/>
        </w:rPr>
        <w:t>的</w:t>
      </w:r>
      <w:r>
        <w:rPr>
          <w:w w:val="95"/>
        </w:rPr>
        <w:t>情</w:t>
      </w:r>
      <w:r>
        <w:rPr>
          <w:w w:val="95"/>
        </w:rPr>
        <w:t>况，以 ICD-O-3 </w:t>
      </w:r>
      <w:r>
        <w:rPr>
          <w:w w:val="95"/>
        </w:rPr>
        <w:t>为</w:t>
      </w:r>
      <w:r>
        <w:rPr>
          <w:spacing w:val="-6"/>
        </w:rPr>
        <w:t>准。</w:t>
      </w:r>
    </w:p>
    <w:p>
      <w:pPr>
        <w:pStyle w:val="Heading2"/>
        <w:numPr>
          <w:ilvl w:val="0"/>
          <w:numId w:val="106"/>
        </w:numPr>
        <w:tabs>
          <w:tab w:pos="979" w:val="left" w:leader="none"/>
          <w:tab w:pos="980" w:val="left" w:leader="none"/>
        </w:tabs>
        <w:spacing w:line="364" w:lineRule="exact" w:before="106" w:after="0"/>
        <w:ind w:left="979" w:right="0" w:hanging="459"/>
        <w:jc w:val="left"/>
      </w:pPr>
      <w:r>
        <w:rPr>
          <w:w w:val="70"/>
        </w:rPr>
        <w:t>TNM</w:t>
      </w:r>
      <w:r>
        <w:rPr>
          <w:spacing w:val="-1"/>
        </w:rPr>
        <w:t> </w:t>
      </w:r>
      <w:r>
        <w:rPr>
          <w:w w:val="70"/>
        </w:rPr>
        <w:t>分</w:t>
      </w:r>
      <w:r>
        <w:rPr>
          <w:spacing w:val="-10"/>
          <w:w w:val="70"/>
        </w:rPr>
        <w:t>期</w:t>
      </w:r>
    </w:p>
    <w:p>
      <w:pPr>
        <w:pStyle w:val="BodyText"/>
        <w:spacing w:line="246" w:lineRule="exact"/>
        <w:ind w:left="979"/>
      </w:pPr>
      <w:r>
        <w:rPr>
          <w:spacing w:val="-2"/>
        </w:rPr>
        <w:t>TNM</w:t>
      </w:r>
      <w:r>
        <w:rPr>
          <w:spacing w:val="-21"/>
        </w:rPr>
        <w:t> 分期采用 </w:t>
      </w:r>
      <w:r>
        <w:rPr>
          <w:spacing w:val="-2"/>
        </w:rPr>
        <w:t>AJCC</w:t>
      </w:r>
      <w:r>
        <w:rPr>
          <w:spacing w:val="-12"/>
        </w:rPr>
        <w:t> 癌症分期手册标准。该标准由美国癌症联合委员会与国际抗癌联合会 </w:t>
      </w:r>
      <w:r>
        <w:rPr>
          <w:spacing w:val="-2"/>
        </w:rPr>
        <w:t>TNM</w:t>
      </w:r>
      <w:r>
        <w:rPr>
          <w:spacing w:val="-15"/>
        </w:rPr>
        <w:t> 委员会联</w:t>
      </w:r>
    </w:p>
    <w:p>
      <w:pPr>
        <w:pStyle w:val="BodyText"/>
        <w:spacing w:line="244" w:lineRule="auto" w:before="3"/>
        <w:ind w:left="979" w:right="601"/>
      </w:pPr>
      <w:r>
        <w:rPr/>
        <w:t>合制定，是目前肿瘤医学分期的国际通用标准。T</w:t>
      </w:r>
      <w:r>
        <w:rPr>
          <w:spacing w:val="-3"/>
        </w:rPr>
        <w:t> 指原发肿瘤的大小、形态等</w:t>
      </w:r>
      <w:r>
        <w:rPr/>
        <w:t>；N</w:t>
      </w:r>
      <w:r>
        <w:rPr>
          <w:spacing w:val="-2"/>
        </w:rPr>
        <w:t> 指淋巴结的转移情</w:t>
      </w:r>
      <w:r>
        <w:rPr/>
        <w:t>况；M</w:t>
      </w:r>
      <w:r>
        <w:rPr>
          <w:spacing w:val="-7"/>
        </w:rPr>
        <w:t> 指有无其他脏器的转移情况。</w:t>
      </w:r>
    </w:p>
    <w:p>
      <w:pPr>
        <w:spacing w:line="293" w:lineRule="exact" w:before="0"/>
        <w:ind w:left="979" w:right="0" w:firstLine="0"/>
        <w:jc w:val="left"/>
        <w:rPr>
          <w:sz w:val="21"/>
        </w:rPr>
      </w:pPr>
      <w:r>
        <w:rPr>
          <w:rFonts w:ascii="微软雅黑" w:eastAsia="微软雅黑"/>
          <w:b/>
          <w:w w:val="95"/>
          <w:sz w:val="21"/>
        </w:rPr>
        <w:t>甲</w:t>
      </w:r>
      <w:r>
        <w:rPr>
          <w:rFonts w:ascii="微软雅黑" w:eastAsia="微软雅黑"/>
          <w:b/>
          <w:w w:val="95"/>
          <w:sz w:val="21"/>
        </w:rPr>
        <w:t>状</w:t>
      </w:r>
      <w:r>
        <w:rPr>
          <w:rFonts w:ascii="微软雅黑" w:eastAsia="微软雅黑"/>
          <w:b/>
          <w:w w:val="95"/>
          <w:sz w:val="21"/>
        </w:rPr>
        <w:t>腺</w:t>
      </w:r>
      <w:r>
        <w:rPr>
          <w:rFonts w:ascii="微软雅黑" w:eastAsia="微软雅黑"/>
          <w:b/>
          <w:w w:val="95"/>
          <w:sz w:val="21"/>
        </w:rPr>
        <w:t>癌</w:t>
      </w:r>
      <w:r>
        <w:rPr>
          <w:rFonts w:ascii="微软雅黑" w:eastAsia="微软雅黑"/>
          <w:b/>
          <w:w w:val="95"/>
          <w:sz w:val="21"/>
        </w:rPr>
        <w:t>的</w:t>
      </w:r>
      <w:r>
        <w:rPr>
          <w:rFonts w:ascii="微软雅黑" w:eastAsia="微软雅黑"/>
          <w:b/>
          <w:spacing w:val="27"/>
          <w:sz w:val="21"/>
        </w:rPr>
        <w:t> </w:t>
      </w:r>
      <w:r>
        <w:rPr>
          <w:rFonts w:ascii="微软雅黑" w:eastAsia="微软雅黑"/>
          <w:b/>
          <w:w w:val="90"/>
          <w:sz w:val="21"/>
        </w:rPr>
        <w:t>TNM</w:t>
      </w:r>
      <w:r>
        <w:rPr>
          <w:rFonts w:ascii="微软雅黑" w:eastAsia="微软雅黑"/>
          <w:b/>
          <w:spacing w:val="28"/>
          <w:sz w:val="21"/>
        </w:rPr>
        <w:t> </w:t>
      </w:r>
      <w:r>
        <w:rPr>
          <w:rFonts w:ascii="微软雅黑" w:eastAsia="微软雅黑"/>
          <w:b/>
          <w:w w:val="95"/>
          <w:sz w:val="21"/>
        </w:rPr>
        <w:t>分期</w:t>
      </w:r>
      <w:r>
        <w:rPr>
          <w:w w:val="95"/>
          <w:sz w:val="21"/>
        </w:rPr>
        <w:t>采</w:t>
      </w:r>
      <w:r>
        <w:rPr>
          <w:w w:val="95"/>
          <w:sz w:val="21"/>
        </w:rPr>
        <w:t>用</w:t>
      </w:r>
      <w:r>
        <w:rPr>
          <w:w w:val="95"/>
          <w:sz w:val="21"/>
        </w:rPr>
        <w:t>目</w:t>
      </w:r>
      <w:r>
        <w:rPr>
          <w:w w:val="95"/>
          <w:sz w:val="21"/>
        </w:rPr>
        <w:t>前</w:t>
      </w:r>
      <w:r>
        <w:rPr>
          <w:w w:val="95"/>
          <w:sz w:val="21"/>
        </w:rPr>
        <w:t>现</w:t>
      </w:r>
      <w:r>
        <w:rPr>
          <w:w w:val="95"/>
          <w:sz w:val="21"/>
        </w:rPr>
        <w:t>行</w:t>
      </w:r>
      <w:r>
        <w:rPr>
          <w:spacing w:val="-5"/>
          <w:w w:val="95"/>
          <w:sz w:val="21"/>
        </w:rPr>
        <w:t>的 </w:t>
      </w:r>
      <w:r>
        <w:rPr>
          <w:w w:val="95"/>
          <w:sz w:val="21"/>
        </w:rPr>
        <w:t>AJCC</w:t>
      </w:r>
      <w:r>
        <w:rPr>
          <w:spacing w:val="-4"/>
          <w:w w:val="95"/>
          <w:sz w:val="21"/>
        </w:rPr>
        <w:t> 第八版定</w:t>
      </w:r>
      <w:r>
        <w:rPr>
          <w:w w:val="95"/>
          <w:sz w:val="21"/>
        </w:rPr>
        <w:t>义</w:t>
      </w:r>
      <w:r>
        <w:rPr>
          <w:w w:val="95"/>
          <w:sz w:val="21"/>
        </w:rPr>
        <w:t>标</w:t>
      </w:r>
      <w:r>
        <w:rPr>
          <w:w w:val="95"/>
          <w:sz w:val="21"/>
        </w:rPr>
        <w:t>准，我国国家卫生健</w:t>
      </w:r>
      <w:r>
        <w:rPr>
          <w:w w:val="95"/>
          <w:sz w:val="21"/>
        </w:rPr>
        <w:t>康</w:t>
      </w:r>
      <w:r>
        <w:rPr>
          <w:w w:val="95"/>
          <w:sz w:val="21"/>
        </w:rPr>
        <w:t>委</w:t>
      </w:r>
      <w:r>
        <w:rPr>
          <w:spacing w:val="-4"/>
          <w:w w:val="95"/>
          <w:sz w:val="21"/>
        </w:rPr>
        <w:t>员会 </w:t>
      </w:r>
      <w:r>
        <w:rPr>
          <w:w w:val="95"/>
          <w:sz w:val="21"/>
        </w:rPr>
        <w:t>2018</w:t>
      </w:r>
      <w:r>
        <w:rPr>
          <w:spacing w:val="-5"/>
          <w:w w:val="95"/>
          <w:sz w:val="21"/>
        </w:rPr>
        <w:t> 年发布的</w:t>
      </w:r>
    </w:p>
    <w:p>
      <w:pPr>
        <w:pStyle w:val="BodyText"/>
        <w:spacing w:line="215" w:lineRule="exact"/>
        <w:ind w:left="979"/>
      </w:pPr>
      <w:r>
        <w:rPr>
          <w:spacing w:val="-2"/>
        </w:rPr>
        <w:t>《甲状腺癌诊疗规范（2018</w:t>
      </w:r>
      <w:r>
        <w:rPr>
          <w:spacing w:val="-14"/>
        </w:rPr>
        <w:t> 年版</w:t>
      </w:r>
      <w:r>
        <w:rPr>
          <w:spacing w:val="-106"/>
        </w:rPr>
        <w:t>）</w:t>
      </w:r>
      <w:r>
        <w:rPr>
          <w:spacing w:val="-3"/>
        </w:rPr>
        <w:t>》也采用此定义标准，具体见下：</w:t>
      </w:r>
    </w:p>
    <w:p>
      <w:pPr>
        <w:spacing w:line="321" w:lineRule="exact" w:before="0"/>
        <w:ind w:left="979" w:right="0" w:firstLine="0"/>
        <w:jc w:val="both"/>
        <w:rPr>
          <w:rFonts w:ascii="微软雅黑" w:hAnsi="微软雅黑" w:eastAsia="微软雅黑"/>
          <w:b/>
          <w:sz w:val="20"/>
        </w:rPr>
      </w:pPr>
      <w:r>
        <w:rPr>
          <w:rFonts w:ascii="微软雅黑" w:hAnsi="微软雅黑" w:eastAsia="微软雅黑"/>
          <w:b/>
          <w:w w:val="95"/>
          <w:sz w:val="20"/>
        </w:rPr>
        <w:t>甲</w:t>
      </w:r>
      <w:r>
        <w:rPr>
          <w:rFonts w:ascii="微软雅黑" w:hAnsi="微软雅黑" w:eastAsia="微软雅黑"/>
          <w:b/>
          <w:w w:val="95"/>
          <w:sz w:val="20"/>
        </w:rPr>
        <w:t>状</w:t>
      </w:r>
      <w:r>
        <w:rPr>
          <w:rFonts w:ascii="微软雅黑" w:hAnsi="微软雅黑" w:eastAsia="微软雅黑"/>
          <w:b/>
          <w:w w:val="95"/>
          <w:sz w:val="20"/>
        </w:rPr>
        <w:t>腺</w:t>
      </w:r>
      <w:r>
        <w:rPr>
          <w:rFonts w:ascii="微软雅黑" w:hAnsi="微软雅黑" w:eastAsia="微软雅黑"/>
          <w:b/>
          <w:w w:val="95"/>
          <w:sz w:val="20"/>
        </w:rPr>
        <w:t>乳</w:t>
      </w:r>
      <w:r>
        <w:rPr>
          <w:rFonts w:ascii="微软雅黑" w:hAnsi="微软雅黑" w:eastAsia="微软雅黑"/>
          <w:b/>
          <w:w w:val="95"/>
          <w:sz w:val="20"/>
        </w:rPr>
        <w:t>头</w:t>
      </w:r>
      <w:r>
        <w:rPr>
          <w:rFonts w:ascii="微软雅黑" w:hAnsi="微软雅黑" w:eastAsia="微软雅黑"/>
          <w:b/>
          <w:w w:val="95"/>
          <w:sz w:val="20"/>
        </w:rPr>
        <w:t>状</w:t>
      </w:r>
      <w:r>
        <w:rPr>
          <w:rFonts w:ascii="微软雅黑" w:hAnsi="微软雅黑" w:eastAsia="微软雅黑"/>
          <w:b/>
          <w:w w:val="95"/>
          <w:sz w:val="20"/>
        </w:rPr>
        <w:t>癌</w:t>
      </w:r>
      <w:r>
        <w:rPr>
          <w:rFonts w:ascii="微软雅黑" w:hAnsi="微软雅黑" w:eastAsia="微软雅黑"/>
          <w:b/>
          <w:w w:val="95"/>
          <w:sz w:val="20"/>
        </w:rPr>
        <w:t>、</w:t>
      </w:r>
      <w:r>
        <w:rPr>
          <w:rFonts w:ascii="微软雅黑" w:hAnsi="微软雅黑" w:eastAsia="微软雅黑"/>
          <w:b/>
          <w:w w:val="95"/>
          <w:sz w:val="20"/>
        </w:rPr>
        <w:t>滤</w:t>
      </w:r>
      <w:r>
        <w:rPr>
          <w:rFonts w:ascii="微软雅黑" w:hAnsi="微软雅黑" w:eastAsia="微软雅黑"/>
          <w:b/>
          <w:w w:val="95"/>
          <w:sz w:val="20"/>
        </w:rPr>
        <w:t>泡癌、</w:t>
      </w:r>
      <w:r>
        <w:rPr>
          <w:rFonts w:ascii="微软雅黑" w:hAnsi="微软雅黑" w:eastAsia="微软雅黑"/>
          <w:b/>
          <w:w w:val="95"/>
          <w:sz w:val="20"/>
        </w:rPr>
        <w:t>低</w:t>
      </w:r>
      <w:r>
        <w:rPr>
          <w:rFonts w:ascii="微软雅黑" w:hAnsi="微软雅黑" w:eastAsia="微软雅黑"/>
          <w:b/>
          <w:w w:val="95"/>
          <w:sz w:val="20"/>
        </w:rPr>
        <w:t>分</w:t>
      </w:r>
      <w:r>
        <w:rPr>
          <w:rFonts w:ascii="微软雅黑" w:hAnsi="微软雅黑" w:eastAsia="微软雅黑"/>
          <w:b/>
          <w:w w:val="95"/>
          <w:sz w:val="20"/>
        </w:rPr>
        <w:t>化</w:t>
      </w:r>
      <w:r>
        <w:rPr>
          <w:rFonts w:ascii="微软雅黑" w:hAnsi="微软雅黑" w:eastAsia="微软雅黑"/>
          <w:b/>
          <w:w w:val="95"/>
          <w:sz w:val="20"/>
        </w:rPr>
        <w:t>癌、Hürthle</w:t>
      </w:r>
      <w:r>
        <w:rPr>
          <w:rFonts w:ascii="微软雅黑" w:hAnsi="微软雅黑" w:eastAsia="微软雅黑"/>
          <w:b/>
          <w:spacing w:val="64"/>
          <w:sz w:val="20"/>
        </w:rPr>
        <w:t>  </w:t>
      </w:r>
      <w:r>
        <w:rPr>
          <w:rFonts w:ascii="微软雅黑" w:hAnsi="微软雅黑" w:eastAsia="微软雅黑"/>
          <w:b/>
          <w:w w:val="95"/>
          <w:sz w:val="20"/>
        </w:rPr>
        <w:t>细</w:t>
      </w:r>
      <w:r>
        <w:rPr>
          <w:rFonts w:ascii="微软雅黑" w:hAnsi="微软雅黑" w:eastAsia="微软雅黑"/>
          <w:b/>
          <w:w w:val="95"/>
          <w:sz w:val="20"/>
        </w:rPr>
        <w:t>胞</w:t>
      </w:r>
      <w:r>
        <w:rPr>
          <w:rFonts w:ascii="微软雅黑" w:hAnsi="微软雅黑" w:eastAsia="微软雅黑"/>
          <w:b/>
          <w:w w:val="95"/>
          <w:sz w:val="20"/>
        </w:rPr>
        <w:t>癌</w:t>
      </w:r>
      <w:r>
        <w:rPr>
          <w:rFonts w:ascii="微软雅黑" w:hAnsi="微软雅黑" w:eastAsia="微软雅黑"/>
          <w:b/>
          <w:w w:val="95"/>
          <w:sz w:val="20"/>
        </w:rPr>
        <w:t>和</w:t>
      </w:r>
      <w:r>
        <w:rPr>
          <w:rFonts w:ascii="微软雅黑" w:hAnsi="微软雅黑" w:eastAsia="微软雅黑"/>
          <w:b/>
          <w:w w:val="95"/>
          <w:sz w:val="20"/>
        </w:rPr>
        <w:t>未</w:t>
      </w:r>
      <w:r>
        <w:rPr>
          <w:rFonts w:ascii="微软雅黑" w:hAnsi="微软雅黑" w:eastAsia="微软雅黑"/>
          <w:b/>
          <w:w w:val="95"/>
          <w:sz w:val="20"/>
        </w:rPr>
        <w:t>分</w:t>
      </w:r>
      <w:r>
        <w:rPr>
          <w:rFonts w:ascii="微软雅黑" w:hAnsi="微软雅黑" w:eastAsia="微软雅黑"/>
          <w:b/>
          <w:w w:val="95"/>
          <w:sz w:val="20"/>
        </w:rPr>
        <w:t>化</w:t>
      </w:r>
      <w:r>
        <w:rPr>
          <w:rFonts w:ascii="微软雅黑" w:hAnsi="微软雅黑" w:eastAsia="微软雅黑"/>
          <w:b/>
          <w:spacing w:val="-10"/>
          <w:w w:val="95"/>
          <w:sz w:val="20"/>
        </w:rPr>
        <w:t>癌</w:t>
      </w:r>
    </w:p>
    <w:p>
      <w:pPr>
        <w:spacing w:after="0" w:line="321" w:lineRule="exact"/>
        <w:jc w:val="both"/>
        <w:rPr>
          <w:rFonts w:ascii="微软雅黑" w:hAnsi="微软雅黑" w:eastAsia="微软雅黑"/>
          <w:sz w:val="20"/>
        </w:rPr>
        <w:sectPr>
          <w:pgSz w:w="11910" w:h="16840"/>
          <w:pgMar w:header="0" w:footer="574" w:top="1200" w:bottom="760" w:left="720" w:right="340"/>
        </w:sectPr>
      </w:pPr>
    </w:p>
    <w:p>
      <w:pPr>
        <w:spacing w:line="227" w:lineRule="exact" w:before="0"/>
        <w:ind w:left="979" w:right="0" w:firstLine="0"/>
        <w:jc w:val="left"/>
        <w:rPr>
          <w:sz w:val="20"/>
        </w:rPr>
      </w:pPr>
      <w:r>
        <w:rPr>
          <w:spacing w:val="-4"/>
          <w:w w:val="95"/>
          <w:position w:val="1"/>
          <w:sz w:val="20"/>
        </w:rPr>
        <w:t>pT</w:t>
      </w:r>
      <w:r>
        <w:rPr>
          <w:spacing w:val="-4"/>
          <w:w w:val="95"/>
          <w:sz w:val="10"/>
        </w:rPr>
        <w:t>X</w:t>
      </w:r>
      <w:r>
        <w:rPr>
          <w:spacing w:val="-4"/>
          <w:w w:val="95"/>
          <w:position w:val="1"/>
          <w:sz w:val="20"/>
        </w:rPr>
        <w:t>：</w:t>
      </w:r>
    </w:p>
    <w:p>
      <w:pPr>
        <w:spacing w:line="242" w:lineRule="auto" w:before="3"/>
        <w:ind w:left="979" w:right="0" w:firstLine="0"/>
        <w:jc w:val="left"/>
        <w:rPr>
          <w:sz w:val="20"/>
        </w:rPr>
      </w:pPr>
      <w:r>
        <w:rPr>
          <w:spacing w:val="-4"/>
          <w:w w:val="95"/>
          <w:position w:val="1"/>
          <w:sz w:val="20"/>
        </w:rPr>
        <w:t>pT</w:t>
      </w:r>
      <w:r>
        <w:rPr>
          <w:spacing w:val="-4"/>
          <w:w w:val="95"/>
          <w:sz w:val="10"/>
        </w:rPr>
        <w:t>0</w:t>
      </w:r>
      <w:r>
        <w:rPr>
          <w:spacing w:val="-4"/>
          <w:w w:val="95"/>
          <w:position w:val="1"/>
          <w:sz w:val="20"/>
        </w:rPr>
        <w:t>： pT</w:t>
      </w:r>
      <w:r>
        <w:rPr>
          <w:spacing w:val="-4"/>
          <w:w w:val="95"/>
          <w:sz w:val="10"/>
        </w:rPr>
        <w:t>1</w:t>
      </w:r>
      <w:r>
        <w:rPr>
          <w:spacing w:val="-4"/>
          <w:w w:val="95"/>
          <w:position w:val="1"/>
          <w:sz w:val="20"/>
        </w:rPr>
        <w:t>：</w:t>
      </w:r>
    </w:p>
    <w:p>
      <w:pPr>
        <w:pStyle w:val="BodyText"/>
        <w:ind w:left="0"/>
        <w:rPr>
          <w:sz w:val="20"/>
        </w:rPr>
      </w:pPr>
    </w:p>
    <w:p>
      <w:pPr>
        <w:pStyle w:val="BodyText"/>
        <w:spacing w:before="9"/>
        <w:ind w:left="0"/>
        <w:rPr>
          <w:sz w:val="20"/>
        </w:rPr>
      </w:pPr>
    </w:p>
    <w:p>
      <w:pPr>
        <w:spacing w:line="242" w:lineRule="auto" w:before="0"/>
        <w:ind w:left="979" w:right="0" w:firstLine="0"/>
        <w:jc w:val="left"/>
        <w:rPr>
          <w:sz w:val="20"/>
        </w:rPr>
      </w:pPr>
      <w:r>
        <w:rPr>
          <w:spacing w:val="-4"/>
          <w:w w:val="95"/>
          <w:position w:val="1"/>
          <w:sz w:val="20"/>
        </w:rPr>
        <w:t>pT</w:t>
      </w:r>
      <w:r>
        <w:rPr>
          <w:spacing w:val="-4"/>
          <w:w w:val="95"/>
          <w:sz w:val="10"/>
        </w:rPr>
        <w:t>2</w:t>
      </w:r>
      <w:r>
        <w:rPr>
          <w:spacing w:val="-4"/>
          <w:w w:val="95"/>
          <w:position w:val="1"/>
          <w:sz w:val="20"/>
        </w:rPr>
        <w:t>： pT</w:t>
      </w:r>
      <w:r>
        <w:rPr>
          <w:spacing w:val="-4"/>
          <w:w w:val="95"/>
          <w:sz w:val="10"/>
        </w:rPr>
        <w:t>3</w:t>
      </w:r>
      <w:r>
        <w:rPr>
          <w:spacing w:val="-4"/>
          <w:w w:val="95"/>
          <w:position w:val="1"/>
          <w:sz w:val="20"/>
        </w:rPr>
        <w:t>：</w:t>
      </w:r>
    </w:p>
    <w:p>
      <w:pPr>
        <w:spacing w:line="227" w:lineRule="exact" w:before="0"/>
        <w:ind w:left="75" w:right="0" w:firstLine="0"/>
        <w:jc w:val="left"/>
        <w:rPr>
          <w:sz w:val="20"/>
        </w:rPr>
      </w:pPr>
      <w:r>
        <w:rPr/>
        <w:br w:type="column"/>
      </w:r>
      <w:r>
        <w:rPr>
          <w:w w:val="95"/>
          <w:sz w:val="20"/>
        </w:rPr>
        <w:t>原</w:t>
      </w:r>
      <w:r>
        <w:rPr>
          <w:w w:val="95"/>
          <w:sz w:val="20"/>
        </w:rPr>
        <w:t>发</w:t>
      </w:r>
      <w:r>
        <w:rPr>
          <w:w w:val="95"/>
          <w:sz w:val="20"/>
        </w:rPr>
        <w:t>肿</w:t>
      </w:r>
      <w:r>
        <w:rPr>
          <w:w w:val="95"/>
          <w:sz w:val="20"/>
        </w:rPr>
        <w:t>瘤</w:t>
      </w:r>
      <w:r>
        <w:rPr>
          <w:w w:val="95"/>
          <w:sz w:val="20"/>
        </w:rPr>
        <w:t>不</w:t>
      </w:r>
      <w:r>
        <w:rPr>
          <w:w w:val="95"/>
          <w:sz w:val="20"/>
        </w:rPr>
        <w:t>能</w:t>
      </w:r>
      <w:r>
        <w:rPr>
          <w:spacing w:val="-5"/>
          <w:w w:val="95"/>
          <w:sz w:val="20"/>
        </w:rPr>
        <w:t>评估</w:t>
      </w:r>
    </w:p>
    <w:p>
      <w:pPr>
        <w:spacing w:before="3"/>
        <w:ind w:left="75" w:right="0" w:firstLine="0"/>
        <w:jc w:val="left"/>
        <w:rPr>
          <w:sz w:val="20"/>
        </w:rPr>
      </w:pPr>
      <w:r>
        <w:rPr>
          <w:w w:val="95"/>
          <w:sz w:val="20"/>
        </w:rPr>
        <w:t>无</w:t>
      </w:r>
      <w:r>
        <w:rPr>
          <w:w w:val="95"/>
          <w:sz w:val="20"/>
        </w:rPr>
        <w:t>肿</w:t>
      </w:r>
      <w:r>
        <w:rPr>
          <w:w w:val="95"/>
          <w:sz w:val="20"/>
        </w:rPr>
        <w:t>瘤</w:t>
      </w:r>
      <w:r>
        <w:rPr>
          <w:spacing w:val="-5"/>
          <w:w w:val="95"/>
          <w:sz w:val="20"/>
        </w:rPr>
        <w:t>证据</w:t>
      </w:r>
    </w:p>
    <w:p>
      <w:pPr>
        <w:spacing w:line="242" w:lineRule="auto" w:before="3"/>
        <w:ind w:left="75" w:right="6058" w:firstLine="0"/>
        <w:jc w:val="left"/>
        <w:rPr>
          <w:sz w:val="20"/>
        </w:rPr>
      </w:pPr>
      <w:r>
        <w:rPr>
          <w:spacing w:val="-2"/>
          <w:sz w:val="20"/>
        </w:rPr>
        <w:t>肿</w:t>
      </w:r>
      <w:r>
        <w:rPr>
          <w:spacing w:val="-2"/>
          <w:sz w:val="20"/>
        </w:rPr>
        <w:t>瘤</w:t>
      </w:r>
      <w:r>
        <w:rPr>
          <w:spacing w:val="-2"/>
          <w:sz w:val="20"/>
        </w:rPr>
        <w:t>局</w:t>
      </w:r>
      <w:r>
        <w:rPr>
          <w:spacing w:val="-2"/>
          <w:sz w:val="20"/>
        </w:rPr>
        <w:t>限</w:t>
      </w:r>
      <w:r>
        <w:rPr>
          <w:spacing w:val="-2"/>
          <w:sz w:val="20"/>
        </w:rPr>
        <w:t>在</w:t>
      </w:r>
      <w:r>
        <w:rPr>
          <w:spacing w:val="-2"/>
          <w:sz w:val="20"/>
        </w:rPr>
        <w:t>甲</w:t>
      </w:r>
      <w:r>
        <w:rPr>
          <w:spacing w:val="-2"/>
          <w:sz w:val="20"/>
        </w:rPr>
        <w:t>状</w:t>
      </w:r>
      <w:r>
        <w:rPr>
          <w:spacing w:val="-2"/>
          <w:sz w:val="20"/>
        </w:rPr>
        <w:t>腺</w:t>
      </w:r>
      <w:r>
        <w:rPr>
          <w:spacing w:val="-2"/>
          <w:sz w:val="20"/>
        </w:rPr>
        <w:t>内</w:t>
      </w:r>
      <w:r>
        <w:rPr>
          <w:spacing w:val="-2"/>
          <w:sz w:val="20"/>
        </w:rPr>
        <w:t>，最大径</w:t>
      </w:r>
      <w:r>
        <w:rPr>
          <w:spacing w:val="-2"/>
          <w:sz w:val="20"/>
        </w:rPr>
        <w:t>≤2cm </w:t>
      </w:r>
      <w:r>
        <w:rPr>
          <w:position w:val="1"/>
          <w:sz w:val="20"/>
        </w:rPr>
        <w:t>T</w:t>
      </w:r>
      <w:r>
        <w:rPr>
          <w:sz w:val="10"/>
        </w:rPr>
        <w:t>1a</w:t>
      </w:r>
      <w:r>
        <w:rPr>
          <w:spacing w:val="-26"/>
          <w:sz w:val="10"/>
        </w:rPr>
        <w:t> </w:t>
      </w:r>
      <w:r>
        <w:rPr>
          <w:position w:val="1"/>
          <w:sz w:val="20"/>
        </w:rPr>
        <w:t>肿</w:t>
      </w:r>
      <w:r>
        <w:rPr>
          <w:position w:val="1"/>
          <w:sz w:val="20"/>
        </w:rPr>
        <w:t>瘤</w:t>
      </w:r>
      <w:r>
        <w:rPr>
          <w:position w:val="1"/>
          <w:sz w:val="20"/>
        </w:rPr>
        <w:t>最</w:t>
      </w:r>
      <w:r>
        <w:rPr>
          <w:position w:val="1"/>
          <w:sz w:val="20"/>
        </w:rPr>
        <w:t>大</w:t>
      </w:r>
      <w:r>
        <w:rPr>
          <w:position w:val="1"/>
          <w:sz w:val="20"/>
        </w:rPr>
        <w:t>径≤1cm</w:t>
      </w:r>
    </w:p>
    <w:p>
      <w:pPr>
        <w:spacing w:line="244" w:lineRule="auto" w:before="0"/>
        <w:ind w:left="75" w:right="6871" w:firstLine="0"/>
        <w:jc w:val="left"/>
        <w:rPr>
          <w:sz w:val="20"/>
        </w:rPr>
      </w:pPr>
      <w:r>
        <w:rPr>
          <w:spacing w:val="-2"/>
          <w:position w:val="1"/>
          <w:sz w:val="20"/>
        </w:rPr>
        <w:t>T</w:t>
      </w:r>
      <w:r>
        <w:rPr>
          <w:spacing w:val="-2"/>
          <w:sz w:val="10"/>
        </w:rPr>
        <w:t>1b</w:t>
      </w:r>
      <w:r>
        <w:rPr>
          <w:spacing w:val="-26"/>
          <w:sz w:val="10"/>
        </w:rPr>
        <w:t> </w:t>
      </w:r>
      <w:r>
        <w:rPr>
          <w:spacing w:val="-2"/>
          <w:position w:val="1"/>
          <w:sz w:val="20"/>
        </w:rPr>
        <w:t>肿</w:t>
      </w:r>
      <w:r>
        <w:rPr>
          <w:spacing w:val="-2"/>
          <w:position w:val="1"/>
          <w:sz w:val="20"/>
        </w:rPr>
        <w:t>瘤</w:t>
      </w:r>
      <w:r>
        <w:rPr>
          <w:spacing w:val="-2"/>
          <w:position w:val="1"/>
          <w:sz w:val="20"/>
        </w:rPr>
        <w:t>最</w:t>
      </w:r>
      <w:r>
        <w:rPr>
          <w:spacing w:val="-2"/>
          <w:position w:val="1"/>
          <w:sz w:val="20"/>
        </w:rPr>
        <w:t>大</w:t>
      </w:r>
      <w:r>
        <w:rPr>
          <w:spacing w:val="-2"/>
          <w:position w:val="1"/>
          <w:sz w:val="20"/>
        </w:rPr>
        <w:t>径＞1cm，≤2c</w:t>
      </w:r>
      <w:r>
        <w:rPr>
          <w:spacing w:val="-2"/>
          <w:position w:val="1"/>
          <w:sz w:val="20"/>
        </w:rPr>
        <w:t>m</w:t>
      </w:r>
      <w:r>
        <w:rPr>
          <w:sz w:val="20"/>
        </w:rPr>
        <w:t>肿</w:t>
      </w:r>
      <w:r>
        <w:rPr>
          <w:sz w:val="20"/>
        </w:rPr>
        <w:t>瘤</w:t>
      </w:r>
      <w:r>
        <w:rPr>
          <w:sz w:val="20"/>
        </w:rPr>
        <w:t> 2～4cm</w:t>
      </w:r>
    </w:p>
    <w:p>
      <w:pPr>
        <w:spacing w:line="255" w:lineRule="exact" w:before="0"/>
        <w:ind w:left="75" w:right="0" w:firstLine="0"/>
        <w:jc w:val="left"/>
        <w:rPr>
          <w:sz w:val="20"/>
        </w:rPr>
      </w:pPr>
      <w:r>
        <w:rPr>
          <w:w w:val="95"/>
          <w:sz w:val="20"/>
        </w:rPr>
        <w:t>肿</w:t>
      </w:r>
      <w:r>
        <w:rPr>
          <w:w w:val="95"/>
          <w:sz w:val="20"/>
        </w:rPr>
        <w:t>瘤</w:t>
      </w:r>
      <w:r>
        <w:rPr>
          <w:w w:val="95"/>
          <w:sz w:val="20"/>
        </w:rPr>
        <w:t>＞4cm，</w:t>
      </w:r>
      <w:r>
        <w:rPr>
          <w:w w:val="95"/>
          <w:sz w:val="20"/>
        </w:rPr>
        <w:t>局</w:t>
      </w:r>
      <w:r>
        <w:rPr>
          <w:w w:val="95"/>
          <w:sz w:val="20"/>
        </w:rPr>
        <w:t>限</w:t>
      </w:r>
      <w:r>
        <w:rPr>
          <w:w w:val="95"/>
          <w:sz w:val="20"/>
        </w:rPr>
        <w:t>于</w:t>
      </w:r>
      <w:r>
        <w:rPr>
          <w:w w:val="95"/>
          <w:sz w:val="20"/>
        </w:rPr>
        <w:t>甲</w:t>
      </w:r>
      <w:r>
        <w:rPr>
          <w:w w:val="95"/>
          <w:sz w:val="20"/>
        </w:rPr>
        <w:t>状</w:t>
      </w:r>
      <w:r>
        <w:rPr>
          <w:w w:val="95"/>
          <w:sz w:val="20"/>
        </w:rPr>
        <w:t>腺</w:t>
      </w:r>
      <w:r>
        <w:rPr>
          <w:w w:val="95"/>
          <w:sz w:val="20"/>
        </w:rPr>
        <w:t>内</w:t>
      </w:r>
      <w:r>
        <w:rPr>
          <w:w w:val="95"/>
          <w:sz w:val="20"/>
        </w:rPr>
        <w:t>或</w:t>
      </w:r>
      <w:r>
        <w:rPr>
          <w:w w:val="95"/>
          <w:sz w:val="20"/>
        </w:rPr>
        <w:t>大</w:t>
      </w:r>
      <w:r>
        <w:rPr>
          <w:w w:val="95"/>
          <w:sz w:val="20"/>
        </w:rPr>
        <w:t>体</w:t>
      </w:r>
      <w:r>
        <w:rPr>
          <w:w w:val="95"/>
          <w:sz w:val="20"/>
        </w:rPr>
        <w:t>侵</w:t>
      </w:r>
      <w:r>
        <w:rPr>
          <w:w w:val="95"/>
          <w:sz w:val="20"/>
        </w:rPr>
        <w:t>犯</w:t>
      </w:r>
      <w:r>
        <w:rPr>
          <w:w w:val="95"/>
          <w:sz w:val="20"/>
        </w:rPr>
        <w:t>甲</w:t>
      </w:r>
      <w:r>
        <w:rPr>
          <w:w w:val="95"/>
          <w:sz w:val="20"/>
        </w:rPr>
        <w:t>状</w:t>
      </w:r>
      <w:r>
        <w:rPr>
          <w:w w:val="95"/>
          <w:sz w:val="20"/>
        </w:rPr>
        <w:t>腺</w:t>
      </w:r>
      <w:r>
        <w:rPr>
          <w:spacing w:val="-3"/>
          <w:w w:val="95"/>
          <w:sz w:val="20"/>
        </w:rPr>
        <w:t>外带状肌</w:t>
      </w:r>
    </w:p>
    <w:p>
      <w:pPr>
        <w:spacing w:after="0" w:line="255" w:lineRule="exact"/>
        <w:jc w:val="left"/>
        <w:rPr>
          <w:sz w:val="20"/>
        </w:rPr>
        <w:sectPr>
          <w:type w:val="continuous"/>
          <w:pgSz w:w="11910" w:h="16840"/>
          <w:pgMar w:header="0" w:footer="574" w:top="380" w:bottom="760" w:left="720" w:right="340"/>
          <w:cols w:num="2" w:equalWidth="0">
            <w:col w:w="1431" w:space="40"/>
            <w:col w:w="9379"/>
          </w:cols>
        </w:sectPr>
      </w:pPr>
    </w:p>
    <w:p>
      <w:pPr>
        <w:spacing w:before="1"/>
        <w:ind w:left="979" w:right="0" w:firstLine="0"/>
        <w:jc w:val="left"/>
        <w:rPr>
          <w:sz w:val="20"/>
        </w:rPr>
      </w:pPr>
      <w:r>
        <w:rPr>
          <w:w w:val="95"/>
          <w:position w:val="1"/>
          <w:sz w:val="20"/>
        </w:rPr>
        <w:t>pT</w:t>
      </w:r>
      <w:r>
        <w:rPr>
          <w:w w:val="95"/>
          <w:sz w:val="10"/>
        </w:rPr>
        <w:t>3a</w:t>
      </w:r>
      <w:r>
        <w:rPr>
          <w:w w:val="95"/>
          <w:position w:val="1"/>
          <w:sz w:val="20"/>
        </w:rPr>
        <w:t>：</w:t>
      </w:r>
      <w:r>
        <w:rPr>
          <w:spacing w:val="35"/>
          <w:w w:val="150"/>
          <w:position w:val="1"/>
          <w:sz w:val="20"/>
        </w:rPr>
        <w:t> </w:t>
      </w:r>
      <w:r>
        <w:rPr>
          <w:w w:val="95"/>
          <w:position w:val="1"/>
          <w:sz w:val="20"/>
        </w:rPr>
        <w:t>肿</w:t>
      </w:r>
      <w:r>
        <w:rPr>
          <w:w w:val="95"/>
          <w:position w:val="1"/>
          <w:sz w:val="20"/>
        </w:rPr>
        <w:t>瘤</w:t>
      </w:r>
      <w:r>
        <w:rPr>
          <w:w w:val="95"/>
          <w:position w:val="1"/>
          <w:sz w:val="20"/>
        </w:rPr>
        <w:t>＞4cm，</w:t>
      </w:r>
      <w:r>
        <w:rPr>
          <w:w w:val="95"/>
          <w:position w:val="1"/>
          <w:sz w:val="20"/>
        </w:rPr>
        <w:t>局</w:t>
      </w:r>
      <w:r>
        <w:rPr>
          <w:w w:val="95"/>
          <w:position w:val="1"/>
          <w:sz w:val="20"/>
        </w:rPr>
        <w:t>限</w:t>
      </w:r>
      <w:r>
        <w:rPr>
          <w:w w:val="95"/>
          <w:position w:val="1"/>
          <w:sz w:val="20"/>
        </w:rPr>
        <w:t>于</w:t>
      </w:r>
      <w:r>
        <w:rPr>
          <w:w w:val="95"/>
          <w:position w:val="1"/>
          <w:sz w:val="20"/>
        </w:rPr>
        <w:t>甲</w:t>
      </w:r>
      <w:r>
        <w:rPr>
          <w:w w:val="95"/>
          <w:position w:val="1"/>
          <w:sz w:val="20"/>
        </w:rPr>
        <w:t>状</w:t>
      </w:r>
      <w:r>
        <w:rPr>
          <w:spacing w:val="-5"/>
          <w:w w:val="95"/>
          <w:position w:val="1"/>
          <w:sz w:val="20"/>
        </w:rPr>
        <w:t>腺内</w:t>
      </w:r>
    </w:p>
    <w:p>
      <w:pPr>
        <w:spacing w:before="3"/>
        <w:ind w:left="979" w:right="0" w:firstLine="0"/>
        <w:jc w:val="left"/>
        <w:rPr>
          <w:sz w:val="20"/>
        </w:rPr>
      </w:pPr>
      <w:r>
        <w:rPr>
          <w:w w:val="95"/>
          <w:position w:val="1"/>
          <w:sz w:val="20"/>
        </w:rPr>
        <w:t>pT</w:t>
      </w:r>
      <w:r>
        <w:rPr>
          <w:w w:val="95"/>
          <w:sz w:val="10"/>
        </w:rPr>
        <w:t>3b</w:t>
      </w:r>
      <w:r>
        <w:rPr>
          <w:w w:val="95"/>
          <w:position w:val="1"/>
          <w:sz w:val="20"/>
        </w:rPr>
        <w:t>：</w:t>
      </w:r>
      <w:r>
        <w:rPr>
          <w:spacing w:val="16"/>
          <w:position w:val="1"/>
          <w:sz w:val="20"/>
        </w:rPr>
        <w:t>  </w:t>
      </w:r>
      <w:r>
        <w:rPr>
          <w:w w:val="95"/>
          <w:position w:val="1"/>
          <w:sz w:val="20"/>
        </w:rPr>
        <w:t>大</w:t>
      </w:r>
      <w:r>
        <w:rPr>
          <w:w w:val="95"/>
          <w:position w:val="1"/>
          <w:sz w:val="20"/>
        </w:rPr>
        <w:t>体</w:t>
      </w:r>
      <w:r>
        <w:rPr>
          <w:w w:val="95"/>
          <w:position w:val="1"/>
          <w:sz w:val="20"/>
        </w:rPr>
        <w:t>侵</w:t>
      </w:r>
      <w:r>
        <w:rPr>
          <w:w w:val="95"/>
          <w:position w:val="1"/>
          <w:sz w:val="20"/>
        </w:rPr>
        <w:t>犯</w:t>
      </w:r>
      <w:r>
        <w:rPr>
          <w:w w:val="95"/>
          <w:position w:val="1"/>
          <w:sz w:val="20"/>
        </w:rPr>
        <w:t>甲</w:t>
      </w:r>
      <w:r>
        <w:rPr>
          <w:w w:val="95"/>
          <w:position w:val="1"/>
          <w:sz w:val="20"/>
        </w:rPr>
        <w:t>状</w:t>
      </w:r>
      <w:r>
        <w:rPr>
          <w:w w:val="95"/>
          <w:position w:val="1"/>
          <w:sz w:val="20"/>
        </w:rPr>
        <w:t>腺</w:t>
      </w:r>
      <w:r>
        <w:rPr>
          <w:w w:val="95"/>
          <w:position w:val="1"/>
          <w:sz w:val="20"/>
        </w:rPr>
        <w:t>外</w:t>
      </w:r>
      <w:r>
        <w:rPr>
          <w:w w:val="95"/>
          <w:position w:val="1"/>
          <w:sz w:val="20"/>
        </w:rPr>
        <w:t>带</w:t>
      </w:r>
      <w:r>
        <w:rPr>
          <w:w w:val="95"/>
          <w:position w:val="1"/>
          <w:sz w:val="20"/>
        </w:rPr>
        <w:t>状肌，</w:t>
      </w:r>
      <w:r>
        <w:rPr>
          <w:w w:val="95"/>
          <w:position w:val="1"/>
          <w:sz w:val="20"/>
        </w:rPr>
        <w:t>无</w:t>
      </w:r>
      <w:r>
        <w:rPr>
          <w:w w:val="95"/>
          <w:position w:val="1"/>
          <w:sz w:val="20"/>
        </w:rPr>
        <w:t>论</w:t>
      </w:r>
      <w:r>
        <w:rPr>
          <w:w w:val="95"/>
          <w:position w:val="1"/>
          <w:sz w:val="20"/>
        </w:rPr>
        <w:t>肿</w:t>
      </w:r>
      <w:r>
        <w:rPr>
          <w:w w:val="95"/>
          <w:position w:val="1"/>
          <w:sz w:val="20"/>
        </w:rPr>
        <w:t>瘤</w:t>
      </w:r>
      <w:r>
        <w:rPr>
          <w:w w:val="95"/>
          <w:position w:val="1"/>
          <w:sz w:val="20"/>
        </w:rPr>
        <w:t>大</w:t>
      </w:r>
      <w:r>
        <w:rPr>
          <w:spacing w:val="-10"/>
          <w:w w:val="95"/>
          <w:position w:val="1"/>
          <w:sz w:val="20"/>
        </w:rPr>
        <w:t>小</w:t>
      </w:r>
    </w:p>
    <w:p>
      <w:pPr>
        <w:spacing w:before="3"/>
        <w:ind w:left="1546" w:right="0" w:firstLine="0"/>
        <w:jc w:val="left"/>
        <w:rPr>
          <w:sz w:val="20"/>
        </w:rPr>
      </w:pPr>
      <w:r>
        <w:rPr>
          <w:w w:val="95"/>
          <w:sz w:val="20"/>
        </w:rPr>
        <w:t>带</w:t>
      </w:r>
      <w:r>
        <w:rPr>
          <w:w w:val="95"/>
          <w:sz w:val="20"/>
        </w:rPr>
        <w:t>状</w:t>
      </w:r>
      <w:r>
        <w:rPr>
          <w:w w:val="95"/>
          <w:sz w:val="20"/>
        </w:rPr>
        <w:t>肌</w:t>
      </w:r>
      <w:r>
        <w:rPr>
          <w:w w:val="95"/>
          <w:sz w:val="20"/>
        </w:rPr>
        <w:t>包</w:t>
      </w:r>
      <w:r>
        <w:rPr>
          <w:w w:val="95"/>
          <w:sz w:val="20"/>
        </w:rPr>
        <w:t>括</w:t>
      </w:r>
      <w:r>
        <w:rPr>
          <w:w w:val="95"/>
          <w:sz w:val="20"/>
        </w:rPr>
        <w:t>：胸</w:t>
      </w:r>
      <w:r>
        <w:rPr>
          <w:w w:val="95"/>
          <w:sz w:val="20"/>
        </w:rPr>
        <w:t>骨</w:t>
      </w:r>
      <w:r>
        <w:rPr>
          <w:w w:val="95"/>
          <w:sz w:val="20"/>
        </w:rPr>
        <w:t>舌</w:t>
      </w:r>
      <w:r>
        <w:rPr>
          <w:w w:val="95"/>
          <w:sz w:val="20"/>
        </w:rPr>
        <w:t>骨肌、</w:t>
      </w:r>
      <w:r>
        <w:rPr>
          <w:w w:val="95"/>
          <w:sz w:val="20"/>
        </w:rPr>
        <w:t>胸</w:t>
      </w:r>
      <w:r>
        <w:rPr>
          <w:w w:val="95"/>
          <w:sz w:val="20"/>
        </w:rPr>
        <w:t>骨</w:t>
      </w:r>
      <w:r>
        <w:rPr>
          <w:w w:val="95"/>
          <w:sz w:val="20"/>
        </w:rPr>
        <w:t>甲</w:t>
      </w:r>
      <w:r>
        <w:rPr>
          <w:w w:val="95"/>
          <w:sz w:val="20"/>
        </w:rPr>
        <w:t>状</w:t>
      </w:r>
      <w:r>
        <w:rPr>
          <w:w w:val="95"/>
          <w:sz w:val="20"/>
        </w:rPr>
        <w:t>肌</w:t>
      </w:r>
      <w:r>
        <w:rPr>
          <w:w w:val="95"/>
          <w:sz w:val="20"/>
        </w:rPr>
        <w:t>、</w:t>
      </w:r>
      <w:r>
        <w:rPr>
          <w:w w:val="95"/>
          <w:sz w:val="20"/>
        </w:rPr>
        <w:t>甲</w:t>
      </w:r>
      <w:r>
        <w:rPr>
          <w:w w:val="95"/>
          <w:sz w:val="20"/>
        </w:rPr>
        <w:t>状</w:t>
      </w:r>
      <w:r>
        <w:rPr>
          <w:w w:val="95"/>
          <w:sz w:val="20"/>
        </w:rPr>
        <w:t>舌</w:t>
      </w:r>
      <w:r>
        <w:rPr>
          <w:w w:val="95"/>
          <w:sz w:val="20"/>
        </w:rPr>
        <w:t>骨肌、</w:t>
      </w:r>
      <w:r>
        <w:rPr>
          <w:w w:val="95"/>
          <w:sz w:val="20"/>
        </w:rPr>
        <w:t>肩</w:t>
      </w:r>
      <w:r>
        <w:rPr>
          <w:w w:val="95"/>
          <w:sz w:val="20"/>
        </w:rPr>
        <w:t>胛</w:t>
      </w:r>
      <w:r>
        <w:rPr>
          <w:w w:val="95"/>
          <w:sz w:val="20"/>
        </w:rPr>
        <w:t>舌</w:t>
      </w:r>
      <w:r>
        <w:rPr>
          <w:spacing w:val="-5"/>
          <w:w w:val="95"/>
          <w:sz w:val="20"/>
        </w:rPr>
        <w:t>骨肌</w:t>
      </w:r>
    </w:p>
    <w:p>
      <w:pPr>
        <w:spacing w:before="3"/>
        <w:ind w:left="979" w:right="0" w:firstLine="0"/>
        <w:jc w:val="left"/>
        <w:rPr>
          <w:sz w:val="20"/>
        </w:rPr>
      </w:pPr>
      <w:r>
        <w:rPr>
          <w:position w:val="1"/>
          <w:sz w:val="20"/>
        </w:rPr>
        <w:t>pT</w:t>
      </w:r>
      <w:r>
        <w:rPr>
          <w:sz w:val="10"/>
        </w:rPr>
        <w:t>4</w:t>
      </w:r>
      <w:r>
        <w:rPr>
          <w:spacing w:val="-2"/>
          <w:position w:val="1"/>
          <w:sz w:val="20"/>
        </w:rPr>
        <w:t>： 大</w:t>
      </w:r>
      <w:r>
        <w:rPr>
          <w:position w:val="1"/>
          <w:sz w:val="20"/>
        </w:rPr>
        <w:t>体</w:t>
      </w:r>
      <w:r>
        <w:rPr>
          <w:position w:val="1"/>
          <w:sz w:val="20"/>
        </w:rPr>
        <w:t>侵</w:t>
      </w:r>
      <w:r>
        <w:rPr>
          <w:position w:val="1"/>
          <w:sz w:val="20"/>
        </w:rPr>
        <w:t>犯</w:t>
      </w:r>
      <w:r>
        <w:rPr>
          <w:position w:val="1"/>
          <w:sz w:val="20"/>
        </w:rPr>
        <w:t>甲</w:t>
      </w:r>
      <w:r>
        <w:rPr>
          <w:position w:val="1"/>
          <w:sz w:val="20"/>
        </w:rPr>
        <w:t>状</w:t>
      </w:r>
      <w:r>
        <w:rPr>
          <w:position w:val="1"/>
          <w:sz w:val="20"/>
        </w:rPr>
        <w:t>腺</w:t>
      </w:r>
      <w:r>
        <w:rPr>
          <w:position w:val="1"/>
          <w:sz w:val="20"/>
        </w:rPr>
        <w:t>外</w:t>
      </w:r>
      <w:r>
        <w:rPr>
          <w:position w:val="1"/>
          <w:sz w:val="20"/>
        </w:rPr>
        <w:t>带</w:t>
      </w:r>
      <w:r>
        <w:rPr>
          <w:position w:val="1"/>
          <w:sz w:val="20"/>
        </w:rPr>
        <w:t>状</w:t>
      </w:r>
      <w:r>
        <w:rPr>
          <w:position w:val="1"/>
          <w:sz w:val="20"/>
        </w:rPr>
        <w:t>肌</w:t>
      </w:r>
      <w:r>
        <w:rPr>
          <w:spacing w:val="-10"/>
          <w:position w:val="1"/>
          <w:sz w:val="20"/>
        </w:rPr>
        <w:t>外</w:t>
      </w:r>
    </w:p>
    <w:p>
      <w:pPr>
        <w:spacing w:line="242" w:lineRule="auto" w:before="3"/>
        <w:ind w:left="979" w:right="5301" w:firstLine="0"/>
        <w:jc w:val="left"/>
        <w:rPr>
          <w:sz w:val="20"/>
        </w:rPr>
      </w:pPr>
      <w:r>
        <w:rPr>
          <w:spacing w:val="-2"/>
          <w:position w:val="1"/>
          <w:sz w:val="20"/>
        </w:rPr>
        <w:t>pT</w:t>
      </w:r>
      <w:r>
        <w:rPr>
          <w:spacing w:val="-2"/>
          <w:sz w:val="10"/>
        </w:rPr>
        <w:t>4a</w:t>
      </w:r>
      <w:r>
        <w:rPr>
          <w:spacing w:val="-9"/>
          <w:position w:val="1"/>
          <w:sz w:val="20"/>
        </w:rPr>
        <w:t>： 侵</w:t>
      </w:r>
      <w:r>
        <w:rPr>
          <w:spacing w:val="-2"/>
          <w:position w:val="1"/>
          <w:sz w:val="20"/>
        </w:rPr>
        <w:t>犯</w:t>
      </w:r>
      <w:r>
        <w:rPr>
          <w:spacing w:val="-2"/>
          <w:position w:val="1"/>
          <w:sz w:val="20"/>
        </w:rPr>
        <w:t>喉</w:t>
      </w:r>
      <w:r>
        <w:rPr>
          <w:spacing w:val="-2"/>
          <w:position w:val="1"/>
          <w:sz w:val="20"/>
        </w:rPr>
        <w:t>、</w:t>
      </w:r>
      <w:r>
        <w:rPr>
          <w:spacing w:val="-2"/>
          <w:position w:val="1"/>
          <w:sz w:val="20"/>
        </w:rPr>
        <w:t>气</w:t>
      </w:r>
      <w:r>
        <w:rPr>
          <w:spacing w:val="-2"/>
          <w:position w:val="1"/>
          <w:sz w:val="20"/>
        </w:rPr>
        <w:t>管</w:t>
      </w:r>
      <w:r>
        <w:rPr>
          <w:spacing w:val="-2"/>
          <w:position w:val="1"/>
          <w:sz w:val="20"/>
        </w:rPr>
        <w:t>、</w:t>
      </w:r>
      <w:r>
        <w:rPr>
          <w:spacing w:val="-2"/>
          <w:position w:val="1"/>
          <w:sz w:val="20"/>
        </w:rPr>
        <w:t>食</w:t>
      </w:r>
      <w:r>
        <w:rPr>
          <w:spacing w:val="-2"/>
          <w:position w:val="1"/>
          <w:sz w:val="20"/>
        </w:rPr>
        <w:t>管</w:t>
      </w:r>
      <w:r>
        <w:rPr>
          <w:spacing w:val="-2"/>
          <w:position w:val="1"/>
          <w:sz w:val="20"/>
        </w:rPr>
        <w:t>、喉反</w:t>
      </w:r>
      <w:r>
        <w:rPr>
          <w:spacing w:val="-2"/>
          <w:position w:val="1"/>
          <w:sz w:val="20"/>
        </w:rPr>
        <w:t>神</w:t>
      </w:r>
      <w:r>
        <w:rPr>
          <w:spacing w:val="-2"/>
          <w:position w:val="1"/>
          <w:sz w:val="20"/>
        </w:rPr>
        <w:t>经</w:t>
      </w:r>
      <w:r>
        <w:rPr>
          <w:spacing w:val="-2"/>
          <w:position w:val="1"/>
          <w:sz w:val="20"/>
        </w:rPr>
        <w:t>及</w:t>
      </w:r>
      <w:r>
        <w:rPr>
          <w:spacing w:val="-2"/>
          <w:position w:val="1"/>
          <w:sz w:val="20"/>
        </w:rPr>
        <w:t>皮</w:t>
      </w:r>
      <w:r>
        <w:rPr>
          <w:spacing w:val="-2"/>
          <w:position w:val="1"/>
          <w:sz w:val="20"/>
        </w:rPr>
        <w:t>下</w:t>
      </w:r>
      <w:r>
        <w:rPr>
          <w:spacing w:val="-2"/>
          <w:position w:val="1"/>
          <w:sz w:val="20"/>
        </w:rPr>
        <w:t>软</w:t>
      </w:r>
      <w:r>
        <w:rPr>
          <w:spacing w:val="-2"/>
          <w:position w:val="1"/>
          <w:sz w:val="20"/>
        </w:rPr>
        <w:t>组织 </w:t>
      </w:r>
      <w:r>
        <w:rPr>
          <w:position w:val="1"/>
          <w:sz w:val="20"/>
        </w:rPr>
        <w:t>pT</w:t>
      </w:r>
      <w:r>
        <w:rPr>
          <w:sz w:val="10"/>
        </w:rPr>
        <w:t>4b</w:t>
      </w:r>
      <w:r>
        <w:rPr>
          <w:spacing w:val="-5"/>
          <w:position w:val="1"/>
          <w:sz w:val="20"/>
        </w:rPr>
        <w:t>： 侵</w:t>
      </w:r>
      <w:r>
        <w:rPr>
          <w:position w:val="1"/>
          <w:sz w:val="20"/>
        </w:rPr>
        <w:t>犯</w:t>
      </w:r>
      <w:r>
        <w:rPr>
          <w:position w:val="1"/>
          <w:sz w:val="20"/>
        </w:rPr>
        <w:t>椎</w:t>
      </w:r>
      <w:r>
        <w:rPr>
          <w:position w:val="1"/>
          <w:sz w:val="20"/>
        </w:rPr>
        <w:t>前</w:t>
      </w:r>
      <w:r>
        <w:rPr>
          <w:position w:val="1"/>
          <w:sz w:val="20"/>
        </w:rPr>
        <w:t>筋</w:t>
      </w:r>
      <w:r>
        <w:rPr>
          <w:position w:val="1"/>
          <w:sz w:val="20"/>
        </w:rPr>
        <w:t>膜</w:t>
      </w:r>
      <w:r>
        <w:rPr>
          <w:position w:val="1"/>
          <w:sz w:val="20"/>
        </w:rPr>
        <w:t>，</w:t>
      </w:r>
      <w:r>
        <w:rPr>
          <w:position w:val="1"/>
          <w:sz w:val="20"/>
        </w:rPr>
        <w:t>或</w:t>
      </w:r>
      <w:r>
        <w:rPr>
          <w:position w:val="1"/>
          <w:sz w:val="20"/>
        </w:rPr>
        <w:t>包</w:t>
      </w:r>
      <w:r>
        <w:rPr>
          <w:position w:val="1"/>
          <w:sz w:val="20"/>
        </w:rPr>
        <w:t>裹颈动</w:t>
      </w:r>
      <w:r>
        <w:rPr>
          <w:position w:val="1"/>
          <w:sz w:val="20"/>
        </w:rPr>
        <w:t>脉</w:t>
      </w:r>
      <w:r>
        <w:rPr>
          <w:position w:val="1"/>
          <w:sz w:val="20"/>
        </w:rPr>
        <w:t>、</w:t>
      </w:r>
      <w:r>
        <w:rPr>
          <w:position w:val="1"/>
          <w:sz w:val="20"/>
        </w:rPr>
        <w:t>纵</w:t>
      </w:r>
      <w:r>
        <w:rPr>
          <w:position w:val="1"/>
          <w:sz w:val="20"/>
        </w:rPr>
        <w:t>隔</w:t>
      </w:r>
      <w:r>
        <w:rPr>
          <w:position w:val="1"/>
          <w:sz w:val="20"/>
        </w:rPr>
        <w:t>血</w:t>
      </w:r>
      <w:r>
        <w:rPr>
          <w:position w:val="1"/>
          <w:sz w:val="20"/>
        </w:rPr>
        <w:t>管</w:t>
      </w:r>
    </w:p>
    <w:p>
      <w:pPr>
        <w:spacing w:line="304" w:lineRule="exact" w:before="0"/>
        <w:ind w:left="979" w:right="0" w:firstLine="0"/>
        <w:jc w:val="left"/>
        <w:rPr>
          <w:rFonts w:ascii="微软雅黑" w:eastAsia="微软雅黑"/>
          <w:b/>
          <w:sz w:val="20"/>
        </w:rPr>
      </w:pPr>
      <w:r>
        <w:rPr>
          <w:rFonts w:ascii="微软雅黑" w:eastAsia="微软雅黑"/>
          <w:b/>
          <w:w w:val="95"/>
          <w:sz w:val="20"/>
        </w:rPr>
        <w:t>甲</w:t>
      </w:r>
      <w:r>
        <w:rPr>
          <w:rFonts w:ascii="微软雅黑" w:eastAsia="微软雅黑"/>
          <w:b/>
          <w:w w:val="95"/>
          <w:sz w:val="20"/>
        </w:rPr>
        <w:t>状</w:t>
      </w:r>
      <w:r>
        <w:rPr>
          <w:rFonts w:ascii="微软雅黑" w:eastAsia="微软雅黑"/>
          <w:b/>
          <w:w w:val="95"/>
          <w:sz w:val="20"/>
        </w:rPr>
        <w:t>腺</w:t>
      </w:r>
      <w:r>
        <w:rPr>
          <w:rFonts w:ascii="微软雅黑" w:eastAsia="微软雅黑"/>
          <w:b/>
          <w:spacing w:val="-4"/>
          <w:w w:val="95"/>
          <w:sz w:val="20"/>
        </w:rPr>
        <w:t>髓样癌</w:t>
      </w:r>
    </w:p>
    <w:p>
      <w:pPr>
        <w:spacing w:after="0" w:line="304" w:lineRule="exact"/>
        <w:jc w:val="left"/>
        <w:rPr>
          <w:rFonts w:ascii="微软雅黑" w:eastAsia="微软雅黑"/>
          <w:sz w:val="20"/>
        </w:rPr>
        <w:sectPr>
          <w:type w:val="continuous"/>
          <w:pgSz w:w="11910" w:h="16840"/>
          <w:pgMar w:header="0" w:footer="574" w:top="380" w:bottom="760" w:left="720" w:right="340"/>
        </w:sectPr>
      </w:pPr>
    </w:p>
    <w:p>
      <w:pPr>
        <w:spacing w:line="227" w:lineRule="exact" w:before="0"/>
        <w:ind w:left="979" w:right="0" w:firstLine="0"/>
        <w:jc w:val="left"/>
        <w:rPr>
          <w:sz w:val="20"/>
        </w:rPr>
      </w:pPr>
      <w:r>
        <w:rPr>
          <w:spacing w:val="-4"/>
          <w:w w:val="95"/>
          <w:position w:val="1"/>
          <w:sz w:val="20"/>
        </w:rPr>
        <w:t>pT</w:t>
      </w:r>
      <w:r>
        <w:rPr>
          <w:spacing w:val="-4"/>
          <w:w w:val="95"/>
          <w:sz w:val="10"/>
        </w:rPr>
        <w:t>X</w:t>
      </w:r>
      <w:r>
        <w:rPr>
          <w:spacing w:val="-4"/>
          <w:w w:val="95"/>
          <w:position w:val="1"/>
          <w:sz w:val="20"/>
        </w:rPr>
        <w:t>：</w:t>
      </w:r>
    </w:p>
    <w:p>
      <w:pPr>
        <w:spacing w:line="242" w:lineRule="auto" w:before="3"/>
        <w:ind w:left="979" w:right="0" w:firstLine="0"/>
        <w:jc w:val="left"/>
        <w:rPr>
          <w:sz w:val="20"/>
        </w:rPr>
      </w:pPr>
      <w:r>
        <w:rPr>
          <w:spacing w:val="-4"/>
          <w:w w:val="95"/>
          <w:position w:val="1"/>
          <w:sz w:val="20"/>
        </w:rPr>
        <w:t>pT</w:t>
      </w:r>
      <w:r>
        <w:rPr>
          <w:spacing w:val="-4"/>
          <w:w w:val="95"/>
          <w:sz w:val="10"/>
        </w:rPr>
        <w:t>0</w:t>
      </w:r>
      <w:r>
        <w:rPr>
          <w:spacing w:val="-4"/>
          <w:w w:val="95"/>
          <w:position w:val="1"/>
          <w:sz w:val="20"/>
        </w:rPr>
        <w:t>： pT</w:t>
      </w:r>
      <w:r>
        <w:rPr>
          <w:spacing w:val="-4"/>
          <w:w w:val="95"/>
          <w:sz w:val="10"/>
        </w:rPr>
        <w:t>1</w:t>
      </w:r>
      <w:r>
        <w:rPr>
          <w:spacing w:val="-4"/>
          <w:w w:val="95"/>
          <w:position w:val="1"/>
          <w:sz w:val="20"/>
        </w:rPr>
        <w:t>：</w:t>
      </w:r>
    </w:p>
    <w:p>
      <w:pPr>
        <w:pStyle w:val="BodyText"/>
        <w:ind w:left="0"/>
        <w:rPr>
          <w:sz w:val="20"/>
        </w:rPr>
      </w:pPr>
    </w:p>
    <w:p>
      <w:pPr>
        <w:pStyle w:val="BodyText"/>
        <w:spacing w:before="6"/>
        <w:ind w:left="0"/>
        <w:rPr>
          <w:sz w:val="20"/>
        </w:rPr>
      </w:pPr>
    </w:p>
    <w:p>
      <w:pPr>
        <w:spacing w:line="242" w:lineRule="auto" w:before="0"/>
        <w:ind w:left="979" w:right="0" w:firstLine="0"/>
        <w:jc w:val="left"/>
        <w:rPr>
          <w:sz w:val="20"/>
        </w:rPr>
      </w:pPr>
      <w:r>
        <w:rPr>
          <w:spacing w:val="-4"/>
          <w:w w:val="95"/>
          <w:position w:val="1"/>
          <w:sz w:val="20"/>
        </w:rPr>
        <w:t>pT</w:t>
      </w:r>
      <w:r>
        <w:rPr>
          <w:spacing w:val="-4"/>
          <w:w w:val="95"/>
          <w:sz w:val="10"/>
        </w:rPr>
        <w:t>2</w:t>
      </w:r>
      <w:r>
        <w:rPr>
          <w:spacing w:val="-4"/>
          <w:w w:val="95"/>
          <w:position w:val="1"/>
          <w:sz w:val="20"/>
        </w:rPr>
        <w:t>： pT</w:t>
      </w:r>
      <w:r>
        <w:rPr>
          <w:spacing w:val="-4"/>
          <w:w w:val="95"/>
          <w:sz w:val="10"/>
        </w:rPr>
        <w:t>3</w:t>
      </w:r>
      <w:r>
        <w:rPr>
          <w:spacing w:val="-4"/>
          <w:w w:val="95"/>
          <w:position w:val="1"/>
          <w:sz w:val="20"/>
        </w:rPr>
        <w:t>：</w:t>
      </w:r>
    </w:p>
    <w:p>
      <w:pPr>
        <w:spacing w:line="227" w:lineRule="exact" w:before="0"/>
        <w:ind w:left="75" w:right="0" w:firstLine="0"/>
        <w:jc w:val="left"/>
        <w:rPr>
          <w:sz w:val="20"/>
        </w:rPr>
      </w:pPr>
      <w:r>
        <w:rPr/>
        <w:br w:type="column"/>
      </w:r>
      <w:r>
        <w:rPr>
          <w:w w:val="95"/>
          <w:sz w:val="20"/>
        </w:rPr>
        <w:t>原</w:t>
      </w:r>
      <w:r>
        <w:rPr>
          <w:w w:val="95"/>
          <w:sz w:val="20"/>
        </w:rPr>
        <w:t>发</w:t>
      </w:r>
      <w:r>
        <w:rPr>
          <w:w w:val="95"/>
          <w:sz w:val="20"/>
        </w:rPr>
        <w:t>肿</w:t>
      </w:r>
      <w:r>
        <w:rPr>
          <w:w w:val="95"/>
          <w:sz w:val="20"/>
        </w:rPr>
        <w:t>瘤</w:t>
      </w:r>
      <w:r>
        <w:rPr>
          <w:w w:val="95"/>
          <w:sz w:val="20"/>
        </w:rPr>
        <w:t>不</w:t>
      </w:r>
      <w:r>
        <w:rPr>
          <w:w w:val="95"/>
          <w:sz w:val="20"/>
        </w:rPr>
        <w:t>能</w:t>
      </w:r>
      <w:r>
        <w:rPr>
          <w:spacing w:val="-5"/>
          <w:w w:val="95"/>
          <w:sz w:val="20"/>
        </w:rPr>
        <w:t>评估</w:t>
      </w:r>
    </w:p>
    <w:p>
      <w:pPr>
        <w:spacing w:before="3"/>
        <w:ind w:left="75" w:right="0" w:firstLine="0"/>
        <w:jc w:val="left"/>
        <w:rPr>
          <w:sz w:val="20"/>
        </w:rPr>
      </w:pPr>
      <w:r>
        <w:rPr>
          <w:w w:val="95"/>
          <w:sz w:val="20"/>
        </w:rPr>
        <w:t>无</w:t>
      </w:r>
      <w:r>
        <w:rPr>
          <w:w w:val="95"/>
          <w:sz w:val="20"/>
        </w:rPr>
        <w:t>肿</w:t>
      </w:r>
      <w:r>
        <w:rPr>
          <w:w w:val="95"/>
          <w:sz w:val="20"/>
        </w:rPr>
        <w:t>瘤</w:t>
      </w:r>
      <w:r>
        <w:rPr>
          <w:spacing w:val="-5"/>
          <w:w w:val="95"/>
          <w:sz w:val="20"/>
        </w:rPr>
        <w:t>证据</w:t>
      </w:r>
    </w:p>
    <w:p>
      <w:pPr>
        <w:spacing w:line="242" w:lineRule="auto" w:before="3"/>
        <w:ind w:left="75" w:right="6058" w:firstLine="0"/>
        <w:jc w:val="left"/>
        <w:rPr>
          <w:sz w:val="20"/>
        </w:rPr>
      </w:pPr>
      <w:r>
        <w:rPr>
          <w:spacing w:val="-2"/>
          <w:sz w:val="20"/>
        </w:rPr>
        <w:t>肿</w:t>
      </w:r>
      <w:r>
        <w:rPr>
          <w:spacing w:val="-2"/>
          <w:sz w:val="20"/>
        </w:rPr>
        <w:t>瘤</w:t>
      </w:r>
      <w:r>
        <w:rPr>
          <w:spacing w:val="-2"/>
          <w:sz w:val="20"/>
        </w:rPr>
        <w:t>局</w:t>
      </w:r>
      <w:r>
        <w:rPr>
          <w:spacing w:val="-2"/>
          <w:sz w:val="20"/>
        </w:rPr>
        <w:t>限</w:t>
      </w:r>
      <w:r>
        <w:rPr>
          <w:spacing w:val="-2"/>
          <w:sz w:val="20"/>
        </w:rPr>
        <w:t>在</w:t>
      </w:r>
      <w:r>
        <w:rPr>
          <w:spacing w:val="-2"/>
          <w:sz w:val="20"/>
        </w:rPr>
        <w:t>甲</w:t>
      </w:r>
      <w:r>
        <w:rPr>
          <w:spacing w:val="-2"/>
          <w:sz w:val="20"/>
        </w:rPr>
        <w:t>状</w:t>
      </w:r>
      <w:r>
        <w:rPr>
          <w:spacing w:val="-2"/>
          <w:sz w:val="20"/>
        </w:rPr>
        <w:t>腺</w:t>
      </w:r>
      <w:r>
        <w:rPr>
          <w:spacing w:val="-2"/>
          <w:sz w:val="20"/>
        </w:rPr>
        <w:t>内</w:t>
      </w:r>
      <w:r>
        <w:rPr>
          <w:spacing w:val="-2"/>
          <w:sz w:val="20"/>
        </w:rPr>
        <w:t>，最大径</w:t>
      </w:r>
      <w:r>
        <w:rPr>
          <w:spacing w:val="-2"/>
          <w:sz w:val="20"/>
        </w:rPr>
        <w:t>≤2cm </w:t>
      </w:r>
      <w:r>
        <w:rPr>
          <w:position w:val="1"/>
          <w:sz w:val="20"/>
        </w:rPr>
        <w:t>T</w:t>
      </w:r>
      <w:r>
        <w:rPr>
          <w:sz w:val="10"/>
        </w:rPr>
        <w:t>1a</w:t>
      </w:r>
      <w:r>
        <w:rPr>
          <w:spacing w:val="-26"/>
          <w:sz w:val="10"/>
        </w:rPr>
        <w:t> </w:t>
      </w:r>
      <w:r>
        <w:rPr>
          <w:position w:val="1"/>
          <w:sz w:val="20"/>
        </w:rPr>
        <w:t>肿</w:t>
      </w:r>
      <w:r>
        <w:rPr>
          <w:position w:val="1"/>
          <w:sz w:val="20"/>
        </w:rPr>
        <w:t>瘤</w:t>
      </w:r>
      <w:r>
        <w:rPr>
          <w:position w:val="1"/>
          <w:sz w:val="20"/>
        </w:rPr>
        <w:t>最</w:t>
      </w:r>
      <w:r>
        <w:rPr>
          <w:position w:val="1"/>
          <w:sz w:val="20"/>
        </w:rPr>
        <w:t>大</w:t>
      </w:r>
      <w:r>
        <w:rPr>
          <w:position w:val="1"/>
          <w:sz w:val="20"/>
        </w:rPr>
        <w:t>径≤1cm</w:t>
      </w:r>
    </w:p>
    <w:p>
      <w:pPr>
        <w:spacing w:line="242" w:lineRule="auto" w:before="0"/>
        <w:ind w:left="75" w:right="6871" w:firstLine="0"/>
        <w:jc w:val="left"/>
        <w:rPr>
          <w:sz w:val="20"/>
        </w:rPr>
      </w:pPr>
      <w:r>
        <w:rPr>
          <w:spacing w:val="-2"/>
          <w:position w:val="1"/>
          <w:sz w:val="20"/>
        </w:rPr>
        <w:t>T</w:t>
      </w:r>
      <w:r>
        <w:rPr>
          <w:spacing w:val="-2"/>
          <w:sz w:val="10"/>
        </w:rPr>
        <w:t>1b</w:t>
      </w:r>
      <w:r>
        <w:rPr>
          <w:spacing w:val="-26"/>
          <w:sz w:val="10"/>
        </w:rPr>
        <w:t> </w:t>
      </w:r>
      <w:r>
        <w:rPr>
          <w:spacing w:val="-2"/>
          <w:position w:val="1"/>
          <w:sz w:val="20"/>
        </w:rPr>
        <w:t>肿</w:t>
      </w:r>
      <w:r>
        <w:rPr>
          <w:spacing w:val="-2"/>
          <w:position w:val="1"/>
          <w:sz w:val="20"/>
        </w:rPr>
        <w:t>瘤</w:t>
      </w:r>
      <w:r>
        <w:rPr>
          <w:spacing w:val="-2"/>
          <w:position w:val="1"/>
          <w:sz w:val="20"/>
        </w:rPr>
        <w:t>最</w:t>
      </w:r>
      <w:r>
        <w:rPr>
          <w:spacing w:val="-2"/>
          <w:position w:val="1"/>
          <w:sz w:val="20"/>
        </w:rPr>
        <w:t>大</w:t>
      </w:r>
      <w:r>
        <w:rPr>
          <w:spacing w:val="-2"/>
          <w:position w:val="1"/>
          <w:sz w:val="20"/>
        </w:rPr>
        <w:t>径＞1cm，≤2c</w:t>
      </w:r>
      <w:r>
        <w:rPr>
          <w:spacing w:val="-2"/>
          <w:position w:val="1"/>
          <w:sz w:val="20"/>
        </w:rPr>
        <w:t>m</w:t>
      </w:r>
      <w:r>
        <w:rPr>
          <w:sz w:val="20"/>
        </w:rPr>
        <w:t>肿</w:t>
      </w:r>
      <w:r>
        <w:rPr>
          <w:sz w:val="20"/>
        </w:rPr>
        <w:t>瘤</w:t>
      </w:r>
      <w:r>
        <w:rPr>
          <w:sz w:val="20"/>
        </w:rPr>
        <w:t> 2～4cm</w:t>
      </w:r>
    </w:p>
    <w:p>
      <w:pPr>
        <w:spacing w:before="2"/>
        <w:ind w:left="75" w:right="0" w:firstLine="0"/>
        <w:jc w:val="left"/>
        <w:rPr>
          <w:sz w:val="20"/>
        </w:rPr>
      </w:pPr>
      <w:r>
        <w:rPr>
          <w:w w:val="95"/>
          <w:sz w:val="20"/>
        </w:rPr>
        <w:t>肿</w:t>
      </w:r>
      <w:r>
        <w:rPr>
          <w:w w:val="95"/>
          <w:sz w:val="20"/>
        </w:rPr>
        <w:t>瘤</w:t>
      </w:r>
      <w:r>
        <w:rPr>
          <w:w w:val="95"/>
          <w:sz w:val="20"/>
        </w:rPr>
        <w:t>＞4cm，</w:t>
      </w:r>
      <w:r>
        <w:rPr>
          <w:w w:val="95"/>
          <w:sz w:val="20"/>
        </w:rPr>
        <w:t>局</w:t>
      </w:r>
      <w:r>
        <w:rPr>
          <w:w w:val="95"/>
          <w:sz w:val="20"/>
        </w:rPr>
        <w:t>限</w:t>
      </w:r>
      <w:r>
        <w:rPr>
          <w:w w:val="95"/>
          <w:sz w:val="20"/>
        </w:rPr>
        <w:t>于</w:t>
      </w:r>
      <w:r>
        <w:rPr>
          <w:w w:val="95"/>
          <w:sz w:val="20"/>
        </w:rPr>
        <w:t>甲</w:t>
      </w:r>
      <w:r>
        <w:rPr>
          <w:w w:val="95"/>
          <w:sz w:val="20"/>
        </w:rPr>
        <w:t>状</w:t>
      </w:r>
      <w:r>
        <w:rPr>
          <w:w w:val="95"/>
          <w:sz w:val="20"/>
        </w:rPr>
        <w:t>腺</w:t>
      </w:r>
      <w:r>
        <w:rPr>
          <w:w w:val="95"/>
          <w:sz w:val="20"/>
        </w:rPr>
        <w:t>内</w:t>
      </w:r>
      <w:r>
        <w:rPr>
          <w:w w:val="95"/>
          <w:sz w:val="20"/>
        </w:rPr>
        <w:t>或</w:t>
      </w:r>
      <w:r>
        <w:rPr>
          <w:w w:val="95"/>
          <w:sz w:val="20"/>
        </w:rPr>
        <w:t>大</w:t>
      </w:r>
      <w:r>
        <w:rPr>
          <w:w w:val="95"/>
          <w:sz w:val="20"/>
        </w:rPr>
        <w:t>体</w:t>
      </w:r>
      <w:r>
        <w:rPr>
          <w:w w:val="95"/>
          <w:sz w:val="20"/>
        </w:rPr>
        <w:t>侵</w:t>
      </w:r>
      <w:r>
        <w:rPr>
          <w:w w:val="95"/>
          <w:sz w:val="20"/>
        </w:rPr>
        <w:t>犯</w:t>
      </w:r>
      <w:r>
        <w:rPr>
          <w:w w:val="95"/>
          <w:sz w:val="20"/>
        </w:rPr>
        <w:t>甲</w:t>
      </w:r>
      <w:r>
        <w:rPr>
          <w:w w:val="95"/>
          <w:sz w:val="20"/>
        </w:rPr>
        <w:t>状</w:t>
      </w:r>
      <w:r>
        <w:rPr>
          <w:w w:val="95"/>
          <w:sz w:val="20"/>
        </w:rPr>
        <w:t>腺</w:t>
      </w:r>
      <w:r>
        <w:rPr>
          <w:spacing w:val="-3"/>
          <w:w w:val="95"/>
          <w:sz w:val="20"/>
        </w:rPr>
        <w:t>外带状肌</w:t>
      </w:r>
    </w:p>
    <w:p>
      <w:pPr>
        <w:spacing w:after="0"/>
        <w:jc w:val="left"/>
        <w:rPr>
          <w:sz w:val="20"/>
        </w:rPr>
        <w:sectPr>
          <w:type w:val="continuous"/>
          <w:pgSz w:w="11910" w:h="16840"/>
          <w:pgMar w:header="0" w:footer="574" w:top="380" w:bottom="760" w:left="720" w:right="340"/>
          <w:cols w:num="2" w:equalWidth="0">
            <w:col w:w="1431" w:space="40"/>
            <w:col w:w="9379"/>
          </w:cols>
        </w:sectPr>
      </w:pPr>
    </w:p>
    <w:p>
      <w:pPr>
        <w:spacing w:before="2"/>
        <w:ind w:left="979" w:right="0" w:firstLine="0"/>
        <w:jc w:val="left"/>
        <w:rPr>
          <w:sz w:val="20"/>
        </w:rPr>
      </w:pPr>
      <w:r>
        <w:rPr>
          <w:w w:val="95"/>
          <w:position w:val="1"/>
          <w:sz w:val="20"/>
        </w:rPr>
        <w:t>pT</w:t>
      </w:r>
      <w:r>
        <w:rPr>
          <w:w w:val="95"/>
          <w:sz w:val="10"/>
        </w:rPr>
        <w:t>3a</w:t>
      </w:r>
      <w:r>
        <w:rPr>
          <w:w w:val="95"/>
          <w:position w:val="1"/>
          <w:sz w:val="20"/>
        </w:rPr>
        <w:t>：</w:t>
      </w:r>
      <w:r>
        <w:rPr>
          <w:spacing w:val="35"/>
          <w:w w:val="150"/>
          <w:position w:val="1"/>
          <w:sz w:val="20"/>
        </w:rPr>
        <w:t> </w:t>
      </w:r>
      <w:r>
        <w:rPr>
          <w:w w:val="95"/>
          <w:position w:val="1"/>
          <w:sz w:val="20"/>
        </w:rPr>
        <w:t>肿</w:t>
      </w:r>
      <w:r>
        <w:rPr>
          <w:w w:val="95"/>
          <w:position w:val="1"/>
          <w:sz w:val="20"/>
        </w:rPr>
        <w:t>瘤</w:t>
      </w:r>
      <w:r>
        <w:rPr>
          <w:w w:val="95"/>
          <w:position w:val="1"/>
          <w:sz w:val="20"/>
        </w:rPr>
        <w:t>＞4cm，</w:t>
      </w:r>
      <w:r>
        <w:rPr>
          <w:w w:val="95"/>
          <w:position w:val="1"/>
          <w:sz w:val="20"/>
        </w:rPr>
        <w:t>局</w:t>
      </w:r>
      <w:r>
        <w:rPr>
          <w:w w:val="95"/>
          <w:position w:val="1"/>
          <w:sz w:val="20"/>
        </w:rPr>
        <w:t>限</w:t>
      </w:r>
      <w:r>
        <w:rPr>
          <w:w w:val="95"/>
          <w:position w:val="1"/>
          <w:sz w:val="20"/>
        </w:rPr>
        <w:t>于</w:t>
      </w:r>
      <w:r>
        <w:rPr>
          <w:w w:val="95"/>
          <w:position w:val="1"/>
          <w:sz w:val="20"/>
        </w:rPr>
        <w:t>甲</w:t>
      </w:r>
      <w:r>
        <w:rPr>
          <w:w w:val="95"/>
          <w:position w:val="1"/>
          <w:sz w:val="20"/>
        </w:rPr>
        <w:t>状</w:t>
      </w:r>
      <w:r>
        <w:rPr>
          <w:spacing w:val="-5"/>
          <w:w w:val="95"/>
          <w:position w:val="1"/>
          <w:sz w:val="20"/>
        </w:rPr>
        <w:t>腺内</w:t>
      </w:r>
    </w:p>
    <w:p>
      <w:pPr>
        <w:spacing w:before="3"/>
        <w:ind w:left="979" w:right="0" w:firstLine="0"/>
        <w:jc w:val="left"/>
        <w:rPr>
          <w:sz w:val="20"/>
        </w:rPr>
      </w:pPr>
      <w:r>
        <w:rPr>
          <w:w w:val="95"/>
          <w:position w:val="1"/>
          <w:sz w:val="20"/>
        </w:rPr>
        <w:t>pT</w:t>
      </w:r>
      <w:r>
        <w:rPr>
          <w:w w:val="95"/>
          <w:sz w:val="10"/>
        </w:rPr>
        <w:t>3b</w:t>
      </w:r>
      <w:r>
        <w:rPr>
          <w:w w:val="95"/>
          <w:position w:val="1"/>
          <w:sz w:val="20"/>
        </w:rPr>
        <w:t>：</w:t>
      </w:r>
      <w:r>
        <w:rPr>
          <w:spacing w:val="16"/>
          <w:position w:val="1"/>
          <w:sz w:val="20"/>
        </w:rPr>
        <w:t>  </w:t>
      </w:r>
      <w:r>
        <w:rPr>
          <w:w w:val="95"/>
          <w:position w:val="1"/>
          <w:sz w:val="20"/>
        </w:rPr>
        <w:t>大</w:t>
      </w:r>
      <w:r>
        <w:rPr>
          <w:w w:val="95"/>
          <w:position w:val="1"/>
          <w:sz w:val="20"/>
        </w:rPr>
        <w:t>体</w:t>
      </w:r>
      <w:r>
        <w:rPr>
          <w:w w:val="95"/>
          <w:position w:val="1"/>
          <w:sz w:val="20"/>
        </w:rPr>
        <w:t>侵</w:t>
      </w:r>
      <w:r>
        <w:rPr>
          <w:w w:val="95"/>
          <w:position w:val="1"/>
          <w:sz w:val="20"/>
        </w:rPr>
        <w:t>犯</w:t>
      </w:r>
      <w:r>
        <w:rPr>
          <w:w w:val="95"/>
          <w:position w:val="1"/>
          <w:sz w:val="20"/>
        </w:rPr>
        <w:t>甲</w:t>
      </w:r>
      <w:r>
        <w:rPr>
          <w:w w:val="95"/>
          <w:position w:val="1"/>
          <w:sz w:val="20"/>
        </w:rPr>
        <w:t>状</w:t>
      </w:r>
      <w:r>
        <w:rPr>
          <w:w w:val="95"/>
          <w:position w:val="1"/>
          <w:sz w:val="20"/>
        </w:rPr>
        <w:t>腺</w:t>
      </w:r>
      <w:r>
        <w:rPr>
          <w:w w:val="95"/>
          <w:position w:val="1"/>
          <w:sz w:val="20"/>
        </w:rPr>
        <w:t>外</w:t>
      </w:r>
      <w:r>
        <w:rPr>
          <w:w w:val="95"/>
          <w:position w:val="1"/>
          <w:sz w:val="20"/>
        </w:rPr>
        <w:t>带</w:t>
      </w:r>
      <w:r>
        <w:rPr>
          <w:w w:val="95"/>
          <w:position w:val="1"/>
          <w:sz w:val="20"/>
        </w:rPr>
        <w:t>状肌，</w:t>
      </w:r>
      <w:r>
        <w:rPr>
          <w:w w:val="95"/>
          <w:position w:val="1"/>
          <w:sz w:val="20"/>
        </w:rPr>
        <w:t>无</w:t>
      </w:r>
      <w:r>
        <w:rPr>
          <w:w w:val="95"/>
          <w:position w:val="1"/>
          <w:sz w:val="20"/>
        </w:rPr>
        <w:t>论</w:t>
      </w:r>
      <w:r>
        <w:rPr>
          <w:w w:val="95"/>
          <w:position w:val="1"/>
          <w:sz w:val="20"/>
        </w:rPr>
        <w:t>肿</w:t>
      </w:r>
      <w:r>
        <w:rPr>
          <w:w w:val="95"/>
          <w:position w:val="1"/>
          <w:sz w:val="20"/>
        </w:rPr>
        <w:t>瘤</w:t>
      </w:r>
      <w:r>
        <w:rPr>
          <w:w w:val="95"/>
          <w:position w:val="1"/>
          <w:sz w:val="20"/>
        </w:rPr>
        <w:t>大</w:t>
      </w:r>
      <w:r>
        <w:rPr>
          <w:spacing w:val="-10"/>
          <w:w w:val="95"/>
          <w:position w:val="1"/>
          <w:sz w:val="20"/>
        </w:rPr>
        <w:t>小</w:t>
      </w:r>
    </w:p>
    <w:p>
      <w:pPr>
        <w:spacing w:before="3"/>
        <w:ind w:left="1546" w:right="0" w:firstLine="0"/>
        <w:jc w:val="left"/>
        <w:rPr>
          <w:sz w:val="20"/>
        </w:rPr>
      </w:pPr>
      <w:r>
        <w:rPr>
          <w:w w:val="95"/>
          <w:sz w:val="20"/>
        </w:rPr>
        <w:t>带</w:t>
      </w:r>
      <w:r>
        <w:rPr>
          <w:w w:val="95"/>
          <w:sz w:val="20"/>
        </w:rPr>
        <w:t>状</w:t>
      </w:r>
      <w:r>
        <w:rPr>
          <w:w w:val="95"/>
          <w:sz w:val="20"/>
        </w:rPr>
        <w:t>肌</w:t>
      </w:r>
      <w:r>
        <w:rPr>
          <w:w w:val="95"/>
          <w:sz w:val="20"/>
        </w:rPr>
        <w:t>包</w:t>
      </w:r>
      <w:r>
        <w:rPr>
          <w:w w:val="95"/>
          <w:sz w:val="20"/>
        </w:rPr>
        <w:t>括</w:t>
      </w:r>
      <w:r>
        <w:rPr>
          <w:w w:val="95"/>
          <w:sz w:val="20"/>
        </w:rPr>
        <w:t>：胸</w:t>
      </w:r>
      <w:r>
        <w:rPr>
          <w:w w:val="95"/>
          <w:sz w:val="20"/>
        </w:rPr>
        <w:t>骨</w:t>
      </w:r>
      <w:r>
        <w:rPr>
          <w:w w:val="95"/>
          <w:sz w:val="20"/>
        </w:rPr>
        <w:t>舌</w:t>
      </w:r>
      <w:r>
        <w:rPr>
          <w:w w:val="95"/>
          <w:sz w:val="20"/>
        </w:rPr>
        <w:t>骨肌、</w:t>
      </w:r>
      <w:r>
        <w:rPr>
          <w:w w:val="95"/>
          <w:sz w:val="20"/>
        </w:rPr>
        <w:t>胸</w:t>
      </w:r>
      <w:r>
        <w:rPr>
          <w:w w:val="95"/>
          <w:sz w:val="20"/>
        </w:rPr>
        <w:t>骨</w:t>
      </w:r>
      <w:r>
        <w:rPr>
          <w:w w:val="95"/>
          <w:sz w:val="20"/>
        </w:rPr>
        <w:t>甲</w:t>
      </w:r>
      <w:r>
        <w:rPr>
          <w:w w:val="95"/>
          <w:sz w:val="20"/>
        </w:rPr>
        <w:t>状</w:t>
      </w:r>
      <w:r>
        <w:rPr>
          <w:w w:val="95"/>
          <w:sz w:val="20"/>
        </w:rPr>
        <w:t>肌</w:t>
      </w:r>
      <w:r>
        <w:rPr>
          <w:w w:val="95"/>
          <w:sz w:val="20"/>
        </w:rPr>
        <w:t>、</w:t>
      </w:r>
      <w:r>
        <w:rPr>
          <w:w w:val="95"/>
          <w:sz w:val="20"/>
        </w:rPr>
        <w:t>甲</w:t>
      </w:r>
      <w:r>
        <w:rPr>
          <w:w w:val="95"/>
          <w:sz w:val="20"/>
        </w:rPr>
        <w:t>状</w:t>
      </w:r>
      <w:r>
        <w:rPr>
          <w:w w:val="95"/>
          <w:sz w:val="20"/>
        </w:rPr>
        <w:t>舌</w:t>
      </w:r>
      <w:r>
        <w:rPr>
          <w:w w:val="95"/>
          <w:sz w:val="20"/>
        </w:rPr>
        <w:t>骨肌、</w:t>
      </w:r>
      <w:r>
        <w:rPr>
          <w:w w:val="95"/>
          <w:sz w:val="20"/>
        </w:rPr>
        <w:t>肩</w:t>
      </w:r>
      <w:r>
        <w:rPr>
          <w:w w:val="95"/>
          <w:sz w:val="20"/>
        </w:rPr>
        <w:t>胛</w:t>
      </w:r>
      <w:r>
        <w:rPr>
          <w:w w:val="95"/>
          <w:sz w:val="20"/>
        </w:rPr>
        <w:t>舌</w:t>
      </w:r>
      <w:r>
        <w:rPr>
          <w:spacing w:val="-5"/>
          <w:w w:val="95"/>
          <w:sz w:val="20"/>
        </w:rPr>
        <w:t>骨肌</w:t>
      </w:r>
    </w:p>
    <w:p>
      <w:pPr>
        <w:spacing w:before="3"/>
        <w:ind w:left="979" w:right="0" w:firstLine="0"/>
        <w:jc w:val="left"/>
        <w:rPr>
          <w:sz w:val="20"/>
        </w:rPr>
      </w:pPr>
      <w:r>
        <w:rPr>
          <w:position w:val="1"/>
          <w:sz w:val="20"/>
        </w:rPr>
        <w:t>pT</w:t>
      </w:r>
      <w:r>
        <w:rPr>
          <w:sz w:val="10"/>
        </w:rPr>
        <w:t>4</w:t>
      </w:r>
      <w:r>
        <w:rPr>
          <w:spacing w:val="2"/>
          <w:position w:val="1"/>
          <w:sz w:val="20"/>
        </w:rPr>
        <w:t>： 进</w:t>
      </w:r>
      <w:r>
        <w:rPr>
          <w:position w:val="1"/>
          <w:sz w:val="20"/>
        </w:rPr>
        <w:t>展</w:t>
      </w:r>
      <w:r>
        <w:rPr>
          <w:position w:val="1"/>
          <w:sz w:val="20"/>
        </w:rPr>
        <w:t>期</w:t>
      </w:r>
      <w:r>
        <w:rPr>
          <w:spacing w:val="-5"/>
          <w:position w:val="1"/>
          <w:sz w:val="20"/>
        </w:rPr>
        <w:t>病变</w:t>
      </w:r>
    </w:p>
    <w:p>
      <w:pPr>
        <w:spacing w:line="242" w:lineRule="auto" w:before="2"/>
        <w:ind w:left="1546" w:right="607" w:hanging="567"/>
        <w:jc w:val="left"/>
        <w:rPr>
          <w:sz w:val="20"/>
        </w:rPr>
      </w:pPr>
      <w:r>
        <w:rPr>
          <w:spacing w:val="1"/>
          <w:w w:val="99"/>
          <w:position w:val="1"/>
          <w:sz w:val="20"/>
        </w:rPr>
        <w:t>pT</w:t>
      </w:r>
      <w:r>
        <w:rPr>
          <w:w w:val="100"/>
          <w:sz w:val="10"/>
        </w:rPr>
        <w:t>4</w:t>
      </w:r>
      <w:r>
        <w:rPr>
          <w:spacing w:val="-1"/>
          <w:w w:val="100"/>
          <w:sz w:val="10"/>
        </w:rPr>
        <w:t>a</w:t>
      </w:r>
      <w:r>
        <w:rPr>
          <w:w w:val="99"/>
          <w:position w:val="1"/>
          <w:sz w:val="20"/>
        </w:rPr>
        <w:t>：</w:t>
      </w:r>
      <w:r>
        <w:rPr>
          <w:spacing w:val="-36"/>
          <w:position w:val="1"/>
          <w:sz w:val="20"/>
        </w:rPr>
        <w:t> </w:t>
      </w:r>
      <w:r>
        <w:rPr>
          <w:spacing w:val="-9"/>
          <w:w w:val="99"/>
          <w:position w:val="1"/>
          <w:sz w:val="20"/>
        </w:rPr>
        <w:t>中度进展，任何大小的肿瘤，侵犯甲状腺外颈部周围器官和软组织，如喉、气管、食管、喉反神经及</w:t>
      </w:r>
      <w:r>
        <w:rPr>
          <w:spacing w:val="-6"/>
          <w:w w:val="99"/>
          <w:sz w:val="20"/>
        </w:rPr>
        <w:t>皮下软组织</w:t>
      </w:r>
    </w:p>
    <w:p>
      <w:pPr>
        <w:spacing w:line="192" w:lineRule="auto" w:before="46"/>
        <w:ind w:left="979" w:right="3103" w:firstLine="0"/>
        <w:jc w:val="left"/>
        <w:rPr>
          <w:rFonts w:ascii="微软雅黑" w:eastAsia="微软雅黑"/>
          <w:b/>
          <w:sz w:val="20"/>
        </w:rPr>
      </w:pPr>
      <w:r>
        <w:rPr>
          <w:spacing w:val="1"/>
          <w:w w:val="99"/>
          <w:position w:val="1"/>
          <w:sz w:val="20"/>
        </w:rPr>
        <w:t>pT</w:t>
      </w:r>
      <w:r>
        <w:rPr>
          <w:w w:val="100"/>
          <w:sz w:val="10"/>
        </w:rPr>
        <w:t>4</w:t>
      </w:r>
      <w:r>
        <w:rPr>
          <w:spacing w:val="-1"/>
          <w:w w:val="100"/>
          <w:sz w:val="10"/>
        </w:rPr>
        <w:t>b</w:t>
      </w:r>
      <w:r>
        <w:rPr>
          <w:w w:val="99"/>
          <w:position w:val="1"/>
          <w:sz w:val="20"/>
        </w:rPr>
        <w:t>：</w:t>
      </w:r>
      <w:r>
        <w:rPr>
          <w:spacing w:val="-36"/>
          <w:position w:val="1"/>
          <w:sz w:val="20"/>
        </w:rPr>
        <w:t> </w:t>
      </w:r>
      <w:r>
        <w:rPr>
          <w:spacing w:val="-1"/>
          <w:w w:val="99"/>
          <w:position w:val="1"/>
          <w:sz w:val="20"/>
        </w:rPr>
        <w:t>重度进展，任何大小的肿瘤，侵犯椎前筋膜，或包裹颈动脉、纵隔血管</w:t>
      </w:r>
      <w:r>
        <w:rPr>
          <w:rFonts w:ascii="微软雅黑" w:eastAsia="微软雅黑"/>
          <w:b/>
          <w:w w:val="99"/>
          <w:sz w:val="20"/>
        </w:rPr>
        <w:t>区域淋巴结：适用于所有甲状腺癌</w:t>
      </w:r>
    </w:p>
    <w:p>
      <w:pPr>
        <w:spacing w:after="0" w:line="192" w:lineRule="auto"/>
        <w:jc w:val="left"/>
        <w:rPr>
          <w:rFonts w:ascii="微软雅黑" w:eastAsia="微软雅黑"/>
          <w:sz w:val="20"/>
        </w:rPr>
        <w:sectPr>
          <w:type w:val="continuous"/>
          <w:pgSz w:w="11910" w:h="16840"/>
          <w:pgMar w:header="0" w:footer="574" w:top="380" w:bottom="760" w:left="720" w:right="340"/>
        </w:sectPr>
      </w:pPr>
    </w:p>
    <w:p>
      <w:pPr>
        <w:spacing w:line="242" w:lineRule="auto" w:before="0"/>
        <w:ind w:left="979" w:right="0" w:firstLine="0"/>
        <w:jc w:val="both"/>
        <w:rPr>
          <w:sz w:val="20"/>
        </w:rPr>
      </w:pPr>
      <w:r>
        <w:rPr>
          <w:spacing w:val="-4"/>
          <w:w w:val="95"/>
          <w:position w:val="1"/>
          <w:sz w:val="20"/>
        </w:rPr>
        <w:t>pN</w:t>
      </w:r>
      <w:r>
        <w:rPr>
          <w:spacing w:val="-4"/>
          <w:w w:val="95"/>
          <w:sz w:val="10"/>
        </w:rPr>
        <w:t>x</w:t>
      </w:r>
      <w:r>
        <w:rPr>
          <w:spacing w:val="-4"/>
          <w:w w:val="95"/>
          <w:position w:val="1"/>
          <w:sz w:val="20"/>
        </w:rPr>
        <w:t>： pN</w:t>
      </w:r>
      <w:r>
        <w:rPr>
          <w:spacing w:val="-4"/>
          <w:w w:val="95"/>
          <w:sz w:val="10"/>
        </w:rPr>
        <w:t>0</w:t>
      </w:r>
      <w:r>
        <w:rPr>
          <w:spacing w:val="-4"/>
          <w:w w:val="95"/>
          <w:position w:val="1"/>
          <w:sz w:val="20"/>
        </w:rPr>
        <w:t>： pN</w:t>
      </w:r>
      <w:r>
        <w:rPr>
          <w:spacing w:val="-4"/>
          <w:w w:val="95"/>
          <w:sz w:val="10"/>
        </w:rPr>
        <w:t>1</w:t>
      </w:r>
      <w:r>
        <w:rPr>
          <w:spacing w:val="-4"/>
          <w:w w:val="95"/>
          <w:position w:val="1"/>
          <w:sz w:val="20"/>
        </w:rPr>
        <w:t>：</w:t>
      </w:r>
    </w:p>
    <w:p>
      <w:pPr>
        <w:spacing w:line="242" w:lineRule="auto" w:before="0"/>
        <w:ind w:left="75" w:right="7501" w:firstLine="0"/>
        <w:jc w:val="left"/>
        <w:rPr>
          <w:sz w:val="20"/>
        </w:rPr>
      </w:pPr>
      <w:r>
        <w:rPr/>
        <w:br w:type="column"/>
      </w:r>
      <w:r>
        <w:rPr>
          <w:spacing w:val="-2"/>
          <w:sz w:val="20"/>
        </w:rPr>
        <w:t>区</w:t>
      </w:r>
      <w:r>
        <w:rPr>
          <w:spacing w:val="-2"/>
          <w:sz w:val="20"/>
        </w:rPr>
        <w:t>域</w:t>
      </w:r>
      <w:r>
        <w:rPr>
          <w:spacing w:val="-2"/>
          <w:sz w:val="20"/>
        </w:rPr>
        <w:t>淋</w:t>
      </w:r>
      <w:r>
        <w:rPr>
          <w:spacing w:val="-2"/>
          <w:sz w:val="20"/>
        </w:rPr>
        <w:t>巴</w:t>
      </w:r>
      <w:r>
        <w:rPr>
          <w:spacing w:val="-2"/>
          <w:sz w:val="20"/>
        </w:rPr>
        <w:t>结</w:t>
      </w:r>
      <w:r>
        <w:rPr>
          <w:spacing w:val="-2"/>
          <w:sz w:val="20"/>
        </w:rPr>
        <w:t>无</w:t>
      </w:r>
      <w:r>
        <w:rPr>
          <w:spacing w:val="-2"/>
          <w:sz w:val="20"/>
        </w:rPr>
        <w:t>法评估</w:t>
      </w:r>
      <w:r>
        <w:rPr>
          <w:spacing w:val="-2"/>
          <w:sz w:val="20"/>
        </w:rPr>
        <w:t>无</w:t>
      </w:r>
      <w:r>
        <w:rPr>
          <w:spacing w:val="-2"/>
          <w:sz w:val="20"/>
        </w:rPr>
        <w:t>淋</w:t>
      </w:r>
      <w:r>
        <w:rPr>
          <w:spacing w:val="-2"/>
          <w:sz w:val="20"/>
        </w:rPr>
        <w:t>巴</w:t>
      </w:r>
      <w:r>
        <w:rPr>
          <w:spacing w:val="-2"/>
          <w:sz w:val="20"/>
        </w:rPr>
        <w:t>结</w:t>
      </w:r>
      <w:r>
        <w:rPr>
          <w:spacing w:val="-2"/>
          <w:sz w:val="20"/>
        </w:rPr>
        <w:t>转</w:t>
      </w:r>
      <w:r>
        <w:rPr>
          <w:spacing w:val="-2"/>
          <w:sz w:val="20"/>
        </w:rPr>
        <w:t>移</w:t>
      </w:r>
      <w:r>
        <w:rPr>
          <w:spacing w:val="-2"/>
          <w:sz w:val="20"/>
        </w:rPr>
        <w:t>证据 </w:t>
      </w:r>
      <w:r>
        <w:rPr>
          <w:spacing w:val="-2"/>
          <w:sz w:val="20"/>
        </w:rPr>
        <w:t>区</w:t>
      </w:r>
      <w:r>
        <w:rPr>
          <w:spacing w:val="-2"/>
          <w:sz w:val="20"/>
        </w:rPr>
        <w:t>域</w:t>
      </w:r>
      <w:r>
        <w:rPr>
          <w:spacing w:val="-2"/>
          <w:sz w:val="20"/>
        </w:rPr>
        <w:t>淋</w:t>
      </w:r>
      <w:r>
        <w:rPr>
          <w:spacing w:val="-2"/>
          <w:sz w:val="20"/>
        </w:rPr>
        <w:t>巴</w:t>
      </w:r>
      <w:r>
        <w:rPr>
          <w:spacing w:val="-2"/>
          <w:sz w:val="20"/>
        </w:rPr>
        <w:t>结</w:t>
      </w:r>
      <w:r>
        <w:rPr>
          <w:spacing w:val="-2"/>
          <w:sz w:val="20"/>
        </w:rPr>
        <w:t>转</w:t>
      </w:r>
      <w:r>
        <w:rPr>
          <w:spacing w:val="-2"/>
          <w:sz w:val="20"/>
        </w:rPr>
        <w:t>移</w:t>
      </w:r>
    </w:p>
    <w:p>
      <w:pPr>
        <w:spacing w:after="0" w:line="242" w:lineRule="auto"/>
        <w:jc w:val="left"/>
        <w:rPr>
          <w:sz w:val="20"/>
        </w:rPr>
        <w:sectPr>
          <w:type w:val="continuous"/>
          <w:pgSz w:w="11910" w:h="16840"/>
          <w:pgMar w:header="0" w:footer="574" w:top="380" w:bottom="760" w:left="720" w:right="340"/>
          <w:cols w:num="2" w:equalWidth="0">
            <w:col w:w="1431" w:space="40"/>
            <w:col w:w="9379"/>
          </w:cols>
        </w:sectPr>
      </w:pPr>
    </w:p>
    <w:p>
      <w:pPr>
        <w:spacing w:line="244" w:lineRule="auto" w:before="55"/>
        <w:ind w:left="979" w:right="701" w:firstLine="0"/>
        <w:jc w:val="left"/>
        <w:rPr>
          <w:sz w:val="20"/>
        </w:rPr>
      </w:pPr>
      <w:r>
        <w:rPr>
          <w:position w:val="1"/>
          <w:sz w:val="20"/>
        </w:rPr>
        <w:t>pN</w:t>
      </w:r>
      <w:r>
        <w:rPr>
          <w:sz w:val="10"/>
        </w:rPr>
        <w:t>1a</w:t>
      </w:r>
      <w:r>
        <w:rPr>
          <w:spacing w:val="-13"/>
          <w:position w:val="1"/>
          <w:sz w:val="20"/>
        </w:rPr>
        <w:t>： 转</w:t>
      </w:r>
      <w:r>
        <w:rPr>
          <w:position w:val="1"/>
          <w:sz w:val="20"/>
        </w:rPr>
        <w:t>移</w:t>
      </w:r>
      <w:r>
        <w:rPr>
          <w:position w:val="1"/>
          <w:sz w:val="20"/>
        </w:rPr>
        <w:t>至</w:t>
      </w:r>
      <w:r>
        <w:rPr>
          <w:position w:val="1"/>
          <w:sz w:val="20"/>
        </w:rPr>
        <w:t>Ⅵ</w:t>
      </w:r>
      <w:r>
        <w:rPr>
          <w:position w:val="1"/>
          <w:sz w:val="20"/>
        </w:rPr>
        <w:t>、</w:t>
      </w:r>
      <w:r>
        <w:rPr>
          <w:position w:val="1"/>
          <w:sz w:val="20"/>
        </w:rPr>
        <w:t>Ⅶ区（</w:t>
      </w:r>
      <w:r>
        <w:rPr>
          <w:position w:val="1"/>
          <w:sz w:val="20"/>
        </w:rPr>
        <w:t>包</w:t>
      </w:r>
      <w:r>
        <w:rPr>
          <w:position w:val="1"/>
          <w:sz w:val="20"/>
        </w:rPr>
        <w:t>括气管</w:t>
      </w:r>
      <w:r>
        <w:rPr>
          <w:position w:val="1"/>
          <w:sz w:val="20"/>
        </w:rPr>
        <w:t>旁</w:t>
      </w:r>
      <w:r>
        <w:rPr>
          <w:position w:val="1"/>
          <w:sz w:val="20"/>
        </w:rPr>
        <w:t>、</w:t>
      </w:r>
      <w:r>
        <w:rPr>
          <w:position w:val="1"/>
          <w:sz w:val="20"/>
        </w:rPr>
        <w:t>气</w:t>
      </w:r>
      <w:r>
        <w:rPr>
          <w:position w:val="1"/>
          <w:sz w:val="20"/>
        </w:rPr>
        <w:t>管</w:t>
      </w:r>
      <w:r>
        <w:rPr>
          <w:position w:val="1"/>
          <w:sz w:val="20"/>
        </w:rPr>
        <w:t>前</w:t>
      </w:r>
      <w:r>
        <w:rPr>
          <w:position w:val="1"/>
          <w:sz w:val="20"/>
        </w:rPr>
        <w:t>、</w:t>
      </w:r>
      <w:r>
        <w:rPr>
          <w:position w:val="1"/>
          <w:sz w:val="20"/>
        </w:rPr>
        <w:t>喉</w:t>
      </w:r>
      <w:r>
        <w:rPr>
          <w:position w:val="1"/>
          <w:sz w:val="20"/>
        </w:rPr>
        <w:t>前</w:t>
      </w:r>
      <w:r>
        <w:rPr>
          <w:position w:val="1"/>
          <w:sz w:val="20"/>
        </w:rPr>
        <w:t>/Delphian</w:t>
      </w:r>
      <w:r>
        <w:rPr>
          <w:spacing w:val="-13"/>
          <w:position w:val="1"/>
          <w:sz w:val="20"/>
        </w:rPr>
        <w:t> 或</w:t>
      </w:r>
      <w:r>
        <w:rPr>
          <w:position w:val="1"/>
          <w:sz w:val="20"/>
        </w:rPr>
        <w:t>上</w:t>
      </w:r>
      <w:r>
        <w:rPr>
          <w:position w:val="1"/>
          <w:sz w:val="20"/>
        </w:rPr>
        <w:t>纵</w:t>
      </w:r>
      <w:r>
        <w:rPr>
          <w:position w:val="1"/>
          <w:sz w:val="20"/>
        </w:rPr>
        <w:t>隔</w:t>
      </w:r>
      <w:r>
        <w:rPr>
          <w:position w:val="1"/>
          <w:sz w:val="20"/>
        </w:rPr>
        <w:t>）淋</w:t>
      </w:r>
      <w:r>
        <w:rPr>
          <w:position w:val="1"/>
          <w:sz w:val="20"/>
        </w:rPr>
        <w:t>巴</w:t>
      </w:r>
      <w:r>
        <w:rPr>
          <w:position w:val="1"/>
          <w:sz w:val="20"/>
        </w:rPr>
        <w:t>结</w:t>
      </w:r>
      <w:r>
        <w:rPr>
          <w:position w:val="1"/>
          <w:sz w:val="20"/>
        </w:rPr>
        <w:t>，可以</w:t>
      </w:r>
      <w:r>
        <w:rPr>
          <w:position w:val="1"/>
          <w:sz w:val="20"/>
        </w:rPr>
        <w:t>为</w:t>
      </w:r>
      <w:r>
        <w:rPr>
          <w:position w:val="1"/>
          <w:sz w:val="20"/>
        </w:rPr>
        <w:t>单</w:t>
      </w:r>
      <w:r>
        <w:rPr>
          <w:position w:val="1"/>
          <w:sz w:val="20"/>
        </w:rPr>
        <w:t>侧</w:t>
      </w:r>
      <w:r>
        <w:rPr>
          <w:position w:val="1"/>
          <w:sz w:val="20"/>
        </w:rPr>
        <w:t>或</w:t>
      </w:r>
      <w:r>
        <w:rPr>
          <w:position w:val="1"/>
          <w:sz w:val="20"/>
        </w:rPr>
        <w:t>双</w:t>
      </w:r>
      <w:r>
        <w:rPr>
          <w:position w:val="1"/>
          <w:sz w:val="20"/>
        </w:rPr>
        <w:t>侧</w:t>
      </w:r>
      <w:r>
        <w:rPr>
          <w:position w:val="1"/>
          <w:sz w:val="20"/>
        </w:rPr>
        <w:t>。</w:t>
      </w:r>
      <w:r>
        <w:rPr>
          <w:position w:val="1"/>
          <w:sz w:val="20"/>
        </w:rPr>
        <w:t> pN</w:t>
      </w:r>
      <w:r>
        <w:rPr>
          <w:sz w:val="10"/>
        </w:rPr>
        <w:t>1b</w:t>
      </w:r>
      <w:r>
        <w:rPr>
          <w:spacing w:val="-5"/>
          <w:position w:val="1"/>
          <w:sz w:val="20"/>
        </w:rPr>
        <w:t>： 单</w:t>
      </w:r>
      <w:r>
        <w:rPr>
          <w:position w:val="1"/>
          <w:sz w:val="20"/>
        </w:rPr>
        <w:t>侧</w:t>
      </w:r>
      <w:r>
        <w:rPr>
          <w:position w:val="1"/>
          <w:sz w:val="20"/>
        </w:rPr>
        <w:t>、</w:t>
      </w:r>
      <w:r>
        <w:rPr>
          <w:position w:val="1"/>
          <w:sz w:val="20"/>
        </w:rPr>
        <w:t>双</w:t>
      </w:r>
      <w:r>
        <w:rPr>
          <w:position w:val="1"/>
          <w:sz w:val="20"/>
        </w:rPr>
        <w:t>侧</w:t>
      </w:r>
      <w:r>
        <w:rPr>
          <w:position w:val="1"/>
          <w:sz w:val="20"/>
        </w:rPr>
        <w:t>或</w:t>
      </w:r>
      <w:r>
        <w:rPr>
          <w:position w:val="1"/>
          <w:sz w:val="20"/>
        </w:rPr>
        <w:t>对</w:t>
      </w:r>
      <w:r>
        <w:rPr>
          <w:position w:val="1"/>
          <w:sz w:val="20"/>
        </w:rPr>
        <w:t>侧</w:t>
      </w:r>
      <w:r>
        <w:rPr>
          <w:position w:val="1"/>
          <w:sz w:val="20"/>
        </w:rPr>
        <w:t>颈</w:t>
      </w:r>
      <w:r>
        <w:rPr>
          <w:position w:val="1"/>
          <w:sz w:val="20"/>
        </w:rPr>
        <w:t>淋巴结</w:t>
      </w:r>
      <w:r>
        <w:rPr>
          <w:position w:val="1"/>
          <w:sz w:val="20"/>
        </w:rPr>
        <w:t>转</w:t>
      </w:r>
      <w:r>
        <w:rPr>
          <w:position w:val="1"/>
          <w:sz w:val="20"/>
        </w:rPr>
        <w:t>移</w:t>
      </w:r>
      <w:r>
        <w:rPr>
          <w:position w:val="1"/>
          <w:sz w:val="20"/>
        </w:rPr>
        <w:t>（包</w:t>
      </w:r>
      <w:r>
        <w:rPr>
          <w:position w:val="1"/>
          <w:sz w:val="20"/>
        </w:rPr>
        <w:t>括</w:t>
      </w:r>
      <w:r>
        <w:rPr>
          <w:position w:val="1"/>
          <w:sz w:val="20"/>
        </w:rPr>
        <w:t>Ⅰ、Ⅱ</w:t>
      </w:r>
      <w:r>
        <w:rPr>
          <w:position w:val="1"/>
          <w:sz w:val="20"/>
        </w:rPr>
        <w:t>、</w:t>
      </w:r>
      <w:r>
        <w:rPr>
          <w:position w:val="1"/>
          <w:sz w:val="20"/>
        </w:rPr>
        <w:t>Ⅲ、Ⅳ</w:t>
      </w:r>
      <w:r>
        <w:rPr>
          <w:position w:val="1"/>
          <w:sz w:val="20"/>
        </w:rPr>
        <w:t>或</w:t>
      </w:r>
      <w:r>
        <w:rPr>
          <w:position w:val="1"/>
          <w:sz w:val="20"/>
        </w:rPr>
        <w:t>Ⅴ</w:t>
      </w:r>
      <w:r>
        <w:rPr>
          <w:position w:val="1"/>
          <w:sz w:val="20"/>
        </w:rPr>
        <w:t>区</w:t>
      </w:r>
      <w:r>
        <w:rPr>
          <w:position w:val="1"/>
          <w:sz w:val="20"/>
        </w:rPr>
        <w:t>）</w:t>
      </w:r>
      <w:r>
        <w:rPr>
          <w:position w:val="1"/>
          <w:sz w:val="20"/>
        </w:rPr>
        <w:t>淋</w:t>
      </w:r>
      <w:r>
        <w:rPr>
          <w:position w:val="1"/>
          <w:sz w:val="20"/>
        </w:rPr>
        <w:t>巴</w:t>
      </w:r>
      <w:r>
        <w:rPr>
          <w:position w:val="1"/>
          <w:sz w:val="20"/>
        </w:rPr>
        <w:t>结</w:t>
      </w:r>
      <w:r>
        <w:rPr>
          <w:position w:val="1"/>
          <w:sz w:val="20"/>
        </w:rPr>
        <w:t>或</w:t>
      </w:r>
      <w:r>
        <w:rPr>
          <w:position w:val="1"/>
          <w:sz w:val="20"/>
        </w:rPr>
        <w:t>咽</w:t>
      </w:r>
      <w:r>
        <w:rPr>
          <w:position w:val="1"/>
          <w:sz w:val="20"/>
        </w:rPr>
        <w:t>后淋巴</w:t>
      </w:r>
      <w:r>
        <w:rPr>
          <w:position w:val="1"/>
          <w:sz w:val="20"/>
        </w:rPr>
        <w:t>结</w:t>
      </w:r>
      <w:r>
        <w:rPr>
          <w:position w:val="1"/>
          <w:sz w:val="20"/>
        </w:rPr>
        <w:t>转</w:t>
      </w:r>
      <w:r>
        <w:rPr>
          <w:position w:val="1"/>
          <w:sz w:val="20"/>
        </w:rPr>
        <w:t>移</w:t>
      </w:r>
      <w:r>
        <w:rPr>
          <w:position w:val="1"/>
          <w:sz w:val="20"/>
        </w:rPr>
        <w:t>。</w:t>
      </w:r>
    </w:p>
    <w:p>
      <w:pPr>
        <w:spacing w:line="299" w:lineRule="exact" w:before="0"/>
        <w:ind w:left="979" w:right="0" w:firstLine="0"/>
        <w:jc w:val="left"/>
        <w:rPr>
          <w:rFonts w:ascii="微软雅黑" w:eastAsia="微软雅黑"/>
          <w:b/>
          <w:sz w:val="20"/>
        </w:rPr>
      </w:pPr>
      <w:r>
        <w:rPr>
          <w:rFonts w:ascii="微软雅黑" w:eastAsia="微软雅黑"/>
          <w:b/>
          <w:w w:val="95"/>
          <w:sz w:val="20"/>
        </w:rPr>
        <w:t>远</w:t>
      </w:r>
      <w:r>
        <w:rPr>
          <w:rFonts w:ascii="微软雅黑" w:eastAsia="微软雅黑"/>
          <w:b/>
          <w:w w:val="95"/>
          <w:sz w:val="20"/>
        </w:rPr>
        <w:t>处</w:t>
      </w:r>
      <w:r>
        <w:rPr>
          <w:rFonts w:ascii="微软雅黑" w:eastAsia="微软雅黑"/>
          <w:b/>
          <w:w w:val="95"/>
          <w:sz w:val="20"/>
        </w:rPr>
        <w:t>转</w:t>
      </w:r>
      <w:r>
        <w:rPr>
          <w:rFonts w:ascii="微软雅黑" w:eastAsia="微软雅黑"/>
          <w:b/>
          <w:w w:val="95"/>
          <w:sz w:val="20"/>
        </w:rPr>
        <w:t>移：</w:t>
      </w:r>
      <w:r>
        <w:rPr>
          <w:rFonts w:ascii="微软雅黑" w:eastAsia="微软雅黑"/>
          <w:b/>
          <w:w w:val="95"/>
          <w:sz w:val="20"/>
        </w:rPr>
        <w:t>适</w:t>
      </w:r>
      <w:r>
        <w:rPr>
          <w:rFonts w:ascii="微软雅黑" w:eastAsia="微软雅黑"/>
          <w:b/>
          <w:w w:val="95"/>
          <w:sz w:val="20"/>
        </w:rPr>
        <w:t>用</w:t>
      </w:r>
      <w:r>
        <w:rPr>
          <w:rFonts w:ascii="微软雅黑" w:eastAsia="微软雅黑"/>
          <w:b/>
          <w:w w:val="95"/>
          <w:sz w:val="20"/>
        </w:rPr>
        <w:t>于</w:t>
      </w:r>
      <w:r>
        <w:rPr>
          <w:rFonts w:ascii="微软雅黑" w:eastAsia="微软雅黑"/>
          <w:b/>
          <w:w w:val="95"/>
          <w:sz w:val="20"/>
        </w:rPr>
        <w:t>所</w:t>
      </w:r>
      <w:r>
        <w:rPr>
          <w:rFonts w:ascii="微软雅黑" w:eastAsia="微软雅黑"/>
          <w:b/>
          <w:spacing w:val="-2"/>
          <w:w w:val="95"/>
          <w:sz w:val="20"/>
        </w:rPr>
        <w:t>有甲状腺癌</w:t>
      </w:r>
    </w:p>
    <w:p>
      <w:pPr>
        <w:spacing w:after="0" w:line="299" w:lineRule="exact"/>
        <w:jc w:val="left"/>
        <w:rPr>
          <w:rFonts w:ascii="微软雅黑" w:eastAsia="微软雅黑"/>
          <w:sz w:val="20"/>
        </w:rPr>
        <w:sectPr>
          <w:pgSz w:w="11910" w:h="16840"/>
          <w:pgMar w:header="0" w:footer="574" w:top="1060" w:bottom="760" w:left="720" w:right="340"/>
        </w:sectPr>
      </w:pPr>
    </w:p>
    <w:p>
      <w:pPr>
        <w:spacing w:line="228" w:lineRule="exact" w:before="0"/>
        <w:ind w:left="0" w:right="0" w:firstLine="0"/>
        <w:jc w:val="right"/>
        <w:rPr>
          <w:sz w:val="20"/>
        </w:rPr>
      </w:pPr>
      <w:r>
        <w:rPr>
          <w:spacing w:val="-5"/>
          <w:position w:val="1"/>
          <w:sz w:val="20"/>
        </w:rPr>
        <w:t>M</w:t>
      </w:r>
      <w:r>
        <w:rPr>
          <w:spacing w:val="-5"/>
          <w:sz w:val="10"/>
        </w:rPr>
        <w:t>0</w:t>
      </w:r>
      <w:r>
        <w:rPr>
          <w:spacing w:val="-5"/>
          <w:position w:val="1"/>
          <w:sz w:val="20"/>
        </w:rPr>
        <w:t>：</w:t>
      </w:r>
    </w:p>
    <w:p>
      <w:pPr>
        <w:spacing w:before="3"/>
        <w:ind w:left="0" w:right="0" w:firstLine="0"/>
        <w:jc w:val="right"/>
        <w:rPr>
          <w:sz w:val="20"/>
        </w:rPr>
      </w:pPr>
      <w:r>
        <w:rPr>
          <w:spacing w:val="-5"/>
          <w:position w:val="1"/>
          <w:sz w:val="20"/>
        </w:rPr>
        <w:t>M</w:t>
      </w:r>
      <w:r>
        <w:rPr>
          <w:spacing w:val="-5"/>
          <w:sz w:val="10"/>
        </w:rPr>
        <w:t>1</w:t>
      </w:r>
      <w:r>
        <w:rPr>
          <w:spacing w:val="-5"/>
          <w:position w:val="1"/>
          <w:sz w:val="20"/>
        </w:rPr>
        <w:t>：</w:t>
      </w:r>
    </w:p>
    <w:p>
      <w:pPr>
        <w:spacing w:line="228" w:lineRule="exact" w:before="0"/>
        <w:ind w:left="175" w:right="0" w:firstLine="0"/>
        <w:jc w:val="left"/>
        <w:rPr>
          <w:sz w:val="20"/>
        </w:rPr>
      </w:pPr>
      <w:r>
        <w:rPr/>
        <w:br w:type="column"/>
      </w:r>
      <w:r>
        <w:rPr>
          <w:w w:val="95"/>
          <w:sz w:val="20"/>
        </w:rPr>
        <w:t>无</w:t>
      </w:r>
      <w:r>
        <w:rPr>
          <w:w w:val="95"/>
          <w:sz w:val="20"/>
        </w:rPr>
        <w:t>远</w:t>
      </w:r>
      <w:r>
        <w:rPr>
          <w:w w:val="95"/>
          <w:sz w:val="20"/>
        </w:rPr>
        <w:t>处</w:t>
      </w:r>
      <w:r>
        <w:rPr>
          <w:spacing w:val="-5"/>
          <w:w w:val="95"/>
          <w:sz w:val="20"/>
        </w:rPr>
        <w:t>转移</w:t>
      </w:r>
    </w:p>
    <w:p>
      <w:pPr>
        <w:spacing w:before="3"/>
        <w:ind w:left="175" w:right="0" w:firstLine="0"/>
        <w:jc w:val="left"/>
        <w:rPr>
          <w:sz w:val="20"/>
        </w:rPr>
      </w:pPr>
      <w:r>
        <w:rPr>
          <w:w w:val="95"/>
          <w:sz w:val="20"/>
        </w:rPr>
        <w:t>有</w:t>
      </w:r>
      <w:r>
        <w:rPr>
          <w:w w:val="95"/>
          <w:sz w:val="20"/>
        </w:rPr>
        <w:t>远</w:t>
      </w:r>
      <w:r>
        <w:rPr>
          <w:w w:val="95"/>
          <w:sz w:val="20"/>
        </w:rPr>
        <w:t>处</w:t>
      </w:r>
      <w:r>
        <w:rPr>
          <w:spacing w:val="-5"/>
          <w:w w:val="95"/>
          <w:sz w:val="20"/>
        </w:rPr>
        <w:t>转移</w:t>
      </w:r>
    </w:p>
    <w:p>
      <w:pPr>
        <w:spacing w:after="0"/>
        <w:jc w:val="left"/>
        <w:rPr>
          <w:sz w:val="20"/>
        </w:rPr>
        <w:sectPr>
          <w:type w:val="continuous"/>
          <w:pgSz w:w="11910" w:h="16840"/>
          <w:pgMar w:header="0" w:footer="574" w:top="380" w:bottom="760" w:left="720" w:right="340"/>
          <w:cols w:num="2" w:equalWidth="0">
            <w:col w:w="1331" w:space="40"/>
            <w:col w:w="9479"/>
          </w:cols>
        </w:sectPr>
      </w:pPr>
    </w:p>
    <w:tbl>
      <w:tblPr>
        <w:tblW w:w="0" w:type="auto"/>
        <w:jc w:val="left"/>
        <w:tblInd w:w="9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69"/>
        <w:gridCol w:w="1985"/>
        <w:gridCol w:w="1985"/>
        <w:gridCol w:w="1983"/>
      </w:tblGrid>
      <w:tr>
        <w:trPr>
          <w:trHeight w:val="285" w:hRule="atLeast"/>
        </w:trPr>
        <w:tc>
          <w:tcPr>
            <w:tcW w:w="8922" w:type="dxa"/>
            <w:gridSpan w:val="4"/>
          </w:tcPr>
          <w:p>
            <w:pPr>
              <w:pStyle w:val="TableParagraph"/>
              <w:spacing w:line="249" w:lineRule="exact" w:before="15"/>
              <w:ind w:left="107"/>
              <w:rPr>
                <w:sz w:val="20"/>
              </w:rPr>
            </w:pPr>
            <w:r>
              <w:rPr>
                <w:w w:val="95"/>
                <w:sz w:val="20"/>
              </w:rPr>
              <w:t>乳</w:t>
            </w:r>
            <w:r>
              <w:rPr>
                <w:w w:val="95"/>
                <w:sz w:val="20"/>
              </w:rPr>
              <w:t>头</w:t>
            </w:r>
            <w:r>
              <w:rPr>
                <w:w w:val="95"/>
                <w:sz w:val="20"/>
              </w:rPr>
              <w:t>状</w:t>
            </w:r>
            <w:r>
              <w:rPr>
                <w:w w:val="95"/>
                <w:sz w:val="20"/>
              </w:rPr>
              <w:t>或</w:t>
            </w:r>
            <w:r>
              <w:rPr>
                <w:w w:val="95"/>
                <w:sz w:val="20"/>
              </w:rPr>
              <w:t>滤</w:t>
            </w:r>
            <w:r>
              <w:rPr>
                <w:w w:val="95"/>
                <w:sz w:val="20"/>
              </w:rPr>
              <w:t>泡</w:t>
            </w:r>
            <w:r>
              <w:rPr>
                <w:w w:val="95"/>
                <w:sz w:val="20"/>
              </w:rPr>
              <w:t>状</w:t>
            </w:r>
            <w:r>
              <w:rPr>
                <w:w w:val="95"/>
                <w:sz w:val="20"/>
              </w:rPr>
              <w:t>癌</w:t>
            </w:r>
            <w:r>
              <w:rPr>
                <w:w w:val="95"/>
                <w:sz w:val="20"/>
              </w:rPr>
              <w:t>（分化型</w:t>
            </w:r>
            <w:r>
              <w:rPr>
                <w:spacing w:val="-10"/>
                <w:w w:val="95"/>
                <w:sz w:val="20"/>
              </w:rPr>
              <w:t>）</w:t>
            </w:r>
          </w:p>
        </w:tc>
      </w:tr>
      <w:tr>
        <w:trPr>
          <w:trHeight w:val="285" w:hRule="atLeast"/>
        </w:trPr>
        <w:tc>
          <w:tcPr>
            <w:tcW w:w="8922" w:type="dxa"/>
            <w:gridSpan w:val="4"/>
          </w:tcPr>
          <w:p>
            <w:pPr>
              <w:pStyle w:val="TableParagraph"/>
              <w:spacing w:line="249" w:lineRule="exact" w:before="15"/>
              <w:ind w:left="107"/>
              <w:rPr>
                <w:sz w:val="20"/>
              </w:rPr>
            </w:pPr>
            <w:r>
              <w:rPr>
                <w:w w:val="95"/>
                <w:sz w:val="20"/>
              </w:rPr>
              <w:t>年</w:t>
            </w:r>
            <w:r>
              <w:rPr>
                <w:w w:val="95"/>
                <w:sz w:val="20"/>
              </w:rPr>
              <w:t>龄</w:t>
            </w:r>
            <w:r>
              <w:rPr>
                <w:w w:val="95"/>
                <w:sz w:val="20"/>
              </w:rPr>
              <w:t>＜55</w:t>
            </w:r>
            <w:r>
              <w:rPr>
                <w:spacing w:val="-11"/>
                <w:w w:val="95"/>
                <w:sz w:val="20"/>
              </w:rPr>
              <w:t> 岁</w:t>
            </w:r>
          </w:p>
        </w:tc>
      </w:tr>
      <w:tr>
        <w:trPr>
          <w:trHeight w:val="285" w:hRule="atLeast"/>
        </w:trPr>
        <w:tc>
          <w:tcPr>
            <w:tcW w:w="2969" w:type="dxa"/>
          </w:tcPr>
          <w:p>
            <w:pPr>
              <w:pStyle w:val="TableParagraph"/>
              <w:spacing w:before="0"/>
              <w:rPr>
                <w:rFonts w:ascii="Times New Roman"/>
                <w:sz w:val="20"/>
              </w:rPr>
            </w:pPr>
          </w:p>
        </w:tc>
        <w:tc>
          <w:tcPr>
            <w:tcW w:w="1985" w:type="dxa"/>
          </w:tcPr>
          <w:p>
            <w:pPr>
              <w:pStyle w:val="TableParagraph"/>
              <w:spacing w:line="249" w:lineRule="exact" w:before="16"/>
              <w:ind w:left="6"/>
              <w:jc w:val="center"/>
              <w:rPr>
                <w:sz w:val="20"/>
              </w:rPr>
            </w:pPr>
            <w:r>
              <w:rPr>
                <w:w w:val="99"/>
                <w:sz w:val="20"/>
              </w:rPr>
              <w:t>T</w:t>
            </w:r>
          </w:p>
        </w:tc>
        <w:tc>
          <w:tcPr>
            <w:tcW w:w="1985" w:type="dxa"/>
          </w:tcPr>
          <w:p>
            <w:pPr>
              <w:pStyle w:val="TableParagraph"/>
              <w:spacing w:line="249" w:lineRule="exact" w:before="16"/>
              <w:ind w:left="6"/>
              <w:jc w:val="center"/>
              <w:rPr>
                <w:sz w:val="20"/>
              </w:rPr>
            </w:pPr>
            <w:r>
              <w:rPr>
                <w:w w:val="99"/>
                <w:sz w:val="20"/>
              </w:rPr>
              <w:t>N</w:t>
            </w:r>
          </w:p>
        </w:tc>
        <w:tc>
          <w:tcPr>
            <w:tcW w:w="1983" w:type="dxa"/>
          </w:tcPr>
          <w:p>
            <w:pPr>
              <w:pStyle w:val="TableParagraph"/>
              <w:spacing w:line="249" w:lineRule="exact" w:before="16"/>
              <w:ind w:left="9"/>
              <w:jc w:val="center"/>
              <w:rPr>
                <w:sz w:val="20"/>
              </w:rPr>
            </w:pPr>
            <w:r>
              <w:rPr>
                <w:w w:val="99"/>
                <w:sz w:val="20"/>
              </w:rPr>
              <w:t>M</w:t>
            </w:r>
          </w:p>
        </w:tc>
      </w:tr>
      <w:tr>
        <w:trPr>
          <w:trHeight w:val="285" w:hRule="atLeast"/>
        </w:trPr>
        <w:tc>
          <w:tcPr>
            <w:tcW w:w="2969" w:type="dxa"/>
          </w:tcPr>
          <w:p>
            <w:pPr>
              <w:pStyle w:val="TableParagraph"/>
              <w:spacing w:line="249" w:lineRule="exact" w:before="16"/>
              <w:ind w:left="107"/>
              <w:rPr>
                <w:sz w:val="20"/>
              </w:rPr>
            </w:pPr>
            <w:r>
              <w:rPr>
                <w:w w:val="95"/>
                <w:sz w:val="20"/>
              </w:rPr>
              <w:t>Ⅰ</w:t>
            </w:r>
            <w:r>
              <w:rPr>
                <w:spacing w:val="-10"/>
                <w:sz w:val="20"/>
              </w:rPr>
              <w:t>期</w:t>
            </w:r>
          </w:p>
        </w:tc>
        <w:tc>
          <w:tcPr>
            <w:tcW w:w="1985" w:type="dxa"/>
          </w:tcPr>
          <w:p>
            <w:pPr>
              <w:pStyle w:val="TableParagraph"/>
              <w:spacing w:line="249" w:lineRule="exact" w:before="16"/>
              <w:ind w:left="679" w:right="672"/>
              <w:jc w:val="center"/>
              <w:rPr>
                <w:sz w:val="20"/>
              </w:rPr>
            </w:pPr>
            <w:r>
              <w:rPr>
                <w:w w:val="95"/>
                <w:sz w:val="20"/>
              </w:rPr>
              <w:t>任</w:t>
            </w:r>
            <w:r>
              <w:rPr>
                <w:spacing w:val="-10"/>
                <w:sz w:val="20"/>
              </w:rPr>
              <w:t>何</w:t>
            </w:r>
          </w:p>
        </w:tc>
        <w:tc>
          <w:tcPr>
            <w:tcW w:w="1985" w:type="dxa"/>
          </w:tcPr>
          <w:p>
            <w:pPr>
              <w:pStyle w:val="TableParagraph"/>
              <w:spacing w:line="249" w:lineRule="exact" w:before="16"/>
              <w:ind w:left="680" w:right="672"/>
              <w:jc w:val="center"/>
              <w:rPr>
                <w:sz w:val="20"/>
              </w:rPr>
            </w:pPr>
            <w:r>
              <w:rPr>
                <w:w w:val="95"/>
                <w:sz w:val="20"/>
              </w:rPr>
              <w:t>任</w:t>
            </w:r>
            <w:r>
              <w:rPr>
                <w:spacing w:val="-10"/>
                <w:sz w:val="20"/>
              </w:rPr>
              <w:t>何</w:t>
            </w:r>
          </w:p>
        </w:tc>
        <w:tc>
          <w:tcPr>
            <w:tcW w:w="1983" w:type="dxa"/>
          </w:tcPr>
          <w:p>
            <w:pPr>
              <w:pStyle w:val="TableParagraph"/>
              <w:spacing w:line="249" w:lineRule="exact" w:before="16"/>
              <w:ind w:left="9"/>
              <w:jc w:val="center"/>
              <w:rPr>
                <w:sz w:val="20"/>
              </w:rPr>
            </w:pPr>
            <w:r>
              <w:rPr>
                <w:w w:val="99"/>
                <w:sz w:val="20"/>
              </w:rPr>
              <w:t>0</w:t>
            </w:r>
          </w:p>
        </w:tc>
      </w:tr>
      <w:tr>
        <w:trPr>
          <w:trHeight w:val="285" w:hRule="atLeast"/>
        </w:trPr>
        <w:tc>
          <w:tcPr>
            <w:tcW w:w="2969" w:type="dxa"/>
          </w:tcPr>
          <w:p>
            <w:pPr>
              <w:pStyle w:val="TableParagraph"/>
              <w:spacing w:line="252" w:lineRule="exact" w:before="13"/>
              <w:ind w:left="107"/>
              <w:rPr>
                <w:sz w:val="20"/>
              </w:rPr>
            </w:pPr>
            <w:r>
              <w:rPr>
                <w:w w:val="95"/>
                <w:sz w:val="20"/>
              </w:rPr>
              <w:t>Ⅱ</w:t>
            </w:r>
            <w:r>
              <w:rPr>
                <w:spacing w:val="-10"/>
                <w:sz w:val="20"/>
              </w:rPr>
              <w:t>期</w:t>
            </w:r>
          </w:p>
        </w:tc>
        <w:tc>
          <w:tcPr>
            <w:tcW w:w="1985" w:type="dxa"/>
          </w:tcPr>
          <w:p>
            <w:pPr>
              <w:pStyle w:val="TableParagraph"/>
              <w:spacing w:line="252" w:lineRule="exact" w:before="13"/>
              <w:ind w:left="679" w:right="672"/>
              <w:jc w:val="center"/>
              <w:rPr>
                <w:sz w:val="20"/>
              </w:rPr>
            </w:pPr>
            <w:r>
              <w:rPr>
                <w:w w:val="95"/>
                <w:sz w:val="20"/>
              </w:rPr>
              <w:t>任</w:t>
            </w:r>
            <w:r>
              <w:rPr>
                <w:spacing w:val="-10"/>
                <w:sz w:val="20"/>
              </w:rPr>
              <w:t>何</w:t>
            </w:r>
          </w:p>
        </w:tc>
        <w:tc>
          <w:tcPr>
            <w:tcW w:w="1985" w:type="dxa"/>
          </w:tcPr>
          <w:p>
            <w:pPr>
              <w:pStyle w:val="TableParagraph"/>
              <w:spacing w:line="252" w:lineRule="exact" w:before="13"/>
              <w:ind w:left="680" w:right="672"/>
              <w:jc w:val="center"/>
              <w:rPr>
                <w:sz w:val="20"/>
              </w:rPr>
            </w:pPr>
            <w:r>
              <w:rPr>
                <w:w w:val="95"/>
                <w:sz w:val="20"/>
              </w:rPr>
              <w:t>任</w:t>
            </w:r>
            <w:r>
              <w:rPr>
                <w:spacing w:val="-10"/>
                <w:sz w:val="20"/>
              </w:rPr>
              <w:t>何</w:t>
            </w:r>
          </w:p>
        </w:tc>
        <w:tc>
          <w:tcPr>
            <w:tcW w:w="1983" w:type="dxa"/>
          </w:tcPr>
          <w:p>
            <w:pPr>
              <w:pStyle w:val="TableParagraph"/>
              <w:spacing w:line="252" w:lineRule="exact" w:before="13"/>
              <w:ind w:left="9"/>
              <w:jc w:val="center"/>
              <w:rPr>
                <w:sz w:val="20"/>
              </w:rPr>
            </w:pPr>
            <w:r>
              <w:rPr>
                <w:w w:val="99"/>
                <w:sz w:val="20"/>
              </w:rPr>
              <w:t>1</w:t>
            </w:r>
          </w:p>
        </w:tc>
      </w:tr>
      <w:tr>
        <w:trPr>
          <w:trHeight w:val="285" w:hRule="atLeast"/>
        </w:trPr>
        <w:tc>
          <w:tcPr>
            <w:tcW w:w="8922" w:type="dxa"/>
            <w:gridSpan w:val="4"/>
          </w:tcPr>
          <w:p>
            <w:pPr>
              <w:pStyle w:val="TableParagraph"/>
              <w:spacing w:line="252" w:lineRule="exact" w:before="13"/>
              <w:ind w:left="107"/>
              <w:rPr>
                <w:sz w:val="20"/>
              </w:rPr>
            </w:pPr>
            <w:r>
              <w:rPr>
                <w:w w:val="95"/>
                <w:sz w:val="20"/>
              </w:rPr>
              <w:t>年</w:t>
            </w:r>
            <w:r>
              <w:rPr>
                <w:w w:val="95"/>
                <w:sz w:val="20"/>
              </w:rPr>
              <w:t>龄</w:t>
            </w:r>
            <w:r>
              <w:rPr>
                <w:w w:val="95"/>
                <w:sz w:val="20"/>
              </w:rPr>
              <w:t>≥55</w:t>
            </w:r>
            <w:r>
              <w:rPr>
                <w:spacing w:val="-11"/>
                <w:w w:val="95"/>
                <w:sz w:val="20"/>
              </w:rPr>
              <w:t> 岁</w:t>
            </w:r>
          </w:p>
        </w:tc>
      </w:tr>
      <w:tr>
        <w:trPr>
          <w:trHeight w:val="285" w:hRule="atLeast"/>
        </w:trPr>
        <w:tc>
          <w:tcPr>
            <w:tcW w:w="2969" w:type="dxa"/>
            <w:vMerge w:val="restart"/>
          </w:tcPr>
          <w:p>
            <w:pPr>
              <w:pStyle w:val="TableParagraph"/>
              <w:spacing w:before="162"/>
              <w:ind w:left="107"/>
              <w:rPr>
                <w:sz w:val="20"/>
              </w:rPr>
            </w:pPr>
            <w:r>
              <w:rPr>
                <w:w w:val="95"/>
                <w:sz w:val="20"/>
              </w:rPr>
              <w:t>Ⅰ</w:t>
            </w:r>
            <w:r>
              <w:rPr>
                <w:spacing w:val="-10"/>
                <w:sz w:val="20"/>
              </w:rPr>
              <w:t>期</w:t>
            </w:r>
          </w:p>
        </w:tc>
        <w:tc>
          <w:tcPr>
            <w:tcW w:w="1985" w:type="dxa"/>
          </w:tcPr>
          <w:p>
            <w:pPr>
              <w:pStyle w:val="TableParagraph"/>
              <w:spacing w:line="252" w:lineRule="exact" w:before="13"/>
              <w:ind w:left="6"/>
              <w:jc w:val="center"/>
              <w:rPr>
                <w:sz w:val="20"/>
              </w:rPr>
            </w:pPr>
            <w:r>
              <w:rPr>
                <w:w w:val="99"/>
                <w:sz w:val="20"/>
              </w:rPr>
              <w:t>1</w:t>
            </w:r>
          </w:p>
        </w:tc>
        <w:tc>
          <w:tcPr>
            <w:tcW w:w="1985" w:type="dxa"/>
          </w:tcPr>
          <w:p>
            <w:pPr>
              <w:pStyle w:val="TableParagraph"/>
              <w:spacing w:line="252" w:lineRule="exact" w:before="13"/>
              <w:ind w:left="682" w:right="670"/>
              <w:jc w:val="center"/>
              <w:rPr>
                <w:sz w:val="20"/>
              </w:rPr>
            </w:pPr>
            <w:r>
              <w:rPr>
                <w:spacing w:val="-5"/>
                <w:sz w:val="20"/>
              </w:rPr>
              <w:t>0/x</w:t>
            </w:r>
          </w:p>
        </w:tc>
        <w:tc>
          <w:tcPr>
            <w:tcW w:w="1983" w:type="dxa"/>
          </w:tcPr>
          <w:p>
            <w:pPr>
              <w:pStyle w:val="TableParagraph"/>
              <w:spacing w:line="252" w:lineRule="exact" w:before="13"/>
              <w:ind w:left="9"/>
              <w:jc w:val="center"/>
              <w:rPr>
                <w:sz w:val="20"/>
              </w:rPr>
            </w:pPr>
            <w:r>
              <w:rPr>
                <w:w w:val="99"/>
                <w:sz w:val="20"/>
              </w:rPr>
              <w:t>0</w:t>
            </w:r>
          </w:p>
        </w:tc>
      </w:tr>
      <w:tr>
        <w:trPr>
          <w:trHeight w:val="285" w:hRule="atLeast"/>
        </w:trPr>
        <w:tc>
          <w:tcPr>
            <w:tcW w:w="2969" w:type="dxa"/>
            <w:vMerge/>
            <w:tcBorders>
              <w:top w:val="nil"/>
            </w:tcBorders>
          </w:tcPr>
          <w:p>
            <w:pPr>
              <w:rPr>
                <w:sz w:val="2"/>
                <w:szCs w:val="2"/>
              </w:rPr>
            </w:pPr>
          </w:p>
        </w:tc>
        <w:tc>
          <w:tcPr>
            <w:tcW w:w="1985" w:type="dxa"/>
          </w:tcPr>
          <w:p>
            <w:pPr>
              <w:pStyle w:val="TableParagraph"/>
              <w:spacing w:line="252" w:lineRule="exact" w:before="13"/>
              <w:ind w:left="6"/>
              <w:jc w:val="center"/>
              <w:rPr>
                <w:sz w:val="20"/>
              </w:rPr>
            </w:pPr>
            <w:r>
              <w:rPr>
                <w:w w:val="99"/>
                <w:sz w:val="20"/>
              </w:rPr>
              <w:t>2</w:t>
            </w:r>
          </w:p>
        </w:tc>
        <w:tc>
          <w:tcPr>
            <w:tcW w:w="1985" w:type="dxa"/>
          </w:tcPr>
          <w:p>
            <w:pPr>
              <w:pStyle w:val="TableParagraph"/>
              <w:spacing w:line="252" w:lineRule="exact" w:before="13"/>
              <w:ind w:left="682" w:right="670"/>
              <w:jc w:val="center"/>
              <w:rPr>
                <w:sz w:val="20"/>
              </w:rPr>
            </w:pPr>
            <w:r>
              <w:rPr>
                <w:spacing w:val="-5"/>
                <w:sz w:val="20"/>
              </w:rPr>
              <w:t>0/x</w:t>
            </w:r>
          </w:p>
        </w:tc>
        <w:tc>
          <w:tcPr>
            <w:tcW w:w="1983" w:type="dxa"/>
          </w:tcPr>
          <w:p>
            <w:pPr>
              <w:pStyle w:val="TableParagraph"/>
              <w:spacing w:line="252" w:lineRule="exact" w:before="13"/>
              <w:ind w:left="9"/>
              <w:jc w:val="center"/>
              <w:rPr>
                <w:sz w:val="20"/>
              </w:rPr>
            </w:pPr>
            <w:r>
              <w:rPr>
                <w:w w:val="99"/>
                <w:sz w:val="20"/>
              </w:rPr>
              <w:t>0</w:t>
            </w:r>
          </w:p>
        </w:tc>
      </w:tr>
      <w:tr>
        <w:trPr>
          <w:trHeight w:val="285" w:hRule="atLeast"/>
        </w:trPr>
        <w:tc>
          <w:tcPr>
            <w:tcW w:w="2969" w:type="dxa"/>
            <w:vMerge w:val="restart"/>
          </w:tcPr>
          <w:p>
            <w:pPr>
              <w:pStyle w:val="TableParagraph"/>
              <w:spacing w:before="162"/>
              <w:ind w:left="107"/>
              <w:rPr>
                <w:sz w:val="20"/>
              </w:rPr>
            </w:pPr>
            <w:r>
              <w:rPr>
                <w:w w:val="95"/>
                <w:sz w:val="20"/>
              </w:rPr>
              <w:t>Ⅱ</w:t>
            </w:r>
            <w:r>
              <w:rPr>
                <w:spacing w:val="-10"/>
                <w:sz w:val="20"/>
              </w:rPr>
              <w:t>期</w:t>
            </w:r>
          </w:p>
        </w:tc>
        <w:tc>
          <w:tcPr>
            <w:tcW w:w="1985" w:type="dxa"/>
          </w:tcPr>
          <w:p>
            <w:pPr>
              <w:pStyle w:val="TableParagraph"/>
              <w:spacing w:line="252" w:lineRule="exact" w:before="13"/>
              <w:ind w:left="680" w:right="672"/>
              <w:jc w:val="center"/>
              <w:rPr>
                <w:sz w:val="20"/>
              </w:rPr>
            </w:pPr>
            <w:r>
              <w:rPr>
                <w:spacing w:val="-5"/>
                <w:sz w:val="20"/>
              </w:rPr>
              <w:t>1～2</w:t>
            </w:r>
          </w:p>
        </w:tc>
        <w:tc>
          <w:tcPr>
            <w:tcW w:w="1985" w:type="dxa"/>
          </w:tcPr>
          <w:p>
            <w:pPr>
              <w:pStyle w:val="TableParagraph"/>
              <w:spacing w:line="252" w:lineRule="exact" w:before="13"/>
              <w:ind w:left="6"/>
              <w:jc w:val="center"/>
              <w:rPr>
                <w:sz w:val="20"/>
              </w:rPr>
            </w:pPr>
            <w:r>
              <w:rPr>
                <w:w w:val="99"/>
                <w:sz w:val="20"/>
              </w:rPr>
              <w:t>1</w:t>
            </w:r>
          </w:p>
        </w:tc>
        <w:tc>
          <w:tcPr>
            <w:tcW w:w="1983" w:type="dxa"/>
          </w:tcPr>
          <w:p>
            <w:pPr>
              <w:pStyle w:val="TableParagraph"/>
              <w:spacing w:line="252" w:lineRule="exact" w:before="13"/>
              <w:ind w:left="9"/>
              <w:jc w:val="center"/>
              <w:rPr>
                <w:sz w:val="20"/>
              </w:rPr>
            </w:pPr>
            <w:r>
              <w:rPr>
                <w:w w:val="99"/>
                <w:sz w:val="20"/>
              </w:rPr>
              <w:t>0</w:t>
            </w:r>
          </w:p>
        </w:tc>
      </w:tr>
      <w:tr>
        <w:trPr>
          <w:trHeight w:val="283" w:hRule="atLeast"/>
        </w:trPr>
        <w:tc>
          <w:tcPr>
            <w:tcW w:w="2969" w:type="dxa"/>
            <w:vMerge/>
            <w:tcBorders>
              <w:top w:val="nil"/>
            </w:tcBorders>
          </w:tcPr>
          <w:p>
            <w:pPr>
              <w:rPr>
                <w:sz w:val="2"/>
                <w:szCs w:val="2"/>
              </w:rPr>
            </w:pPr>
          </w:p>
        </w:tc>
        <w:tc>
          <w:tcPr>
            <w:tcW w:w="1985" w:type="dxa"/>
          </w:tcPr>
          <w:p>
            <w:pPr>
              <w:pStyle w:val="TableParagraph"/>
              <w:spacing w:line="250" w:lineRule="exact" w:before="13"/>
              <w:ind w:left="682" w:right="672"/>
              <w:jc w:val="center"/>
              <w:rPr>
                <w:sz w:val="20"/>
              </w:rPr>
            </w:pPr>
            <w:r>
              <w:rPr>
                <w:spacing w:val="-4"/>
                <w:sz w:val="20"/>
              </w:rPr>
              <w:t>3a～3b</w:t>
            </w:r>
          </w:p>
        </w:tc>
        <w:tc>
          <w:tcPr>
            <w:tcW w:w="1985" w:type="dxa"/>
          </w:tcPr>
          <w:p>
            <w:pPr>
              <w:pStyle w:val="TableParagraph"/>
              <w:spacing w:line="250" w:lineRule="exact" w:before="13"/>
              <w:ind w:left="680" w:right="672"/>
              <w:jc w:val="center"/>
              <w:rPr>
                <w:sz w:val="20"/>
              </w:rPr>
            </w:pPr>
            <w:r>
              <w:rPr>
                <w:w w:val="95"/>
                <w:sz w:val="20"/>
              </w:rPr>
              <w:t>任</w:t>
            </w:r>
            <w:r>
              <w:rPr>
                <w:spacing w:val="-10"/>
                <w:sz w:val="20"/>
              </w:rPr>
              <w:t>何</w:t>
            </w:r>
          </w:p>
        </w:tc>
        <w:tc>
          <w:tcPr>
            <w:tcW w:w="1983" w:type="dxa"/>
          </w:tcPr>
          <w:p>
            <w:pPr>
              <w:pStyle w:val="TableParagraph"/>
              <w:spacing w:line="250" w:lineRule="exact" w:before="13"/>
              <w:ind w:left="9"/>
              <w:jc w:val="center"/>
              <w:rPr>
                <w:sz w:val="20"/>
              </w:rPr>
            </w:pPr>
            <w:r>
              <w:rPr>
                <w:w w:val="99"/>
                <w:sz w:val="20"/>
              </w:rPr>
              <w:t>0</w:t>
            </w:r>
          </w:p>
        </w:tc>
      </w:tr>
      <w:tr>
        <w:trPr>
          <w:trHeight w:val="285" w:hRule="atLeast"/>
        </w:trPr>
        <w:tc>
          <w:tcPr>
            <w:tcW w:w="2969" w:type="dxa"/>
          </w:tcPr>
          <w:p>
            <w:pPr>
              <w:pStyle w:val="TableParagraph"/>
              <w:spacing w:line="249" w:lineRule="exact" w:before="15"/>
              <w:ind w:left="107"/>
              <w:rPr>
                <w:sz w:val="20"/>
              </w:rPr>
            </w:pPr>
            <w:r>
              <w:rPr>
                <w:w w:val="95"/>
                <w:sz w:val="20"/>
              </w:rPr>
              <w:t>Ⅲ</w:t>
            </w:r>
            <w:r>
              <w:rPr>
                <w:spacing w:val="-10"/>
                <w:sz w:val="20"/>
              </w:rPr>
              <w:t>期</w:t>
            </w:r>
          </w:p>
        </w:tc>
        <w:tc>
          <w:tcPr>
            <w:tcW w:w="1985" w:type="dxa"/>
          </w:tcPr>
          <w:p>
            <w:pPr>
              <w:pStyle w:val="TableParagraph"/>
              <w:spacing w:line="249" w:lineRule="exact" w:before="15"/>
              <w:ind w:left="682" w:right="670"/>
              <w:jc w:val="center"/>
              <w:rPr>
                <w:sz w:val="20"/>
              </w:rPr>
            </w:pPr>
            <w:r>
              <w:rPr>
                <w:spacing w:val="-5"/>
                <w:sz w:val="20"/>
              </w:rPr>
              <w:t>4a</w:t>
            </w:r>
          </w:p>
        </w:tc>
        <w:tc>
          <w:tcPr>
            <w:tcW w:w="1985" w:type="dxa"/>
          </w:tcPr>
          <w:p>
            <w:pPr>
              <w:pStyle w:val="TableParagraph"/>
              <w:spacing w:line="249" w:lineRule="exact" w:before="15"/>
              <w:ind w:left="680" w:right="672"/>
              <w:jc w:val="center"/>
              <w:rPr>
                <w:sz w:val="20"/>
              </w:rPr>
            </w:pPr>
            <w:r>
              <w:rPr>
                <w:w w:val="95"/>
                <w:sz w:val="20"/>
              </w:rPr>
              <w:t>任</w:t>
            </w:r>
            <w:r>
              <w:rPr>
                <w:spacing w:val="-10"/>
                <w:sz w:val="20"/>
              </w:rPr>
              <w:t>何</w:t>
            </w:r>
          </w:p>
        </w:tc>
        <w:tc>
          <w:tcPr>
            <w:tcW w:w="1983" w:type="dxa"/>
          </w:tcPr>
          <w:p>
            <w:pPr>
              <w:pStyle w:val="TableParagraph"/>
              <w:spacing w:line="249" w:lineRule="exact" w:before="15"/>
              <w:ind w:left="9"/>
              <w:jc w:val="center"/>
              <w:rPr>
                <w:sz w:val="20"/>
              </w:rPr>
            </w:pPr>
            <w:r>
              <w:rPr>
                <w:w w:val="99"/>
                <w:sz w:val="20"/>
              </w:rPr>
              <w:t>0</w:t>
            </w:r>
          </w:p>
        </w:tc>
      </w:tr>
      <w:tr>
        <w:trPr>
          <w:trHeight w:val="285" w:hRule="atLeast"/>
        </w:trPr>
        <w:tc>
          <w:tcPr>
            <w:tcW w:w="2969" w:type="dxa"/>
          </w:tcPr>
          <w:p>
            <w:pPr>
              <w:pStyle w:val="TableParagraph"/>
              <w:spacing w:line="249" w:lineRule="exact" w:before="16"/>
              <w:ind w:left="107"/>
              <w:rPr>
                <w:sz w:val="20"/>
              </w:rPr>
            </w:pPr>
            <w:r>
              <w:rPr>
                <w:w w:val="95"/>
                <w:sz w:val="20"/>
              </w:rPr>
              <w:t>ⅣA</w:t>
            </w:r>
            <w:r>
              <w:rPr>
                <w:spacing w:val="-33"/>
                <w:w w:val="95"/>
                <w:sz w:val="20"/>
              </w:rPr>
              <w:t> </w:t>
            </w:r>
            <w:r>
              <w:rPr>
                <w:spacing w:val="-10"/>
                <w:sz w:val="20"/>
              </w:rPr>
              <w:t>期</w:t>
            </w:r>
          </w:p>
        </w:tc>
        <w:tc>
          <w:tcPr>
            <w:tcW w:w="1985" w:type="dxa"/>
          </w:tcPr>
          <w:p>
            <w:pPr>
              <w:pStyle w:val="TableParagraph"/>
              <w:spacing w:line="249" w:lineRule="exact" w:before="16"/>
              <w:ind w:left="682" w:right="670"/>
              <w:jc w:val="center"/>
              <w:rPr>
                <w:sz w:val="20"/>
              </w:rPr>
            </w:pPr>
            <w:r>
              <w:rPr>
                <w:spacing w:val="-5"/>
                <w:sz w:val="20"/>
              </w:rPr>
              <w:t>4b</w:t>
            </w:r>
          </w:p>
        </w:tc>
        <w:tc>
          <w:tcPr>
            <w:tcW w:w="1985" w:type="dxa"/>
          </w:tcPr>
          <w:p>
            <w:pPr>
              <w:pStyle w:val="TableParagraph"/>
              <w:spacing w:line="249" w:lineRule="exact" w:before="16"/>
              <w:ind w:left="680" w:right="672"/>
              <w:jc w:val="center"/>
              <w:rPr>
                <w:sz w:val="20"/>
              </w:rPr>
            </w:pPr>
            <w:r>
              <w:rPr>
                <w:w w:val="95"/>
                <w:sz w:val="20"/>
              </w:rPr>
              <w:t>任</w:t>
            </w:r>
            <w:r>
              <w:rPr>
                <w:spacing w:val="-10"/>
                <w:sz w:val="20"/>
              </w:rPr>
              <w:t>何</w:t>
            </w:r>
          </w:p>
        </w:tc>
        <w:tc>
          <w:tcPr>
            <w:tcW w:w="1983" w:type="dxa"/>
          </w:tcPr>
          <w:p>
            <w:pPr>
              <w:pStyle w:val="TableParagraph"/>
              <w:spacing w:line="249" w:lineRule="exact" w:before="16"/>
              <w:ind w:left="9"/>
              <w:jc w:val="center"/>
              <w:rPr>
                <w:sz w:val="20"/>
              </w:rPr>
            </w:pPr>
            <w:r>
              <w:rPr>
                <w:w w:val="99"/>
                <w:sz w:val="20"/>
              </w:rPr>
              <w:t>0</w:t>
            </w:r>
          </w:p>
        </w:tc>
      </w:tr>
      <w:tr>
        <w:trPr>
          <w:trHeight w:val="285" w:hRule="atLeast"/>
        </w:trPr>
        <w:tc>
          <w:tcPr>
            <w:tcW w:w="2969" w:type="dxa"/>
          </w:tcPr>
          <w:p>
            <w:pPr>
              <w:pStyle w:val="TableParagraph"/>
              <w:spacing w:line="249" w:lineRule="exact" w:before="15"/>
              <w:ind w:left="107"/>
              <w:rPr>
                <w:sz w:val="20"/>
              </w:rPr>
            </w:pPr>
            <w:r>
              <w:rPr>
                <w:w w:val="95"/>
                <w:sz w:val="20"/>
              </w:rPr>
              <w:t>ⅣB</w:t>
            </w:r>
            <w:r>
              <w:rPr>
                <w:spacing w:val="-33"/>
                <w:w w:val="95"/>
                <w:sz w:val="20"/>
              </w:rPr>
              <w:t> </w:t>
            </w:r>
            <w:r>
              <w:rPr>
                <w:spacing w:val="-10"/>
                <w:sz w:val="20"/>
              </w:rPr>
              <w:t>期</w:t>
            </w:r>
          </w:p>
        </w:tc>
        <w:tc>
          <w:tcPr>
            <w:tcW w:w="1985" w:type="dxa"/>
          </w:tcPr>
          <w:p>
            <w:pPr>
              <w:pStyle w:val="TableParagraph"/>
              <w:spacing w:line="249" w:lineRule="exact" w:before="15"/>
              <w:ind w:left="679" w:right="672"/>
              <w:jc w:val="center"/>
              <w:rPr>
                <w:sz w:val="20"/>
              </w:rPr>
            </w:pPr>
            <w:r>
              <w:rPr>
                <w:w w:val="95"/>
                <w:sz w:val="20"/>
              </w:rPr>
              <w:t>任</w:t>
            </w:r>
            <w:r>
              <w:rPr>
                <w:spacing w:val="-10"/>
                <w:sz w:val="20"/>
              </w:rPr>
              <w:t>何</w:t>
            </w:r>
          </w:p>
        </w:tc>
        <w:tc>
          <w:tcPr>
            <w:tcW w:w="1985" w:type="dxa"/>
          </w:tcPr>
          <w:p>
            <w:pPr>
              <w:pStyle w:val="TableParagraph"/>
              <w:spacing w:line="249" w:lineRule="exact" w:before="15"/>
              <w:ind w:left="680" w:right="672"/>
              <w:jc w:val="center"/>
              <w:rPr>
                <w:sz w:val="20"/>
              </w:rPr>
            </w:pPr>
            <w:r>
              <w:rPr>
                <w:w w:val="95"/>
                <w:sz w:val="20"/>
              </w:rPr>
              <w:t>任</w:t>
            </w:r>
            <w:r>
              <w:rPr>
                <w:spacing w:val="-10"/>
                <w:sz w:val="20"/>
              </w:rPr>
              <w:t>何</w:t>
            </w:r>
          </w:p>
        </w:tc>
        <w:tc>
          <w:tcPr>
            <w:tcW w:w="1983" w:type="dxa"/>
          </w:tcPr>
          <w:p>
            <w:pPr>
              <w:pStyle w:val="TableParagraph"/>
              <w:spacing w:line="249" w:lineRule="exact" w:before="15"/>
              <w:ind w:left="9"/>
              <w:jc w:val="center"/>
              <w:rPr>
                <w:sz w:val="20"/>
              </w:rPr>
            </w:pPr>
            <w:r>
              <w:rPr>
                <w:w w:val="99"/>
                <w:sz w:val="20"/>
              </w:rPr>
              <w:t>1</w:t>
            </w:r>
          </w:p>
        </w:tc>
      </w:tr>
      <w:tr>
        <w:trPr>
          <w:trHeight w:val="285" w:hRule="atLeast"/>
        </w:trPr>
        <w:tc>
          <w:tcPr>
            <w:tcW w:w="8922" w:type="dxa"/>
            <w:gridSpan w:val="4"/>
          </w:tcPr>
          <w:p>
            <w:pPr>
              <w:pStyle w:val="TableParagraph"/>
              <w:spacing w:line="249" w:lineRule="exact" w:before="16"/>
              <w:ind w:left="107"/>
              <w:rPr>
                <w:sz w:val="20"/>
              </w:rPr>
            </w:pPr>
            <w:r>
              <w:rPr>
                <w:w w:val="95"/>
                <w:sz w:val="20"/>
              </w:rPr>
              <w:t>髓</w:t>
            </w:r>
            <w:r>
              <w:rPr>
                <w:w w:val="95"/>
                <w:sz w:val="20"/>
              </w:rPr>
              <w:t>样</w:t>
            </w:r>
            <w:r>
              <w:rPr>
                <w:w w:val="95"/>
                <w:sz w:val="20"/>
              </w:rPr>
              <w:t>癌</w:t>
            </w:r>
            <w:r>
              <w:rPr>
                <w:w w:val="95"/>
                <w:sz w:val="20"/>
              </w:rPr>
              <w:t>（</w:t>
            </w:r>
            <w:r>
              <w:rPr>
                <w:w w:val="95"/>
                <w:sz w:val="20"/>
              </w:rPr>
              <w:t>所</w:t>
            </w:r>
            <w:r>
              <w:rPr>
                <w:w w:val="95"/>
                <w:sz w:val="20"/>
              </w:rPr>
              <w:t>有</w:t>
            </w:r>
            <w:r>
              <w:rPr>
                <w:w w:val="95"/>
                <w:sz w:val="20"/>
              </w:rPr>
              <w:t>年</w:t>
            </w:r>
            <w:r>
              <w:rPr>
                <w:w w:val="95"/>
                <w:sz w:val="20"/>
              </w:rPr>
              <w:t>龄</w:t>
            </w:r>
            <w:r>
              <w:rPr>
                <w:w w:val="95"/>
                <w:sz w:val="20"/>
              </w:rPr>
              <w:t>组</w:t>
            </w:r>
            <w:r>
              <w:rPr>
                <w:spacing w:val="-10"/>
                <w:w w:val="95"/>
                <w:sz w:val="20"/>
              </w:rPr>
              <w:t>）</w:t>
            </w:r>
          </w:p>
        </w:tc>
      </w:tr>
      <w:tr>
        <w:trPr>
          <w:trHeight w:val="285" w:hRule="atLeast"/>
        </w:trPr>
        <w:tc>
          <w:tcPr>
            <w:tcW w:w="2969" w:type="dxa"/>
          </w:tcPr>
          <w:p>
            <w:pPr>
              <w:pStyle w:val="TableParagraph"/>
              <w:spacing w:line="249" w:lineRule="exact" w:before="16"/>
              <w:ind w:left="107"/>
              <w:rPr>
                <w:sz w:val="20"/>
              </w:rPr>
            </w:pPr>
            <w:r>
              <w:rPr>
                <w:w w:val="95"/>
                <w:sz w:val="20"/>
              </w:rPr>
              <w:t>Ⅰ</w:t>
            </w:r>
            <w:r>
              <w:rPr>
                <w:spacing w:val="-10"/>
                <w:sz w:val="20"/>
              </w:rPr>
              <w:t>期</w:t>
            </w:r>
          </w:p>
        </w:tc>
        <w:tc>
          <w:tcPr>
            <w:tcW w:w="1985" w:type="dxa"/>
          </w:tcPr>
          <w:p>
            <w:pPr>
              <w:pStyle w:val="TableParagraph"/>
              <w:spacing w:line="249" w:lineRule="exact" w:before="16"/>
              <w:ind w:left="6"/>
              <w:jc w:val="center"/>
              <w:rPr>
                <w:sz w:val="20"/>
              </w:rPr>
            </w:pPr>
            <w:r>
              <w:rPr>
                <w:w w:val="99"/>
                <w:sz w:val="20"/>
              </w:rPr>
              <w:t>1</w:t>
            </w:r>
          </w:p>
        </w:tc>
        <w:tc>
          <w:tcPr>
            <w:tcW w:w="1985" w:type="dxa"/>
          </w:tcPr>
          <w:p>
            <w:pPr>
              <w:pStyle w:val="TableParagraph"/>
              <w:spacing w:line="249" w:lineRule="exact" w:before="16"/>
              <w:ind w:left="6"/>
              <w:jc w:val="center"/>
              <w:rPr>
                <w:sz w:val="20"/>
              </w:rPr>
            </w:pPr>
            <w:r>
              <w:rPr>
                <w:w w:val="99"/>
                <w:sz w:val="20"/>
              </w:rPr>
              <w:t>0</w:t>
            </w:r>
          </w:p>
        </w:tc>
        <w:tc>
          <w:tcPr>
            <w:tcW w:w="1983" w:type="dxa"/>
          </w:tcPr>
          <w:p>
            <w:pPr>
              <w:pStyle w:val="TableParagraph"/>
              <w:spacing w:line="249" w:lineRule="exact" w:before="16"/>
              <w:ind w:left="9"/>
              <w:jc w:val="center"/>
              <w:rPr>
                <w:sz w:val="20"/>
              </w:rPr>
            </w:pPr>
            <w:r>
              <w:rPr>
                <w:w w:val="99"/>
                <w:sz w:val="20"/>
              </w:rPr>
              <w:t>0</w:t>
            </w:r>
          </w:p>
        </w:tc>
      </w:tr>
      <w:tr>
        <w:trPr>
          <w:trHeight w:val="285" w:hRule="atLeast"/>
        </w:trPr>
        <w:tc>
          <w:tcPr>
            <w:tcW w:w="2969" w:type="dxa"/>
          </w:tcPr>
          <w:p>
            <w:pPr>
              <w:pStyle w:val="TableParagraph"/>
              <w:spacing w:line="249" w:lineRule="exact" w:before="16"/>
              <w:ind w:left="107"/>
              <w:rPr>
                <w:sz w:val="20"/>
              </w:rPr>
            </w:pPr>
            <w:r>
              <w:rPr>
                <w:w w:val="95"/>
                <w:sz w:val="20"/>
              </w:rPr>
              <w:t>Ⅱ</w:t>
            </w:r>
            <w:r>
              <w:rPr>
                <w:spacing w:val="-10"/>
                <w:sz w:val="20"/>
              </w:rPr>
              <w:t>期</w:t>
            </w:r>
          </w:p>
        </w:tc>
        <w:tc>
          <w:tcPr>
            <w:tcW w:w="1985" w:type="dxa"/>
          </w:tcPr>
          <w:p>
            <w:pPr>
              <w:pStyle w:val="TableParagraph"/>
              <w:spacing w:line="249" w:lineRule="exact" w:before="16"/>
              <w:ind w:left="680" w:right="672"/>
              <w:jc w:val="center"/>
              <w:rPr>
                <w:sz w:val="20"/>
              </w:rPr>
            </w:pPr>
            <w:r>
              <w:rPr>
                <w:spacing w:val="-5"/>
                <w:sz w:val="20"/>
              </w:rPr>
              <w:t>2～3</w:t>
            </w:r>
          </w:p>
        </w:tc>
        <w:tc>
          <w:tcPr>
            <w:tcW w:w="1985" w:type="dxa"/>
          </w:tcPr>
          <w:p>
            <w:pPr>
              <w:pStyle w:val="TableParagraph"/>
              <w:spacing w:line="249" w:lineRule="exact" w:before="16"/>
              <w:ind w:left="6"/>
              <w:jc w:val="center"/>
              <w:rPr>
                <w:sz w:val="20"/>
              </w:rPr>
            </w:pPr>
            <w:r>
              <w:rPr>
                <w:w w:val="99"/>
                <w:sz w:val="20"/>
              </w:rPr>
              <w:t>0</w:t>
            </w:r>
          </w:p>
        </w:tc>
        <w:tc>
          <w:tcPr>
            <w:tcW w:w="1983" w:type="dxa"/>
          </w:tcPr>
          <w:p>
            <w:pPr>
              <w:pStyle w:val="TableParagraph"/>
              <w:spacing w:line="249" w:lineRule="exact" w:before="16"/>
              <w:ind w:left="9"/>
              <w:jc w:val="center"/>
              <w:rPr>
                <w:sz w:val="20"/>
              </w:rPr>
            </w:pPr>
            <w:r>
              <w:rPr>
                <w:w w:val="99"/>
                <w:sz w:val="20"/>
              </w:rPr>
              <w:t>0</w:t>
            </w:r>
          </w:p>
        </w:tc>
      </w:tr>
      <w:tr>
        <w:trPr>
          <w:trHeight w:val="285" w:hRule="atLeast"/>
        </w:trPr>
        <w:tc>
          <w:tcPr>
            <w:tcW w:w="2969" w:type="dxa"/>
          </w:tcPr>
          <w:p>
            <w:pPr>
              <w:pStyle w:val="TableParagraph"/>
              <w:spacing w:line="252" w:lineRule="exact" w:before="13"/>
              <w:ind w:left="107"/>
              <w:rPr>
                <w:sz w:val="20"/>
              </w:rPr>
            </w:pPr>
            <w:r>
              <w:rPr>
                <w:w w:val="95"/>
                <w:sz w:val="20"/>
              </w:rPr>
              <w:t>Ⅲ</w:t>
            </w:r>
            <w:r>
              <w:rPr>
                <w:spacing w:val="-10"/>
                <w:sz w:val="20"/>
              </w:rPr>
              <w:t>期</w:t>
            </w:r>
          </w:p>
        </w:tc>
        <w:tc>
          <w:tcPr>
            <w:tcW w:w="1985" w:type="dxa"/>
          </w:tcPr>
          <w:p>
            <w:pPr>
              <w:pStyle w:val="TableParagraph"/>
              <w:spacing w:line="252" w:lineRule="exact" w:before="13"/>
              <w:ind w:left="680" w:right="672"/>
              <w:jc w:val="center"/>
              <w:rPr>
                <w:sz w:val="20"/>
              </w:rPr>
            </w:pPr>
            <w:r>
              <w:rPr>
                <w:spacing w:val="-5"/>
                <w:sz w:val="20"/>
              </w:rPr>
              <w:t>1～3</w:t>
            </w:r>
          </w:p>
        </w:tc>
        <w:tc>
          <w:tcPr>
            <w:tcW w:w="1985" w:type="dxa"/>
          </w:tcPr>
          <w:p>
            <w:pPr>
              <w:pStyle w:val="TableParagraph"/>
              <w:spacing w:line="252" w:lineRule="exact" w:before="13"/>
              <w:ind w:left="682" w:right="670"/>
              <w:jc w:val="center"/>
              <w:rPr>
                <w:sz w:val="20"/>
              </w:rPr>
            </w:pPr>
            <w:r>
              <w:rPr>
                <w:spacing w:val="-5"/>
                <w:sz w:val="20"/>
              </w:rPr>
              <w:t>1a</w:t>
            </w:r>
          </w:p>
        </w:tc>
        <w:tc>
          <w:tcPr>
            <w:tcW w:w="1983" w:type="dxa"/>
          </w:tcPr>
          <w:p>
            <w:pPr>
              <w:pStyle w:val="TableParagraph"/>
              <w:spacing w:line="252" w:lineRule="exact" w:before="13"/>
              <w:ind w:left="9"/>
              <w:jc w:val="center"/>
              <w:rPr>
                <w:sz w:val="20"/>
              </w:rPr>
            </w:pPr>
            <w:r>
              <w:rPr>
                <w:w w:val="99"/>
                <w:sz w:val="20"/>
              </w:rPr>
              <w:t>0</w:t>
            </w:r>
          </w:p>
        </w:tc>
      </w:tr>
      <w:tr>
        <w:trPr>
          <w:trHeight w:val="285" w:hRule="atLeast"/>
        </w:trPr>
        <w:tc>
          <w:tcPr>
            <w:tcW w:w="2969" w:type="dxa"/>
            <w:vMerge w:val="restart"/>
          </w:tcPr>
          <w:p>
            <w:pPr>
              <w:pStyle w:val="TableParagraph"/>
              <w:spacing w:before="162"/>
              <w:ind w:left="107"/>
              <w:rPr>
                <w:sz w:val="20"/>
              </w:rPr>
            </w:pPr>
            <w:r>
              <w:rPr>
                <w:w w:val="95"/>
                <w:sz w:val="20"/>
              </w:rPr>
              <w:t>ⅣA</w:t>
            </w:r>
            <w:r>
              <w:rPr>
                <w:spacing w:val="-33"/>
                <w:w w:val="95"/>
                <w:sz w:val="20"/>
              </w:rPr>
              <w:t> </w:t>
            </w:r>
            <w:r>
              <w:rPr>
                <w:spacing w:val="-10"/>
                <w:sz w:val="20"/>
              </w:rPr>
              <w:t>期</w:t>
            </w:r>
          </w:p>
        </w:tc>
        <w:tc>
          <w:tcPr>
            <w:tcW w:w="1985" w:type="dxa"/>
          </w:tcPr>
          <w:p>
            <w:pPr>
              <w:pStyle w:val="TableParagraph"/>
              <w:spacing w:line="252" w:lineRule="exact" w:before="13"/>
              <w:ind w:left="682" w:right="670"/>
              <w:jc w:val="center"/>
              <w:rPr>
                <w:sz w:val="20"/>
              </w:rPr>
            </w:pPr>
            <w:r>
              <w:rPr>
                <w:spacing w:val="-5"/>
                <w:sz w:val="20"/>
              </w:rPr>
              <w:t>4a</w:t>
            </w:r>
          </w:p>
        </w:tc>
        <w:tc>
          <w:tcPr>
            <w:tcW w:w="1985" w:type="dxa"/>
          </w:tcPr>
          <w:p>
            <w:pPr>
              <w:pStyle w:val="TableParagraph"/>
              <w:spacing w:line="252" w:lineRule="exact" w:before="13"/>
              <w:ind w:left="680" w:right="672"/>
              <w:jc w:val="center"/>
              <w:rPr>
                <w:sz w:val="20"/>
              </w:rPr>
            </w:pPr>
            <w:r>
              <w:rPr>
                <w:w w:val="95"/>
                <w:sz w:val="20"/>
              </w:rPr>
              <w:t>任</w:t>
            </w:r>
            <w:r>
              <w:rPr>
                <w:spacing w:val="-10"/>
                <w:sz w:val="20"/>
              </w:rPr>
              <w:t>何</w:t>
            </w:r>
          </w:p>
        </w:tc>
        <w:tc>
          <w:tcPr>
            <w:tcW w:w="1983" w:type="dxa"/>
          </w:tcPr>
          <w:p>
            <w:pPr>
              <w:pStyle w:val="TableParagraph"/>
              <w:spacing w:line="252" w:lineRule="exact" w:before="13"/>
              <w:ind w:left="9"/>
              <w:jc w:val="center"/>
              <w:rPr>
                <w:sz w:val="20"/>
              </w:rPr>
            </w:pPr>
            <w:r>
              <w:rPr>
                <w:w w:val="99"/>
                <w:sz w:val="20"/>
              </w:rPr>
              <w:t>0</w:t>
            </w:r>
          </w:p>
        </w:tc>
      </w:tr>
      <w:tr>
        <w:trPr>
          <w:trHeight w:val="285" w:hRule="atLeast"/>
        </w:trPr>
        <w:tc>
          <w:tcPr>
            <w:tcW w:w="2969" w:type="dxa"/>
            <w:vMerge/>
            <w:tcBorders>
              <w:top w:val="nil"/>
            </w:tcBorders>
          </w:tcPr>
          <w:p>
            <w:pPr>
              <w:rPr>
                <w:sz w:val="2"/>
                <w:szCs w:val="2"/>
              </w:rPr>
            </w:pPr>
          </w:p>
        </w:tc>
        <w:tc>
          <w:tcPr>
            <w:tcW w:w="1985" w:type="dxa"/>
          </w:tcPr>
          <w:p>
            <w:pPr>
              <w:pStyle w:val="TableParagraph"/>
              <w:spacing w:line="252" w:lineRule="exact" w:before="13"/>
              <w:ind w:left="680" w:right="672"/>
              <w:jc w:val="center"/>
              <w:rPr>
                <w:sz w:val="20"/>
              </w:rPr>
            </w:pPr>
            <w:r>
              <w:rPr>
                <w:spacing w:val="-5"/>
                <w:sz w:val="20"/>
              </w:rPr>
              <w:t>1～3</w:t>
            </w:r>
          </w:p>
        </w:tc>
        <w:tc>
          <w:tcPr>
            <w:tcW w:w="1985" w:type="dxa"/>
          </w:tcPr>
          <w:p>
            <w:pPr>
              <w:pStyle w:val="TableParagraph"/>
              <w:spacing w:line="252" w:lineRule="exact" w:before="13"/>
              <w:ind w:left="682" w:right="670"/>
              <w:jc w:val="center"/>
              <w:rPr>
                <w:sz w:val="20"/>
              </w:rPr>
            </w:pPr>
            <w:r>
              <w:rPr>
                <w:spacing w:val="-5"/>
                <w:sz w:val="20"/>
              </w:rPr>
              <w:t>1b</w:t>
            </w:r>
          </w:p>
        </w:tc>
        <w:tc>
          <w:tcPr>
            <w:tcW w:w="1983" w:type="dxa"/>
          </w:tcPr>
          <w:p>
            <w:pPr>
              <w:pStyle w:val="TableParagraph"/>
              <w:spacing w:line="252" w:lineRule="exact" w:before="13"/>
              <w:ind w:left="9"/>
              <w:jc w:val="center"/>
              <w:rPr>
                <w:sz w:val="20"/>
              </w:rPr>
            </w:pPr>
            <w:r>
              <w:rPr>
                <w:w w:val="99"/>
                <w:sz w:val="20"/>
              </w:rPr>
              <w:t>0</w:t>
            </w:r>
          </w:p>
        </w:tc>
      </w:tr>
      <w:tr>
        <w:trPr>
          <w:trHeight w:val="285" w:hRule="atLeast"/>
        </w:trPr>
        <w:tc>
          <w:tcPr>
            <w:tcW w:w="2969" w:type="dxa"/>
          </w:tcPr>
          <w:p>
            <w:pPr>
              <w:pStyle w:val="TableParagraph"/>
              <w:spacing w:line="252" w:lineRule="exact" w:before="13"/>
              <w:ind w:left="107"/>
              <w:rPr>
                <w:sz w:val="20"/>
              </w:rPr>
            </w:pPr>
            <w:r>
              <w:rPr>
                <w:w w:val="95"/>
                <w:sz w:val="20"/>
              </w:rPr>
              <w:t>ⅣB</w:t>
            </w:r>
            <w:r>
              <w:rPr>
                <w:spacing w:val="-33"/>
                <w:w w:val="95"/>
                <w:sz w:val="20"/>
              </w:rPr>
              <w:t> </w:t>
            </w:r>
            <w:r>
              <w:rPr>
                <w:spacing w:val="-10"/>
                <w:sz w:val="20"/>
              </w:rPr>
              <w:t>期</w:t>
            </w:r>
          </w:p>
        </w:tc>
        <w:tc>
          <w:tcPr>
            <w:tcW w:w="1985" w:type="dxa"/>
          </w:tcPr>
          <w:p>
            <w:pPr>
              <w:pStyle w:val="TableParagraph"/>
              <w:spacing w:line="252" w:lineRule="exact" w:before="13"/>
              <w:ind w:left="682" w:right="670"/>
              <w:jc w:val="center"/>
              <w:rPr>
                <w:sz w:val="20"/>
              </w:rPr>
            </w:pPr>
            <w:r>
              <w:rPr>
                <w:spacing w:val="-5"/>
                <w:sz w:val="20"/>
              </w:rPr>
              <w:t>4b</w:t>
            </w:r>
          </w:p>
        </w:tc>
        <w:tc>
          <w:tcPr>
            <w:tcW w:w="1985" w:type="dxa"/>
          </w:tcPr>
          <w:p>
            <w:pPr>
              <w:pStyle w:val="TableParagraph"/>
              <w:spacing w:line="252" w:lineRule="exact" w:before="13"/>
              <w:ind w:left="680" w:right="672"/>
              <w:jc w:val="center"/>
              <w:rPr>
                <w:sz w:val="20"/>
              </w:rPr>
            </w:pPr>
            <w:r>
              <w:rPr>
                <w:w w:val="95"/>
                <w:sz w:val="20"/>
              </w:rPr>
              <w:t>任</w:t>
            </w:r>
            <w:r>
              <w:rPr>
                <w:spacing w:val="-10"/>
                <w:sz w:val="20"/>
              </w:rPr>
              <w:t>何</w:t>
            </w:r>
          </w:p>
        </w:tc>
        <w:tc>
          <w:tcPr>
            <w:tcW w:w="1983" w:type="dxa"/>
          </w:tcPr>
          <w:p>
            <w:pPr>
              <w:pStyle w:val="TableParagraph"/>
              <w:spacing w:line="252" w:lineRule="exact" w:before="13"/>
              <w:ind w:left="9"/>
              <w:jc w:val="center"/>
              <w:rPr>
                <w:sz w:val="20"/>
              </w:rPr>
            </w:pPr>
            <w:r>
              <w:rPr>
                <w:w w:val="99"/>
                <w:sz w:val="20"/>
              </w:rPr>
              <w:t>0</w:t>
            </w:r>
          </w:p>
        </w:tc>
      </w:tr>
      <w:tr>
        <w:trPr>
          <w:trHeight w:val="285" w:hRule="atLeast"/>
        </w:trPr>
        <w:tc>
          <w:tcPr>
            <w:tcW w:w="2969" w:type="dxa"/>
          </w:tcPr>
          <w:p>
            <w:pPr>
              <w:pStyle w:val="TableParagraph"/>
              <w:spacing w:line="252" w:lineRule="exact" w:before="13"/>
              <w:ind w:left="107"/>
              <w:rPr>
                <w:sz w:val="20"/>
              </w:rPr>
            </w:pPr>
            <w:r>
              <w:rPr>
                <w:w w:val="95"/>
                <w:sz w:val="20"/>
              </w:rPr>
              <w:t>ⅣC</w:t>
            </w:r>
            <w:r>
              <w:rPr>
                <w:spacing w:val="-33"/>
                <w:w w:val="95"/>
                <w:sz w:val="20"/>
              </w:rPr>
              <w:t> </w:t>
            </w:r>
            <w:r>
              <w:rPr>
                <w:spacing w:val="-10"/>
                <w:sz w:val="20"/>
              </w:rPr>
              <w:t>期</w:t>
            </w:r>
          </w:p>
        </w:tc>
        <w:tc>
          <w:tcPr>
            <w:tcW w:w="1985" w:type="dxa"/>
          </w:tcPr>
          <w:p>
            <w:pPr>
              <w:pStyle w:val="TableParagraph"/>
              <w:spacing w:line="252" w:lineRule="exact" w:before="13"/>
              <w:ind w:left="679" w:right="672"/>
              <w:jc w:val="center"/>
              <w:rPr>
                <w:sz w:val="20"/>
              </w:rPr>
            </w:pPr>
            <w:r>
              <w:rPr>
                <w:w w:val="95"/>
                <w:sz w:val="20"/>
              </w:rPr>
              <w:t>任</w:t>
            </w:r>
            <w:r>
              <w:rPr>
                <w:spacing w:val="-10"/>
                <w:sz w:val="20"/>
              </w:rPr>
              <w:t>何</w:t>
            </w:r>
          </w:p>
        </w:tc>
        <w:tc>
          <w:tcPr>
            <w:tcW w:w="1985" w:type="dxa"/>
          </w:tcPr>
          <w:p>
            <w:pPr>
              <w:pStyle w:val="TableParagraph"/>
              <w:spacing w:line="252" w:lineRule="exact" w:before="13"/>
              <w:ind w:left="680" w:right="672"/>
              <w:jc w:val="center"/>
              <w:rPr>
                <w:sz w:val="20"/>
              </w:rPr>
            </w:pPr>
            <w:r>
              <w:rPr>
                <w:w w:val="95"/>
                <w:sz w:val="20"/>
              </w:rPr>
              <w:t>任</w:t>
            </w:r>
            <w:r>
              <w:rPr>
                <w:spacing w:val="-10"/>
                <w:sz w:val="20"/>
              </w:rPr>
              <w:t>何</w:t>
            </w:r>
          </w:p>
        </w:tc>
        <w:tc>
          <w:tcPr>
            <w:tcW w:w="1983" w:type="dxa"/>
          </w:tcPr>
          <w:p>
            <w:pPr>
              <w:pStyle w:val="TableParagraph"/>
              <w:spacing w:line="252" w:lineRule="exact" w:before="13"/>
              <w:ind w:left="9"/>
              <w:jc w:val="center"/>
              <w:rPr>
                <w:sz w:val="20"/>
              </w:rPr>
            </w:pPr>
            <w:r>
              <w:rPr>
                <w:w w:val="99"/>
                <w:sz w:val="20"/>
              </w:rPr>
              <w:t>1</w:t>
            </w:r>
          </w:p>
        </w:tc>
      </w:tr>
      <w:tr>
        <w:trPr>
          <w:trHeight w:val="282" w:hRule="atLeast"/>
        </w:trPr>
        <w:tc>
          <w:tcPr>
            <w:tcW w:w="8922" w:type="dxa"/>
            <w:gridSpan w:val="4"/>
          </w:tcPr>
          <w:p>
            <w:pPr>
              <w:pStyle w:val="TableParagraph"/>
              <w:spacing w:line="249" w:lineRule="exact" w:before="13"/>
              <w:ind w:left="107"/>
              <w:rPr>
                <w:sz w:val="20"/>
              </w:rPr>
            </w:pPr>
            <w:r>
              <w:rPr>
                <w:w w:val="95"/>
                <w:sz w:val="20"/>
              </w:rPr>
              <w:t>未</w:t>
            </w:r>
            <w:r>
              <w:rPr>
                <w:w w:val="95"/>
                <w:sz w:val="20"/>
              </w:rPr>
              <w:t>分</w:t>
            </w:r>
            <w:r>
              <w:rPr>
                <w:w w:val="95"/>
                <w:sz w:val="20"/>
              </w:rPr>
              <w:t>化</w:t>
            </w:r>
            <w:r>
              <w:rPr>
                <w:w w:val="95"/>
                <w:sz w:val="20"/>
              </w:rPr>
              <w:t>癌（</w:t>
            </w:r>
            <w:r>
              <w:rPr>
                <w:w w:val="95"/>
                <w:sz w:val="20"/>
              </w:rPr>
              <w:t>所</w:t>
            </w:r>
            <w:r>
              <w:rPr>
                <w:w w:val="95"/>
                <w:sz w:val="20"/>
              </w:rPr>
              <w:t>有</w:t>
            </w:r>
            <w:r>
              <w:rPr>
                <w:w w:val="95"/>
                <w:sz w:val="20"/>
              </w:rPr>
              <w:t>年</w:t>
            </w:r>
            <w:r>
              <w:rPr>
                <w:w w:val="95"/>
                <w:sz w:val="20"/>
              </w:rPr>
              <w:t>龄</w:t>
            </w:r>
            <w:r>
              <w:rPr>
                <w:w w:val="95"/>
                <w:sz w:val="20"/>
              </w:rPr>
              <w:t>组</w:t>
            </w:r>
            <w:r>
              <w:rPr>
                <w:spacing w:val="-10"/>
                <w:w w:val="95"/>
                <w:sz w:val="20"/>
              </w:rPr>
              <w:t>）</w:t>
            </w:r>
          </w:p>
        </w:tc>
      </w:tr>
      <w:tr>
        <w:trPr>
          <w:trHeight w:val="285" w:hRule="atLeast"/>
        </w:trPr>
        <w:tc>
          <w:tcPr>
            <w:tcW w:w="2969" w:type="dxa"/>
          </w:tcPr>
          <w:p>
            <w:pPr>
              <w:pStyle w:val="TableParagraph"/>
              <w:spacing w:line="249" w:lineRule="exact" w:before="16"/>
              <w:ind w:left="107"/>
              <w:rPr>
                <w:sz w:val="20"/>
              </w:rPr>
            </w:pPr>
            <w:r>
              <w:rPr>
                <w:w w:val="95"/>
                <w:sz w:val="20"/>
              </w:rPr>
              <w:t>ⅣA</w:t>
            </w:r>
            <w:r>
              <w:rPr>
                <w:spacing w:val="-33"/>
                <w:w w:val="95"/>
                <w:sz w:val="20"/>
              </w:rPr>
              <w:t> </w:t>
            </w:r>
            <w:r>
              <w:rPr>
                <w:spacing w:val="-10"/>
                <w:sz w:val="20"/>
              </w:rPr>
              <w:t>期</w:t>
            </w:r>
          </w:p>
        </w:tc>
        <w:tc>
          <w:tcPr>
            <w:tcW w:w="1985" w:type="dxa"/>
          </w:tcPr>
          <w:p>
            <w:pPr>
              <w:pStyle w:val="TableParagraph"/>
              <w:spacing w:line="249" w:lineRule="exact" w:before="16"/>
              <w:ind w:left="682" w:right="672"/>
              <w:jc w:val="center"/>
              <w:rPr>
                <w:sz w:val="20"/>
              </w:rPr>
            </w:pPr>
            <w:r>
              <w:rPr>
                <w:spacing w:val="-4"/>
                <w:sz w:val="20"/>
              </w:rPr>
              <w:t>1～3a</w:t>
            </w:r>
          </w:p>
        </w:tc>
        <w:tc>
          <w:tcPr>
            <w:tcW w:w="1985" w:type="dxa"/>
          </w:tcPr>
          <w:p>
            <w:pPr>
              <w:pStyle w:val="TableParagraph"/>
              <w:spacing w:line="249" w:lineRule="exact" w:before="16"/>
              <w:ind w:left="682" w:right="670"/>
              <w:jc w:val="center"/>
              <w:rPr>
                <w:sz w:val="20"/>
              </w:rPr>
            </w:pPr>
            <w:r>
              <w:rPr>
                <w:spacing w:val="-5"/>
                <w:sz w:val="20"/>
              </w:rPr>
              <w:t>0/x</w:t>
            </w:r>
          </w:p>
        </w:tc>
        <w:tc>
          <w:tcPr>
            <w:tcW w:w="1983" w:type="dxa"/>
          </w:tcPr>
          <w:p>
            <w:pPr>
              <w:pStyle w:val="TableParagraph"/>
              <w:spacing w:line="249" w:lineRule="exact" w:before="16"/>
              <w:ind w:left="9"/>
              <w:jc w:val="center"/>
              <w:rPr>
                <w:sz w:val="20"/>
              </w:rPr>
            </w:pPr>
            <w:r>
              <w:rPr>
                <w:w w:val="99"/>
                <w:sz w:val="20"/>
              </w:rPr>
              <w:t>0</w:t>
            </w:r>
          </w:p>
        </w:tc>
      </w:tr>
      <w:tr>
        <w:trPr>
          <w:trHeight w:val="285" w:hRule="atLeast"/>
        </w:trPr>
        <w:tc>
          <w:tcPr>
            <w:tcW w:w="2969" w:type="dxa"/>
            <w:vMerge w:val="restart"/>
          </w:tcPr>
          <w:p>
            <w:pPr>
              <w:pStyle w:val="TableParagraph"/>
              <w:spacing w:before="162"/>
              <w:ind w:left="107"/>
              <w:rPr>
                <w:sz w:val="20"/>
              </w:rPr>
            </w:pPr>
            <w:r>
              <w:rPr>
                <w:w w:val="95"/>
                <w:sz w:val="20"/>
              </w:rPr>
              <w:t>ⅣB</w:t>
            </w:r>
            <w:r>
              <w:rPr>
                <w:spacing w:val="-33"/>
                <w:w w:val="95"/>
                <w:sz w:val="20"/>
              </w:rPr>
              <w:t> </w:t>
            </w:r>
            <w:r>
              <w:rPr>
                <w:spacing w:val="-10"/>
                <w:sz w:val="20"/>
              </w:rPr>
              <w:t>期</w:t>
            </w:r>
          </w:p>
        </w:tc>
        <w:tc>
          <w:tcPr>
            <w:tcW w:w="1985" w:type="dxa"/>
          </w:tcPr>
          <w:p>
            <w:pPr>
              <w:pStyle w:val="TableParagraph"/>
              <w:spacing w:line="249" w:lineRule="exact" w:before="15"/>
              <w:ind w:left="682" w:right="672"/>
              <w:jc w:val="center"/>
              <w:rPr>
                <w:sz w:val="20"/>
              </w:rPr>
            </w:pPr>
            <w:r>
              <w:rPr>
                <w:spacing w:val="-4"/>
                <w:sz w:val="20"/>
              </w:rPr>
              <w:t>1～3a</w:t>
            </w:r>
          </w:p>
        </w:tc>
        <w:tc>
          <w:tcPr>
            <w:tcW w:w="1985" w:type="dxa"/>
          </w:tcPr>
          <w:p>
            <w:pPr>
              <w:pStyle w:val="TableParagraph"/>
              <w:spacing w:line="249" w:lineRule="exact" w:before="15"/>
              <w:ind w:left="6"/>
              <w:jc w:val="center"/>
              <w:rPr>
                <w:sz w:val="20"/>
              </w:rPr>
            </w:pPr>
            <w:r>
              <w:rPr>
                <w:w w:val="99"/>
                <w:sz w:val="20"/>
              </w:rPr>
              <w:t>1</w:t>
            </w:r>
          </w:p>
        </w:tc>
        <w:tc>
          <w:tcPr>
            <w:tcW w:w="1983" w:type="dxa"/>
          </w:tcPr>
          <w:p>
            <w:pPr>
              <w:pStyle w:val="TableParagraph"/>
              <w:spacing w:line="249" w:lineRule="exact" w:before="15"/>
              <w:ind w:left="9"/>
              <w:jc w:val="center"/>
              <w:rPr>
                <w:sz w:val="20"/>
              </w:rPr>
            </w:pPr>
            <w:r>
              <w:rPr>
                <w:w w:val="99"/>
                <w:sz w:val="20"/>
              </w:rPr>
              <w:t>0</w:t>
            </w:r>
          </w:p>
        </w:tc>
      </w:tr>
      <w:tr>
        <w:trPr>
          <w:trHeight w:val="285" w:hRule="atLeast"/>
        </w:trPr>
        <w:tc>
          <w:tcPr>
            <w:tcW w:w="2969" w:type="dxa"/>
            <w:vMerge/>
            <w:tcBorders>
              <w:top w:val="nil"/>
            </w:tcBorders>
          </w:tcPr>
          <w:p>
            <w:pPr>
              <w:rPr>
                <w:sz w:val="2"/>
                <w:szCs w:val="2"/>
              </w:rPr>
            </w:pPr>
          </w:p>
        </w:tc>
        <w:tc>
          <w:tcPr>
            <w:tcW w:w="1985" w:type="dxa"/>
          </w:tcPr>
          <w:p>
            <w:pPr>
              <w:pStyle w:val="TableParagraph"/>
              <w:spacing w:line="249" w:lineRule="exact" w:before="16"/>
              <w:ind w:left="680" w:right="672"/>
              <w:jc w:val="center"/>
              <w:rPr>
                <w:sz w:val="20"/>
              </w:rPr>
            </w:pPr>
            <w:r>
              <w:rPr>
                <w:spacing w:val="-4"/>
                <w:sz w:val="20"/>
              </w:rPr>
              <w:t>3b～4</w:t>
            </w:r>
          </w:p>
        </w:tc>
        <w:tc>
          <w:tcPr>
            <w:tcW w:w="1985" w:type="dxa"/>
          </w:tcPr>
          <w:p>
            <w:pPr>
              <w:pStyle w:val="TableParagraph"/>
              <w:spacing w:line="249" w:lineRule="exact" w:before="16"/>
              <w:ind w:left="680" w:right="672"/>
              <w:jc w:val="center"/>
              <w:rPr>
                <w:sz w:val="20"/>
              </w:rPr>
            </w:pPr>
            <w:r>
              <w:rPr>
                <w:w w:val="95"/>
                <w:sz w:val="20"/>
              </w:rPr>
              <w:t>任</w:t>
            </w:r>
            <w:r>
              <w:rPr>
                <w:spacing w:val="-10"/>
                <w:sz w:val="20"/>
              </w:rPr>
              <w:t>何</w:t>
            </w:r>
          </w:p>
        </w:tc>
        <w:tc>
          <w:tcPr>
            <w:tcW w:w="1983" w:type="dxa"/>
          </w:tcPr>
          <w:p>
            <w:pPr>
              <w:pStyle w:val="TableParagraph"/>
              <w:spacing w:line="249" w:lineRule="exact" w:before="16"/>
              <w:ind w:left="9"/>
              <w:jc w:val="center"/>
              <w:rPr>
                <w:sz w:val="20"/>
              </w:rPr>
            </w:pPr>
            <w:r>
              <w:rPr>
                <w:w w:val="99"/>
                <w:sz w:val="20"/>
              </w:rPr>
              <w:t>0</w:t>
            </w:r>
          </w:p>
        </w:tc>
      </w:tr>
      <w:tr>
        <w:trPr>
          <w:trHeight w:val="285" w:hRule="atLeast"/>
        </w:trPr>
        <w:tc>
          <w:tcPr>
            <w:tcW w:w="2969" w:type="dxa"/>
          </w:tcPr>
          <w:p>
            <w:pPr>
              <w:pStyle w:val="TableParagraph"/>
              <w:spacing w:line="249" w:lineRule="exact" w:before="16"/>
              <w:ind w:left="107"/>
              <w:rPr>
                <w:sz w:val="20"/>
              </w:rPr>
            </w:pPr>
            <w:r>
              <w:rPr>
                <w:w w:val="95"/>
                <w:sz w:val="20"/>
              </w:rPr>
              <w:t>ⅣC</w:t>
            </w:r>
            <w:r>
              <w:rPr>
                <w:spacing w:val="-33"/>
                <w:w w:val="95"/>
                <w:sz w:val="20"/>
              </w:rPr>
              <w:t> </w:t>
            </w:r>
            <w:r>
              <w:rPr>
                <w:spacing w:val="-10"/>
                <w:sz w:val="20"/>
              </w:rPr>
              <w:t>期</w:t>
            </w:r>
          </w:p>
        </w:tc>
        <w:tc>
          <w:tcPr>
            <w:tcW w:w="1985" w:type="dxa"/>
          </w:tcPr>
          <w:p>
            <w:pPr>
              <w:pStyle w:val="TableParagraph"/>
              <w:spacing w:line="249" w:lineRule="exact" w:before="16"/>
              <w:ind w:left="679" w:right="672"/>
              <w:jc w:val="center"/>
              <w:rPr>
                <w:sz w:val="20"/>
              </w:rPr>
            </w:pPr>
            <w:r>
              <w:rPr>
                <w:w w:val="95"/>
                <w:sz w:val="20"/>
              </w:rPr>
              <w:t>任</w:t>
            </w:r>
            <w:r>
              <w:rPr>
                <w:spacing w:val="-10"/>
                <w:sz w:val="20"/>
              </w:rPr>
              <w:t>何</w:t>
            </w:r>
          </w:p>
        </w:tc>
        <w:tc>
          <w:tcPr>
            <w:tcW w:w="1985" w:type="dxa"/>
          </w:tcPr>
          <w:p>
            <w:pPr>
              <w:pStyle w:val="TableParagraph"/>
              <w:spacing w:line="249" w:lineRule="exact" w:before="16"/>
              <w:ind w:left="680" w:right="672"/>
              <w:jc w:val="center"/>
              <w:rPr>
                <w:sz w:val="20"/>
              </w:rPr>
            </w:pPr>
            <w:r>
              <w:rPr>
                <w:w w:val="95"/>
                <w:sz w:val="20"/>
              </w:rPr>
              <w:t>任</w:t>
            </w:r>
            <w:r>
              <w:rPr>
                <w:spacing w:val="-10"/>
                <w:sz w:val="20"/>
              </w:rPr>
              <w:t>何</w:t>
            </w:r>
          </w:p>
        </w:tc>
        <w:tc>
          <w:tcPr>
            <w:tcW w:w="1983" w:type="dxa"/>
          </w:tcPr>
          <w:p>
            <w:pPr>
              <w:pStyle w:val="TableParagraph"/>
              <w:spacing w:line="249" w:lineRule="exact" w:before="16"/>
              <w:ind w:left="9"/>
              <w:jc w:val="center"/>
              <w:rPr>
                <w:sz w:val="20"/>
              </w:rPr>
            </w:pPr>
            <w:r>
              <w:rPr>
                <w:w w:val="99"/>
                <w:sz w:val="20"/>
              </w:rPr>
              <w:t>1</w:t>
            </w:r>
          </w:p>
        </w:tc>
      </w:tr>
    </w:tbl>
    <w:p>
      <w:pPr>
        <w:spacing w:before="7"/>
        <w:ind w:left="1118" w:right="0" w:firstLine="0"/>
        <w:jc w:val="left"/>
        <w:rPr>
          <w:sz w:val="20"/>
        </w:rPr>
      </w:pPr>
      <w:r>
        <w:rPr>
          <w:w w:val="95"/>
          <w:sz w:val="20"/>
        </w:rPr>
        <w:t>注</w:t>
      </w:r>
      <w:r>
        <w:rPr>
          <w:w w:val="95"/>
          <w:sz w:val="20"/>
        </w:rPr>
        <w:t>：</w:t>
      </w:r>
      <w:r>
        <w:rPr>
          <w:w w:val="95"/>
          <w:sz w:val="20"/>
        </w:rPr>
        <w:t>以</w:t>
      </w:r>
      <w:r>
        <w:rPr>
          <w:w w:val="95"/>
          <w:sz w:val="20"/>
        </w:rPr>
        <w:t>上</w:t>
      </w:r>
      <w:r>
        <w:rPr>
          <w:w w:val="95"/>
          <w:sz w:val="20"/>
        </w:rPr>
        <w:t>表</w:t>
      </w:r>
      <w:r>
        <w:rPr>
          <w:w w:val="95"/>
          <w:sz w:val="20"/>
        </w:rPr>
        <w:t>格</w:t>
      </w:r>
      <w:r>
        <w:rPr>
          <w:w w:val="95"/>
          <w:sz w:val="20"/>
        </w:rPr>
        <w:t>中“</w:t>
      </w:r>
      <w:r>
        <w:rPr>
          <w:w w:val="95"/>
          <w:sz w:val="20"/>
        </w:rPr>
        <w:t>年</w:t>
      </w:r>
      <w:r>
        <w:rPr>
          <w:w w:val="95"/>
          <w:sz w:val="20"/>
        </w:rPr>
        <w:t>龄”指</w:t>
      </w:r>
      <w:r>
        <w:rPr>
          <w:w w:val="95"/>
          <w:sz w:val="20"/>
        </w:rPr>
        <w:t>患</w:t>
      </w:r>
      <w:r>
        <w:rPr>
          <w:w w:val="95"/>
          <w:sz w:val="20"/>
        </w:rPr>
        <w:t>者</w:t>
      </w:r>
      <w:r>
        <w:rPr>
          <w:w w:val="95"/>
          <w:sz w:val="20"/>
        </w:rPr>
        <w:t>病</w:t>
      </w:r>
      <w:r>
        <w:rPr>
          <w:w w:val="95"/>
          <w:sz w:val="20"/>
        </w:rPr>
        <w:t>理</w:t>
      </w:r>
      <w:r>
        <w:rPr>
          <w:w w:val="95"/>
          <w:sz w:val="20"/>
        </w:rPr>
        <w:t>组</w:t>
      </w:r>
      <w:r>
        <w:rPr>
          <w:w w:val="95"/>
          <w:sz w:val="20"/>
        </w:rPr>
        <w:t>织</w:t>
      </w:r>
      <w:r>
        <w:rPr>
          <w:w w:val="95"/>
          <w:sz w:val="20"/>
        </w:rPr>
        <w:t>标</w:t>
      </w:r>
      <w:r>
        <w:rPr>
          <w:w w:val="95"/>
          <w:sz w:val="20"/>
        </w:rPr>
        <w:t>本</w:t>
      </w:r>
      <w:r>
        <w:rPr>
          <w:w w:val="95"/>
          <w:sz w:val="20"/>
        </w:rPr>
        <w:t>获</w:t>
      </w:r>
      <w:r>
        <w:rPr>
          <w:w w:val="95"/>
          <w:sz w:val="20"/>
        </w:rPr>
        <w:t>取日期</w:t>
      </w:r>
      <w:r>
        <w:rPr>
          <w:w w:val="95"/>
          <w:sz w:val="20"/>
        </w:rPr>
        <w:t>时</w:t>
      </w:r>
      <w:r>
        <w:rPr>
          <w:w w:val="95"/>
          <w:sz w:val="20"/>
        </w:rPr>
        <w:t>的</w:t>
      </w:r>
      <w:r>
        <w:rPr>
          <w:w w:val="95"/>
          <w:sz w:val="20"/>
        </w:rPr>
        <w:t>年</w:t>
      </w:r>
      <w:r>
        <w:rPr>
          <w:spacing w:val="-5"/>
          <w:w w:val="95"/>
          <w:sz w:val="20"/>
        </w:rPr>
        <w:t>龄。</w:t>
      </w:r>
    </w:p>
    <w:p>
      <w:pPr>
        <w:pStyle w:val="Heading2"/>
        <w:numPr>
          <w:ilvl w:val="0"/>
          <w:numId w:val="106"/>
        </w:numPr>
        <w:tabs>
          <w:tab w:pos="979" w:val="left" w:leader="none"/>
          <w:tab w:pos="980" w:val="left" w:leader="none"/>
        </w:tabs>
        <w:spacing w:line="364" w:lineRule="exact" w:before="106" w:after="0"/>
        <w:ind w:left="979" w:right="0" w:hanging="459"/>
        <w:jc w:val="left"/>
      </w:pPr>
      <w:r>
        <w:rPr>
          <w:spacing w:val="-5"/>
        </w:rPr>
        <w:t>肢体</w:t>
      </w:r>
    </w:p>
    <w:p>
      <w:pPr>
        <w:pStyle w:val="BodyText"/>
        <w:spacing w:line="246" w:lineRule="exact"/>
        <w:ind w:left="979"/>
      </w:pPr>
      <w:r>
        <w:rPr>
          <w:spacing w:val="-3"/>
        </w:rPr>
        <w:t>肢体是指包括肩关节的整个上肢或包括髋关节的整个下肢。</w:t>
      </w:r>
    </w:p>
    <w:p>
      <w:pPr>
        <w:pStyle w:val="Heading2"/>
        <w:numPr>
          <w:ilvl w:val="0"/>
          <w:numId w:val="106"/>
        </w:numPr>
        <w:tabs>
          <w:tab w:pos="979" w:val="left" w:leader="none"/>
          <w:tab w:pos="980" w:val="left" w:leader="none"/>
        </w:tabs>
        <w:spacing w:line="363" w:lineRule="exact" w:before="105" w:after="0"/>
        <w:ind w:left="979" w:right="0" w:hanging="459"/>
        <w:jc w:val="left"/>
      </w:pPr>
      <w:r>
        <w:rPr>
          <w:spacing w:val="-5"/>
        </w:rPr>
        <w:t>肌力</w:t>
      </w:r>
    </w:p>
    <w:p>
      <w:pPr>
        <w:pStyle w:val="BodyText"/>
        <w:spacing w:line="245" w:lineRule="exact"/>
        <w:ind w:left="979"/>
      </w:pPr>
      <w:r>
        <w:rPr>
          <w:spacing w:val="-5"/>
        </w:rPr>
        <w:t>指肌肉收缩时的力量。肌力划分为 </w:t>
      </w:r>
      <w:r>
        <w:rPr>
          <w:spacing w:val="-2"/>
        </w:rPr>
        <w:t>0-5</w:t>
      </w:r>
      <w:r>
        <w:rPr>
          <w:spacing w:val="-11"/>
        </w:rPr>
        <w:t> 级，具体为：</w:t>
      </w:r>
    </w:p>
    <w:p>
      <w:pPr>
        <w:pStyle w:val="ListParagraph"/>
        <w:numPr>
          <w:ilvl w:val="1"/>
          <w:numId w:val="106"/>
        </w:numPr>
        <w:tabs>
          <w:tab w:pos="1139" w:val="left" w:leader="none"/>
        </w:tabs>
        <w:spacing w:line="240" w:lineRule="auto" w:before="5" w:after="0"/>
        <w:ind w:left="1138" w:right="0" w:hanging="160"/>
        <w:jc w:val="left"/>
        <w:rPr>
          <w:sz w:val="21"/>
        </w:rPr>
      </w:pPr>
      <w:r>
        <w:rPr>
          <w:spacing w:val="-3"/>
          <w:sz w:val="21"/>
        </w:rPr>
        <w:t>级：肌肉完全瘫痪，毫无收缩。</w:t>
      </w:r>
    </w:p>
    <w:p>
      <w:pPr>
        <w:pStyle w:val="ListParagraph"/>
        <w:numPr>
          <w:ilvl w:val="1"/>
          <w:numId w:val="106"/>
        </w:numPr>
        <w:tabs>
          <w:tab w:pos="1139" w:val="left" w:leader="none"/>
        </w:tabs>
        <w:spacing w:line="240" w:lineRule="auto" w:before="2" w:after="0"/>
        <w:ind w:left="1138" w:right="0" w:hanging="160"/>
        <w:jc w:val="left"/>
        <w:rPr>
          <w:sz w:val="21"/>
        </w:rPr>
      </w:pPr>
      <w:r>
        <w:rPr>
          <w:spacing w:val="-3"/>
          <w:sz w:val="21"/>
        </w:rPr>
        <w:t>级：可看到或者触及肌肉轻微收缩，但不能产生动作。</w:t>
      </w:r>
    </w:p>
    <w:p>
      <w:pPr>
        <w:pStyle w:val="ListParagraph"/>
        <w:numPr>
          <w:ilvl w:val="1"/>
          <w:numId w:val="106"/>
        </w:numPr>
        <w:tabs>
          <w:tab w:pos="1139" w:val="left" w:leader="none"/>
        </w:tabs>
        <w:spacing w:line="240" w:lineRule="auto" w:before="5" w:after="0"/>
        <w:ind w:left="1138" w:right="0" w:hanging="160"/>
        <w:jc w:val="left"/>
        <w:rPr>
          <w:sz w:val="21"/>
        </w:rPr>
      </w:pPr>
      <w:r>
        <w:rPr>
          <w:spacing w:val="-3"/>
          <w:sz w:val="21"/>
        </w:rPr>
        <w:t>级：肌肉在不受重力影响下，可进行运动，即肢体能在床面上移动，但不能抬高。</w:t>
      </w:r>
    </w:p>
    <w:p>
      <w:pPr>
        <w:pStyle w:val="ListParagraph"/>
        <w:numPr>
          <w:ilvl w:val="1"/>
          <w:numId w:val="106"/>
        </w:numPr>
        <w:tabs>
          <w:tab w:pos="1139" w:val="left" w:leader="none"/>
        </w:tabs>
        <w:spacing w:line="240" w:lineRule="auto" w:before="2" w:after="0"/>
        <w:ind w:left="1138" w:right="0" w:hanging="160"/>
        <w:jc w:val="left"/>
        <w:rPr>
          <w:sz w:val="21"/>
        </w:rPr>
      </w:pPr>
      <w:r>
        <w:rPr>
          <w:spacing w:val="-3"/>
          <w:sz w:val="21"/>
        </w:rPr>
        <w:t>级：在和地心引力相反的方向中尚能完成其动作，但不能对抗外加阻力。</w:t>
      </w:r>
    </w:p>
    <w:p>
      <w:pPr>
        <w:pStyle w:val="ListParagraph"/>
        <w:numPr>
          <w:ilvl w:val="1"/>
          <w:numId w:val="106"/>
        </w:numPr>
        <w:tabs>
          <w:tab w:pos="1139" w:val="left" w:leader="none"/>
        </w:tabs>
        <w:spacing w:line="240" w:lineRule="auto" w:before="5" w:after="0"/>
        <w:ind w:left="1138" w:right="0" w:hanging="160"/>
        <w:jc w:val="left"/>
        <w:rPr>
          <w:sz w:val="21"/>
        </w:rPr>
      </w:pPr>
      <w:r>
        <w:rPr>
          <w:spacing w:val="-3"/>
          <w:sz w:val="21"/>
        </w:rPr>
        <w:t>级：能对抗一定的阻力，但较正常人为低。</w:t>
      </w:r>
    </w:p>
    <w:p>
      <w:pPr>
        <w:pStyle w:val="ListParagraph"/>
        <w:numPr>
          <w:ilvl w:val="1"/>
          <w:numId w:val="106"/>
        </w:numPr>
        <w:tabs>
          <w:tab w:pos="1139" w:val="left" w:leader="none"/>
        </w:tabs>
        <w:spacing w:line="240" w:lineRule="auto" w:before="2" w:after="0"/>
        <w:ind w:left="1138" w:right="0" w:hanging="160"/>
        <w:jc w:val="left"/>
        <w:rPr>
          <w:sz w:val="21"/>
        </w:rPr>
      </w:pPr>
      <w:r>
        <w:rPr>
          <w:spacing w:val="-4"/>
          <w:sz w:val="21"/>
        </w:rPr>
        <w:t>级：正常肌力。</w:t>
      </w:r>
    </w:p>
    <w:p>
      <w:pPr>
        <w:pStyle w:val="Heading2"/>
        <w:numPr>
          <w:ilvl w:val="1"/>
          <w:numId w:val="106"/>
        </w:numPr>
        <w:tabs>
          <w:tab w:pos="979" w:val="left" w:leader="none"/>
          <w:tab w:pos="980" w:val="left" w:leader="none"/>
        </w:tabs>
        <w:spacing w:line="363" w:lineRule="exact" w:before="108" w:after="0"/>
        <w:ind w:left="979" w:right="0" w:hanging="459"/>
        <w:jc w:val="left"/>
      </w:pPr>
      <w:r>
        <w:rPr>
          <w:spacing w:val="-3"/>
        </w:rPr>
        <w:t>六项基本日常生活活动</w:t>
      </w:r>
    </w:p>
    <w:p>
      <w:pPr>
        <w:pStyle w:val="BodyText"/>
        <w:spacing w:line="245" w:lineRule="exact"/>
        <w:ind w:left="979"/>
      </w:pPr>
      <w:r>
        <w:rPr>
          <w:spacing w:val="-13"/>
        </w:rPr>
        <w:t>六项基本日常生活活动是指：</w:t>
      </w:r>
      <w:r>
        <w:rPr>
          <w:spacing w:val="20"/>
        </w:rPr>
        <w:t>（1）</w:t>
      </w:r>
      <w:r>
        <w:rPr>
          <w:spacing w:val="-13"/>
        </w:rPr>
        <w:t>穿衣：自己能够穿衣及脱衣；</w:t>
      </w:r>
      <w:r>
        <w:rPr>
          <w:spacing w:val="21"/>
        </w:rPr>
        <w:t>（2</w:t>
      </w:r>
      <w:r>
        <w:rPr>
          <w:spacing w:val="18"/>
        </w:rPr>
        <w:t>）</w:t>
      </w:r>
      <w:r>
        <w:rPr>
          <w:spacing w:val="-7"/>
        </w:rPr>
        <w:t>移动：自己从一个房间到另一个</w:t>
      </w:r>
    </w:p>
    <w:p>
      <w:pPr>
        <w:pStyle w:val="BodyText"/>
        <w:spacing w:line="242" w:lineRule="auto" w:before="4"/>
        <w:ind w:left="979" w:right="601"/>
      </w:pPr>
      <w:r>
        <w:rPr>
          <w:spacing w:val="-35"/>
        </w:rPr>
        <w:t>房间；</w:t>
      </w:r>
      <w:r>
        <w:rPr>
          <w:spacing w:val="18"/>
        </w:rPr>
        <w:t>（</w:t>
      </w:r>
      <w:r>
        <w:rPr>
          <w:spacing w:val="19"/>
        </w:rPr>
        <w:t>3</w:t>
      </w:r>
      <w:r>
        <w:rPr>
          <w:spacing w:val="16"/>
        </w:rPr>
        <w:t>）</w:t>
      </w:r>
      <w:r>
        <w:rPr>
          <w:spacing w:val="-14"/>
        </w:rPr>
        <w:t>行动：自己上下床或上下轮椅；</w:t>
      </w:r>
      <w:r>
        <w:rPr>
          <w:spacing w:val="19"/>
        </w:rPr>
        <w:t>（4）</w:t>
      </w:r>
      <w:r>
        <w:rPr>
          <w:spacing w:val="-15"/>
        </w:rPr>
        <w:t>如厕：自己控制进行大小便；</w:t>
      </w:r>
      <w:r>
        <w:rPr>
          <w:spacing w:val="19"/>
        </w:rPr>
        <w:t>（5）</w:t>
      </w:r>
      <w:r>
        <w:rPr>
          <w:spacing w:val="-8"/>
        </w:rPr>
        <w:t>进食：自己从已准</w:t>
      </w:r>
      <w:r>
        <w:rPr>
          <w:spacing w:val="-8"/>
        </w:rPr>
        <w:t>备好的碗或碟中取食物放入口中；</w:t>
      </w:r>
      <w:r>
        <w:rPr>
          <w:spacing w:val="25"/>
        </w:rPr>
        <w:t>（</w:t>
      </w:r>
      <w:r>
        <w:rPr>
          <w:spacing w:val="22"/>
        </w:rPr>
        <w:t>6</w:t>
      </w:r>
      <w:r>
        <w:rPr>
          <w:spacing w:val="25"/>
        </w:rPr>
        <w:t>）</w:t>
      </w:r>
      <w:r>
        <w:rPr>
          <w:spacing w:val="-2"/>
        </w:rPr>
        <w:t>洗澡：自己进行淋浴或盆浴。</w:t>
      </w:r>
    </w:p>
    <w:p>
      <w:pPr>
        <w:pStyle w:val="BodyText"/>
        <w:spacing w:before="2"/>
        <w:ind w:left="979"/>
      </w:pPr>
      <w:r>
        <w:rPr>
          <w:spacing w:val="-1"/>
        </w:rPr>
        <w:t>六项基本日常生活活动能力的鉴定不适用于 </w:t>
      </w:r>
      <w:r>
        <w:rPr/>
        <w:t>0-3</w:t>
      </w:r>
      <w:r>
        <w:rPr>
          <w:spacing w:val="-5"/>
        </w:rPr>
        <w:t> 周岁幼儿。</w:t>
      </w:r>
    </w:p>
    <w:p>
      <w:pPr>
        <w:pStyle w:val="Heading2"/>
        <w:numPr>
          <w:ilvl w:val="1"/>
          <w:numId w:val="106"/>
        </w:numPr>
        <w:tabs>
          <w:tab w:pos="979" w:val="left" w:leader="none"/>
          <w:tab w:pos="980" w:val="left" w:leader="none"/>
        </w:tabs>
        <w:spacing w:line="363" w:lineRule="exact" w:before="105" w:after="0"/>
        <w:ind w:left="979" w:right="0" w:hanging="459"/>
        <w:jc w:val="left"/>
      </w:pPr>
      <w:r>
        <w:rPr>
          <w:spacing w:val="-2"/>
        </w:rPr>
        <w:t>永久不可逆</w:t>
      </w:r>
    </w:p>
    <w:p>
      <w:pPr>
        <w:pStyle w:val="BodyText"/>
        <w:spacing w:line="245" w:lineRule="exact"/>
        <w:ind w:left="979"/>
      </w:pPr>
      <w:r>
        <w:rPr>
          <w:spacing w:val="-4"/>
        </w:rPr>
        <w:t>指自疾病确诊或意外伤害发生之日起，经过积极治疗 </w:t>
      </w:r>
      <w:r>
        <w:rPr>
          <w:spacing w:val="-2"/>
        </w:rPr>
        <w:t>180</w:t>
      </w:r>
      <w:r>
        <w:rPr>
          <w:spacing w:val="-9"/>
        </w:rPr>
        <w:t> 天后，仍无法通过现有医疗手段恢复。</w:t>
      </w:r>
    </w:p>
    <w:p>
      <w:pPr>
        <w:spacing w:after="0" w:line="245" w:lineRule="exact"/>
        <w:sectPr>
          <w:type w:val="continuous"/>
          <w:pgSz w:w="11910" w:h="16840"/>
          <w:pgMar w:header="0" w:footer="574" w:top="380" w:bottom="760" w:left="720" w:right="340"/>
        </w:sectPr>
      </w:pPr>
    </w:p>
    <w:p>
      <w:pPr>
        <w:pStyle w:val="Heading2"/>
        <w:numPr>
          <w:ilvl w:val="1"/>
          <w:numId w:val="106"/>
        </w:numPr>
        <w:tabs>
          <w:tab w:pos="979" w:val="left" w:leader="none"/>
          <w:tab w:pos="980" w:val="left" w:leader="none"/>
        </w:tabs>
        <w:spacing w:line="343" w:lineRule="exact" w:before="0" w:after="0"/>
        <w:ind w:left="979" w:right="0" w:hanging="459"/>
        <w:jc w:val="left"/>
      </w:pPr>
      <w:r>
        <w:rPr>
          <w:w w:val="90"/>
        </w:rPr>
        <w:t>美</w:t>
      </w:r>
      <w:r>
        <w:rPr>
          <w:w w:val="90"/>
        </w:rPr>
        <w:t>国</w:t>
      </w:r>
      <w:r>
        <w:rPr>
          <w:w w:val="90"/>
        </w:rPr>
        <w:t>纽</w:t>
      </w:r>
      <w:r>
        <w:rPr>
          <w:w w:val="90"/>
        </w:rPr>
        <w:t>约</w:t>
      </w:r>
      <w:r>
        <w:rPr>
          <w:w w:val="90"/>
        </w:rPr>
        <w:t>心</w:t>
      </w:r>
      <w:r>
        <w:rPr>
          <w:w w:val="90"/>
        </w:rPr>
        <w:t>脏</w:t>
      </w:r>
      <w:r>
        <w:rPr>
          <w:w w:val="90"/>
        </w:rPr>
        <w:t>病</w:t>
      </w:r>
      <w:r>
        <w:rPr>
          <w:w w:val="90"/>
        </w:rPr>
        <w:t>学</w:t>
      </w:r>
      <w:r>
        <w:rPr>
          <w:w w:val="90"/>
        </w:rPr>
        <w:t>会（New</w:t>
      </w:r>
      <w:r>
        <w:rPr>
          <w:spacing w:val="56"/>
          <w:w w:val="150"/>
        </w:rPr>
        <w:t> </w:t>
      </w:r>
      <w:r>
        <w:rPr>
          <w:w w:val="90"/>
        </w:rPr>
        <w:t>York</w:t>
      </w:r>
      <w:r>
        <w:rPr>
          <w:spacing w:val="59"/>
          <w:w w:val="150"/>
        </w:rPr>
        <w:t> </w:t>
      </w:r>
      <w:r>
        <w:rPr>
          <w:w w:val="90"/>
        </w:rPr>
        <w:t>Heart</w:t>
      </w:r>
      <w:r>
        <w:rPr>
          <w:spacing w:val="56"/>
          <w:w w:val="150"/>
        </w:rPr>
        <w:t> </w:t>
      </w:r>
      <w:r>
        <w:rPr>
          <w:w w:val="90"/>
        </w:rPr>
        <w:t>Association，NYHA）</w:t>
      </w:r>
      <w:r>
        <w:rPr>
          <w:w w:val="90"/>
        </w:rPr>
        <w:t>心</w:t>
      </w:r>
      <w:r>
        <w:rPr>
          <w:w w:val="90"/>
        </w:rPr>
        <w:t>功</w:t>
      </w:r>
      <w:r>
        <w:rPr>
          <w:w w:val="90"/>
        </w:rPr>
        <w:t>能</w:t>
      </w:r>
      <w:r>
        <w:rPr>
          <w:w w:val="90"/>
        </w:rPr>
        <w:t>状</w:t>
      </w:r>
      <w:r>
        <w:rPr>
          <w:w w:val="90"/>
        </w:rPr>
        <w:t>态</w:t>
      </w:r>
      <w:r>
        <w:rPr>
          <w:w w:val="90"/>
        </w:rPr>
        <w:t>分</w:t>
      </w:r>
      <w:r>
        <w:rPr>
          <w:spacing w:val="-10"/>
          <w:w w:val="90"/>
        </w:rPr>
        <w:t>级</w:t>
      </w:r>
    </w:p>
    <w:p>
      <w:pPr>
        <w:pStyle w:val="BodyText"/>
        <w:spacing w:line="246" w:lineRule="exact"/>
        <w:ind w:left="979"/>
      </w:pPr>
      <w:r>
        <w:rPr/>
        <w:t>美国纽约心脏病学会（New</w:t>
      </w:r>
      <w:r>
        <w:rPr>
          <w:spacing w:val="-18"/>
        </w:rPr>
        <w:t> </w:t>
      </w:r>
      <w:r>
        <w:rPr/>
        <w:t>York</w:t>
      </w:r>
      <w:r>
        <w:rPr>
          <w:spacing w:val="-18"/>
        </w:rPr>
        <w:t> </w:t>
      </w:r>
      <w:r>
        <w:rPr/>
        <w:t>Heart</w:t>
      </w:r>
      <w:r>
        <w:rPr>
          <w:spacing w:val="-16"/>
        </w:rPr>
        <w:t> </w:t>
      </w:r>
      <w:r>
        <w:rPr/>
        <w:t>Association，NYHA）</w:t>
      </w:r>
      <w:r>
        <w:rPr>
          <w:spacing w:val="-1"/>
        </w:rPr>
        <w:t>将心功能状态分为四级：</w:t>
      </w:r>
    </w:p>
    <w:p>
      <w:pPr>
        <w:pStyle w:val="BodyText"/>
        <w:spacing w:line="242" w:lineRule="auto" w:before="2"/>
        <w:ind w:left="979" w:right="1456"/>
      </w:pPr>
      <w:r>
        <w:rPr>
          <w:spacing w:val="-2"/>
        </w:rPr>
        <w:t>Ⅰ级：心脏病病人日常活动量不受限制，一般活动不引起乏力、呼吸困难等心衰症状。</w:t>
      </w:r>
      <w:r>
        <w:rPr>
          <w:spacing w:val="80"/>
        </w:rPr>
        <w:t>  </w:t>
      </w:r>
      <w:r>
        <w:rPr>
          <w:spacing w:val="-2"/>
        </w:rPr>
        <w:t>Ⅱ级：心脏病病人体力活动轻度受限制，休息时无自觉症状，一般活动下可出现心衰症状。</w:t>
      </w:r>
      <w:r>
        <w:rPr>
          <w:spacing w:val="-2"/>
        </w:rPr>
        <w:t> Ⅲ级：心脏病病人体力活动明显受限，低于平时一般活动即引起心衰症状。</w:t>
      </w:r>
    </w:p>
    <w:p>
      <w:pPr>
        <w:pStyle w:val="BodyText"/>
        <w:spacing w:before="3"/>
        <w:ind w:left="979"/>
      </w:pPr>
      <w:r>
        <w:rPr>
          <w:spacing w:val="-3"/>
        </w:rPr>
        <w:t>Ⅳ级：心脏病病人不能从事任何体力活动，休息状态下也存在心衰症状，活动后加重。</w:t>
      </w:r>
    </w:p>
    <w:p>
      <w:pPr>
        <w:pStyle w:val="Heading2"/>
        <w:numPr>
          <w:ilvl w:val="1"/>
          <w:numId w:val="106"/>
        </w:numPr>
        <w:tabs>
          <w:tab w:pos="979" w:val="left" w:leader="none"/>
          <w:tab w:pos="980" w:val="left" w:leader="none"/>
        </w:tabs>
        <w:spacing w:line="364" w:lineRule="exact" w:before="105" w:after="0"/>
        <w:ind w:left="979" w:right="0" w:hanging="459"/>
        <w:jc w:val="left"/>
      </w:pPr>
      <w:r>
        <w:rPr>
          <w:spacing w:val="-2"/>
        </w:rPr>
        <w:t>语言能力完全丧失</w:t>
      </w:r>
    </w:p>
    <w:p>
      <w:pPr>
        <w:pStyle w:val="BodyText"/>
        <w:spacing w:line="246" w:lineRule="exact"/>
        <w:ind w:left="979"/>
      </w:pPr>
      <w:r>
        <w:rPr>
          <w:spacing w:val="-2"/>
        </w:rPr>
        <w:t>语言能力完全丧失，指无法发出四种语音（包括口唇音、齿舌音、口盖音和喉头音）</w:t>
      </w:r>
      <w:r>
        <w:rPr>
          <w:spacing w:val="-4"/>
        </w:rPr>
        <w:t>中的任何三种、</w:t>
      </w:r>
    </w:p>
    <w:p>
      <w:pPr>
        <w:pStyle w:val="BodyText"/>
        <w:spacing w:before="2"/>
        <w:ind w:left="979"/>
      </w:pPr>
      <w:r>
        <w:rPr>
          <w:spacing w:val="-3"/>
        </w:rPr>
        <w:t>或声带全部切除，或因大脑语言中枢受伤害而患失语症。</w:t>
      </w:r>
    </w:p>
    <w:p>
      <w:pPr>
        <w:pStyle w:val="Heading2"/>
        <w:numPr>
          <w:ilvl w:val="1"/>
          <w:numId w:val="106"/>
        </w:numPr>
        <w:tabs>
          <w:tab w:pos="979" w:val="left" w:leader="none"/>
          <w:tab w:pos="980" w:val="left" w:leader="none"/>
        </w:tabs>
        <w:spacing w:line="364" w:lineRule="exact" w:before="106" w:after="0"/>
        <w:ind w:left="979" w:right="0" w:hanging="459"/>
        <w:jc w:val="left"/>
      </w:pPr>
      <w:r>
        <w:rPr>
          <w:spacing w:val="-3"/>
        </w:rPr>
        <w:t>严重咀嚼吞咽功能障碍</w:t>
      </w:r>
    </w:p>
    <w:p>
      <w:pPr>
        <w:pStyle w:val="BodyText"/>
        <w:spacing w:line="246" w:lineRule="exact"/>
        <w:ind w:left="979"/>
      </w:pPr>
      <w:r>
        <w:rPr>
          <w:spacing w:val="-3"/>
        </w:rPr>
        <w:t>严重咀嚼吞咽功能障碍，指因牙齿以外的原因导致器质障碍或机能障碍，以致不能作咀嚼吞咽运动，</w:t>
      </w:r>
    </w:p>
    <w:p>
      <w:pPr>
        <w:pStyle w:val="BodyText"/>
        <w:spacing w:before="2"/>
        <w:ind w:left="979"/>
      </w:pPr>
      <w:r>
        <w:rPr>
          <w:spacing w:val="-3"/>
        </w:rPr>
        <w:t>除流质食物外不能摄取或吞咽的状态。</w:t>
      </w:r>
    </w:p>
    <w:p>
      <w:pPr>
        <w:pStyle w:val="BodyText"/>
        <w:spacing w:before="11"/>
        <w:ind w:left="0"/>
        <w:rPr>
          <w:sz w:val="19"/>
        </w:rPr>
      </w:pPr>
    </w:p>
    <w:p>
      <w:pPr>
        <w:pStyle w:val="BodyText"/>
        <w:ind w:left="854"/>
      </w:pPr>
      <w:r>
        <w:rPr>
          <w:spacing w:val="-2"/>
        </w:rPr>
        <w:t>（条款全文完</w:t>
      </w:r>
      <w:r>
        <w:rPr>
          <w:spacing w:val="-12"/>
        </w:rPr>
        <w:t>）</w:t>
      </w:r>
    </w:p>
    <w:sectPr>
      <w:pgSz w:w="11910" w:h="16840"/>
      <w:pgMar w:header="0" w:footer="574" w:top="1240" w:bottom="760" w:left="72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微软雅黑">
    <w:altName w:val="微软雅黑"/>
    <w:charset w:val="86"/>
    <w:family w:val="swiss"/>
    <w:pitch w:val="variable"/>
  </w:font>
  <w:font w:name="Wingdings">
    <w:altName w:val="Wingdings"/>
    <w:charset w:val="2"/>
    <w:family w:val="auto"/>
    <w:pitch w:val="variable"/>
  </w:font>
  <w:font w:name="Microsoft JhengHei">
    <w:altName w:val="Microsoft JhengHei"/>
    <w:charset w:val="0"/>
    <w:family w:val="swiss"/>
    <w:pitch w:val="variable"/>
  </w:font>
  <w:font w:name="Symbol">
    <w:altName w:val="Symbol"/>
    <w:charset w:val="2"/>
    <w:family w:val="roman"/>
    <w:pitch w:val="variable"/>
  </w:font>
  <w:font w:name="Cambria">
    <w:altName w:val="Cambria"/>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474.660004pt;margin-top:802.201599pt;width:65.1500pt;height:11pt;mso-position-horizontal-relative:page;mso-position-vertical-relative:page;z-index:-17479680" type="#_x0000_t202" id="docshape1" filled="false" stroked="false">
          <v:textbox inset="0,0,0,0">
            <w:txbxContent>
              <w:p>
                <w:pPr>
                  <w:spacing w:line="220" w:lineRule="exact" w:before="0"/>
                  <w:ind w:left="20" w:right="0" w:firstLine="0"/>
                  <w:jc w:val="left"/>
                  <w:rPr>
                    <w:sz w:val="18"/>
                  </w:rPr>
                </w:pPr>
                <w:r>
                  <w:rPr>
                    <w:spacing w:val="-12"/>
                    <w:sz w:val="18"/>
                  </w:rPr>
                  <w:t>乐康宝 </w:t>
                </w:r>
                <w:r>
                  <w:rPr>
                    <w:sz w:val="18"/>
                  </w:rPr>
                  <w:t>B</w:t>
                </w:r>
                <w:r>
                  <w:rPr>
                    <w:spacing w:val="-15"/>
                    <w:sz w:val="18"/>
                  </w:rPr>
                  <w:t> 款条款</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rect style="position:absolute;margin-left:56.639999pt;margin-top:756.695923pt;width:144.050pt;height:.48004pt;mso-position-horizontal-relative:page;mso-position-vertical-relative:page;z-index:-17479168" id="docshape5" filled="true" fillcolor="#000000" stroked="false">
          <v:fill type="solid"/>
          <w10:wrap type="none"/>
        </v:rect>
      </w:pict>
    </w:r>
    <w:r>
      <w:rPr/>
      <w:pict>
        <v:shape style="position:absolute;margin-left:474.660004pt;margin-top:802.201599pt;width:65.1500pt;height:11pt;mso-position-horizontal-relative:page;mso-position-vertical-relative:page;z-index:-17478656" type="#_x0000_t202" id="docshape6" filled="false" stroked="false">
          <v:textbox inset="0,0,0,0">
            <w:txbxContent>
              <w:p>
                <w:pPr>
                  <w:spacing w:line="220" w:lineRule="exact" w:before="0"/>
                  <w:ind w:left="20" w:right="0" w:firstLine="0"/>
                  <w:jc w:val="left"/>
                  <w:rPr>
                    <w:sz w:val="18"/>
                  </w:rPr>
                </w:pPr>
                <w:r>
                  <w:rPr>
                    <w:spacing w:val="-12"/>
                    <w:sz w:val="18"/>
                  </w:rPr>
                  <w:t>乐康宝 </w:t>
                </w:r>
                <w:r>
                  <w:rPr>
                    <w:sz w:val="18"/>
                  </w:rPr>
                  <w:t>B</w:t>
                </w:r>
                <w:r>
                  <w:rPr>
                    <w:spacing w:val="-15"/>
                    <w:sz w:val="18"/>
                  </w:rPr>
                  <w:t> 款条款</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 style="position:absolute;margin-left:474.660004pt;margin-top:802.201599pt;width:65.1500pt;height:11pt;mso-position-horizontal-relative:page;mso-position-vertical-relative:page;z-index:-17478144" type="#_x0000_t202" id="docshape7" filled="false" stroked="false">
          <v:textbox inset="0,0,0,0">
            <w:txbxContent>
              <w:p>
                <w:pPr>
                  <w:spacing w:line="220" w:lineRule="exact" w:before="0"/>
                  <w:ind w:left="20" w:right="0" w:firstLine="0"/>
                  <w:jc w:val="left"/>
                  <w:rPr>
                    <w:sz w:val="18"/>
                  </w:rPr>
                </w:pPr>
                <w:r>
                  <w:rPr>
                    <w:spacing w:val="-12"/>
                    <w:sz w:val="18"/>
                  </w:rPr>
                  <w:t>乐康宝 </w:t>
                </w:r>
                <w:r>
                  <w:rPr>
                    <w:sz w:val="18"/>
                  </w:rPr>
                  <w:t>B</w:t>
                </w:r>
                <w:r>
                  <w:rPr>
                    <w:spacing w:val="-15"/>
                    <w:sz w:val="18"/>
                  </w:rPr>
                  <w:t> 款条款</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5">
    <w:multiLevelType w:val="hybridMultilevel"/>
    <w:lvl w:ilvl="0">
      <w:start w:val="1"/>
      <w:numFmt w:val="decimal"/>
      <w:lvlText w:val="%1"/>
      <w:lvlJc w:val="left"/>
      <w:pPr>
        <w:ind w:left="979" w:hanging="459"/>
        <w:jc w:val="left"/>
      </w:pPr>
      <w:rPr>
        <w:rFonts w:hint="default" w:ascii="微软雅黑" w:hAnsi="微软雅黑" w:eastAsia="微软雅黑" w:cs="微软雅黑"/>
        <w:b/>
        <w:bCs/>
        <w:i w:val="0"/>
        <w:iCs w:val="0"/>
        <w:w w:val="81"/>
        <w:sz w:val="21"/>
        <w:szCs w:val="21"/>
        <w:lang w:val="en-US" w:eastAsia="zh-CN" w:bidi="ar-SA"/>
      </w:rPr>
    </w:lvl>
    <w:lvl w:ilvl="1">
      <w:start w:val="0"/>
      <w:numFmt w:val="decimal"/>
      <w:lvlText w:val="%2"/>
      <w:lvlJc w:val="left"/>
      <w:pPr>
        <w:ind w:left="1138" w:hanging="159"/>
        <w:jc w:val="right"/>
      </w:pPr>
      <w:rPr>
        <w:rFonts w:hint="default"/>
        <w:w w:val="100"/>
        <w:lang w:val="en-US" w:eastAsia="zh-CN" w:bidi="ar-SA"/>
      </w:rPr>
    </w:lvl>
    <w:lvl w:ilvl="2">
      <w:start w:val="0"/>
      <w:numFmt w:val="bullet"/>
      <w:lvlText w:val="•"/>
      <w:lvlJc w:val="left"/>
      <w:pPr>
        <w:ind w:left="2218" w:hanging="159"/>
      </w:pPr>
      <w:rPr>
        <w:rFonts w:hint="default"/>
        <w:lang w:val="en-US" w:eastAsia="zh-CN" w:bidi="ar-SA"/>
      </w:rPr>
    </w:lvl>
    <w:lvl w:ilvl="3">
      <w:start w:val="0"/>
      <w:numFmt w:val="bullet"/>
      <w:lvlText w:val="•"/>
      <w:lvlJc w:val="left"/>
      <w:pPr>
        <w:ind w:left="3296" w:hanging="159"/>
      </w:pPr>
      <w:rPr>
        <w:rFonts w:hint="default"/>
        <w:lang w:val="en-US" w:eastAsia="zh-CN" w:bidi="ar-SA"/>
      </w:rPr>
    </w:lvl>
    <w:lvl w:ilvl="4">
      <w:start w:val="0"/>
      <w:numFmt w:val="bullet"/>
      <w:lvlText w:val="•"/>
      <w:lvlJc w:val="left"/>
      <w:pPr>
        <w:ind w:left="4375" w:hanging="159"/>
      </w:pPr>
      <w:rPr>
        <w:rFonts w:hint="default"/>
        <w:lang w:val="en-US" w:eastAsia="zh-CN" w:bidi="ar-SA"/>
      </w:rPr>
    </w:lvl>
    <w:lvl w:ilvl="5">
      <w:start w:val="0"/>
      <w:numFmt w:val="bullet"/>
      <w:lvlText w:val="•"/>
      <w:lvlJc w:val="left"/>
      <w:pPr>
        <w:ind w:left="5453" w:hanging="159"/>
      </w:pPr>
      <w:rPr>
        <w:rFonts w:hint="default"/>
        <w:lang w:val="en-US" w:eastAsia="zh-CN" w:bidi="ar-SA"/>
      </w:rPr>
    </w:lvl>
    <w:lvl w:ilvl="6">
      <w:start w:val="0"/>
      <w:numFmt w:val="bullet"/>
      <w:lvlText w:val="•"/>
      <w:lvlJc w:val="left"/>
      <w:pPr>
        <w:ind w:left="6532" w:hanging="159"/>
      </w:pPr>
      <w:rPr>
        <w:rFonts w:hint="default"/>
        <w:lang w:val="en-US" w:eastAsia="zh-CN" w:bidi="ar-SA"/>
      </w:rPr>
    </w:lvl>
    <w:lvl w:ilvl="7">
      <w:start w:val="0"/>
      <w:numFmt w:val="bullet"/>
      <w:lvlText w:val="•"/>
      <w:lvlJc w:val="left"/>
      <w:pPr>
        <w:ind w:left="7610" w:hanging="159"/>
      </w:pPr>
      <w:rPr>
        <w:rFonts w:hint="default"/>
        <w:lang w:val="en-US" w:eastAsia="zh-CN" w:bidi="ar-SA"/>
      </w:rPr>
    </w:lvl>
    <w:lvl w:ilvl="8">
      <w:start w:val="0"/>
      <w:numFmt w:val="bullet"/>
      <w:lvlText w:val="•"/>
      <w:lvlJc w:val="left"/>
      <w:pPr>
        <w:ind w:left="8689" w:hanging="159"/>
      </w:pPr>
      <w:rPr>
        <w:rFonts w:hint="default"/>
        <w:lang w:val="en-US" w:eastAsia="zh-CN" w:bidi="ar-SA"/>
      </w:rPr>
    </w:lvl>
  </w:abstractNum>
  <w:abstractNum w:abstractNumId="104">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103">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position w:val="1"/>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102">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101">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100">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99">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98">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97">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96">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95">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94">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93">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92">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91">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90">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89">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88">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87">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86">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85">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84">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83">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82">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81">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80">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79">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78">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77">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76">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75">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74">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73">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72">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71">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70">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69">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68">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67">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66">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65">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64">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63">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62">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61">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60">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59">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58">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57">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56">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55">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54">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53">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52">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51">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50">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49">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48">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47">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46">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45">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44">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43">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42">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41">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40">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39">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38">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37">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36">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35">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34">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33">
    <w:multiLevelType w:val="hybridMultilevel"/>
    <w:lvl w:ilvl="0">
      <w:start w:val="1"/>
      <w:numFmt w:val="decimal"/>
      <w:lvlText w:val="（%1）"/>
      <w:lvlJc w:val="left"/>
      <w:pPr>
        <w:ind w:left="1505"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34" w:hanging="737"/>
      </w:pPr>
      <w:rPr>
        <w:rFonts w:hint="default"/>
        <w:lang w:val="en-US" w:eastAsia="zh-CN" w:bidi="ar-SA"/>
      </w:rPr>
    </w:lvl>
    <w:lvl w:ilvl="2">
      <w:start w:val="0"/>
      <w:numFmt w:val="bullet"/>
      <w:lvlText w:val="•"/>
      <w:lvlJc w:val="left"/>
      <w:pPr>
        <w:ind w:left="3369" w:hanging="737"/>
      </w:pPr>
      <w:rPr>
        <w:rFonts w:hint="default"/>
        <w:lang w:val="en-US" w:eastAsia="zh-CN" w:bidi="ar-SA"/>
      </w:rPr>
    </w:lvl>
    <w:lvl w:ilvl="3">
      <w:start w:val="0"/>
      <w:numFmt w:val="bullet"/>
      <w:lvlText w:val="•"/>
      <w:lvlJc w:val="left"/>
      <w:pPr>
        <w:ind w:left="4303" w:hanging="737"/>
      </w:pPr>
      <w:rPr>
        <w:rFonts w:hint="default"/>
        <w:lang w:val="en-US" w:eastAsia="zh-CN" w:bidi="ar-SA"/>
      </w:rPr>
    </w:lvl>
    <w:lvl w:ilvl="4">
      <w:start w:val="0"/>
      <w:numFmt w:val="bullet"/>
      <w:lvlText w:val="•"/>
      <w:lvlJc w:val="left"/>
      <w:pPr>
        <w:ind w:left="5238" w:hanging="737"/>
      </w:pPr>
      <w:rPr>
        <w:rFonts w:hint="default"/>
        <w:lang w:val="en-US" w:eastAsia="zh-CN" w:bidi="ar-SA"/>
      </w:rPr>
    </w:lvl>
    <w:lvl w:ilvl="5">
      <w:start w:val="0"/>
      <w:numFmt w:val="bullet"/>
      <w:lvlText w:val="•"/>
      <w:lvlJc w:val="left"/>
      <w:pPr>
        <w:ind w:left="6173" w:hanging="737"/>
      </w:pPr>
      <w:rPr>
        <w:rFonts w:hint="default"/>
        <w:lang w:val="en-US" w:eastAsia="zh-CN" w:bidi="ar-SA"/>
      </w:rPr>
    </w:lvl>
    <w:lvl w:ilvl="6">
      <w:start w:val="0"/>
      <w:numFmt w:val="bullet"/>
      <w:lvlText w:val="•"/>
      <w:lvlJc w:val="left"/>
      <w:pPr>
        <w:ind w:left="7107" w:hanging="737"/>
      </w:pPr>
      <w:rPr>
        <w:rFonts w:hint="default"/>
        <w:lang w:val="en-US" w:eastAsia="zh-CN" w:bidi="ar-SA"/>
      </w:rPr>
    </w:lvl>
    <w:lvl w:ilvl="7">
      <w:start w:val="0"/>
      <w:numFmt w:val="bullet"/>
      <w:lvlText w:val="•"/>
      <w:lvlJc w:val="left"/>
      <w:pPr>
        <w:ind w:left="8042" w:hanging="737"/>
      </w:pPr>
      <w:rPr>
        <w:rFonts w:hint="default"/>
        <w:lang w:val="en-US" w:eastAsia="zh-CN" w:bidi="ar-SA"/>
      </w:rPr>
    </w:lvl>
    <w:lvl w:ilvl="8">
      <w:start w:val="0"/>
      <w:numFmt w:val="bullet"/>
      <w:lvlText w:val="•"/>
      <w:lvlJc w:val="left"/>
      <w:pPr>
        <w:ind w:left="8977" w:hanging="737"/>
      </w:pPr>
      <w:rPr>
        <w:rFonts w:hint="default"/>
        <w:lang w:val="en-US" w:eastAsia="zh-CN" w:bidi="ar-SA"/>
      </w:rPr>
    </w:lvl>
  </w:abstractNum>
  <w:abstractNum w:abstractNumId="32">
    <w:multiLevelType w:val="hybridMultilevel"/>
    <w:lvl w:ilvl="0">
      <w:start w:val="1"/>
      <w:numFmt w:val="decimal"/>
      <w:lvlText w:val="%1"/>
      <w:lvlJc w:val="left"/>
      <w:pPr>
        <w:ind w:left="768" w:hanging="558"/>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1505" w:hanging="737"/>
        <w:jc w:val="left"/>
      </w:pPr>
      <w:rPr>
        <w:rFonts w:hint="default" w:ascii="宋体" w:hAnsi="宋体" w:eastAsia="宋体" w:cs="宋体"/>
        <w:b w:val="0"/>
        <w:bCs w:val="0"/>
        <w:i w:val="0"/>
        <w:iCs w:val="0"/>
        <w:w w:val="100"/>
        <w:sz w:val="21"/>
        <w:szCs w:val="21"/>
        <w:lang w:val="en-US" w:eastAsia="zh-CN" w:bidi="ar-SA"/>
      </w:rPr>
    </w:lvl>
    <w:lvl w:ilvl="2">
      <w:start w:val="1"/>
      <w:numFmt w:val="lowerLetter"/>
      <w:lvlText w:val="%3."/>
      <w:lvlJc w:val="left"/>
      <w:pPr>
        <w:ind w:left="1505"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3576" w:hanging="213"/>
      </w:pPr>
      <w:rPr>
        <w:rFonts w:hint="default"/>
        <w:lang w:val="en-US" w:eastAsia="zh-CN" w:bidi="ar-SA"/>
      </w:rPr>
    </w:lvl>
    <w:lvl w:ilvl="4">
      <w:start w:val="0"/>
      <w:numFmt w:val="bullet"/>
      <w:lvlText w:val="•"/>
      <w:lvlJc w:val="left"/>
      <w:pPr>
        <w:ind w:left="4615" w:hanging="213"/>
      </w:pPr>
      <w:rPr>
        <w:rFonts w:hint="default"/>
        <w:lang w:val="en-US" w:eastAsia="zh-CN" w:bidi="ar-SA"/>
      </w:rPr>
    </w:lvl>
    <w:lvl w:ilvl="5">
      <w:start w:val="0"/>
      <w:numFmt w:val="bullet"/>
      <w:lvlText w:val="•"/>
      <w:lvlJc w:val="left"/>
      <w:pPr>
        <w:ind w:left="5653" w:hanging="213"/>
      </w:pPr>
      <w:rPr>
        <w:rFonts w:hint="default"/>
        <w:lang w:val="en-US" w:eastAsia="zh-CN" w:bidi="ar-SA"/>
      </w:rPr>
    </w:lvl>
    <w:lvl w:ilvl="6">
      <w:start w:val="0"/>
      <w:numFmt w:val="bullet"/>
      <w:lvlText w:val="•"/>
      <w:lvlJc w:val="left"/>
      <w:pPr>
        <w:ind w:left="6692" w:hanging="213"/>
      </w:pPr>
      <w:rPr>
        <w:rFonts w:hint="default"/>
        <w:lang w:val="en-US" w:eastAsia="zh-CN" w:bidi="ar-SA"/>
      </w:rPr>
    </w:lvl>
    <w:lvl w:ilvl="7">
      <w:start w:val="0"/>
      <w:numFmt w:val="bullet"/>
      <w:lvlText w:val="•"/>
      <w:lvlJc w:val="left"/>
      <w:pPr>
        <w:ind w:left="7730" w:hanging="213"/>
      </w:pPr>
      <w:rPr>
        <w:rFonts w:hint="default"/>
        <w:lang w:val="en-US" w:eastAsia="zh-CN" w:bidi="ar-SA"/>
      </w:rPr>
    </w:lvl>
    <w:lvl w:ilvl="8">
      <w:start w:val="0"/>
      <w:numFmt w:val="bullet"/>
      <w:lvlText w:val="•"/>
      <w:lvlJc w:val="left"/>
      <w:pPr>
        <w:ind w:left="8769" w:hanging="213"/>
      </w:pPr>
      <w:rPr>
        <w:rFonts w:hint="default"/>
        <w:lang w:val="en-US" w:eastAsia="zh-CN" w:bidi="ar-SA"/>
      </w:rPr>
    </w:lvl>
  </w:abstractNum>
  <w:abstractNum w:abstractNumId="31">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30">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29">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28">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27">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26">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25">
    <w:multiLevelType w:val="hybridMultilevel"/>
    <w:lvl w:ilvl="0">
      <w:start w:val="1"/>
      <w:numFmt w:val="decimal"/>
      <w:lvlText w:val="（%1）"/>
      <w:lvlJc w:val="left"/>
      <w:pPr>
        <w:ind w:left="1654"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5"/>
      </w:pPr>
      <w:rPr>
        <w:rFonts w:hint="default"/>
        <w:lang w:val="en-US" w:eastAsia="zh-CN" w:bidi="ar-SA"/>
      </w:rPr>
    </w:lvl>
    <w:lvl w:ilvl="2">
      <w:start w:val="0"/>
      <w:numFmt w:val="bullet"/>
      <w:lvlText w:val="•"/>
      <w:lvlJc w:val="left"/>
      <w:pPr>
        <w:ind w:left="3497" w:hanging="735"/>
      </w:pPr>
      <w:rPr>
        <w:rFonts w:hint="default"/>
        <w:lang w:val="en-US" w:eastAsia="zh-CN" w:bidi="ar-SA"/>
      </w:rPr>
    </w:lvl>
    <w:lvl w:ilvl="3">
      <w:start w:val="0"/>
      <w:numFmt w:val="bullet"/>
      <w:lvlText w:val="•"/>
      <w:lvlJc w:val="left"/>
      <w:pPr>
        <w:ind w:left="4415" w:hanging="735"/>
      </w:pPr>
      <w:rPr>
        <w:rFonts w:hint="default"/>
        <w:lang w:val="en-US" w:eastAsia="zh-CN" w:bidi="ar-SA"/>
      </w:rPr>
    </w:lvl>
    <w:lvl w:ilvl="4">
      <w:start w:val="0"/>
      <w:numFmt w:val="bullet"/>
      <w:lvlText w:val="•"/>
      <w:lvlJc w:val="left"/>
      <w:pPr>
        <w:ind w:left="5334" w:hanging="735"/>
      </w:pPr>
      <w:rPr>
        <w:rFonts w:hint="default"/>
        <w:lang w:val="en-US" w:eastAsia="zh-CN" w:bidi="ar-SA"/>
      </w:rPr>
    </w:lvl>
    <w:lvl w:ilvl="5">
      <w:start w:val="0"/>
      <w:numFmt w:val="bullet"/>
      <w:lvlText w:val="•"/>
      <w:lvlJc w:val="left"/>
      <w:pPr>
        <w:ind w:left="6253" w:hanging="735"/>
      </w:pPr>
      <w:rPr>
        <w:rFonts w:hint="default"/>
        <w:lang w:val="en-US" w:eastAsia="zh-CN" w:bidi="ar-SA"/>
      </w:rPr>
    </w:lvl>
    <w:lvl w:ilvl="6">
      <w:start w:val="0"/>
      <w:numFmt w:val="bullet"/>
      <w:lvlText w:val="•"/>
      <w:lvlJc w:val="left"/>
      <w:pPr>
        <w:ind w:left="7171" w:hanging="735"/>
      </w:pPr>
      <w:rPr>
        <w:rFonts w:hint="default"/>
        <w:lang w:val="en-US" w:eastAsia="zh-CN" w:bidi="ar-SA"/>
      </w:rPr>
    </w:lvl>
    <w:lvl w:ilvl="7">
      <w:start w:val="0"/>
      <w:numFmt w:val="bullet"/>
      <w:lvlText w:val="•"/>
      <w:lvlJc w:val="left"/>
      <w:pPr>
        <w:ind w:left="8090" w:hanging="735"/>
      </w:pPr>
      <w:rPr>
        <w:rFonts w:hint="default"/>
        <w:lang w:val="en-US" w:eastAsia="zh-CN" w:bidi="ar-SA"/>
      </w:rPr>
    </w:lvl>
    <w:lvl w:ilvl="8">
      <w:start w:val="0"/>
      <w:numFmt w:val="bullet"/>
      <w:lvlText w:val="•"/>
      <w:lvlJc w:val="left"/>
      <w:pPr>
        <w:ind w:left="9009" w:hanging="735"/>
      </w:pPr>
      <w:rPr>
        <w:rFonts w:hint="default"/>
        <w:lang w:val="en-US" w:eastAsia="zh-CN" w:bidi="ar-SA"/>
      </w:rPr>
    </w:lvl>
  </w:abstractNum>
  <w:abstractNum w:abstractNumId="24">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23">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22">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21">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20">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19">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18">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17">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16">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15">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14">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13">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12">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11">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10">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9">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8">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7">
    <w:multiLevelType w:val="hybridMultilevel"/>
    <w:lvl w:ilvl="0">
      <w:start w:val="1"/>
      <w:numFmt w:val="decimal"/>
      <w:lvlText w:val="（%1）"/>
      <w:lvlJc w:val="left"/>
      <w:pPr>
        <w:ind w:left="1656"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578" w:hanging="737"/>
      </w:pPr>
      <w:rPr>
        <w:rFonts w:hint="default"/>
        <w:lang w:val="en-US" w:eastAsia="zh-CN" w:bidi="ar-SA"/>
      </w:rPr>
    </w:lvl>
    <w:lvl w:ilvl="2">
      <w:start w:val="0"/>
      <w:numFmt w:val="bullet"/>
      <w:lvlText w:val="•"/>
      <w:lvlJc w:val="left"/>
      <w:pPr>
        <w:ind w:left="3497" w:hanging="737"/>
      </w:pPr>
      <w:rPr>
        <w:rFonts w:hint="default"/>
        <w:lang w:val="en-US" w:eastAsia="zh-CN" w:bidi="ar-SA"/>
      </w:rPr>
    </w:lvl>
    <w:lvl w:ilvl="3">
      <w:start w:val="0"/>
      <w:numFmt w:val="bullet"/>
      <w:lvlText w:val="•"/>
      <w:lvlJc w:val="left"/>
      <w:pPr>
        <w:ind w:left="4415" w:hanging="737"/>
      </w:pPr>
      <w:rPr>
        <w:rFonts w:hint="default"/>
        <w:lang w:val="en-US" w:eastAsia="zh-CN" w:bidi="ar-SA"/>
      </w:rPr>
    </w:lvl>
    <w:lvl w:ilvl="4">
      <w:start w:val="0"/>
      <w:numFmt w:val="bullet"/>
      <w:lvlText w:val="•"/>
      <w:lvlJc w:val="left"/>
      <w:pPr>
        <w:ind w:left="5334" w:hanging="737"/>
      </w:pPr>
      <w:rPr>
        <w:rFonts w:hint="default"/>
        <w:lang w:val="en-US" w:eastAsia="zh-CN" w:bidi="ar-SA"/>
      </w:rPr>
    </w:lvl>
    <w:lvl w:ilvl="5">
      <w:start w:val="0"/>
      <w:numFmt w:val="bullet"/>
      <w:lvlText w:val="•"/>
      <w:lvlJc w:val="left"/>
      <w:pPr>
        <w:ind w:left="6253" w:hanging="737"/>
      </w:pPr>
      <w:rPr>
        <w:rFonts w:hint="default"/>
        <w:lang w:val="en-US" w:eastAsia="zh-CN" w:bidi="ar-SA"/>
      </w:rPr>
    </w:lvl>
    <w:lvl w:ilvl="6">
      <w:start w:val="0"/>
      <w:numFmt w:val="bullet"/>
      <w:lvlText w:val="•"/>
      <w:lvlJc w:val="left"/>
      <w:pPr>
        <w:ind w:left="7171" w:hanging="737"/>
      </w:pPr>
      <w:rPr>
        <w:rFonts w:hint="default"/>
        <w:lang w:val="en-US" w:eastAsia="zh-CN" w:bidi="ar-SA"/>
      </w:rPr>
    </w:lvl>
    <w:lvl w:ilvl="7">
      <w:start w:val="0"/>
      <w:numFmt w:val="bullet"/>
      <w:lvlText w:val="•"/>
      <w:lvlJc w:val="left"/>
      <w:pPr>
        <w:ind w:left="8090" w:hanging="737"/>
      </w:pPr>
      <w:rPr>
        <w:rFonts w:hint="default"/>
        <w:lang w:val="en-US" w:eastAsia="zh-CN" w:bidi="ar-SA"/>
      </w:rPr>
    </w:lvl>
    <w:lvl w:ilvl="8">
      <w:start w:val="0"/>
      <w:numFmt w:val="bullet"/>
      <w:lvlText w:val="•"/>
      <w:lvlJc w:val="left"/>
      <w:pPr>
        <w:ind w:left="9009" w:hanging="737"/>
      </w:pPr>
      <w:rPr>
        <w:rFonts w:hint="default"/>
        <w:lang w:val="en-US" w:eastAsia="zh-CN" w:bidi="ar-SA"/>
      </w:rPr>
    </w:lvl>
  </w:abstractNum>
  <w:abstractNum w:abstractNumId="6">
    <w:multiLevelType w:val="hybridMultilevel"/>
    <w:lvl w:ilvl="0">
      <w:start w:val="1"/>
      <w:numFmt w:val="lowerLetter"/>
      <w:lvlText w:val="%1."/>
      <w:lvlJc w:val="left"/>
      <w:pPr>
        <w:ind w:left="919"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912" w:hanging="213"/>
      </w:pPr>
      <w:rPr>
        <w:rFonts w:hint="default"/>
        <w:lang w:val="en-US" w:eastAsia="zh-CN" w:bidi="ar-SA"/>
      </w:rPr>
    </w:lvl>
    <w:lvl w:ilvl="2">
      <w:start w:val="0"/>
      <w:numFmt w:val="bullet"/>
      <w:lvlText w:val="•"/>
      <w:lvlJc w:val="left"/>
      <w:pPr>
        <w:ind w:left="2905" w:hanging="213"/>
      </w:pPr>
      <w:rPr>
        <w:rFonts w:hint="default"/>
        <w:lang w:val="en-US" w:eastAsia="zh-CN" w:bidi="ar-SA"/>
      </w:rPr>
    </w:lvl>
    <w:lvl w:ilvl="3">
      <w:start w:val="0"/>
      <w:numFmt w:val="bullet"/>
      <w:lvlText w:val="•"/>
      <w:lvlJc w:val="left"/>
      <w:pPr>
        <w:ind w:left="3897" w:hanging="213"/>
      </w:pPr>
      <w:rPr>
        <w:rFonts w:hint="default"/>
        <w:lang w:val="en-US" w:eastAsia="zh-CN" w:bidi="ar-SA"/>
      </w:rPr>
    </w:lvl>
    <w:lvl w:ilvl="4">
      <w:start w:val="0"/>
      <w:numFmt w:val="bullet"/>
      <w:lvlText w:val="•"/>
      <w:lvlJc w:val="left"/>
      <w:pPr>
        <w:ind w:left="4890" w:hanging="213"/>
      </w:pPr>
      <w:rPr>
        <w:rFonts w:hint="default"/>
        <w:lang w:val="en-US" w:eastAsia="zh-CN" w:bidi="ar-SA"/>
      </w:rPr>
    </w:lvl>
    <w:lvl w:ilvl="5">
      <w:start w:val="0"/>
      <w:numFmt w:val="bullet"/>
      <w:lvlText w:val="•"/>
      <w:lvlJc w:val="left"/>
      <w:pPr>
        <w:ind w:left="5883" w:hanging="213"/>
      </w:pPr>
      <w:rPr>
        <w:rFonts w:hint="default"/>
        <w:lang w:val="en-US" w:eastAsia="zh-CN" w:bidi="ar-SA"/>
      </w:rPr>
    </w:lvl>
    <w:lvl w:ilvl="6">
      <w:start w:val="0"/>
      <w:numFmt w:val="bullet"/>
      <w:lvlText w:val="•"/>
      <w:lvlJc w:val="left"/>
      <w:pPr>
        <w:ind w:left="6875" w:hanging="213"/>
      </w:pPr>
      <w:rPr>
        <w:rFonts w:hint="default"/>
        <w:lang w:val="en-US" w:eastAsia="zh-CN" w:bidi="ar-SA"/>
      </w:rPr>
    </w:lvl>
    <w:lvl w:ilvl="7">
      <w:start w:val="0"/>
      <w:numFmt w:val="bullet"/>
      <w:lvlText w:val="•"/>
      <w:lvlJc w:val="left"/>
      <w:pPr>
        <w:ind w:left="7868" w:hanging="213"/>
      </w:pPr>
      <w:rPr>
        <w:rFonts w:hint="default"/>
        <w:lang w:val="en-US" w:eastAsia="zh-CN" w:bidi="ar-SA"/>
      </w:rPr>
    </w:lvl>
    <w:lvl w:ilvl="8">
      <w:start w:val="0"/>
      <w:numFmt w:val="bullet"/>
      <w:lvlText w:val="•"/>
      <w:lvlJc w:val="left"/>
      <w:pPr>
        <w:ind w:left="8861" w:hanging="213"/>
      </w:pPr>
      <w:rPr>
        <w:rFonts w:hint="default"/>
        <w:lang w:val="en-US" w:eastAsia="zh-CN" w:bidi="ar-SA"/>
      </w:rPr>
    </w:lvl>
  </w:abstractNum>
  <w:abstractNum w:abstractNumId="5">
    <w:multiLevelType w:val="hybridMultilevel"/>
    <w:lvl w:ilvl="0">
      <w:start w:val="1"/>
      <w:numFmt w:val="decimal"/>
      <w:lvlText w:val="%1"/>
      <w:lvlJc w:val="left"/>
      <w:pPr>
        <w:ind w:left="919" w:hanging="555"/>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1656" w:hanging="737"/>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680" w:hanging="737"/>
      </w:pPr>
      <w:rPr>
        <w:rFonts w:hint="default"/>
        <w:lang w:val="en-US" w:eastAsia="zh-CN" w:bidi="ar-SA"/>
      </w:rPr>
    </w:lvl>
    <w:lvl w:ilvl="3">
      <w:start w:val="0"/>
      <w:numFmt w:val="bullet"/>
      <w:lvlText w:val="•"/>
      <w:lvlJc w:val="left"/>
      <w:pPr>
        <w:ind w:left="3701" w:hanging="737"/>
      </w:pPr>
      <w:rPr>
        <w:rFonts w:hint="default"/>
        <w:lang w:val="en-US" w:eastAsia="zh-CN" w:bidi="ar-SA"/>
      </w:rPr>
    </w:lvl>
    <w:lvl w:ilvl="4">
      <w:start w:val="0"/>
      <w:numFmt w:val="bullet"/>
      <w:lvlText w:val="•"/>
      <w:lvlJc w:val="left"/>
      <w:pPr>
        <w:ind w:left="4722" w:hanging="737"/>
      </w:pPr>
      <w:rPr>
        <w:rFonts w:hint="default"/>
        <w:lang w:val="en-US" w:eastAsia="zh-CN" w:bidi="ar-SA"/>
      </w:rPr>
    </w:lvl>
    <w:lvl w:ilvl="5">
      <w:start w:val="0"/>
      <w:numFmt w:val="bullet"/>
      <w:lvlText w:val="•"/>
      <w:lvlJc w:val="left"/>
      <w:pPr>
        <w:ind w:left="5742" w:hanging="737"/>
      </w:pPr>
      <w:rPr>
        <w:rFonts w:hint="default"/>
        <w:lang w:val="en-US" w:eastAsia="zh-CN" w:bidi="ar-SA"/>
      </w:rPr>
    </w:lvl>
    <w:lvl w:ilvl="6">
      <w:start w:val="0"/>
      <w:numFmt w:val="bullet"/>
      <w:lvlText w:val="•"/>
      <w:lvlJc w:val="left"/>
      <w:pPr>
        <w:ind w:left="6763" w:hanging="737"/>
      </w:pPr>
      <w:rPr>
        <w:rFonts w:hint="default"/>
        <w:lang w:val="en-US" w:eastAsia="zh-CN" w:bidi="ar-SA"/>
      </w:rPr>
    </w:lvl>
    <w:lvl w:ilvl="7">
      <w:start w:val="0"/>
      <w:numFmt w:val="bullet"/>
      <w:lvlText w:val="•"/>
      <w:lvlJc w:val="left"/>
      <w:pPr>
        <w:ind w:left="7784" w:hanging="737"/>
      </w:pPr>
      <w:rPr>
        <w:rFonts w:hint="default"/>
        <w:lang w:val="en-US" w:eastAsia="zh-CN" w:bidi="ar-SA"/>
      </w:rPr>
    </w:lvl>
    <w:lvl w:ilvl="8">
      <w:start w:val="0"/>
      <w:numFmt w:val="bullet"/>
      <w:lvlText w:val="•"/>
      <w:lvlJc w:val="left"/>
      <w:pPr>
        <w:ind w:left="8804" w:hanging="737"/>
      </w:pPr>
      <w:rPr>
        <w:rFonts w:hint="default"/>
        <w:lang w:val="en-US" w:eastAsia="zh-CN" w:bidi="ar-SA"/>
      </w:rPr>
    </w:lvl>
  </w:abstractNum>
  <w:abstractNum w:abstractNumId="4">
    <w:multiLevelType w:val="hybridMultilevel"/>
    <w:lvl w:ilvl="0">
      <w:start w:val="1"/>
      <w:numFmt w:val="decimal"/>
      <w:lvlText w:val="（%1）"/>
      <w:lvlJc w:val="left"/>
      <w:pPr>
        <w:ind w:left="3452"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198" w:hanging="721"/>
      </w:pPr>
      <w:rPr>
        <w:rFonts w:hint="default"/>
        <w:lang w:val="en-US" w:eastAsia="zh-CN" w:bidi="ar-SA"/>
      </w:rPr>
    </w:lvl>
    <w:lvl w:ilvl="2">
      <w:start w:val="0"/>
      <w:numFmt w:val="bullet"/>
      <w:lvlText w:val="•"/>
      <w:lvlJc w:val="left"/>
      <w:pPr>
        <w:ind w:left="4937" w:hanging="721"/>
      </w:pPr>
      <w:rPr>
        <w:rFonts w:hint="default"/>
        <w:lang w:val="en-US" w:eastAsia="zh-CN" w:bidi="ar-SA"/>
      </w:rPr>
    </w:lvl>
    <w:lvl w:ilvl="3">
      <w:start w:val="0"/>
      <w:numFmt w:val="bullet"/>
      <w:lvlText w:val="•"/>
      <w:lvlJc w:val="left"/>
      <w:pPr>
        <w:ind w:left="5675" w:hanging="721"/>
      </w:pPr>
      <w:rPr>
        <w:rFonts w:hint="default"/>
        <w:lang w:val="en-US" w:eastAsia="zh-CN" w:bidi="ar-SA"/>
      </w:rPr>
    </w:lvl>
    <w:lvl w:ilvl="4">
      <w:start w:val="0"/>
      <w:numFmt w:val="bullet"/>
      <w:lvlText w:val="•"/>
      <w:lvlJc w:val="left"/>
      <w:pPr>
        <w:ind w:left="6414" w:hanging="721"/>
      </w:pPr>
      <w:rPr>
        <w:rFonts w:hint="default"/>
        <w:lang w:val="en-US" w:eastAsia="zh-CN" w:bidi="ar-SA"/>
      </w:rPr>
    </w:lvl>
    <w:lvl w:ilvl="5">
      <w:start w:val="0"/>
      <w:numFmt w:val="bullet"/>
      <w:lvlText w:val="•"/>
      <w:lvlJc w:val="left"/>
      <w:pPr>
        <w:ind w:left="7153" w:hanging="721"/>
      </w:pPr>
      <w:rPr>
        <w:rFonts w:hint="default"/>
        <w:lang w:val="en-US" w:eastAsia="zh-CN" w:bidi="ar-SA"/>
      </w:rPr>
    </w:lvl>
    <w:lvl w:ilvl="6">
      <w:start w:val="0"/>
      <w:numFmt w:val="bullet"/>
      <w:lvlText w:val="•"/>
      <w:lvlJc w:val="left"/>
      <w:pPr>
        <w:ind w:left="7891" w:hanging="721"/>
      </w:pPr>
      <w:rPr>
        <w:rFonts w:hint="default"/>
        <w:lang w:val="en-US" w:eastAsia="zh-CN" w:bidi="ar-SA"/>
      </w:rPr>
    </w:lvl>
    <w:lvl w:ilvl="7">
      <w:start w:val="0"/>
      <w:numFmt w:val="bullet"/>
      <w:lvlText w:val="•"/>
      <w:lvlJc w:val="left"/>
      <w:pPr>
        <w:ind w:left="8630" w:hanging="721"/>
      </w:pPr>
      <w:rPr>
        <w:rFonts w:hint="default"/>
        <w:lang w:val="en-US" w:eastAsia="zh-CN" w:bidi="ar-SA"/>
      </w:rPr>
    </w:lvl>
    <w:lvl w:ilvl="8">
      <w:start w:val="0"/>
      <w:numFmt w:val="bullet"/>
      <w:lvlText w:val="•"/>
      <w:lvlJc w:val="left"/>
      <w:pPr>
        <w:ind w:left="9369" w:hanging="721"/>
      </w:pPr>
      <w:rPr>
        <w:rFonts w:hint="default"/>
        <w:lang w:val="en-US" w:eastAsia="zh-CN" w:bidi="ar-SA"/>
      </w:rPr>
    </w:lvl>
  </w:abstractNum>
  <w:abstractNum w:abstractNumId="3">
    <w:multiLevelType w:val="hybridMultilevel"/>
    <w:lvl w:ilvl="0">
      <w:start w:val="1"/>
      <w:numFmt w:val="decimal"/>
      <w:lvlText w:val="（%1）"/>
      <w:lvlJc w:val="left"/>
      <w:pPr>
        <w:ind w:left="879" w:hanging="453"/>
        <w:jc w:val="left"/>
      </w:pPr>
      <w:rPr>
        <w:rFonts w:hint="default" w:ascii="宋体" w:hAnsi="宋体" w:eastAsia="宋体" w:cs="宋体"/>
        <w:b w:val="0"/>
        <w:bCs w:val="0"/>
        <w:i w:val="0"/>
        <w:iCs w:val="0"/>
        <w:spacing w:val="-2"/>
        <w:w w:val="100"/>
        <w:sz w:val="16"/>
        <w:szCs w:val="16"/>
        <w:lang w:val="en-US" w:eastAsia="zh-CN" w:bidi="ar-SA"/>
      </w:rPr>
    </w:lvl>
    <w:lvl w:ilvl="1">
      <w:start w:val="0"/>
      <w:numFmt w:val="bullet"/>
      <w:lvlText w:val="•"/>
      <w:lvlJc w:val="left"/>
      <w:pPr>
        <w:ind w:left="1876" w:hanging="453"/>
      </w:pPr>
      <w:rPr>
        <w:rFonts w:hint="default"/>
        <w:lang w:val="en-US" w:eastAsia="zh-CN" w:bidi="ar-SA"/>
      </w:rPr>
    </w:lvl>
    <w:lvl w:ilvl="2">
      <w:start w:val="0"/>
      <w:numFmt w:val="bullet"/>
      <w:lvlText w:val="•"/>
      <w:lvlJc w:val="left"/>
      <w:pPr>
        <w:ind w:left="2873" w:hanging="453"/>
      </w:pPr>
      <w:rPr>
        <w:rFonts w:hint="default"/>
        <w:lang w:val="en-US" w:eastAsia="zh-CN" w:bidi="ar-SA"/>
      </w:rPr>
    </w:lvl>
    <w:lvl w:ilvl="3">
      <w:start w:val="0"/>
      <w:numFmt w:val="bullet"/>
      <w:lvlText w:val="•"/>
      <w:lvlJc w:val="left"/>
      <w:pPr>
        <w:ind w:left="3869" w:hanging="453"/>
      </w:pPr>
      <w:rPr>
        <w:rFonts w:hint="default"/>
        <w:lang w:val="en-US" w:eastAsia="zh-CN" w:bidi="ar-SA"/>
      </w:rPr>
    </w:lvl>
    <w:lvl w:ilvl="4">
      <w:start w:val="0"/>
      <w:numFmt w:val="bullet"/>
      <w:lvlText w:val="•"/>
      <w:lvlJc w:val="left"/>
      <w:pPr>
        <w:ind w:left="4866" w:hanging="453"/>
      </w:pPr>
      <w:rPr>
        <w:rFonts w:hint="default"/>
        <w:lang w:val="en-US" w:eastAsia="zh-CN" w:bidi="ar-SA"/>
      </w:rPr>
    </w:lvl>
    <w:lvl w:ilvl="5">
      <w:start w:val="0"/>
      <w:numFmt w:val="bullet"/>
      <w:lvlText w:val="•"/>
      <w:lvlJc w:val="left"/>
      <w:pPr>
        <w:ind w:left="5863" w:hanging="453"/>
      </w:pPr>
      <w:rPr>
        <w:rFonts w:hint="default"/>
        <w:lang w:val="en-US" w:eastAsia="zh-CN" w:bidi="ar-SA"/>
      </w:rPr>
    </w:lvl>
    <w:lvl w:ilvl="6">
      <w:start w:val="0"/>
      <w:numFmt w:val="bullet"/>
      <w:lvlText w:val="•"/>
      <w:lvlJc w:val="left"/>
      <w:pPr>
        <w:ind w:left="6859" w:hanging="453"/>
      </w:pPr>
      <w:rPr>
        <w:rFonts w:hint="default"/>
        <w:lang w:val="en-US" w:eastAsia="zh-CN" w:bidi="ar-SA"/>
      </w:rPr>
    </w:lvl>
    <w:lvl w:ilvl="7">
      <w:start w:val="0"/>
      <w:numFmt w:val="bullet"/>
      <w:lvlText w:val="•"/>
      <w:lvlJc w:val="left"/>
      <w:pPr>
        <w:ind w:left="7856" w:hanging="453"/>
      </w:pPr>
      <w:rPr>
        <w:rFonts w:hint="default"/>
        <w:lang w:val="en-US" w:eastAsia="zh-CN" w:bidi="ar-SA"/>
      </w:rPr>
    </w:lvl>
    <w:lvl w:ilvl="8">
      <w:start w:val="0"/>
      <w:numFmt w:val="bullet"/>
      <w:lvlText w:val="•"/>
      <w:lvlJc w:val="left"/>
      <w:pPr>
        <w:ind w:left="8853" w:hanging="453"/>
      </w:pPr>
      <w:rPr>
        <w:rFonts w:hint="default"/>
        <w:lang w:val="en-US" w:eastAsia="zh-CN" w:bidi="ar-SA"/>
      </w:rPr>
    </w:lvl>
  </w:abstractNum>
  <w:abstractNum w:abstractNumId="2">
    <w:multiLevelType w:val="hybridMultilevel"/>
    <w:lvl w:ilvl="0">
      <w:start w:val="1"/>
      <w:numFmt w:val="decimal"/>
      <w:lvlText w:val="%1."/>
      <w:lvlJc w:val="left"/>
      <w:pPr>
        <w:ind w:left="1178" w:hanging="658"/>
        <w:jc w:val="left"/>
      </w:pPr>
      <w:rPr>
        <w:rFonts w:hint="default" w:ascii="微软雅黑" w:hAnsi="微软雅黑" w:eastAsia="微软雅黑" w:cs="微软雅黑"/>
        <w:b/>
        <w:bCs/>
        <w:i w:val="0"/>
        <w:iCs w:val="0"/>
        <w:spacing w:val="0"/>
        <w:w w:val="81"/>
        <w:sz w:val="24"/>
        <w:szCs w:val="24"/>
        <w:lang w:val="en-US" w:eastAsia="zh-CN" w:bidi="ar-SA"/>
      </w:rPr>
    </w:lvl>
    <w:lvl w:ilvl="1">
      <w:start w:val="1"/>
      <w:numFmt w:val="decimal"/>
      <w:lvlText w:val="%1.%2"/>
      <w:lvlJc w:val="left"/>
      <w:pPr>
        <w:ind w:left="1178" w:hanging="658"/>
        <w:jc w:val="left"/>
      </w:pPr>
      <w:rPr>
        <w:rFonts w:hint="default" w:ascii="微软雅黑" w:hAnsi="微软雅黑" w:eastAsia="微软雅黑" w:cs="微软雅黑"/>
        <w:b/>
        <w:bCs/>
        <w:i w:val="0"/>
        <w:iCs w:val="0"/>
        <w:w w:val="81"/>
        <w:sz w:val="21"/>
        <w:szCs w:val="21"/>
        <w:lang w:val="en-US" w:eastAsia="zh-CN" w:bidi="ar-SA"/>
      </w:rPr>
    </w:lvl>
    <w:lvl w:ilvl="2">
      <w:start w:val="1"/>
      <w:numFmt w:val="decimal"/>
      <w:lvlText w:val="（%3）"/>
      <w:lvlJc w:val="left"/>
      <w:pPr>
        <w:ind w:left="3466" w:hanging="735"/>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307" w:hanging="735"/>
      </w:pPr>
      <w:rPr>
        <w:rFonts w:hint="default"/>
        <w:lang w:val="en-US" w:eastAsia="zh-CN" w:bidi="ar-SA"/>
      </w:rPr>
    </w:lvl>
    <w:lvl w:ilvl="4">
      <w:start w:val="0"/>
      <w:numFmt w:val="bullet"/>
      <w:lvlText w:val="•"/>
      <w:lvlJc w:val="left"/>
      <w:pPr>
        <w:ind w:left="3154" w:hanging="735"/>
      </w:pPr>
      <w:rPr>
        <w:rFonts w:hint="default"/>
        <w:lang w:val="en-US" w:eastAsia="zh-CN" w:bidi="ar-SA"/>
      </w:rPr>
    </w:lvl>
    <w:lvl w:ilvl="5">
      <w:start w:val="0"/>
      <w:numFmt w:val="bullet"/>
      <w:lvlText w:val="•"/>
      <w:lvlJc w:val="left"/>
      <w:pPr>
        <w:ind w:left="3001" w:hanging="735"/>
      </w:pPr>
      <w:rPr>
        <w:rFonts w:hint="default"/>
        <w:lang w:val="en-US" w:eastAsia="zh-CN" w:bidi="ar-SA"/>
      </w:rPr>
    </w:lvl>
    <w:lvl w:ilvl="6">
      <w:start w:val="0"/>
      <w:numFmt w:val="bullet"/>
      <w:lvlText w:val="•"/>
      <w:lvlJc w:val="left"/>
      <w:pPr>
        <w:ind w:left="2848" w:hanging="735"/>
      </w:pPr>
      <w:rPr>
        <w:rFonts w:hint="default"/>
        <w:lang w:val="en-US" w:eastAsia="zh-CN" w:bidi="ar-SA"/>
      </w:rPr>
    </w:lvl>
    <w:lvl w:ilvl="7">
      <w:start w:val="0"/>
      <w:numFmt w:val="bullet"/>
      <w:lvlText w:val="•"/>
      <w:lvlJc w:val="left"/>
      <w:pPr>
        <w:ind w:left="2695" w:hanging="735"/>
      </w:pPr>
      <w:rPr>
        <w:rFonts w:hint="default"/>
        <w:lang w:val="en-US" w:eastAsia="zh-CN" w:bidi="ar-SA"/>
      </w:rPr>
    </w:lvl>
    <w:lvl w:ilvl="8">
      <w:start w:val="0"/>
      <w:numFmt w:val="bullet"/>
      <w:lvlText w:val="•"/>
      <w:lvlJc w:val="left"/>
      <w:pPr>
        <w:ind w:left="2542" w:hanging="735"/>
      </w:pPr>
      <w:rPr>
        <w:rFonts w:hint="default"/>
        <w:lang w:val="en-US" w:eastAsia="zh-CN" w:bidi="ar-SA"/>
      </w:rPr>
    </w:lvl>
  </w:abstractNum>
  <w:abstractNum w:abstractNumId="1">
    <w:multiLevelType w:val="hybridMultilevel"/>
    <w:lvl w:ilvl="0">
      <w:start w:val="6"/>
      <w:numFmt w:val="decimal"/>
      <w:lvlText w:val="%1"/>
      <w:lvlJc w:val="left"/>
      <w:pPr>
        <w:ind w:left="221" w:hanging="159"/>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1.%2"/>
      <w:lvlJc w:val="left"/>
      <w:pPr>
        <w:ind w:left="69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12" w:hanging="423"/>
      </w:pPr>
      <w:rPr>
        <w:rFonts w:hint="default"/>
        <w:lang w:val="en-US" w:eastAsia="zh-CN" w:bidi="ar-SA"/>
      </w:rPr>
    </w:lvl>
    <w:lvl w:ilvl="3">
      <w:start w:val="0"/>
      <w:numFmt w:val="bullet"/>
      <w:lvlText w:val="•"/>
      <w:lvlJc w:val="left"/>
      <w:pPr>
        <w:ind w:left="1324" w:hanging="423"/>
      </w:pPr>
      <w:rPr>
        <w:rFonts w:hint="default"/>
        <w:lang w:val="en-US" w:eastAsia="zh-CN" w:bidi="ar-SA"/>
      </w:rPr>
    </w:lvl>
    <w:lvl w:ilvl="4">
      <w:start w:val="0"/>
      <w:numFmt w:val="bullet"/>
      <w:lvlText w:val="•"/>
      <w:lvlJc w:val="left"/>
      <w:pPr>
        <w:ind w:left="1637" w:hanging="423"/>
      </w:pPr>
      <w:rPr>
        <w:rFonts w:hint="default"/>
        <w:lang w:val="en-US" w:eastAsia="zh-CN" w:bidi="ar-SA"/>
      </w:rPr>
    </w:lvl>
    <w:lvl w:ilvl="5">
      <w:start w:val="0"/>
      <w:numFmt w:val="bullet"/>
      <w:lvlText w:val="•"/>
      <w:lvlJc w:val="left"/>
      <w:pPr>
        <w:ind w:left="1949" w:hanging="423"/>
      </w:pPr>
      <w:rPr>
        <w:rFonts w:hint="default"/>
        <w:lang w:val="en-US" w:eastAsia="zh-CN" w:bidi="ar-SA"/>
      </w:rPr>
    </w:lvl>
    <w:lvl w:ilvl="6">
      <w:start w:val="0"/>
      <w:numFmt w:val="bullet"/>
      <w:lvlText w:val="•"/>
      <w:lvlJc w:val="left"/>
      <w:pPr>
        <w:ind w:left="2262" w:hanging="423"/>
      </w:pPr>
      <w:rPr>
        <w:rFonts w:hint="default"/>
        <w:lang w:val="en-US" w:eastAsia="zh-CN" w:bidi="ar-SA"/>
      </w:rPr>
    </w:lvl>
    <w:lvl w:ilvl="7">
      <w:start w:val="0"/>
      <w:numFmt w:val="bullet"/>
      <w:lvlText w:val="•"/>
      <w:lvlJc w:val="left"/>
      <w:pPr>
        <w:ind w:left="2574" w:hanging="423"/>
      </w:pPr>
      <w:rPr>
        <w:rFonts w:hint="default"/>
        <w:lang w:val="en-US" w:eastAsia="zh-CN" w:bidi="ar-SA"/>
      </w:rPr>
    </w:lvl>
    <w:lvl w:ilvl="8">
      <w:start w:val="0"/>
      <w:numFmt w:val="bullet"/>
      <w:lvlText w:val="•"/>
      <w:lvlJc w:val="left"/>
      <w:pPr>
        <w:ind w:left="2887" w:hanging="423"/>
      </w:pPr>
      <w:rPr>
        <w:rFonts w:hint="default"/>
        <w:lang w:val="en-US" w:eastAsia="zh-CN" w:bidi="ar-SA"/>
      </w:rPr>
    </w:lvl>
  </w:abstractNum>
  <w:abstractNum w:abstractNumId="0">
    <w:multiLevelType w:val="hybridMultilevel"/>
    <w:lvl w:ilvl="0">
      <w:start w:val="0"/>
      <w:numFmt w:val="bullet"/>
      <w:lvlText w:val=""/>
      <w:lvlJc w:val="left"/>
      <w:pPr>
        <w:ind w:left="919" w:hanging="399"/>
      </w:pPr>
      <w:rPr>
        <w:rFonts w:hint="default" w:ascii="Wingdings" w:hAnsi="Wingdings" w:eastAsia="Wingdings" w:cs="Wingdings"/>
        <w:b w:val="0"/>
        <w:bCs w:val="0"/>
        <w:i w:val="0"/>
        <w:iCs w:val="0"/>
        <w:w w:val="100"/>
        <w:sz w:val="21"/>
        <w:szCs w:val="21"/>
        <w:lang w:val="en-US" w:eastAsia="zh-CN" w:bidi="ar-SA"/>
      </w:rPr>
    </w:lvl>
    <w:lvl w:ilvl="1">
      <w:start w:val="1"/>
      <w:numFmt w:val="decimal"/>
      <w:lvlText w:val="%2"/>
      <w:lvlJc w:val="left"/>
      <w:pPr>
        <w:ind w:left="787" w:hanging="159"/>
        <w:jc w:val="left"/>
      </w:pPr>
      <w:rPr>
        <w:rFonts w:hint="default" w:ascii="微软雅黑" w:hAnsi="微软雅黑" w:eastAsia="微软雅黑" w:cs="微软雅黑"/>
        <w:b/>
        <w:bCs/>
        <w:i w:val="0"/>
        <w:iCs w:val="0"/>
        <w:w w:val="81"/>
        <w:sz w:val="21"/>
        <w:szCs w:val="21"/>
        <w:lang w:val="en-US" w:eastAsia="zh-CN" w:bidi="ar-SA"/>
      </w:rPr>
    </w:lvl>
    <w:lvl w:ilvl="2">
      <w:start w:val="1"/>
      <w:numFmt w:val="decimal"/>
      <w:lvlText w:val="%2.%3"/>
      <w:lvlJc w:val="left"/>
      <w:pPr>
        <w:ind w:left="1262" w:hanging="423"/>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1260" w:hanging="423"/>
      </w:pPr>
      <w:rPr>
        <w:rFonts w:hint="default"/>
        <w:lang w:val="en-US" w:eastAsia="zh-CN" w:bidi="ar-SA"/>
      </w:rPr>
    </w:lvl>
    <w:lvl w:ilvl="4">
      <w:start w:val="0"/>
      <w:numFmt w:val="bullet"/>
      <w:lvlText w:val="•"/>
      <w:lvlJc w:val="left"/>
      <w:pPr>
        <w:ind w:left="1019" w:hanging="423"/>
      </w:pPr>
      <w:rPr>
        <w:rFonts w:hint="default"/>
        <w:lang w:val="en-US" w:eastAsia="zh-CN" w:bidi="ar-SA"/>
      </w:rPr>
    </w:lvl>
    <w:lvl w:ilvl="5">
      <w:start w:val="0"/>
      <w:numFmt w:val="bullet"/>
      <w:lvlText w:val="•"/>
      <w:lvlJc w:val="left"/>
      <w:pPr>
        <w:ind w:left="779" w:hanging="423"/>
      </w:pPr>
      <w:rPr>
        <w:rFonts w:hint="default"/>
        <w:lang w:val="en-US" w:eastAsia="zh-CN" w:bidi="ar-SA"/>
      </w:rPr>
    </w:lvl>
    <w:lvl w:ilvl="6">
      <w:start w:val="0"/>
      <w:numFmt w:val="bullet"/>
      <w:lvlText w:val="•"/>
      <w:lvlJc w:val="left"/>
      <w:pPr>
        <w:ind w:left="539" w:hanging="423"/>
      </w:pPr>
      <w:rPr>
        <w:rFonts w:hint="default"/>
        <w:lang w:val="en-US" w:eastAsia="zh-CN" w:bidi="ar-SA"/>
      </w:rPr>
    </w:lvl>
    <w:lvl w:ilvl="7">
      <w:start w:val="0"/>
      <w:numFmt w:val="bullet"/>
      <w:lvlText w:val="•"/>
      <w:lvlJc w:val="left"/>
      <w:pPr>
        <w:ind w:left="299" w:hanging="423"/>
      </w:pPr>
      <w:rPr>
        <w:rFonts w:hint="default"/>
        <w:lang w:val="en-US" w:eastAsia="zh-CN" w:bidi="ar-SA"/>
      </w:rPr>
    </w:lvl>
    <w:lvl w:ilvl="8">
      <w:start w:val="0"/>
      <w:numFmt w:val="bullet"/>
      <w:lvlText w:val="•"/>
      <w:lvlJc w:val="left"/>
      <w:pPr>
        <w:ind w:left="59" w:hanging="423"/>
      </w:pPr>
      <w:rPr>
        <w:rFonts w:hint="default"/>
        <w:lang w:val="en-US" w:eastAsia="zh-CN" w:bidi="ar-SA"/>
      </w:rPr>
    </w:lvl>
  </w:abstract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768"/>
    </w:pPr>
    <w:rPr>
      <w:rFonts w:ascii="宋体" w:hAnsi="宋体" w:eastAsia="宋体" w:cs="宋体"/>
      <w:sz w:val="21"/>
      <w:szCs w:val="21"/>
      <w:lang w:val="en-US" w:eastAsia="zh-CN" w:bidi="ar-SA"/>
    </w:rPr>
  </w:style>
  <w:style w:styleId="Heading1" w:type="paragraph">
    <w:name w:val="Heading 1"/>
    <w:basedOn w:val="Normal"/>
    <w:uiPriority w:val="1"/>
    <w:qFormat/>
    <w:pPr>
      <w:spacing w:after="4"/>
      <w:ind w:left="1181" w:hanging="661"/>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spacing w:before="106" w:line="364" w:lineRule="exact"/>
      <w:ind w:left="768" w:hanging="558"/>
      <w:outlineLvl w:val="2"/>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spacing w:before="2"/>
      <w:ind w:left="1505" w:hanging="738"/>
    </w:pPr>
    <w:rPr>
      <w:rFonts w:ascii="宋体" w:hAnsi="宋体" w:eastAsia="宋体" w:cs="宋体"/>
      <w:lang w:val="en-US" w:eastAsia="zh-CN" w:bidi="ar-SA"/>
    </w:rPr>
  </w:style>
  <w:style w:styleId="TableParagraph" w:type="paragraph">
    <w:name w:val="Table Paragraph"/>
    <w:basedOn w:val="Normal"/>
    <w:uiPriority w:val="1"/>
    <w:qFormat/>
    <w:pPr>
      <w:spacing w:before="24"/>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footer" Target="footer2.xml"/><Relationship Id="rId18" Type="http://schemas.openxmlformats.org/officeDocument/2006/relationships/footer" Target="footer3.xml"/><Relationship Id="rId19" Type="http://schemas.openxmlformats.org/officeDocument/2006/relationships/image" Target="media/image12.png"/><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2023-06-05T08:50:39Z</dcterms:created>
  <dcterms:modified xsi:type="dcterms:W3CDTF">2023-06-05T08:50:39Z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