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rPr>
          <w:rFonts w:ascii="Times New Roman"/>
          <w:sz w:val="28"/>
        </w:rPr>
      </w:pPr>
    </w:p>
    <w:p>
      <w:pPr>
        <w:spacing w:before="178"/>
        <w:ind w:left="820" w:right="0" w:firstLine="0"/>
        <w:jc w:val="left"/>
        <w:rPr>
          <w:rFonts w:ascii="微软雅黑" w:eastAsia="微软雅黑"/>
          <w:b/>
          <w:sz w:val="28"/>
        </w:rPr>
      </w:pPr>
      <w:r>
        <w:rPr>
          <w:rFonts w:ascii="微软雅黑" w:eastAsia="微软雅黑"/>
          <w:b/>
          <w:w w:val="95"/>
          <w:sz w:val="28"/>
        </w:rPr>
        <w:t>附件</w:t>
      </w:r>
      <w:r>
        <w:rPr>
          <w:rFonts w:ascii="微软雅黑" w:eastAsia="微软雅黑"/>
          <w:b/>
          <w:spacing w:val="14"/>
          <w:sz w:val="28"/>
        </w:rPr>
        <w:t> </w:t>
      </w:r>
      <w:r>
        <w:rPr>
          <w:rFonts w:ascii="微软雅黑" w:eastAsia="微软雅黑"/>
          <w:b/>
          <w:w w:val="95"/>
          <w:sz w:val="28"/>
        </w:rPr>
        <w:t>1-</w:t>
      </w:r>
      <w:r>
        <w:rPr>
          <w:rFonts w:ascii="微软雅黑" w:eastAsia="微软雅黑"/>
          <w:b/>
          <w:spacing w:val="-10"/>
          <w:w w:val="95"/>
          <w:sz w:val="28"/>
        </w:rPr>
        <w:t>2</w:t>
      </w:r>
    </w:p>
    <w:p>
      <w:pPr>
        <w:spacing w:before="65"/>
        <w:ind w:left="820" w:right="0" w:firstLine="0"/>
        <w:jc w:val="left"/>
        <w:rPr>
          <w:sz w:val="18"/>
        </w:rPr>
      </w:pPr>
      <w:r>
        <w:rPr/>
        <w:br w:type="column"/>
      </w:r>
      <w:r>
        <w:rPr>
          <w:spacing w:val="-2"/>
          <w:sz w:val="18"/>
        </w:rPr>
        <w:t>渤海</w:t>
      </w:r>
      <w:r>
        <w:rPr>
          <w:spacing w:val="-2"/>
          <w:sz w:val="18"/>
        </w:rPr>
        <w:t>人</w:t>
      </w:r>
      <w:r>
        <w:rPr>
          <w:spacing w:val="-2"/>
          <w:sz w:val="18"/>
        </w:rPr>
        <w:t>寿</w:t>
      </w:r>
      <w:r>
        <w:rPr>
          <w:spacing w:val="-2"/>
          <w:sz w:val="18"/>
        </w:rPr>
        <w:t>[2020]疾</w:t>
      </w:r>
      <w:r>
        <w:rPr>
          <w:spacing w:val="-2"/>
          <w:sz w:val="18"/>
        </w:rPr>
        <w:t>病</w:t>
      </w:r>
      <w:r>
        <w:rPr>
          <w:spacing w:val="-2"/>
          <w:sz w:val="18"/>
        </w:rPr>
        <w:t>保</w:t>
      </w:r>
      <w:r>
        <w:rPr>
          <w:spacing w:val="-2"/>
          <w:sz w:val="18"/>
        </w:rPr>
        <w:t>险</w:t>
      </w:r>
      <w:r>
        <w:rPr>
          <w:spacing w:val="-32"/>
          <w:sz w:val="18"/>
        </w:rPr>
        <w:t> </w:t>
      </w:r>
      <w:r>
        <w:rPr>
          <w:spacing w:val="-2"/>
          <w:sz w:val="18"/>
        </w:rPr>
        <w:t>024</w:t>
      </w:r>
      <w:r>
        <w:rPr>
          <w:spacing w:val="-21"/>
          <w:sz w:val="18"/>
        </w:rPr>
        <w:t> 号</w:t>
      </w:r>
    </w:p>
    <w:p>
      <w:pPr>
        <w:spacing w:after="0"/>
        <w:jc w:val="left"/>
        <w:rPr>
          <w:sz w:val="18"/>
        </w:rPr>
        <w:sectPr>
          <w:footerReference w:type="default" r:id="rId5"/>
          <w:type w:val="continuous"/>
          <w:pgSz w:w="11910" w:h="16840"/>
          <w:pgMar w:footer="226" w:header="0" w:top="240" w:bottom="420" w:left="980" w:right="400"/>
          <w:pgNumType w:start="1"/>
          <w:cols w:num="2" w:equalWidth="0">
            <w:col w:w="1918" w:space="5151"/>
            <w:col w:w="3461"/>
          </w:cols>
        </w:sectPr>
      </w:pPr>
    </w:p>
    <w:p>
      <w:pPr>
        <w:pStyle w:val="BodyText"/>
        <w:rPr>
          <w:sz w:val="9"/>
        </w:rPr>
      </w:pPr>
    </w:p>
    <w:p>
      <w:pPr>
        <w:spacing w:line="540" w:lineRule="exact" w:before="0"/>
        <w:ind w:left="1305" w:right="1878" w:firstLine="0"/>
        <w:jc w:val="center"/>
        <w:rPr>
          <w:rFonts w:ascii="Microsoft JhengHei" w:eastAsia="Microsoft JhengHei"/>
          <w:b/>
          <w:sz w:val="32"/>
        </w:rPr>
      </w:pPr>
      <w:r>
        <w:rPr/>
        <w:drawing>
          <wp:anchor distT="0" distB="0" distL="0" distR="0" allowOverlap="1" layoutInCell="1" locked="0" behindDoc="0" simplePos="0" relativeHeight="15729152">
            <wp:simplePos x="0" y="0"/>
            <wp:positionH relativeFrom="page">
              <wp:posOffset>6238875</wp:posOffset>
            </wp:positionH>
            <wp:positionV relativeFrom="paragraph">
              <wp:posOffset>-425322</wp:posOffset>
            </wp:positionV>
            <wp:extent cx="723900" cy="723900"/>
            <wp:effectExtent l="0" t="0" r="0" b="0"/>
            <wp:wrapNone/>
            <wp:docPr id="1" name="image1.png"/>
            <wp:cNvGraphicFramePr>
              <a:graphicFrameLocks noChangeAspect="1"/>
            </wp:cNvGraphicFramePr>
            <a:graphic>
              <a:graphicData uri="http://schemas.openxmlformats.org/drawingml/2006/picture">
                <pic:pic>
                  <pic:nvPicPr>
                    <pic:cNvPr id="2" name="image1.png"/>
                    <pic:cNvPicPr/>
                  </pic:nvPicPr>
                  <pic:blipFill>
                    <a:blip r:embed="rId6" cstate="print"/>
                    <a:stretch>
                      <a:fillRect/>
                    </a:stretch>
                  </pic:blipFill>
                  <pic:spPr>
                    <a:xfrm>
                      <a:off x="0" y="0"/>
                      <a:ext cx="723900" cy="723900"/>
                    </a:xfrm>
                    <a:prstGeom prst="rect">
                      <a:avLst/>
                    </a:prstGeom>
                  </pic:spPr>
                </pic:pic>
              </a:graphicData>
            </a:graphic>
          </wp:anchor>
        </w:drawing>
      </w:r>
      <w:r>
        <w:rPr>
          <w:rFonts w:ascii="Microsoft JhengHei" w:eastAsia="Microsoft JhengHei"/>
          <w:b/>
          <w:spacing w:val="-2"/>
          <w:sz w:val="32"/>
        </w:rPr>
        <w:t>渤海人寿乐健一生终身重大疾病保险（尊享版）</w:t>
      </w:r>
      <w:r>
        <w:rPr>
          <w:rFonts w:ascii="Microsoft JhengHei" w:eastAsia="Microsoft JhengHei"/>
          <w:b/>
          <w:spacing w:val="-6"/>
          <w:sz w:val="32"/>
        </w:rPr>
        <w:t>条款</w:t>
      </w:r>
    </w:p>
    <w:p>
      <w:pPr>
        <w:spacing w:after="0" w:line="540" w:lineRule="exact"/>
        <w:jc w:val="center"/>
        <w:rPr>
          <w:rFonts w:ascii="Microsoft JhengHei" w:eastAsia="Microsoft JhengHei"/>
          <w:sz w:val="32"/>
        </w:rPr>
        <w:sectPr>
          <w:type w:val="continuous"/>
          <w:pgSz w:w="11910" w:h="16840"/>
          <w:pgMar w:header="0" w:footer="226" w:top="240" w:bottom="420" w:left="980" w:right="400"/>
        </w:sectPr>
      </w:pPr>
    </w:p>
    <w:p>
      <w:pPr>
        <w:spacing w:line="518" w:lineRule="exact" w:before="0"/>
        <w:ind w:left="0" w:right="0" w:firstLine="0"/>
        <w:jc w:val="right"/>
        <w:rPr>
          <w:rFonts w:ascii="Microsoft JhengHei" w:eastAsia="Microsoft JhengHei"/>
          <w:b/>
          <w:sz w:val="32"/>
        </w:rPr>
      </w:pPr>
      <w:r>
        <w:rPr>
          <w:rFonts w:ascii="Microsoft JhengHei" w:eastAsia="Microsoft JhengHei"/>
          <w:b/>
          <w:spacing w:val="25"/>
          <w:sz w:val="32"/>
        </w:rPr>
        <w:t>阅 读</w:t>
      </w:r>
      <w:r>
        <w:rPr>
          <w:rFonts w:ascii="Microsoft JhengHei" w:eastAsia="Microsoft JhengHei"/>
          <w:b/>
          <w:spacing w:val="43"/>
          <w:w w:val="150"/>
          <w:sz w:val="32"/>
        </w:rPr>
        <w:t> </w:t>
      </w:r>
      <w:r>
        <w:rPr>
          <w:rFonts w:ascii="Microsoft JhengHei" w:eastAsia="Microsoft JhengHei"/>
          <w:b/>
          <w:spacing w:val="22"/>
          <w:sz w:val="32"/>
        </w:rPr>
        <w:t>指 引</w:t>
      </w:r>
    </w:p>
    <w:p>
      <w:pPr>
        <w:spacing w:before="74"/>
        <w:ind w:left="2529" w:right="0" w:firstLine="0"/>
        <w:jc w:val="left"/>
        <w:rPr>
          <w:sz w:val="18"/>
        </w:rPr>
      </w:pPr>
      <w:r>
        <w:rPr/>
        <w:br w:type="column"/>
      </w:r>
      <w:r>
        <w:rPr>
          <w:spacing w:val="-2"/>
          <w:sz w:val="18"/>
        </w:rPr>
        <w:t>请扫描以查询验证</w:t>
      </w:r>
      <w:r>
        <w:rPr>
          <w:spacing w:val="-2"/>
          <w:sz w:val="18"/>
        </w:rPr>
        <w:t>条</w:t>
      </w:r>
      <w:r>
        <w:rPr>
          <w:spacing w:val="-10"/>
          <w:sz w:val="18"/>
        </w:rPr>
        <w:t>款</w:t>
      </w:r>
    </w:p>
    <w:p>
      <w:pPr>
        <w:spacing w:after="0"/>
        <w:jc w:val="left"/>
        <w:rPr>
          <w:sz w:val="18"/>
        </w:rPr>
        <w:sectPr>
          <w:type w:val="continuous"/>
          <w:pgSz w:w="11910" w:h="16840"/>
          <w:pgMar w:header="0" w:footer="226" w:top="240" w:bottom="420" w:left="980" w:right="400"/>
          <w:cols w:num="2" w:equalWidth="0">
            <w:col w:w="5858" w:space="40"/>
            <w:col w:w="4632"/>
          </w:cols>
        </w:sectPr>
      </w:pPr>
    </w:p>
    <w:p>
      <w:pPr>
        <w:pStyle w:val="BodyText"/>
        <w:spacing w:line="213" w:lineRule="auto" w:before="175"/>
        <w:ind w:left="1305" w:right="1816"/>
        <w:jc w:val="center"/>
      </w:pPr>
      <w:r>
        <w:rPr>
          <w:spacing w:val="-149"/>
        </w:rPr>
        <w:t>本</w:t>
      </w:r>
      <w:r>
        <w:rPr>
          <w:spacing w:val="-63"/>
          <w:position w:val="-7"/>
        </w:rPr>
        <w:t>．</w:t>
      </w:r>
      <w:r>
        <w:rPr>
          <w:spacing w:val="-149"/>
        </w:rPr>
        <w:t>阅</w:t>
      </w:r>
      <w:r>
        <w:rPr>
          <w:spacing w:val="-63"/>
          <w:position w:val="-7"/>
        </w:rPr>
        <w:t>．</w:t>
      </w:r>
      <w:r>
        <w:rPr>
          <w:spacing w:val="-149"/>
        </w:rPr>
        <w:t>读</w:t>
      </w:r>
      <w:r>
        <w:rPr>
          <w:spacing w:val="-63"/>
          <w:position w:val="-7"/>
        </w:rPr>
        <w:t>．</w:t>
      </w:r>
      <w:r>
        <w:rPr>
          <w:spacing w:val="-149"/>
        </w:rPr>
        <w:t>指</w:t>
      </w:r>
      <w:r>
        <w:rPr>
          <w:spacing w:val="-63"/>
          <w:position w:val="-7"/>
        </w:rPr>
        <w:t>．</w:t>
      </w:r>
      <w:r>
        <w:rPr>
          <w:spacing w:val="-154"/>
        </w:rPr>
        <w:t>引</w:t>
      </w:r>
      <w:r>
        <w:rPr>
          <w:spacing w:val="-63"/>
          <w:position w:val="-7"/>
        </w:rPr>
        <w:t>．</w:t>
      </w:r>
      <w:r>
        <w:rPr>
          <w:spacing w:val="-149"/>
        </w:rPr>
        <w:t>有</w:t>
      </w:r>
      <w:r>
        <w:rPr>
          <w:spacing w:val="-63"/>
          <w:position w:val="-7"/>
        </w:rPr>
        <w:t>．</w:t>
      </w:r>
      <w:r>
        <w:rPr>
          <w:spacing w:val="-149"/>
        </w:rPr>
        <w:t>助</w:t>
      </w:r>
      <w:r>
        <w:rPr>
          <w:spacing w:val="-63"/>
          <w:position w:val="-7"/>
        </w:rPr>
        <w:t>．</w:t>
      </w:r>
      <w:r>
        <w:rPr>
          <w:spacing w:val="-148"/>
        </w:rPr>
        <w:t>于</w:t>
      </w:r>
      <w:r>
        <w:rPr>
          <w:spacing w:val="-64"/>
          <w:position w:val="-7"/>
        </w:rPr>
        <w:t>．</w:t>
      </w:r>
      <w:r>
        <w:rPr>
          <w:spacing w:val="-153"/>
        </w:rPr>
        <w:t>您</w:t>
      </w:r>
      <w:r>
        <w:rPr>
          <w:spacing w:val="-64"/>
          <w:position w:val="-7"/>
        </w:rPr>
        <w:t>．</w:t>
      </w:r>
      <w:r>
        <w:rPr>
          <w:spacing w:val="-148"/>
        </w:rPr>
        <w:t>理</w:t>
      </w:r>
      <w:r>
        <w:rPr>
          <w:spacing w:val="-64"/>
          <w:position w:val="-7"/>
        </w:rPr>
        <w:t>．</w:t>
      </w:r>
      <w:r>
        <w:rPr>
          <w:spacing w:val="-148"/>
        </w:rPr>
        <w:t>解</w:t>
      </w:r>
      <w:r>
        <w:rPr>
          <w:spacing w:val="-64"/>
          <w:position w:val="-7"/>
        </w:rPr>
        <w:t>．</w:t>
      </w:r>
      <w:r>
        <w:rPr>
          <w:spacing w:val="-148"/>
        </w:rPr>
        <w:t>条</w:t>
      </w:r>
      <w:r>
        <w:rPr>
          <w:spacing w:val="-64"/>
          <w:position w:val="-7"/>
        </w:rPr>
        <w:t>．</w:t>
      </w:r>
      <w:r>
        <w:rPr>
          <w:spacing w:val="-153"/>
        </w:rPr>
        <w:t>款</w:t>
      </w:r>
      <w:r>
        <w:rPr>
          <w:spacing w:val="-92"/>
          <w:position w:val="-7"/>
        </w:rPr>
        <w:t>．</w:t>
      </w:r>
      <w:r>
        <w:rPr>
          <w:spacing w:val="-92"/>
        </w:rPr>
        <w:t>，</w:t>
      </w:r>
      <w:r>
        <w:rPr>
          <w:spacing w:val="-92"/>
          <w:position w:val="-7"/>
        </w:rPr>
        <w:t>．</w:t>
      </w:r>
      <w:r>
        <w:rPr>
          <w:spacing w:val="-148"/>
        </w:rPr>
        <w:t>对</w:t>
      </w:r>
      <w:r>
        <w:rPr>
          <w:spacing w:val="-64"/>
          <w:position w:val="-7"/>
        </w:rPr>
        <w:t>．</w:t>
      </w:r>
      <w:r>
        <w:rPr>
          <w:spacing w:val="-148"/>
        </w:rPr>
        <w:t>本</w:t>
      </w:r>
      <w:r>
        <w:rPr>
          <w:spacing w:val="-64"/>
          <w:position w:val="-7"/>
        </w:rPr>
        <w:t>．</w:t>
      </w:r>
      <w:r>
        <w:rPr>
          <w:spacing w:val="-153"/>
        </w:rPr>
        <w:t>合</w:t>
      </w:r>
      <w:r>
        <w:rPr>
          <w:spacing w:val="-65"/>
          <w:position w:val="-7"/>
        </w:rPr>
        <w:t>．</w:t>
      </w:r>
      <w:r>
        <w:rPr>
          <w:spacing w:val="-148"/>
        </w:rPr>
        <w:t>同</w:t>
      </w:r>
      <w:r>
        <w:rPr>
          <w:spacing w:val="-65"/>
          <w:position w:val="-7"/>
        </w:rPr>
        <w:t>．</w:t>
      </w:r>
      <w:r>
        <w:rPr>
          <w:spacing w:val="-147"/>
        </w:rPr>
        <w:t>内</w:t>
      </w:r>
      <w:r>
        <w:rPr>
          <w:spacing w:val="-65"/>
          <w:position w:val="-7"/>
        </w:rPr>
        <w:t>．</w:t>
      </w:r>
      <w:r>
        <w:rPr>
          <w:spacing w:val="-147"/>
        </w:rPr>
        <w:t>容</w:t>
      </w:r>
      <w:r>
        <w:rPr>
          <w:spacing w:val="-65"/>
          <w:position w:val="-7"/>
        </w:rPr>
        <w:t>．</w:t>
      </w:r>
      <w:r>
        <w:rPr>
          <w:spacing w:val="-152"/>
        </w:rPr>
        <w:t>的</w:t>
      </w:r>
      <w:r>
        <w:rPr>
          <w:spacing w:val="-65"/>
          <w:position w:val="-7"/>
        </w:rPr>
        <w:t>．</w:t>
      </w:r>
      <w:r>
        <w:rPr>
          <w:spacing w:val="-147"/>
        </w:rPr>
        <w:t>解</w:t>
      </w:r>
      <w:r>
        <w:rPr>
          <w:spacing w:val="-65"/>
          <w:position w:val="-7"/>
        </w:rPr>
        <w:t>．</w:t>
      </w:r>
      <w:r>
        <w:rPr>
          <w:spacing w:val="-152"/>
        </w:rPr>
        <w:t>释</w:t>
      </w:r>
      <w:r>
        <w:rPr>
          <w:spacing w:val="-65"/>
          <w:position w:val="-7"/>
        </w:rPr>
        <w:t>．</w:t>
      </w:r>
      <w:r>
        <w:rPr>
          <w:spacing w:val="-147"/>
        </w:rPr>
        <w:t>以</w:t>
      </w:r>
      <w:r>
        <w:rPr>
          <w:spacing w:val="-65"/>
          <w:position w:val="-7"/>
        </w:rPr>
        <w:t>．</w:t>
      </w:r>
      <w:r>
        <w:rPr>
          <w:spacing w:val="-147"/>
        </w:rPr>
        <w:t>条</w:t>
      </w:r>
      <w:r>
        <w:rPr>
          <w:spacing w:val="-66"/>
          <w:position w:val="-7"/>
        </w:rPr>
        <w:t>．</w:t>
      </w:r>
      <w:r>
        <w:rPr>
          <w:spacing w:val="-147"/>
        </w:rPr>
        <w:t>款</w:t>
      </w:r>
      <w:r>
        <w:rPr>
          <w:spacing w:val="-66"/>
          <w:position w:val="-7"/>
        </w:rPr>
        <w:t>．</w:t>
      </w:r>
      <w:r>
        <w:rPr>
          <w:spacing w:val="-147"/>
        </w:rPr>
        <w:t>为</w:t>
      </w:r>
      <w:r>
        <w:rPr>
          <w:spacing w:val="-66"/>
          <w:position w:val="-7"/>
        </w:rPr>
        <w:t>．</w:t>
      </w:r>
      <w:r>
        <w:rPr>
          <w:spacing w:val="-151"/>
        </w:rPr>
        <w:t>准</w:t>
      </w:r>
      <w:r>
        <w:rPr>
          <w:spacing w:val="-66"/>
          <w:position w:val="-7"/>
        </w:rPr>
        <w:t>．</w:t>
      </w:r>
      <w:r>
        <w:rPr>
          <w:spacing w:val="-151"/>
        </w:rPr>
        <w:t>。</w:t>
      </w:r>
      <w:r>
        <w:rPr>
          <w:spacing w:val="-10"/>
          <w:position w:val="-7"/>
        </w:rPr>
        <w:t>．</w:t>
      </w:r>
    </w:p>
    <w:p>
      <w:pPr>
        <w:pStyle w:val="ListParagraph"/>
        <w:numPr>
          <w:ilvl w:val="0"/>
          <w:numId w:val="1"/>
        </w:numPr>
        <w:tabs>
          <w:tab w:pos="541" w:val="left" w:leader="none"/>
          <w:tab w:pos="543" w:val="left" w:leader="none"/>
        </w:tabs>
        <w:spacing w:line="369" w:lineRule="exact" w:before="0" w:after="0"/>
        <w:ind w:left="542" w:right="0" w:hanging="424"/>
        <w:jc w:val="left"/>
        <w:rPr>
          <w:rFonts w:ascii="Microsoft JhengHei" w:hAnsi="Microsoft JhengHei" w:eastAsia="Microsoft JhengHei"/>
          <w:b/>
          <w:sz w:val="21"/>
        </w:rPr>
      </w:pPr>
      <w:r>
        <w:rPr/>
        <w:drawing>
          <wp:anchor distT="0" distB="0" distL="0" distR="0" allowOverlap="1" layoutInCell="1" locked="0" behindDoc="1" simplePos="0" relativeHeight="485343744">
            <wp:simplePos x="0" y="0"/>
            <wp:positionH relativeFrom="page">
              <wp:posOffset>628192</wp:posOffset>
            </wp:positionH>
            <wp:positionV relativeFrom="paragraph">
              <wp:posOffset>12848</wp:posOffset>
            </wp:positionV>
            <wp:extent cx="6308800" cy="7390510"/>
            <wp:effectExtent l="0" t="0" r="0" b="0"/>
            <wp:wrapNone/>
            <wp:docPr id="3" name="image2.png"/>
            <wp:cNvGraphicFramePr>
              <a:graphicFrameLocks noChangeAspect="1"/>
            </wp:cNvGraphicFramePr>
            <a:graphic>
              <a:graphicData uri="http://schemas.openxmlformats.org/drawingml/2006/picture">
                <pic:pic>
                  <pic:nvPicPr>
                    <pic:cNvPr id="4" name="image2.png"/>
                    <pic:cNvPicPr/>
                  </pic:nvPicPr>
                  <pic:blipFill>
                    <a:blip r:embed="rId7" cstate="print"/>
                    <a:stretch>
                      <a:fillRect/>
                    </a:stretch>
                  </pic:blipFill>
                  <pic:spPr>
                    <a:xfrm>
                      <a:off x="0" y="0"/>
                      <a:ext cx="6308800" cy="7390510"/>
                    </a:xfrm>
                    <a:prstGeom prst="rect">
                      <a:avLst/>
                    </a:prstGeom>
                  </pic:spPr>
                </pic:pic>
              </a:graphicData>
            </a:graphic>
          </wp:anchor>
        </w:drawing>
      </w:r>
      <w:r>
        <w:rPr>
          <w:rFonts w:ascii="Microsoft JhengHei" w:hAnsi="Microsoft JhengHei" w:eastAsia="Microsoft JhengHei"/>
          <w:b/>
          <w:spacing w:val="-2"/>
          <w:sz w:val="21"/>
        </w:rPr>
        <w:t>您拥有的重要权益</w:t>
      </w:r>
    </w:p>
    <w:p>
      <w:pPr>
        <w:pStyle w:val="BodyText"/>
        <w:tabs>
          <w:tab w:pos="9578" w:val="right" w:leader="dot"/>
        </w:tabs>
        <w:spacing w:line="267" w:lineRule="exact"/>
        <w:ind w:left="542"/>
      </w:pPr>
      <w:r>
        <w:rPr>
          <w:spacing w:val="-2"/>
        </w:rPr>
        <w:t>签</w:t>
      </w:r>
      <w:r>
        <w:rPr>
          <w:spacing w:val="-2"/>
        </w:rPr>
        <w:t>收</w:t>
      </w:r>
      <w:r>
        <w:rPr>
          <w:spacing w:val="-2"/>
        </w:rPr>
        <w:t>本</w:t>
      </w:r>
      <w:r>
        <w:rPr>
          <w:spacing w:val="-2"/>
        </w:rPr>
        <w:t>合</w:t>
      </w:r>
      <w:r>
        <w:rPr>
          <w:spacing w:val="-2"/>
        </w:rPr>
        <w:t>同</w:t>
      </w:r>
      <w:r>
        <w:rPr>
          <w:spacing w:val="-2"/>
        </w:rPr>
        <w:t>的</w:t>
      </w:r>
      <w:r>
        <w:rPr>
          <w:spacing w:val="-2"/>
        </w:rPr>
        <w:t>次</w:t>
      </w:r>
      <w:r>
        <w:rPr>
          <w:spacing w:val="-2"/>
        </w:rPr>
        <w:t>日</w:t>
      </w:r>
      <w:r>
        <w:rPr>
          <w:spacing w:val="-2"/>
        </w:rPr>
        <w:t>零</w:t>
      </w:r>
      <w:r>
        <w:rPr>
          <w:spacing w:val="-2"/>
        </w:rPr>
        <w:t>时</w:t>
      </w:r>
      <w:r>
        <w:rPr>
          <w:spacing w:val="-2"/>
        </w:rPr>
        <w:t>起</w:t>
      </w:r>
      <w:r>
        <w:rPr>
          <w:spacing w:val="-37"/>
        </w:rPr>
        <w:t> </w:t>
      </w:r>
      <w:r>
        <w:rPr>
          <w:spacing w:val="-2"/>
        </w:rPr>
        <w:t>15</w:t>
      </w:r>
      <w:r>
        <w:rPr>
          <w:spacing w:val="-38"/>
        </w:rPr>
        <w:t> </w:t>
      </w:r>
      <w:r>
        <w:rPr>
          <w:spacing w:val="-2"/>
        </w:rPr>
        <w:t>日（</w:t>
      </w:r>
      <w:r>
        <w:rPr>
          <w:spacing w:val="-2"/>
        </w:rPr>
        <w:t>即</w:t>
      </w:r>
      <w:r>
        <w:rPr>
          <w:spacing w:val="-2"/>
        </w:rPr>
        <w:t>犹</w:t>
      </w:r>
      <w:r>
        <w:rPr>
          <w:spacing w:val="-2"/>
        </w:rPr>
        <w:t>豫</w:t>
      </w:r>
      <w:r>
        <w:rPr>
          <w:spacing w:val="-2"/>
        </w:rPr>
        <w:t>期</w:t>
      </w:r>
      <w:r>
        <w:rPr>
          <w:spacing w:val="-2"/>
        </w:rPr>
        <w:t>）内您若</w:t>
      </w:r>
      <w:r>
        <w:rPr>
          <w:spacing w:val="-2"/>
        </w:rPr>
        <w:t>要</w:t>
      </w:r>
      <w:r>
        <w:rPr>
          <w:spacing w:val="-2"/>
        </w:rPr>
        <w:t>求</w:t>
      </w:r>
      <w:r>
        <w:rPr>
          <w:spacing w:val="-2"/>
        </w:rPr>
        <w:t>退</w:t>
      </w:r>
      <w:r>
        <w:rPr>
          <w:spacing w:val="-2"/>
        </w:rPr>
        <w:t>保</w:t>
      </w:r>
      <w:r>
        <w:rPr>
          <w:spacing w:val="-2"/>
        </w:rPr>
        <w:t>，</w:t>
      </w:r>
      <w:r>
        <w:rPr>
          <w:spacing w:val="-2"/>
        </w:rPr>
        <w:t>我</w:t>
      </w:r>
      <w:r>
        <w:rPr>
          <w:spacing w:val="-2"/>
        </w:rPr>
        <w:t>们</w:t>
      </w:r>
      <w:r>
        <w:rPr>
          <w:spacing w:val="-2"/>
        </w:rPr>
        <w:t>仅</w:t>
      </w:r>
      <w:r>
        <w:rPr>
          <w:spacing w:val="-2"/>
        </w:rPr>
        <w:t>扣</w:t>
      </w:r>
      <w:r>
        <w:rPr>
          <w:spacing w:val="-2"/>
        </w:rPr>
        <w:t>除</w:t>
      </w:r>
      <w:r>
        <w:rPr>
          <w:spacing w:val="-2"/>
        </w:rPr>
        <w:t>工</w:t>
      </w:r>
      <w:r>
        <w:rPr>
          <w:spacing w:val="-2"/>
        </w:rPr>
        <w:t>本</w:t>
      </w:r>
      <w:r>
        <w:rPr>
          <w:spacing w:val="-10"/>
        </w:rPr>
        <w:t>费</w:t>
      </w:r>
      <w:r>
        <w:rPr>
          <w:rFonts w:ascii="Times New Roman" w:eastAsia="Times New Roman"/>
        </w:rPr>
        <w:tab/>
      </w:r>
      <w:r>
        <w:rPr>
          <w:spacing w:val="-5"/>
        </w:rPr>
        <w:t>1.4</w:t>
      </w:r>
    </w:p>
    <w:p>
      <w:pPr>
        <w:pStyle w:val="BodyText"/>
        <w:tabs>
          <w:tab w:pos="9579" w:val="right" w:leader="dot"/>
        </w:tabs>
        <w:spacing w:before="43"/>
        <w:ind w:left="542"/>
      </w:pPr>
      <w:r>
        <w:rPr>
          <w:spacing w:val="-2"/>
        </w:rPr>
        <w:t>本</w:t>
      </w:r>
      <w:r>
        <w:rPr>
          <w:spacing w:val="-2"/>
        </w:rPr>
        <w:t>合</w:t>
      </w:r>
      <w:r>
        <w:rPr>
          <w:spacing w:val="-2"/>
        </w:rPr>
        <w:t>同</w:t>
      </w:r>
      <w:r>
        <w:rPr>
          <w:spacing w:val="-2"/>
        </w:rPr>
        <w:t>提</w:t>
      </w:r>
      <w:r>
        <w:rPr>
          <w:spacing w:val="-2"/>
        </w:rPr>
        <w:t>供</w:t>
      </w:r>
      <w:r>
        <w:rPr>
          <w:spacing w:val="-2"/>
        </w:rPr>
        <w:t>的</w:t>
      </w:r>
      <w:r>
        <w:rPr>
          <w:spacing w:val="-2"/>
        </w:rPr>
        <w:t>保</w:t>
      </w:r>
      <w:r>
        <w:rPr>
          <w:spacing w:val="-2"/>
        </w:rPr>
        <w:t>障</w:t>
      </w:r>
      <w:r>
        <w:rPr>
          <w:spacing w:val="-2"/>
        </w:rPr>
        <w:t>在</w:t>
      </w:r>
      <w:r>
        <w:rPr>
          <w:spacing w:val="-2"/>
        </w:rPr>
        <w:t>保</w:t>
      </w:r>
      <w:r>
        <w:rPr>
          <w:spacing w:val="-2"/>
        </w:rPr>
        <w:t>险</w:t>
      </w:r>
      <w:r>
        <w:rPr>
          <w:spacing w:val="-2"/>
        </w:rPr>
        <w:t>责</w:t>
      </w:r>
      <w:r>
        <w:rPr>
          <w:spacing w:val="-2"/>
        </w:rPr>
        <w:t>任</w:t>
      </w:r>
      <w:r>
        <w:rPr>
          <w:spacing w:val="-2"/>
        </w:rPr>
        <w:t>条</w:t>
      </w:r>
      <w:r>
        <w:rPr>
          <w:spacing w:val="-2"/>
        </w:rPr>
        <w:t>款</w:t>
      </w:r>
      <w:r>
        <w:rPr>
          <w:spacing w:val="-2"/>
        </w:rPr>
        <w:t>中</w:t>
      </w:r>
      <w:r>
        <w:rPr>
          <w:spacing w:val="-2"/>
        </w:rPr>
        <w:t>列</w:t>
      </w:r>
      <w:r>
        <w:rPr>
          <w:spacing w:val="-10"/>
        </w:rPr>
        <w:t>明</w:t>
      </w:r>
      <w:r>
        <w:rPr>
          <w:rFonts w:ascii="Times New Roman" w:eastAsia="Times New Roman"/>
        </w:rPr>
        <w:tab/>
      </w:r>
      <w:r>
        <w:rPr>
          <w:spacing w:val="-5"/>
        </w:rPr>
        <w:t>2.4</w:t>
      </w:r>
    </w:p>
    <w:p>
      <w:pPr>
        <w:pStyle w:val="BodyText"/>
        <w:tabs>
          <w:tab w:pos="9579" w:val="right" w:leader="dot"/>
        </w:tabs>
        <w:spacing w:before="43"/>
        <w:ind w:left="542"/>
      </w:pPr>
      <w:r>
        <w:rPr>
          <w:spacing w:val="-2"/>
        </w:rPr>
        <w:t>您</w:t>
      </w:r>
      <w:r>
        <w:rPr>
          <w:spacing w:val="-2"/>
        </w:rPr>
        <w:t>有</w:t>
      </w:r>
      <w:r>
        <w:rPr>
          <w:spacing w:val="-2"/>
        </w:rPr>
        <w:t>按</w:t>
      </w:r>
      <w:r>
        <w:rPr>
          <w:spacing w:val="-2"/>
        </w:rPr>
        <w:t>本</w:t>
      </w:r>
      <w:r>
        <w:rPr>
          <w:spacing w:val="-2"/>
        </w:rPr>
        <w:t>合</w:t>
      </w:r>
      <w:r>
        <w:rPr>
          <w:spacing w:val="-2"/>
        </w:rPr>
        <w:t>同</w:t>
      </w:r>
      <w:r>
        <w:rPr>
          <w:spacing w:val="-2"/>
        </w:rPr>
        <w:t>约</w:t>
      </w:r>
      <w:r>
        <w:rPr>
          <w:spacing w:val="-2"/>
        </w:rPr>
        <w:t>定</w:t>
      </w:r>
      <w:r>
        <w:rPr>
          <w:spacing w:val="-2"/>
        </w:rPr>
        <w:t>申</w:t>
      </w:r>
      <w:r>
        <w:rPr>
          <w:spacing w:val="-2"/>
        </w:rPr>
        <w:t>请</w:t>
      </w:r>
      <w:r>
        <w:rPr>
          <w:spacing w:val="-2"/>
        </w:rPr>
        <w:t>保</w:t>
      </w:r>
      <w:r>
        <w:rPr>
          <w:spacing w:val="-2"/>
        </w:rPr>
        <w:t>单</w:t>
      </w:r>
      <w:r>
        <w:rPr>
          <w:spacing w:val="-2"/>
        </w:rPr>
        <w:t>贷款的</w:t>
      </w:r>
      <w:r>
        <w:rPr>
          <w:spacing w:val="-2"/>
        </w:rPr>
        <w:t>权</w:t>
      </w:r>
      <w:r>
        <w:rPr>
          <w:spacing w:val="-10"/>
        </w:rPr>
        <w:t>利</w:t>
      </w:r>
      <w:r>
        <w:rPr>
          <w:rFonts w:ascii="Times New Roman" w:eastAsia="Times New Roman"/>
        </w:rPr>
        <w:tab/>
      </w:r>
      <w:r>
        <w:rPr>
          <w:spacing w:val="-5"/>
        </w:rPr>
        <w:t>5.3</w:t>
      </w:r>
    </w:p>
    <w:p>
      <w:pPr>
        <w:pStyle w:val="BodyText"/>
        <w:tabs>
          <w:tab w:pos="9578" w:val="right" w:leader="dot"/>
        </w:tabs>
        <w:spacing w:line="256" w:lineRule="exact" w:before="43"/>
        <w:ind w:left="542"/>
      </w:pPr>
      <w:r>
        <w:rPr>
          <w:spacing w:val="-2"/>
        </w:rPr>
        <w:t>您</w:t>
      </w:r>
      <w:r>
        <w:rPr>
          <w:spacing w:val="-2"/>
        </w:rPr>
        <w:t>有</w:t>
      </w:r>
      <w:r>
        <w:rPr>
          <w:spacing w:val="-2"/>
        </w:rPr>
        <w:t>退</w:t>
      </w:r>
      <w:r>
        <w:rPr>
          <w:spacing w:val="-2"/>
        </w:rPr>
        <w:t>保</w:t>
      </w:r>
      <w:r>
        <w:rPr>
          <w:spacing w:val="-2"/>
        </w:rPr>
        <w:t>的</w:t>
      </w:r>
      <w:r>
        <w:rPr>
          <w:spacing w:val="-2"/>
        </w:rPr>
        <w:t>权</w:t>
      </w:r>
      <w:r>
        <w:rPr>
          <w:spacing w:val="-10"/>
        </w:rPr>
        <w:t>利</w:t>
      </w:r>
      <w:r>
        <w:rPr>
          <w:rFonts w:ascii="Times New Roman" w:eastAsia="Times New Roman"/>
        </w:rPr>
        <w:tab/>
      </w:r>
      <w:r>
        <w:rPr>
          <w:spacing w:val="-5"/>
        </w:rPr>
        <w:t>7.1</w:t>
      </w:r>
    </w:p>
    <w:p>
      <w:pPr>
        <w:pStyle w:val="Heading2"/>
        <w:numPr>
          <w:ilvl w:val="0"/>
          <w:numId w:val="1"/>
        </w:numPr>
        <w:tabs>
          <w:tab w:pos="541" w:val="left" w:leader="none"/>
          <w:tab w:pos="543" w:val="left" w:leader="none"/>
        </w:tabs>
        <w:spacing w:line="371" w:lineRule="exact" w:before="0" w:after="0"/>
        <w:ind w:left="542" w:right="0" w:hanging="424"/>
        <w:jc w:val="left"/>
      </w:pPr>
      <w:r>
        <w:rPr>
          <w:spacing w:val="-1"/>
        </w:rPr>
        <w:t>您应当特别注意的事项</w:t>
      </w:r>
    </w:p>
    <w:p>
      <w:pPr>
        <w:pStyle w:val="BodyText"/>
        <w:tabs>
          <w:tab w:pos="7898" w:val="left" w:leader="dot"/>
        </w:tabs>
        <w:spacing w:line="267" w:lineRule="exact"/>
        <w:ind w:left="542"/>
      </w:pPr>
      <w:r>
        <w:rPr>
          <w:spacing w:val="-2"/>
        </w:rPr>
        <w:t>在</w:t>
      </w:r>
      <w:r>
        <w:rPr>
          <w:spacing w:val="-2"/>
        </w:rPr>
        <w:t>某</w:t>
      </w:r>
      <w:r>
        <w:rPr>
          <w:spacing w:val="-2"/>
        </w:rPr>
        <w:t>些</w:t>
      </w:r>
      <w:r>
        <w:rPr>
          <w:spacing w:val="-2"/>
        </w:rPr>
        <w:t>情</w:t>
      </w:r>
      <w:r>
        <w:rPr>
          <w:spacing w:val="-2"/>
        </w:rPr>
        <w:t>况</w:t>
      </w:r>
      <w:r>
        <w:rPr>
          <w:spacing w:val="-2"/>
        </w:rPr>
        <w:t>下</w:t>
      </w:r>
      <w:r>
        <w:rPr>
          <w:spacing w:val="-2"/>
        </w:rPr>
        <w:t>，</w:t>
      </w:r>
      <w:r>
        <w:rPr>
          <w:spacing w:val="-2"/>
        </w:rPr>
        <w:t>我</w:t>
      </w:r>
      <w:r>
        <w:rPr>
          <w:spacing w:val="-2"/>
        </w:rPr>
        <w:t>们</w:t>
      </w:r>
      <w:r>
        <w:rPr>
          <w:spacing w:val="-2"/>
        </w:rPr>
        <w:t>不</w:t>
      </w:r>
      <w:r>
        <w:rPr>
          <w:spacing w:val="-2"/>
        </w:rPr>
        <w:t>承</w:t>
      </w:r>
      <w:r>
        <w:rPr>
          <w:spacing w:val="-2"/>
        </w:rPr>
        <w:t>担</w:t>
      </w:r>
      <w:r>
        <w:rPr>
          <w:spacing w:val="-2"/>
        </w:rPr>
        <w:t>保险</w:t>
      </w:r>
      <w:r>
        <w:rPr>
          <w:spacing w:val="-2"/>
        </w:rPr>
        <w:t>责</w:t>
      </w:r>
      <w:r>
        <w:rPr>
          <w:spacing w:val="-10"/>
        </w:rPr>
        <w:t>任</w:t>
      </w:r>
      <w:r>
        <w:rPr>
          <w:rFonts w:ascii="Times New Roman" w:eastAsia="Times New Roman"/>
        </w:rPr>
        <w:tab/>
      </w:r>
      <w:r>
        <w:rPr>
          <w:spacing w:val="-2"/>
        </w:rPr>
        <w:t>2.5</w:t>
      </w:r>
      <w:r>
        <w:rPr>
          <w:spacing w:val="-2"/>
        </w:rPr>
        <w:t>、</w:t>
      </w:r>
      <w:r>
        <w:rPr>
          <w:spacing w:val="-2"/>
        </w:rPr>
        <w:t>3.2</w:t>
      </w:r>
      <w:r>
        <w:rPr>
          <w:spacing w:val="-2"/>
        </w:rPr>
        <w:t>、</w:t>
      </w:r>
      <w:r>
        <w:rPr>
          <w:spacing w:val="-2"/>
        </w:rPr>
        <w:t>8.1</w:t>
      </w:r>
      <w:r>
        <w:rPr>
          <w:spacing w:val="-41"/>
        </w:rPr>
        <w:t> </w:t>
      </w:r>
      <w:r>
        <w:rPr>
          <w:spacing w:val="-10"/>
        </w:rPr>
        <w:t>等</w:t>
      </w:r>
    </w:p>
    <w:p>
      <w:pPr>
        <w:pStyle w:val="BodyText"/>
        <w:tabs>
          <w:tab w:pos="9578" w:val="right" w:leader="dot"/>
        </w:tabs>
        <w:spacing w:before="43"/>
        <w:ind w:left="542"/>
      </w:pPr>
      <w:r>
        <w:rPr>
          <w:spacing w:val="-2"/>
        </w:rPr>
        <w:t>保</w:t>
      </w:r>
      <w:r>
        <w:rPr>
          <w:spacing w:val="-2"/>
        </w:rPr>
        <w:t>险</w:t>
      </w:r>
      <w:r>
        <w:rPr>
          <w:spacing w:val="-2"/>
        </w:rPr>
        <w:t>事</w:t>
      </w:r>
      <w:r>
        <w:rPr>
          <w:spacing w:val="-2"/>
        </w:rPr>
        <w:t>故</w:t>
      </w:r>
      <w:r>
        <w:rPr>
          <w:spacing w:val="-2"/>
        </w:rPr>
        <w:t>发</w:t>
      </w:r>
      <w:r>
        <w:rPr>
          <w:spacing w:val="-2"/>
        </w:rPr>
        <w:t>生</w:t>
      </w:r>
      <w:r>
        <w:rPr>
          <w:spacing w:val="-2"/>
        </w:rPr>
        <w:t>后</w:t>
      </w:r>
      <w:r>
        <w:rPr>
          <w:spacing w:val="-2"/>
        </w:rPr>
        <w:t>请</w:t>
      </w:r>
      <w:r>
        <w:rPr>
          <w:spacing w:val="-2"/>
        </w:rPr>
        <w:t>您</w:t>
      </w:r>
      <w:r>
        <w:rPr>
          <w:spacing w:val="-2"/>
        </w:rPr>
        <w:t>或</w:t>
      </w:r>
      <w:r>
        <w:rPr>
          <w:spacing w:val="-2"/>
        </w:rPr>
        <w:t>受</w:t>
      </w:r>
      <w:r>
        <w:rPr>
          <w:spacing w:val="-2"/>
        </w:rPr>
        <w:t>益</w:t>
      </w:r>
      <w:r>
        <w:rPr>
          <w:spacing w:val="-2"/>
        </w:rPr>
        <w:t>人</w:t>
      </w:r>
      <w:r>
        <w:rPr>
          <w:spacing w:val="-2"/>
        </w:rPr>
        <w:t>及</w:t>
      </w:r>
      <w:r>
        <w:rPr>
          <w:spacing w:val="-2"/>
        </w:rPr>
        <w:t>时</w:t>
      </w:r>
      <w:r>
        <w:rPr>
          <w:spacing w:val="-2"/>
        </w:rPr>
        <w:t>通</w:t>
      </w:r>
      <w:r>
        <w:rPr>
          <w:spacing w:val="-2"/>
        </w:rPr>
        <w:t>知</w:t>
      </w:r>
      <w:r>
        <w:rPr>
          <w:spacing w:val="-2"/>
        </w:rPr>
        <w:t>我</w:t>
      </w:r>
      <w:r>
        <w:rPr>
          <w:spacing w:val="-10"/>
        </w:rPr>
        <w:t>们</w:t>
      </w:r>
      <w:r>
        <w:rPr>
          <w:rFonts w:ascii="Times New Roman" w:eastAsia="Times New Roman"/>
        </w:rPr>
        <w:tab/>
      </w:r>
      <w:r>
        <w:rPr>
          <w:spacing w:val="-5"/>
        </w:rPr>
        <w:t>3.2</w:t>
      </w:r>
    </w:p>
    <w:p>
      <w:pPr>
        <w:pStyle w:val="BodyText"/>
        <w:tabs>
          <w:tab w:pos="9577" w:val="right" w:leader="dot"/>
        </w:tabs>
        <w:spacing w:before="43"/>
        <w:ind w:left="542"/>
      </w:pPr>
      <w:r>
        <w:rPr>
          <w:spacing w:val="-2"/>
        </w:rPr>
        <w:t>您</w:t>
      </w:r>
      <w:r>
        <w:rPr>
          <w:spacing w:val="-2"/>
        </w:rPr>
        <w:t>应</w:t>
      </w:r>
      <w:r>
        <w:rPr>
          <w:spacing w:val="-2"/>
        </w:rPr>
        <w:t>当</w:t>
      </w:r>
      <w:r>
        <w:rPr>
          <w:spacing w:val="-2"/>
        </w:rPr>
        <w:t>按</w:t>
      </w:r>
      <w:r>
        <w:rPr>
          <w:spacing w:val="-2"/>
        </w:rPr>
        <w:t>时</w:t>
      </w:r>
      <w:r>
        <w:rPr>
          <w:spacing w:val="-2"/>
        </w:rPr>
        <w:t>交</w:t>
      </w:r>
      <w:r>
        <w:rPr>
          <w:spacing w:val="-2"/>
        </w:rPr>
        <w:t>纳</w:t>
      </w:r>
      <w:r>
        <w:rPr>
          <w:spacing w:val="-2"/>
        </w:rPr>
        <w:t>保</w:t>
      </w:r>
      <w:r>
        <w:rPr>
          <w:spacing w:val="-2"/>
        </w:rPr>
        <w:t>险</w:t>
      </w:r>
      <w:r>
        <w:rPr>
          <w:spacing w:val="-10"/>
        </w:rPr>
        <w:t>费</w:t>
      </w:r>
      <w:r>
        <w:rPr>
          <w:rFonts w:ascii="Times New Roman" w:eastAsia="Times New Roman"/>
        </w:rPr>
        <w:tab/>
      </w:r>
      <w:r>
        <w:rPr>
          <w:spacing w:val="-5"/>
        </w:rPr>
        <w:t>4.1</w:t>
      </w:r>
    </w:p>
    <w:p>
      <w:pPr>
        <w:pStyle w:val="BodyText"/>
        <w:tabs>
          <w:tab w:pos="9578" w:val="right" w:leader="dot"/>
        </w:tabs>
        <w:spacing w:before="43"/>
        <w:ind w:left="542"/>
      </w:pPr>
      <w:r>
        <w:rPr>
          <w:spacing w:val="-2"/>
        </w:rPr>
        <w:t>退</w:t>
      </w:r>
      <w:r>
        <w:rPr>
          <w:spacing w:val="-2"/>
        </w:rPr>
        <w:t>保</w:t>
      </w:r>
      <w:r>
        <w:rPr>
          <w:spacing w:val="-2"/>
        </w:rPr>
        <w:t>会</w:t>
      </w:r>
      <w:r>
        <w:rPr>
          <w:spacing w:val="-2"/>
        </w:rPr>
        <w:t>给</w:t>
      </w:r>
      <w:r>
        <w:rPr>
          <w:spacing w:val="-2"/>
        </w:rPr>
        <w:t>您</w:t>
      </w:r>
      <w:r>
        <w:rPr>
          <w:spacing w:val="-2"/>
        </w:rPr>
        <w:t>造</w:t>
      </w:r>
      <w:r>
        <w:rPr>
          <w:spacing w:val="-2"/>
        </w:rPr>
        <w:t>成</w:t>
      </w:r>
      <w:r>
        <w:rPr>
          <w:spacing w:val="-2"/>
        </w:rPr>
        <w:t>一</w:t>
      </w:r>
      <w:r>
        <w:rPr>
          <w:spacing w:val="-2"/>
        </w:rPr>
        <w:t>定</w:t>
      </w:r>
      <w:r>
        <w:rPr>
          <w:spacing w:val="-2"/>
        </w:rPr>
        <w:t>的</w:t>
      </w:r>
      <w:r>
        <w:rPr>
          <w:spacing w:val="-2"/>
        </w:rPr>
        <w:t>损</w:t>
      </w:r>
      <w:r>
        <w:rPr>
          <w:spacing w:val="-2"/>
        </w:rPr>
        <w:t>失</w:t>
      </w:r>
      <w:r>
        <w:rPr>
          <w:spacing w:val="-2"/>
        </w:rPr>
        <w:t>，</w:t>
      </w:r>
      <w:r>
        <w:rPr>
          <w:spacing w:val="-2"/>
        </w:rPr>
        <w:t>请</w:t>
      </w:r>
      <w:r>
        <w:rPr>
          <w:spacing w:val="-2"/>
        </w:rPr>
        <w:t>您</w:t>
      </w:r>
      <w:r>
        <w:rPr>
          <w:spacing w:val="-2"/>
        </w:rPr>
        <w:t>慎</w:t>
      </w:r>
      <w:r>
        <w:rPr>
          <w:spacing w:val="-2"/>
        </w:rPr>
        <w:t>重</w:t>
      </w:r>
      <w:r>
        <w:rPr>
          <w:spacing w:val="-2"/>
        </w:rPr>
        <w:t>决</w:t>
      </w:r>
      <w:r>
        <w:rPr>
          <w:spacing w:val="-10"/>
        </w:rPr>
        <w:t>策</w:t>
      </w:r>
      <w:r>
        <w:rPr>
          <w:rFonts w:ascii="Times New Roman" w:eastAsia="Times New Roman"/>
        </w:rPr>
        <w:tab/>
      </w:r>
      <w:r>
        <w:rPr>
          <w:spacing w:val="-5"/>
        </w:rPr>
        <w:t>7.1</w:t>
      </w:r>
    </w:p>
    <w:p>
      <w:pPr>
        <w:pStyle w:val="BodyText"/>
        <w:tabs>
          <w:tab w:pos="9578" w:val="right" w:leader="dot"/>
        </w:tabs>
        <w:spacing w:line="256" w:lineRule="exact" w:before="43"/>
        <w:ind w:left="542"/>
      </w:pPr>
      <w:r>
        <w:rPr>
          <w:spacing w:val="-2"/>
        </w:rPr>
        <w:t>您</w:t>
      </w:r>
      <w:r>
        <w:rPr>
          <w:spacing w:val="-2"/>
        </w:rPr>
        <w:t>有</w:t>
      </w:r>
      <w:r>
        <w:rPr>
          <w:spacing w:val="-2"/>
        </w:rPr>
        <w:t>如</w:t>
      </w:r>
      <w:r>
        <w:rPr>
          <w:spacing w:val="-2"/>
        </w:rPr>
        <w:t>实</w:t>
      </w:r>
      <w:r>
        <w:rPr>
          <w:spacing w:val="-2"/>
        </w:rPr>
        <w:t>告</w:t>
      </w:r>
      <w:r>
        <w:rPr>
          <w:spacing w:val="-2"/>
        </w:rPr>
        <w:t>知</w:t>
      </w:r>
      <w:r>
        <w:rPr>
          <w:spacing w:val="-2"/>
        </w:rPr>
        <w:t>的</w:t>
      </w:r>
      <w:r>
        <w:rPr>
          <w:spacing w:val="-2"/>
        </w:rPr>
        <w:t>义</w:t>
      </w:r>
      <w:r>
        <w:rPr>
          <w:spacing w:val="-10"/>
        </w:rPr>
        <w:t>务</w:t>
      </w:r>
      <w:r>
        <w:rPr>
          <w:rFonts w:ascii="Times New Roman" w:eastAsia="Times New Roman"/>
        </w:rPr>
        <w:tab/>
      </w:r>
      <w:r>
        <w:rPr>
          <w:spacing w:val="-5"/>
        </w:rPr>
        <w:t>8.1</w:t>
      </w:r>
    </w:p>
    <w:p>
      <w:pPr>
        <w:tabs>
          <w:tab w:pos="7826" w:val="left" w:leader="dot"/>
        </w:tabs>
        <w:spacing w:line="336" w:lineRule="exact" w:before="0"/>
        <w:ind w:left="119" w:right="0" w:firstLine="0"/>
        <w:jc w:val="left"/>
        <w:rPr>
          <w:rFonts w:ascii="Microsoft JhengHei" w:eastAsia="Microsoft JhengHei"/>
          <w:b/>
          <w:sz w:val="21"/>
        </w:rPr>
      </w:pPr>
      <w:r>
        <w:rPr>
          <w:rFonts w:ascii="Microsoft JhengHei" w:eastAsia="Microsoft JhengHei"/>
          <w:b/>
          <w:spacing w:val="-2"/>
          <w:sz w:val="21"/>
        </w:rPr>
        <w:t>我</w:t>
      </w:r>
      <w:r>
        <w:rPr>
          <w:rFonts w:ascii="Microsoft JhengHei" w:eastAsia="Microsoft JhengHei"/>
          <w:b/>
          <w:spacing w:val="-2"/>
          <w:sz w:val="21"/>
        </w:rPr>
        <w:t>们</w:t>
      </w:r>
      <w:r>
        <w:rPr>
          <w:rFonts w:ascii="Microsoft JhengHei" w:eastAsia="Microsoft JhengHei"/>
          <w:b/>
          <w:spacing w:val="-2"/>
          <w:sz w:val="21"/>
        </w:rPr>
        <w:t>对</w:t>
      </w:r>
      <w:r>
        <w:rPr>
          <w:rFonts w:ascii="Microsoft JhengHei" w:eastAsia="Microsoft JhengHei"/>
          <w:b/>
          <w:spacing w:val="-2"/>
          <w:sz w:val="21"/>
        </w:rPr>
        <w:t>一</w:t>
      </w:r>
      <w:r>
        <w:rPr>
          <w:rFonts w:ascii="Microsoft JhengHei" w:eastAsia="Microsoft JhengHei"/>
          <w:b/>
          <w:spacing w:val="-2"/>
          <w:sz w:val="21"/>
        </w:rPr>
        <w:t>些</w:t>
      </w:r>
      <w:r>
        <w:rPr>
          <w:rFonts w:ascii="Microsoft JhengHei" w:eastAsia="Microsoft JhengHei"/>
          <w:b/>
          <w:spacing w:val="-2"/>
          <w:sz w:val="21"/>
        </w:rPr>
        <w:t>重</w:t>
      </w:r>
      <w:r>
        <w:rPr>
          <w:rFonts w:ascii="Microsoft JhengHei" w:eastAsia="Microsoft JhengHei"/>
          <w:b/>
          <w:spacing w:val="-2"/>
          <w:sz w:val="21"/>
        </w:rPr>
        <w:t>要</w:t>
      </w:r>
      <w:r>
        <w:rPr>
          <w:rFonts w:ascii="Microsoft JhengHei" w:eastAsia="Microsoft JhengHei"/>
          <w:b/>
          <w:spacing w:val="-2"/>
          <w:sz w:val="21"/>
        </w:rPr>
        <w:t>术</w:t>
      </w:r>
      <w:r>
        <w:rPr>
          <w:rFonts w:ascii="Microsoft JhengHei" w:eastAsia="Microsoft JhengHei"/>
          <w:b/>
          <w:spacing w:val="-2"/>
          <w:sz w:val="21"/>
        </w:rPr>
        <w:t>语</w:t>
      </w:r>
      <w:r>
        <w:rPr>
          <w:rFonts w:ascii="Microsoft JhengHei" w:eastAsia="Microsoft JhengHei"/>
          <w:b/>
          <w:spacing w:val="-2"/>
          <w:sz w:val="21"/>
        </w:rPr>
        <w:t>进</w:t>
      </w:r>
      <w:r>
        <w:rPr>
          <w:rFonts w:ascii="Microsoft JhengHei" w:eastAsia="Microsoft JhengHei"/>
          <w:b/>
          <w:spacing w:val="-2"/>
          <w:sz w:val="21"/>
        </w:rPr>
        <w:t>行</w:t>
      </w:r>
      <w:r>
        <w:rPr>
          <w:rFonts w:ascii="Microsoft JhengHei" w:eastAsia="Microsoft JhengHei"/>
          <w:b/>
          <w:spacing w:val="-2"/>
          <w:sz w:val="21"/>
        </w:rPr>
        <w:t>了</w:t>
      </w:r>
      <w:r>
        <w:rPr>
          <w:rFonts w:ascii="Microsoft JhengHei" w:eastAsia="Microsoft JhengHei"/>
          <w:b/>
          <w:spacing w:val="-2"/>
          <w:sz w:val="21"/>
        </w:rPr>
        <w:t>解</w:t>
      </w:r>
      <w:r>
        <w:rPr>
          <w:rFonts w:ascii="Microsoft JhengHei" w:eastAsia="Microsoft JhengHei"/>
          <w:b/>
          <w:spacing w:val="-2"/>
          <w:sz w:val="21"/>
        </w:rPr>
        <w:t>释</w:t>
      </w:r>
      <w:r>
        <w:rPr>
          <w:rFonts w:ascii="Microsoft JhengHei" w:eastAsia="Microsoft JhengHei"/>
          <w:b/>
          <w:spacing w:val="-2"/>
          <w:sz w:val="21"/>
        </w:rPr>
        <w:t>，</w:t>
      </w:r>
      <w:r>
        <w:rPr>
          <w:rFonts w:ascii="Microsoft JhengHei" w:eastAsia="Microsoft JhengHei"/>
          <w:b/>
          <w:spacing w:val="-2"/>
          <w:sz w:val="21"/>
        </w:rPr>
        <w:t>并</w:t>
      </w:r>
      <w:r>
        <w:rPr>
          <w:rFonts w:ascii="Microsoft JhengHei" w:eastAsia="Microsoft JhengHei"/>
          <w:b/>
          <w:spacing w:val="-2"/>
          <w:sz w:val="21"/>
        </w:rPr>
        <w:t>作</w:t>
      </w:r>
      <w:r>
        <w:rPr>
          <w:rFonts w:ascii="Microsoft JhengHei" w:eastAsia="Microsoft JhengHei"/>
          <w:b/>
          <w:spacing w:val="-2"/>
          <w:sz w:val="21"/>
        </w:rPr>
        <w:t>了</w:t>
      </w:r>
      <w:r>
        <w:rPr>
          <w:rFonts w:ascii="Microsoft JhengHei" w:eastAsia="Microsoft JhengHei"/>
          <w:b/>
          <w:spacing w:val="-2"/>
          <w:sz w:val="21"/>
        </w:rPr>
        <w:t>显</w:t>
      </w:r>
      <w:r>
        <w:rPr>
          <w:rFonts w:ascii="Microsoft JhengHei" w:eastAsia="Microsoft JhengHei"/>
          <w:b/>
          <w:spacing w:val="-2"/>
          <w:sz w:val="21"/>
        </w:rPr>
        <w:t>著</w:t>
      </w:r>
      <w:r>
        <w:rPr>
          <w:rFonts w:ascii="Microsoft JhengHei" w:eastAsia="Microsoft JhengHei"/>
          <w:b/>
          <w:spacing w:val="-2"/>
          <w:sz w:val="21"/>
        </w:rPr>
        <w:t>标</w:t>
      </w:r>
      <w:r>
        <w:rPr>
          <w:rFonts w:ascii="Microsoft JhengHei" w:eastAsia="Microsoft JhengHei"/>
          <w:b/>
          <w:spacing w:val="-2"/>
          <w:sz w:val="21"/>
        </w:rPr>
        <w:t>识</w:t>
      </w:r>
      <w:r>
        <w:rPr>
          <w:rFonts w:ascii="Microsoft JhengHei" w:eastAsia="Microsoft JhengHei"/>
          <w:b/>
          <w:spacing w:val="-2"/>
          <w:sz w:val="21"/>
        </w:rPr>
        <w:t>，</w:t>
      </w:r>
      <w:r>
        <w:rPr>
          <w:rFonts w:ascii="Microsoft JhengHei" w:eastAsia="Microsoft JhengHei"/>
          <w:b/>
          <w:spacing w:val="-2"/>
          <w:sz w:val="21"/>
        </w:rPr>
        <w:t>请</w:t>
      </w:r>
      <w:r>
        <w:rPr>
          <w:rFonts w:ascii="Microsoft JhengHei" w:eastAsia="Microsoft JhengHei"/>
          <w:b/>
          <w:spacing w:val="-2"/>
          <w:sz w:val="21"/>
        </w:rPr>
        <w:t>您</w:t>
      </w:r>
      <w:r>
        <w:rPr>
          <w:rFonts w:ascii="Microsoft JhengHei" w:eastAsia="Microsoft JhengHei"/>
          <w:b/>
          <w:spacing w:val="-2"/>
          <w:sz w:val="21"/>
        </w:rPr>
        <w:t>注</w:t>
      </w:r>
      <w:r>
        <w:rPr>
          <w:rFonts w:ascii="Microsoft JhengHei" w:eastAsia="Microsoft JhengHei"/>
          <w:b/>
          <w:spacing w:val="-10"/>
          <w:sz w:val="21"/>
        </w:rPr>
        <w:t>意</w:t>
      </w:r>
      <w:r>
        <w:rPr>
          <w:rFonts w:ascii="Times New Roman" w:eastAsia="Times New Roman"/>
          <w:sz w:val="21"/>
        </w:rPr>
        <w:tab/>
      </w:r>
      <w:r>
        <w:rPr>
          <w:rFonts w:ascii="Microsoft JhengHei" w:eastAsia="Microsoft JhengHei"/>
          <w:b/>
          <w:w w:val="90"/>
          <w:sz w:val="21"/>
        </w:rPr>
        <w:t>9、10、11、12、</w:t>
      </w:r>
      <w:r>
        <w:rPr>
          <w:rFonts w:ascii="Microsoft JhengHei" w:eastAsia="Microsoft JhengHei"/>
          <w:b/>
          <w:spacing w:val="-5"/>
          <w:w w:val="90"/>
          <w:sz w:val="21"/>
        </w:rPr>
        <w:t>13</w:t>
      </w:r>
    </w:p>
    <w:p>
      <w:pPr>
        <w:pStyle w:val="ListParagraph"/>
        <w:numPr>
          <w:ilvl w:val="0"/>
          <w:numId w:val="1"/>
        </w:numPr>
        <w:tabs>
          <w:tab w:pos="541" w:val="left" w:leader="none"/>
          <w:tab w:pos="543" w:val="left" w:leader="none"/>
        </w:tabs>
        <w:spacing w:line="324" w:lineRule="exact" w:before="0" w:after="0"/>
        <w:ind w:left="542" w:right="0" w:hanging="424"/>
        <w:jc w:val="left"/>
        <w:rPr>
          <w:rFonts w:ascii="Microsoft JhengHei" w:hAnsi="Microsoft JhengHei" w:eastAsia="Microsoft JhengHei"/>
          <w:b/>
          <w:sz w:val="21"/>
        </w:rPr>
      </w:pPr>
      <w:r>
        <w:rPr>
          <w:rFonts w:ascii="Microsoft JhengHei" w:hAnsi="Microsoft JhengHei" w:eastAsia="Microsoft JhengHei"/>
          <w:b/>
          <w:spacing w:val="-3"/>
          <w:sz w:val="21"/>
        </w:rPr>
        <w:t>条款是保险合同的重要内容，为充分保障您的权益，请仔细阅读本条款。</w:t>
      </w:r>
    </w:p>
    <w:p>
      <w:pPr>
        <w:pStyle w:val="ListParagraph"/>
        <w:numPr>
          <w:ilvl w:val="0"/>
          <w:numId w:val="1"/>
        </w:numPr>
        <w:tabs>
          <w:tab w:pos="541" w:val="left" w:leader="none"/>
          <w:tab w:pos="543" w:val="left" w:leader="none"/>
        </w:tabs>
        <w:spacing w:line="361" w:lineRule="exact" w:before="0" w:after="0"/>
        <w:ind w:left="542" w:right="0" w:hanging="424"/>
        <w:jc w:val="left"/>
        <w:rPr>
          <w:rFonts w:ascii="Microsoft JhengHei" w:hAnsi="Microsoft JhengHei" w:eastAsia="Microsoft JhengHei"/>
          <w:b/>
          <w:sz w:val="21"/>
        </w:rPr>
      </w:pPr>
      <w:r>
        <w:rPr>
          <w:rFonts w:ascii="Microsoft JhengHei" w:hAnsi="Microsoft JhengHei" w:eastAsia="Microsoft JhengHei"/>
          <w:b/>
          <w:spacing w:val="-3"/>
          <w:sz w:val="21"/>
        </w:rPr>
        <w:t>条款目录</w:t>
      </w:r>
    </w:p>
    <w:p>
      <w:pPr>
        <w:spacing w:after="0" w:line="361" w:lineRule="exact"/>
        <w:jc w:val="left"/>
        <w:rPr>
          <w:rFonts w:ascii="Microsoft JhengHei" w:hAnsi="Microsoft JhengHei" w:eastAsia="Microsoft JhengHei"/>
          <w:sz w:val="21"/>
        </w:rPr>
        <w:sectPr>
          <w:type w:val="continuous"/>
          <w:pgSz w:w="11910" w:h="16840"/>
          <w:pgMar w:header="0" w:footer="226" w:top="240" w:bottom="420" w:left="980" w:right="400"/>
        </w:sectPr>
      </w:pPr>
    </w:p>
    <w:p>
      <w:pPr>
        <w:pStyle w:val="ListParagraph"/>
        <w:numPr>
          <w:ilvl w:val="1"/>
          <w:numId w:val="1"/>
        </w:numPr>
        <w:tabs>
          <w:tab w:pos="567" w:val="left" w:leader="none"/>
        </w:tabs>
        <w:spacing w:line="303" w:lineRule="exact" w:before="0" w:after="0"/>
        <w:ind w:left="566" w:right="0" w:hanging="318"/>
        <w:jc w:val="left"/>
        <w:rPr>
          <w:rFonts w:ascii="Microsoft JhengHei" w:eastAsia="Microsoft JhengHei"/>
          <w:b/>
          <w:sz w:val="21"/>
        </w:rPr>
      </w:pPr>
      <w:r>
        <w:rPr>
          <w:rFonts w:ascii="Microsoft JhengHei" w:eastAsia="Microsoft JhengHei"/>
          <w:b/>
          <w:spacing w:val="-2"/>
          <w:sz w:val="21"/>
        </w:rPr>
        <w:t>您与我们订立的合同</w:t>
      </w:r>
    </w:p>
    <w:p>
      <w:pPr>
        <w:spacing w:line="303" w:lineRule="exact" w:before="0"/>
        <w:ind w:left="249" w:right="0" w:firstLine="0"/>
        <w:jc w:val="left"/>
        <w:rPr>
          <w:rFonts w:ascii="Microsoft JhengHei" w:eastAsia="Microsoft JhengHei"/>
          <w:b/>
          <w:sz w:val="21"/>
        </w:rPr>
      </w:pPr>
      <w:r>
        <w:rPr/>
        <w:br w:type="column"/>
      </w:r>
      <w:r>
        <w:rPr>
          <w:rFonts w:ascii="Microsoft JhengHei" w:eastAsia="Microsoft JhengHei"/>
          <w:b/>
          <w:sz w:val="21"/>
        </w:rPr>
        <w:t>4.</w:t>
      </w:r>
      <w:r>
        <w:rPr>
          <w:rFonts w:ascii="Microsoft JhengHei" w:eastAsia="Microsoft JhengHei"/>
          <w:b/>
          <w:spacing w:val="58"/>
          <w:w w:val="150"/>
          <w:sz w:val="21"/>
        </w:rPr>
        <w:t> </w:t>
      </w:r>
      <w:r>
        <w:rPr>
          <w:rFonts w:ascii="Microsoft JhengHei" w:eastAsia="Microsoft JhengHei"/>
          <w:b/>
          <w:spacing w:val="-2"/>
          <w:sz w:val="21"/>
        </w:rPr>
        <w:t>保险费的交纳</w:t>
      </w:r>
    </w:p>
    <w:p>
      <w:pPr>
        <w:pStyle w:val="ListParagraph"/>
        <w:numPr>
          <w:ilvl w:val="0"/>
          <w:numId w:val="2"/>
        </w:numPr>
        <w:tabs>
          <w:tab w:pos="567" w:val="left" w:leader="none"/>
        </w:tabs>
        <w:spacing w:line="303" w:lineRule="exact" w:before="0" w:after="0"/>
        <w:ind w:left="566" w:right="0" w:hanging="318"/>
        <w:jc w:val="left"/>
        <w:rPr>
          <w:rFonts w:ascii="Microsoft JhengHei" w:eastAsia="Microsoft JhengHei"/>
          <w:b/>
          <w:sz w:val="21"/>
        </w:rPr>
      </w:pPr>
      <w:r>
        <w:rPr>
          <w:rFonts w:ascii="Microsoft JhengHei" w:eastAsia="Microsoft JhengHei"/>
          <w:b/>
          <w:sz w:val="21"/>
        </w:rPr>
        <w:br w:type="column"/>
      </w:r>
      <w:r>
        <w:rPr>
          <w:rFonts w:ascii="Microsoft JhengHei" w:eastAsia="Microsoft JhengHei"/>
          <w:b/>
          <w:spacing w:val="-2"/>
          <w:sz w:val="21"/>
        </w:rPr>
        <w:t>重度疾病定义</w:t>
      </w:r>
    </w:p>
    <w:p>
      <w:pPr>
        <w:spacing w:after="0" w:line="303" w:lineRule="exact"/>
        <w:jc w:val="left"/>
        <w:rPr>
          <w:rFonts w:ascii="Microsoft JhengHei" w:eastAsia="Microsoft JhengHei"/>
          <w:sz w:val="21"/>
        </w:rPr>
        <w:sectPr>
          <w:type w:val="continuous"/>
          <w:pgSz w:w="11910" w:h="16840"/>
          <w:pgMar w:header="0" w:footer="226" w:top="240" w:bottom="420" w:left="980" w:right="400"/>
          <w:cols w:num="3" w:equalWidth="0">
            <w:col w:w="2507" w:space="782"/>
            <w:col w:w="1874" w:space="1531"/>
            <w:col w:w="3836"/>
          </w:cols>
        </w:sectPr>
      </w:pPr>
    </w:p>
    <w:tbl>
      <w:tblPr>
        <w:tblW w:w="0" w:type="auto"/>
        <w:jc w:val="left"/>
        <w:tblInd w:w="2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14"/>
        <w:gridCol w:w="423"/>
        <w:gridCol w:w="2485"/>
        <w:gridCol w:w="382"/>
        <w:gridCol w:w="528"/>
        <w:gridCol w:w="2489"/>
        <w:gridCol w:w="492"/>
        <w:gridCol w:w="1787"/>
      </w:tblGrid>
      <w:tr>
        <w:trPr>
          <w:trHeight w:val="254" w:hRule="atLeast"/>
        </w:trPr>
        <w:tc>
          <w:tcPr>
            <w:tcW w:w="737" w:type="dxa"/>
            <w:gridSpan w:val="2"/>
          </w:tcPr>
          <w:p>
            <w:pPr>
              <w:pStyle w:val="TableParagraph"/>
              <w:spacing w:line="234" w:lineRule="exact"/>
              <w:ind w:left="366"/>
              <w:rPr>
                <w:sz w:val="21"/>
              </w:rPr>
            </w:pPr>
            <w:r>
              <w:rPr>
                <w:spacing w:val="-5"/>
                <w:sz w:val="21"/>
              </w:rPr>
              <w:t>1.1</w:t>
            </w:r>
          </w:p>
        </w:tc>
        <w:tc>
          <w:tcPr>
            <w:tcW w:w="2485" w:type="dxa"/>
          </w:tcPr>
          <w:p>
            <w:pPr>
              <w:pStyle w:val="TableParagraph"/>
              <w:spacing w:line="234" w:lineRule="exact"/>
              <w:ind w:left="52"/>
              <w:rPr>
                <w:sz w:val="21"/>
              </w:rPr>
            </w:pPr>
            <w:r>
              <w:rPr>
                <w:spacing w:val="-4"/>
                <w:sz w:val="21"/>
              </w:rPr>
              <w:t>合同构成</w:t>
            </w:r>
          </w:p>
        </w:tc>
        <w:tc>
          <w:tcPr>
            <w:tcW w:w="382" w:type="dxa"/>
          </w:tcPr>
          <w:p>
            <w:pPr>
              <w:pStyle w:val="TableParagraph"/>
              <w:rPr>
                <w:rFonts w:ascii="Times New Roman"/>
                <w:sz w:val="18"/>
              </w:rPr>
            </w:pPr>
          </w:p>
        </w:tc>
        <w:tc>
          <w:tcPr>
            <w:tcW w:w="3017" w:type="dxa"/>
            <w:gridSpan w:val="2"/>
          </w:tcPr>
          <w:p>
            <w:pPr>
              <w:pStyle w:val="TableParagraph"/>
              <w:spacing w:line="234" w:lineRule="exact"/>
              <w:ind w:left="52"/>
              <w:rPr>
                <w:sz w:val="21"/>
              </w:rPr>
            </w:pPr>
            <w:r>
              <w:rPr>
                <w:sz w:val="21"/>
              </w:rPr>
              <w:t>4.1</w:t>
            </w:r>
            <w:r>
              <w:rPr>
                <w:spacing w:val="-4"/>
                <w:sz w:val="21"/>
              </w:rPr>
              <w:t> 保险费的交纳</w:t>
            </w:r>
          </w:p>
        </w:tc>
        <w:tc>
          <w:tcPr>
            <w:tcW w:w="492" w:type="dxa"/>
          </w:tcPr>
          <w:p>
            <w:pPr>
              <w:pStyle w:val="TableParagraph"/>
              <w:rPr>
                <w:rFonts w:ascii="Times New Roman"/>
                <w:sz w:val="18"/>
              </w:rPr>
            </w:pPr>
          </w:p>
        </w:tc>
        <w:tc>
          <w:tcPr>
            <w:tcW w:w="1787" w:type="dxa"/>
          </w:tcPr>
          <w:p>
            <w:pPr>
              <w:pStyle w:val="TableParagraph"/>
              <w:spacing w:line="234" w:lineRule="exact"/>
              <w:ind w:left="53"/>
              <w:rPr>
                <w:sz w:val="21"/>
              </w:rPr>
            </w:pPr>
            <w:r>
              <w:rPr>
                <w:sz w:val="21"/>
              </w:rPr>
              <w:t>9.1</w:t>
            </w:r>
            <w:r>
              <w:rPr>
                <w:spacing w:val="-4"/>
                <w:sz w:val="21"/>
              </w:rPr>
              <w:t> 重度疾病</w:t>
            </w:r>
          </w:p>
        </w:tc>
      </w:tr>
      <w:tr>
        <w:trPr>
          <w:trHeight w:val="300" w:hRule="atLeast"/>
        </w:trPr>
        <w:tc>
          <w:tcPr>
            <w:tcW w:w="737" w:type="dxa"/>
            <w:gridSpan w:val="2"/>
          </w:tcPr>
          <w:p>
            <w:pPr>
              <w:pStyle w:val="TableParagraph"/>
              <w:spacing w:line="265" w:lineRule="exact" w:before="14"/>
              <w:ind w:left="366"/>
              <w:rPr>
                <w:sz w:val="21"/>
              </w:rPr>
            </w:pPr>
            <w:r>
              <w:rPr>
                <w:spacing w:val="-5"/>
                <w:sz w:val="21"/>
              </w:rPr>
              <w:t>1.2</w:t>
            </w:r>
          </w:p>
        </w:tc>
        <w:tc>
          <w:tcPr>
            <w:tcW w:w="2485" w:type="dxa"/>
          </w:tcPr>
          <w:p>
            <w:pPr>
              <w:pStyle w:val="TableParagraph"/>
              <w:spacing w:line="265" w:lineRule="exact" w:before="14"/>
              <w:ind w:left="52"/>
              <w:rPr>
                <w:sz w:val="21"/>
              </w:rPr>
            </w:pPr>
            <w:r>
              <w:rPr>
                <w:spacing w:val="-4"/>
                <w:sz w:val="21"/>
              </w:rPr>
              <w:t>合同成立及生效</w:t>
            </w:r>
          </w:p>
        </w:tc>
        <w:tc>
          <w:tcPr>
            <w:tcW w:w="382" w:type="dxa"/>
          </w:tcPr>
          <w:p>
            <w:pPr>
              <w:pStyle w:val="TableParagraph"/>
              <w:rPr>
                <w:rFonts w:ascii="Times New Roman"/>
                <w:sz w:val="20"/>
              </w:rPr>
            </w:pPr>
          </w:p>
        </w:tc>
        <w:tc>
          <w:tcPr>
            <w:tcW w:w="3017" w:type="dxa"/>
            <w:gridSpan w:val="2"/>
          </w:tcPr>
          <w:p>
            <w:pPr>
              <w:pStyle w:val="TableParagraph"/>
              <w:spacing w:line="265" w:lineRule="exact" w:before="14"/>
              <w:ind w:left="52"/>
              <w:rPr>
                <w:sz w:val="21"/>
              </w:rPr>
            </w:pPr>
            <w:r>
              <w:rPr>
                <w:sz w:val="21"/>
              </w:rPr>
              <w:t>4.2</w:t>
            </w:r>
            <w:r>
              <w:rPr>
                <w:spacing w:val="-3"/>
                <w:sz w:val="21"/>
              </w:rPr>
              <w:t> 宽限期</w:t>
            </w:r>
          </w:p>
        </w:tc>
        <w:tc>
          <w:tcPr>
            <w:tcW w:w="492" w:type="dxa"/>
          </w:tcPr>
          <w:p>
            <w:pPr>
              <w:pStyle w:val="TableParagraph"/>
              <w:rPr>
                <w:rFonts w:ascii="Times New Roman"/>
                <w:sz w:val="20"/>
              </w:rPr>
            </w:pPr>
          </w:p>
        </w:tc>
        <w:tc>
          <w:tcPr>
            <w:tcW w:w="1787" w:type="dxa"/>
          </w:tcPr>
          <w:p>
            <w:pPr>
              <w:pStyle w:val="TableParagraph"/>
              <w:spacing w:line="265" w:lineRule="exact" w:before="14"/>
              <w:ind w:left="53"/>
              <w:rPr>
                <w:sz w:val="21"/>
              </w:rPr>
            </w:pPr>
            <w:r>
              <w:rPr>
                <w:sz w:val="21"/>
              </w:rPr>
              <w:t>9.2</w:t>
            </w:r>
            <w:r>
              <w:rPr>
                <w:spacing w:val="-4"/>
                <w:sz w:val="21"/>
              </w:rPr>
              <w:t> 重度疾病分组</w:t>
            </w:r>
          </w:p>
        </w:tc>
      </w:tr>
      <w:tr>
        <w:trPr>
          <w:trHeight w:val="300" w:hRule="atLeast"/>
        </w:trPr>
        <w:tc>
          <w:tcPr>
            <w:tcW w:w="737" w:type="dxa"/>
            <w:gridSpan w:val="2"/>
          </w:tcPr>
          <w:p>
            <w:pPr>
              <w:pStyle w:val="TableParagraph"/>
              <w:spacing w:line="263" w:lineRule="exact" w:before="17"/>
              <w:ind w:left="366"/>
              <w:rPr>
                <w:sz w:val="21"/>
              </w:rPr>
            </w:pPr>
            <w:r>
              <w:rPr>
                <w:spacing w:val="-5"/>
                <w:sz w:val="21"/>
              </w:rPr>
              <w:t>1.3</w:t>
            </w:r>
          </w:p>
        </w:tc>
        <w:tc>
          <w:tcPr>
            <w:tcW w:w="2485" w:type="dxa"/>
          </w:tcPr>
          <w:p>
            <w:pPr>
              <w:pStyle w:val="TableParagraph"/>
              <w:spacing w:line="263" w:lineRule="exact" w:before="17"/>
              <w:ind w:left="52"/>
              <w:rPr>
                <w:sz w:val="21"/>
              </w:rPr>
            </w:pPr>
            <w:r>
              <w:rPr>
                <w:spacing w:val="-4"/>
                <w:sz w:val="21"/>
              </w:rPr>
              <w:t>投保年龄</w:t>
            </w:r>
          </w:p>
        </w:tc>
        <w:tc>
          <w:tcPr>
            <w:tcW w:w="382" w:type="dxa"/>
          </w:tcPr>
          <w:p>
            <w:pPr>
              <w:pStyle w:val="TableParagraph"/>
              <w:spacing w:line="280" w:lineRule="exact"/>
              <w:ind w:left="100" w:right="36"/>
              <w:jc w:val="center"/>
              <w:rPr>
                <w:rFonts w:ascii="Microsoft JhengHei"/>
                <w:b/>
                <w:sz w:val="21"/>
              </w:rPr>
            </w:pPr>
            <w:r>
              <w:rPr>
                <w:rFonts w:ascii="Microsoft JhengHei"/>
                <w:b/>
                <w:spacing w:val="-5"/>
                <w:w w:val="120"/>
                <w:sz w:val="21"/>
              </w:rPr>
              <w:t>5.</w:t>
            </w:r>
          </w:p>
        </w:tc>
        <w:tc>
          <w:tcPr>
            <w:tcW w:w="3017" w:type="dxa"/>
            <w:gridSpan w:val="2"/>
          </w:tcPr>
          <w:p>
            <w:pPr>
              <w:pStyle w:val="TableParagraph"/>
              <w:spacing w:line="280" w:lineRule="exact"/>
              <w:ind w:left="52"/>
              <w:rPr>
                <w:rFonts w:ascii="Microsoft JhengHei" w:eastAsia="Microsoft JhengHei"/>
                <w:b/>
                <w:sz w:val="21"/>
              </w:rPr>
            </w:pPr>
            <w:r>
              <w:rPr>
                <w:rFonts w:ascii="Microsoft JhengHei" w:eastAsia="Microsoft JhengHei"/>
                <w:b/>
                <w:spacing w:val="-2"/>
                <w:sz w:val="21"/>
              </w:rPr>
              <w:t>现金价值权益</w:t>
            </w:r>
          </w:p>
        </w:tc>
        <w:tc>
          <w:tcPr>
            <w:tcW w:w="492" w:type="dxa"/>
          </w:tcPr>
          <w:p>
            <w:pPr>
              <w:pStyle w:val="TableParagraph"/>
              <w:spacing w:line="280" w:lineRule="exact"/>
              <w:ind w:left="109" w:right="38"/>
              <w:jc w:val="center"/>
              <w:rPr>
                <w:rFonts w:ascii="Microsoft JhengHei"/>
                <w:b/>
                <w:sz w:val="21"/>
              </w:rPr>
            </w:pPr>
            <w:r>
              <w:rPr>
                <w:rFonts w:ascii="Microsoft JhengHei"/>
                <w:b/>
                <w:spacing w:val="-5"/>
                <w:w w:val="105"/>
                <w:sz w:val="21"/>
              </w:rPr>
              <w:t>10.</w:t>
            </w:r>
          </w:p>
        </w:tc>
        <w:tc>
          <w:tcPr>
            <w:tcW w:w="1787" w:type="dxa"/>
          </w:tcPr>
          <w:p>
            <w:pPr>
              <w:pStyle w:val="TableParagraph"/>
              <w:spacing w:line="280" w:lineRule="exact"/>
              <w:ind w:left="53"/>
              <w:rPr>
                <w:rFonts w:ascii="Microsoft JhengHei" w:eastAsia="Microsoft JhengHei"/>
                <w:b/>
                <w:sz w:val="21"/>
              </w:rPr>
            </w:pPr>
            <w:r>
              <w:rPr>
                <w:rFonts w:ascii="Microsoft JhengHei" w:eastAsia="Microsoft JhengHei"/>
                <w:b/>
                <w:spacing w:val="-2"/>
                <w:sz w:val="21"/>
              </w:rPr>
              <w:t>中度疾病定义</w:t>
            </w:r>
          </w:p>
        </w:tc>
      </w:tr>
      <w:tr>
        <w:trPr>
          <w:trHeight w:val="254" w:hRule="atLeast"/>
        </w:trPr>
        <w:tc>
          <w:tcPr>
            <w:tcW w:w="737" w:type="dxa"/>
            <w:gridSpan w:val="2"/>
          </w:tcPr>
          <w:p>
            <w:pPr>
              <w:pStyle w:val="TableParagraph"/>
              <w:spacing w:line="220" w:lineRule="exact" w:before="14"/>
              <w:ind w:left="366"/>
              <w:rPr>
                <w:sz w:val="21"/>
              </w:rPr>
            </w:pPr>
            <w:r>
              <w:rPr>
                <w:spacing w:val="-5"/>
                <w:sz w:val="21"/>
              </w:rPr>
              <w:t>1.4</w:t>
            </w:r>
          </w:p>
        </w:tc>
        <w:tc>
          <w:tcPr>
            <w:tcW w:w="2485" w:type="dxa"/>
          </w:tcPr>
          <w:p>
            <w:pPr>
              <w:pStyle w:val="TableParagraph"/>
              <w:spacing w:line="220" w:lineRule="exact" w:before="14"/>
              <w:ind w:left="52"/>
              <w:rPr>
                <w:sz w:val="21"/>
              </w:rPr>
            </w:pPr>
            <w:r>
              <w:rPr>
                <w:spacing w:val="-4"/>
                <w:sz w:val="21"/>
              </w:rPr>
              <w:t>犹豫期</w:t>
            </w:r>
          </w:p>
        </w:tc>
        <w:tc>
          <w:tcPr>
            <w:tcW w:w="382" w:type="dxa"/>
          </w:tcPr>
          <w:p>
            <w:pPr>
              <w:pStyle w:val="TableParagraph"/>
              <w:rPr>
                <w:rFonts w:ascii="Times New Roman"/>
                <w:sz w:val="18"/>
              </w:rPr>
            </w:pPr>
          </w:p>
        </w:tc>
        <w:tc>
          <w:tcPr>
            <w:tcW w:w="3017" w:type="dxa"/>
            <w:gridSpan w:val="2"/>
          </w:tcPr>
          <w:p>
            <w:pPr>
              <w:pStyle w:val="TableParagraph"/>
              <w:spacing w:line="220" w:lineRule="exact" w:before="14"/>
              <w:ind w:left="157"/>
              <w:rPr>
                <w:sz w:val="21"/>
              </w:rPr>
            </w:pPr>
            <w:r>
              <w:rPr>
                <w:sz w:val="21"/>
              </w:rPr>
              <w:t>5.1</w:t>
            </w:r>
            <w:r>
              <w:rPr>
                <w:spacing w:val="-4"/>
                <w:sz w:val="21"/>
              </w:rPr>
              <w:t> 现金价值</w:t>
            </w:r>
          </w:p>
        </w:tc>
        <w:tc>
          <w:tcPr>
            <w:tcW w:w="492" w:type="dxa"/>
          </w:tcPr>
          <w:p>
            <w:pPr>
              <w:pStyle w:val="TableParagraph"/>
              <w:rPr>
                <w:rFonts w:ascii="Times New Roman"/>
                <w:sz w:val="18"/>
              </w:rPr>
            </w:pPr>
          </w:p>
        </w:tc>
        <w:tc>
          <w:tcPr>
            <w:tcW w:w="1787" w:type="dxa"/>
          </w:tcPr>
          <w:p>
            <w:pPr>
              <w:pStyle w:val="TableParagraph"/>
              <w:spacing w:line="220" w:lineRule="exact" w:before="14"/>
              <w:ind w:left="53"/>
              <w:rPr>
                <w:sz w:val="21"/>
              </w:rPr>
            </w:pPr>
            <w:r>
              <w:rPr>
                <w:sz w:val="21"/>
              </w:rPr>
              <w:t>10.1</w:t>
            </w:r>
            <w:r>
              <w:rPr>
                <w:spacing w:val="-4"/>
                <w:sz w:val="21"/>
              </w:rPr>
              <w:t> 中度疾病</w:t>
            </w:r>
          </w:p>
        </w:tc>
      </w:tr>
      <w:tr>
        <w:trPr>
          <w:trHeight w:val="346" w:hRule="atLeast"/>
        </w:trPr>
        <w:tc>
          <w:tcPr>
            <w:tcW w:w="314" w:type="dxa"/>
          </w:tcPr>
          <w:p>
            <w:pPr>
              <w:pStyle w:val="TableParagraph"/>
              <w:spacing w:line="326" w:lineRule="exact"/>
              <w:ind w:left="50"/>
              <w:rPr>
                <w:rFonts w:ascii="Microsoft JhengHei"/>
                <w:b/>
                <w:sz w:val="21"/>
              </w:rPr>
            </w:pPr>
            <w:r>
              <w:rPr>
                <w:rFonts w:ascii="Microsoft JhengHei"/>
                <w:b/>
                <w:spacing w:val="-5"/>
                <w:w w:val="120"/>
                <w:sz w:val="21"/>
              </w:rPr>
              <w:t>2.</w:t>
            </w:r>
          </w:p>
        </w:tc>
        <w:tc>
          <w:tcPr>
            <w:tcW w:w="2908" w:type="dxa"/>
            <w:gridSpan w:val="2"/>
          </w:tcPr>
          <w:p>
            <w:pPr>
              <w:pStyle w:val="TableParagraph"/>
              <w:spacing w:line="326" w:lineRule="exact"/>
              <w:ind w:left="52"/>
              <w:rPr>
                <w:rFonts w:ascii="Microsoft JhengHei" w:eastAsia="Microsoft JhengHei"/>
                <w:b/>
                <w:sz w:val="21"/>
              </w:rPr>
            </w:pPr>
            <w:r>
              <w:rPr>
                <w:rFonts w:ascii="Microsoft JhengHei" w:eastAsia="Microsoft JhengHei"/>
                <w:b/>
                <w:spacing w:val="-2"/>
                <w:sz w:val="21"/>
              </w:rPr>
              <w:t>我们提供的保障</w:t>
            </w:r>
          </w:p>
        </w:tc>
        <w:tc>
          <w:tcPr>
            <w:tcW w:w="382" w:type="dxa"/>
          </w:tcPr>
          <w:p>
            <w:pPr>
              <w:pStyle w:val="TableParagraph"/>
              <w:rPr>
                <w:rFonts w:ascii="Times New Roman"/>
                <w:sz w:val="20"/>
              </w:rPr>
            </w:pPr>
          </w:p>
        </w:tc>
        <w:tc>
          <w:tcPr>
            <w:tcW w:w="3017" w:type="dxa"/>
            <w:gridSpan w:val="2"/>
          </w:tcPr>
          <w:p>
            <w:pPr>
              <w:pStyle w:val="TableParagraph"/>
              <w:spacing w:line="263" w:lineRule="exact" w:before="63"/>
              <w:ind w:left="157"/>
              <w:rPr>
                <w:sz w:val="21"/>
              </w:rPr>
            </w:pPr>
            <w:r>
              <w:rPr>
                <w:sz w:val="21"/>
              </w:rPr>
              <w:t>5.2</w:t>
            </w:r>
            <w:r>
              <w:rPr>
                <w:spacing w:val="-4"/>
                <w:sz w:val="21"/>
              </w:rPr>
              <w:t> 减保</w:t>
            </w:r>
          </w:p>
        </w:tc>
        <w:tc>
          <w:tcPr>
            <w:tcW w:w="492" w:type="dxa"/>
          </w:tcPr>
          <w:p>
            <w:pPr>
              <w:pStyle w:val="TableParagraph"/>
              <w:spacing w:line="326" w:lineRule="exact"/>
              <w:ind w:left="109" w:right="38"/>
              <w:jc w:val="center"/>
              <w:rPr>
                <w:rFonts w:ascii="Microsoft JhengHei"/>
                <w:b/>
                <w:sz w:val="21"/>
              </w:rPr>
            </w:pPr>
            <w:r>
              <w:rPr>
                <w:rFonts w:ascii="Microsoft JhengHei"/>
                <w:b/>
                <w:spacing w:val="-5"/>
                <w:w w:val="82"/>
                <w:sz w:val="21"/>
              </w:rPr>
              <w:t>11</w:t>
            </w:r>
            <w:r>
              <w:rPr>
                <w:rFonts w:ascii="Microsoft JhengHei"/>
                <w:b/>
                <w:spacing w:val="-5"/>
                <w:w w:val="195"/>
                <w:sz w:val="21"/>
              </w:rPr>
              <w:t>.</w:t>
            </w:r>
          </w:p>
        </w:tc>
        <w:tc>
          <w:tcPr>
            <w:tcW w:w="1787" w:type="dxa"/>
          </w:tcPr>
          <w:p>
            <w:pPr>
              <w:pStyle w:val="TableParagraph"/>
              <w:spacing w:line="326" w:lineRule="exact"/>
              <w:ind w:left="53"/>
              <w:rPr>
                <w:rFonts w:ascii="Microsoft JhengHei" w:eastAsia="Microsoft JhengHei"/>
                <w:b/>
                <w:sz w:val="21"/>
              </w:rPr>
            </w:pPr>
            <w:r>
              <w:rPr>
                <w:rFonts w:ascii="Microsoft JhengHei" w:eastAsia="Microsoft JhengHei"/>
                <w:b/>
                <w:spacing w:val="-2"/>
                <w:sz w:val="21"/>
              </w:rPr>
              <w:t>轻度疾病定义</w:t>
            </w:r>
          </w:p>
        </w:tc>
      </w:tr>
      <w:tr>
        <w:trPr>
          <w:trHeight w:val="300" w:hRule="atLeast"/>
        </w:trPr>
        <w:tc>
          <w:tcPr>
            <w:tcW w:w="314" w:type="dxa"/>
          </w:tcPr>
          <w:p>
            <w:pPr>
              <w:pStyle w:val="TableParagraph"/>
              <w:rPr>
                <w:rFonts w:ascii="Times New Roman"/>
                <w:sz w:val="20"/>
              </w:rPr>
            </w:pPr>
          </w:p>
        </w:tc>
        <w:tc>
          <w:tcPr>
            <w:tcW w:w="2908" w:type="dxa"/>
            <w:gridSpan w:val="2"/>
          </w:tcPr>
          <w:p>
            <w:pPr>
              <w:pStyle w:val="TableParagraph"/>
              <w:spacing w:line="265" w:lineRule="exact" w:before="14"/>
              <w:ind w:left="52"/>
              <w:rPr>
                <w:sz w:val="21"/>
              </w:rPr>
            </w:pPr>
            <w:r>
              <w:rPr>
                <w:sz w:val="21"/>
              </w:rPr>
              <w:t>2.1</w:t>
            </w:r>
            <w:r>
              <w:rPr>
                <w:spacing w:val="-4"/>
                <w:sz w:val="21"/>
              </w:rPr>
              <w:t> 基本保险金额</w:t>
            </w:r>
          </w:p>
        </w:tc>
        <w:tc>
          <w:tcPr>
            <w:tcW w:w="382" w:type="dxa"/>
          </w:tcPr>
          <w:p>
            <w:pPr>
              <w:pStyle w:val="TableParagraph"/>
              <w:rPr>
                <w:rFonts w:ascii="Times New Roman"/>
                <w:sz w:val="20"/>
              </w:rPr>
            </w:pPr>
          </w:p>
        </w:tc>
        <w:tc>
          <w:tcPr>
            <w:tcW w:w="3017" w:type="dxa"/>
            <w:gridSpan w:val="2"/>
          </w:tcPr>
          <w:p>
            <w:pPr>
              <w:pStyle w:val="TableParagraph"/>
              <w:spacing w:line="265" w:lineRule="exact" w:before="14"/>
              <w:ind w:left="157"/>
              <w:rPr>
                <w:sz w:val="21"/>
              </w:rPr>
            </w:pPr>
            <w:r>
              <w:rPr>
                <w:sz w:val="21"/>
              </w:rPr>
              <w:t>5.3</w:t>
            </w:r>
            <w:r>
              <w:rPr>
                <w:spacing w:val="-4"/>
                <w:sz w:val="21"/>
              </w:rPr>
              <w:t> 保单贷款</w:t>
            </w:r>
          </w:p>
        </w:tc>
        <w:tc>
          <w:tcPr>
            <w:tcW w:w="492" w:type="dxa"/>
          </w:tcPr>
          <w:p>
            <w:pPr>
              <w:pStyle w:val="TableParagraph"/>
              <w:rPr>
                <w:rFonts w:ascii="Times New Roman"/>
                <w:sz w:val="20"/>
              </w:rPr>
            </w:pPr>
          </w:p>
        </w:tc>
        <w:tc>
          <w:tcPr>
            <w:tcW w:w="1787" w:type="dxa"/>
          </w:tcPr>
          <w:p>
            <w:pPr>
              <w:pStyle w:val="TableParagraph"/>
              <w:spacing w:line="265" w:lineRule="exact" w:before="14"/>
              <w:ind w:left="53"/>
              <w:rPr>
                <w:sz w:val="21"/>
              </w:rPr>
            </w:pPr>
            <w:r>
              <w:rPr>
                <w:sz w:val="21"/>
              </w:rPr>
              <w:t>11.1</w:t>
            </w:r>
            <w:r>
              <w:rPr>
                <w:spacing w:val="-4"/>
                <w:sz w:val="21"/>
              </w:rPr>
              <w:t> 轻度疾病</w:t>
            </w:r>
          </w:p>
        </w:tc>
      </w:tr>
      <w:tr>
        <w:trPr>
          <w:trHeight w:val="300" w:hRule="atLeast"/>
        </w:trPr>
        <w:tc>
          <w:tcPr>
            <w:tcW w:w="314" w:type="dxa"/>
          </w:tcPr>
          <w:p>
            <w:pPr>
              <w:pStyle w:val="TableParagraph"/>
              <w:rPr>
                <w:rFonts w:ascii="Times New Roman"/>
                <w:sz w:val="20"/>
              </w:rPr>
            </w:pPr>
          </w:p>
        </w:tc>
        <w:tc>
          <w:tcPr>
            <w:tcW w:w="2908" w:type="dxa"/>
            <w:gridSpan w:val="2"/>
          </w:tcPr>
          <w:p>
            <w:pPr>
              <w:pStyle w:val="TableParagraph"/>
              <w:spacing w:line="263" w:lineRule="exact" w:before="17"/>
              <w:ind w:left="52"/>
              <w:rPr>
                <w:sz w:val="21"/>
              </w:rPr>
            </w:pPr>
            <w:r>
              <w:rPr>
                <w:sz w:val="21"/>
              </w:rPr>
              <w:t>2.2</w:t>
            </w:r>
            <w:r>
              <w:rPr>
                <w:spacing w:val="-4"/>
                <w:sz w:val="21"/>
              </w:rPr>
              <w:t> 未成年人身故保险金额限</w:t>
            </w:r>
          </w:p>
        </w:tc>
        <w:tc>
          <w:tcPr>
            <w:tcW w:w="382" w:type="dxa"/>
          </w:tcPr>
          <w:p>
            <w:pPr>
              <w:pStyle w:val="TableParagraph"/>
              <w:spacing w:line="280" w:lineRule="exact"/>
              <w:ind w:left="100" w:right="36"/>
              <w:jc w:val="center"/>
              <w:rPr>
                <w:rFonts w:ascii="Microsoft JhengHei"/>
                <w:b/>
                <w:sz w:val="21"/>
              </w:rPr>
            </w:pPr>
            <w:r>
              <w:rPr>
                <w:rFonts w:ascii="Microsoft JhengHei"/>
                <w:b/>
                <w:spacing w:val="-5"/>
                <w:w w:val="120"/>
                <w:sz w:val="21"/>
              </w:rPr>
              <w:t>6.</w:t>
            </w:r>
          </w:p>
        </w:tc>
        <w:tc>
          <w:tcPr>
            <w:tcW w:w="3017" w:type="dxa"/>
            <w:gridSpan w:val="2"/>
          </w:tcPr>
          <w:p>
            <w:pPr>
              <w:pStyle w:val="TableParagraph"/>
              <w:spacing w:line="280" w:lineRule="exact"/>
              <w:ind w:left="52"/>
              <w:rPr>
                <w:rFonts w:ascii="Microsoft JhengHei" w:eastAsia="Microsoft JhengHei"/>
                <w:b/>
                <w:sz w:val="21"/>
              </w:rPr>
            </w:pPr>
            <w:r>
              <w:rPr>
                <w:rFonts w:ascii="Microsoft JhengHei" w:eastAsia="Microsoft JhengHei"/>
                <w:b/>
                <w:spacing w:val="-1"/>
                <w:sz w:val="21"/>
              </w:rPr>
              <w:t>合同效力的中止及恢复</w:t>
            </w:r>
          </w:p>
        </w:tc>
        <w:tc>
          <w:tcPr>
            <w:tcW w:w="492" w:type="dxa"/>
          </w:tcPr>
          <w:p>
            <w:pPr>
              <w:pStyle w:val="TableParagraph"/>
              <w:spacing w:line="280" w:lineRule="exact"/>
              <w:ind w:left="109" w:right="38"/>
              <w:jc w:val="center"/>
              <w:rPr>
                <w:rFonts w:ascii="Microsoft JhengHei"/>
                <w:b/>
                <w:sz w:val="21"/>
              </w:rPr>
            </w:pPr>
            <w:r>
              <w:rPr>
                <w:rFonts w:ascii="Microsoft JhengHei"/>
                <w:b/>
                <w:spacing w:val="-5"/>
                <w:w w:val="82"/>
                <w:sz w:val="21"/>
              </w:rPr>
              <w:t>12</w:t>
            </w:r>
            <w:r>
              <w:rPr>
                <w:rFonts w:ascii="Microsoft JhengHei"/>
                <w:b/>
                <w:spacing w:val="-5"/>
                <w:w w:val="195"/>
                <w:sz w:val="21"/>
              </w:rPr>
              <w:t>.</w:t>
            </w:r>
          </w:p>
        </w:tc>
        <w:tc>
          <w:tcPr>
            <w:tcW w:w="1787" w:type="dxa"/>
          </w:tcPr>
          <w:p>
            <w:pPr>
              <w:pStyle w:val="TableParagraph"/>
              <w:spacing w:line="280" w:lineRule="exact"/>
              <w:ind w:left="53"/>
              <w:rPr>
                <w:rFonts w:ascii="Microsoft JhengHei" w:eastAsia="Microsoft JhengHei"/>
                <w:b/>
                <w:sz w:val="21"/>
              </w:rPr>
            </w:pPr>
            <w:r>
              <w:rPr>
                <w:rFonts w:ascii="Microsoft JhengHei" w:eastAsia="Microsoft JhengHei"/>
                <w:b/>
                <w:spacing w:val="-2"/>
                <w:sz w:val="21"/>
              </w:rPr>
              <w:t>极重度疾病定义</w:t>
            </w:r>
          </w:p>
        </w:tc>
      </w:tr>
      <w:tr>
        <w:trPr>
          <w:trHeight w:val="300" w:hRule="atLeast"/>
        </w:trPr>
        <w:tc>
          <w:tcPr>
            <w:tcW w:w="314" w:type="dxa"/>
          </w:tcPr>
          <w:p>
            <w:pPr>
              <w:pStyle w:val="TableParagraph"/>
              <w:rPr>
                <w:rFonts w:ascii="Times New Roman"/>
                <w:sz w:val="20"/>
              </w:rPr>
            </w:pPr>
          </w:p>
        </w:tc>
        <w:tc>
          <w:tcPr>
            <w:tcW w:w="2908" w:type="dxa"/>
            <w:gridSpan w:val="2"/>
          </w:tcPr>
          <w:p>
            <w:pPr>
              <w:pStyle w:val="TableParagraph"/>
              <w:spacing w:line="265" w:lineRule="exact" w:before="14"/>
              <w:ind w:left="470"/>
              <w:rPr>
                <w:sz w:val="21"/>
              </w:rPr>
            </w:pPr>
            <w:r>
              <w:rPr>
                <w:w w:val="100"/>
                <w:sz w:val="21"/>
              </w:rPr>
              <w:t>制</w:t>
            </w:r>
          </w:p>
        </w:tc>
        <w:tc>
          <w:tcPr>
            <w:tcW w:w="382" w:type="dxa"/>
          </w:tcPr>
          <w:p>
            <w:pPr>
              <w:pStyle w:val="TableParagraph"/>
              <w:rPr>
                <w:rFonts w:ascii="Times New Roman"/>
                <w:sz w:val="20"/>
              </w:rPr>
            </w:pPr>
          </w:p>
        </w:tc>
        <w:tc>
          <w:tcPr>
            <w:tcW w:w="3017" w:type="dxa"/>
            <w:gridSpan w:val="2"/>
          </w:tcPr>
          <w:p>
            <w:pPr>
              <w:pStyle w:val="TableParagraph"/>
              <w:spacing w:line="265" w:lineRule="exact" w:before="14"/>
              <w:ind w:left="162"/>
              <w:rPr>
                <w:sz w:val="21"/>
              </w:rPr>
            </w:pPr>
            <w:r>
              <w:rPr>
                <w:sz w:val="21"/>
              </w:rPr>
              <w:t>6.1</w:t>
            </w:r>
            <w:r>
              <w:rPr>
                <w:spacing w:val="-4"/>
                <w:sz w:val="21"/>
              </w:rPr>
              <w:t> 效力中止</w:t>
            </w:r>
          </w:p>
        </w:tc>
        <w:tc>
          <w:tcPr>
            <w:tcW w:w="492" w:type="dxa"/>
          </w:tcPr>
          <w:p>
            <w:pPr>
              <w:pStyle w:val="TableParagraph"/>
              <w:rPr>
                <w:rFonts w:ascii="Times New Roman"/>
                <w:sz w:val="20"/>
              </w:rPr>
            </w:pPr>
          </w:p>
        </w:tc>
        <w:tc>
          <w:tcPr>
            <w:tcW w:w="1787" w:type="dxa"/>
          </w:tcPr>
          <w:p>
            <w:pPr>
              <w:pStyle w:val="TableParagraph"/>
              <w:spacing w:line="265" w:lineRule="exact" w:before="14"/>
              <w:ind w:left="53"/>
              <w:rPr>
                <w:sz w:val="21"/>
              </w:rPr>
            </w:pPr>
            <w:r>
              <w:rPr>
                <w:sz w:val="21"/>
              </w:rPr>
              <w:t>12.1</w:t>
            </w:r>
            <w:r>
              <w:rPr>
                <w:spacing w:val="-4"/>
                <w:sz w:val="21"/>
              </w:rPr>
              <w:t> 极重度疾病</w:t>
            </w:r>
          </w:p>
        </w:tc>
      </w:tr>
      <w:tr>
        <w:trPr>
          <w:trHeight w:val="300" w:hRule="atLeast"/>
        </w:trPr>
        <w:tc>
          <w:tcPr>
            <w:tcW w:w="314" w:type="dxa"/>
          </w:tcPr>
          <w:p>
            <w:pPr>
              <w:pStyle w:val="TableParagraph"/>
              <w:rPr>
                <w:rFonts w:ascii="Times New Roman"/>
                <w:sz w:val="20"/>
              </w:rPr>
            </w:pPr>
          </w:p>
        </w:tc>
        <w:tc>
          <w:tcPr>
            <w:tcW w:w="2908" w:type="dxa"/>
            <w:gridSpan w:val="2"/>
          </w:tcPr>
          <w:p>
            <w:pPr>
              <w:pStyle w:val="TableParagraph"/>
              <w:spacing w:line="263" w:lineRule="exact" w:before="17"/>
              <w:ind w:left="52"/>
              <w:rPr>
                <w:sz w:val="21"/>
              </w:rPr>
            </w:pPr>
            <w:r>
              <w:rPr>
                <w:sz w:val="21"/>
              </w:rPr>
              <w:t>2.3</w:t>
            </w:r>
            <w:r>
              <w:rPr>
                <w:spacing w:val="-4"/>
                <w:sz w:val="21"/>
              </w:rPr>
              <w:t> 保险期间</w:t>
            </w:r>
          </w:p>
        </w:tc>
        <w:tc>
          <w:tcPr>
            <w:tcW w:w="382" w:type="dxa"/>
          </w:tcPr>
          <w:p>
            <w:pPr>
              <w:pStyle w:val="TableParagraph"/>
              <w:rPr>
                <w:rFonts w:ascii="Times New Roman"/>
                <w:sz w:val="20"/>
              </w:rPr>
            </w:pPr>
          </w:p>
        </w:tc>
        <w:tc>
          <w:tcPr>
            <w:tcW w:w="3017" w:type="dxa"/>
            <w:gridSpan w:val="2"/>
          </w:tcPr>
          <w:p>
            <w:pPr>
              <w:pStyle w:val="TableParagraph"/>
              <w:spacing w:line="263" w:lineRule="exact" w:before="17"/>
              <w:ind w:left="157"/>
              <w:rPr>
                <w:sz w:val="21"/>
              </w:rPr>
            </w:pPr>
            <w:r>
              <w:rPr>
                <w:sz w:val="21"/>
              </w:rPr>
              <w:t>6.2</w:t>
            </w:r>
            <w:r>
              <w:rPr>
                <w:spacing w:val="-4"/>
                <w:sz w:val="21"/>
              </w:rPr>
              <w:t> 效力恢复</w:t>
            </w:r>
          </w:p>
        </w:tc>
        <w:tc>
          <w:tcPr>
            <w:tcW w:w="492" w:type="dxa"/>
          </w:tcPr>
          <w:p>
            <w:pPr>
              <w:pStyle w:val="TableParagraph"/>
              <w:spacing w:line="280" w:lineRule="exact"/>
              <w:ind w:left="109" w:right="38"/>
              <w:jc w:val="center"/>
              <w:rPr>
                <w:rFonts w:ascii="Microsoft JhengHei"/>
                <w:b/>
                <w:sz w:val="21"/>
              </w:rPr>
            </w:pPr>
            <w:r>
              <w:rPr>
                <w:rFonts w:ascii="Microsoft JhengHei"/>
                <w:b/>
                <w:spacing w:val="-5"/>
                <w:w w:val="82"/>
                <w:sz w:val="21"/>
              </w:rPr>
              <w:t>13</w:t>
            </w:r>
            <w:r>
              <w:rPr>
                <w:rFonts w:ascii="Microsoft JhengHei"/>
                <w:b/>
                <w:spacing w:val="-5"/>
                <w:w w:val="195"/>
                <w:sz w:val="21"/>
              </w:rPr>
              <w:t>.</w:t>
            </w:r>
          </w:p>
        </w:tc>
        <w:tc>
          <w:tcPr>
            <w:tcW w:w="1787" w:type="dxa"/>
          </w:tcPr>
          <w:p>
            <w:pPr>
              <w:pStyle w:val="TableParagraph"/>
              <w:spacing w:line="280" w:lineRule="exact"/>
              <w:ind w:left="53"/>
              <w:rPr>
                <w:rFonts w:ascii="Microsoft JhengHei" w:eastAsia="Microsoft JhengHei"/>
                <w:b/>
                <w:sz w:val="21"/>
              </w:rPr>
            </w:pPr>
            <w:r>
              <w:rPr>
                <w:rFonts w:ascii="Microsoft JhengHei" w:eastAsia="Microsoft JhengHei"/>
                <w:b/>
                <w:spacing w:val="-5"/>
                <w:sz w:val="21"/>
              </w:rPr>
              <w:t>释义</w:t>
            </w:r>
          </w:p>
        </w:tc>
      </w:tr>
      <w:tr>
        <w:trPr>
          <w:trHeight w:val="300" w:hRule="atLeast"/>
        </w:trPr>
        <w:tc>
          <w:tcPr>
            <w:tcW w:w="314" w:type="dxa"/>
          </w:tcPr>
          <w:p>
            <w:pPr>
              <w:pStyle w:val="TableParagraph"/>
              <w:rPr>
                <w:rFonts w:ascii="Times New Roman"/>
                <w:sz w:val="20"/>
              </w:rPr>
            </w:pPr>
          </w:p>
        </w:tc>
        <w:tc>
          <w:tcPr>
            <w:tcW w:w="2908" w:type="dxa"/>
            <w:gridSpan w:val="2"/>
          </w:tcPr>
          <w:p>
            <w:pPr>
              <w:pStyle w:val="TableParagraph"/>
              <w:spacing w:line="265" w:lineRule="exact" w:before="15"/>
              <w:ind w:left="52"/>
              <w:rPr>
                <w:sz w:val="21"/>
              </w:rPr>
            </w:pPr>
            <w:r>
              <w:rPr>
                <w:sz w:val="21"/>
              </w:rPr>
              <w:t>2.4</w:t>
            </w:r>
            <w:r>
              <w:rPr>
                <w:spacing w:val="-4"/>
                <w:sz w:val="21"/>
              </w:rPr>
              <w:t> 保险责任</w:t>
            </w:r>
          </w:p>
        </w:tc>
        <w:tc>
          <w:tcPr>
            <w:tcW w:w="382" w:type="dxa"/>
          </w:tcPr>
          <w:p>
            <w:pPr>
              <w:pStyle w:val="TableParagraph"/>
              <w:spacing w:line="280" w:lineRule="exact"/>
              <w:ind w:left="100" w:right="36"/>
              <w:jc w:val="center"/>
              <w:rPr>
                <w:rFonts w:ascii="Microsoft JhengHei"/>
                <w:b/>
                <w:sz w:val="21"/>
              </w:rPr>
            </w:pPr>
            <w:r>
              <w:rPr>
                <w:rFonts w:ascii="Microsoft JhengHei"/>
                <w:b/>
                <w:spacing w:val="-5"/>
                <w:w w:val="83"/>
                <w:sz w:val="21"/>
              </w:rPr>
              <w:t>7</w:t>
            </w:r>
            <w:r>
              <w:rPr>
                <w:rFonts w:ascii="Microsoft JhengHei"/>
                <w:b/>
                <w:spacing w:val="-5"/>
                <w:w w:val="196"/>
                <w:sz w:val="21"/>
              </w:rPr>
              <w:t>.</w:t>
            </w:r>
          </w:p>
        </w:tc>
        <w:tc>
          <w:tcPr>
            <w:tcW w:w="3017" w:type="dxa"/>
            <w:gridSpan w:val="2"/>
          </w:tcPr>
          <w:p>
            <w:pPr>
              <w:pStyle w:val="TableParagraph"/>
              <w:spacing w:line="280" w:lineRule="exact"/>
              <w:ind w:left="52"/>
              <w:rPr>
                <w:rFonts w:ascii="Microsoft JhengHei" w:eastAsia="Microsoft JhengHei"/>
                <w:b/>
                <w:sz w:val="21"/>
              </w:rPr>
            </w:pPr>
            <w:r>
              <w:rPr>
                <w:rFonts w:ascii="Microsoft JhengHei" w:eastAsia="Microsoft JhengHei"/>
                <w:b/>
                <w:spacing w:val="-3"/>
                <w:sz w:val="21"/>
              </w:rPr>
              <w:t>合同解除</w:t>
            </w:r>
          </w:p>
        </w:tc>
        <w:tc>
          <w:tcPr>
            <w:tcW w:w="492" w:type="dxa"/>
          </w:tcPr>
          <w:p>
            <w:pPr>
              <w:pStyle w:val="TableParagraph"/>
              <w:rPr>
                <w:rFonts w:ascii="Times New Roman"/>
                <w:sz w:val="20"/>
              </w:rPr>
            </w:pPr>
          </w:p>
        </w:tc>
        <w:tc>
          <w:tcPr>
            <w:tcW w:w="1787" w:type="dxa"/>
          </w:tcPr>
          <w:p>
            <w:pPr>
              <w:pStyle w:val="TableParagraph"/>
              <w:rPr>
                <w:rFonts w:ascii="Times New Roman"/>
                <w:sz w:val="20"/>
              </w:rPr>
            </w:pPr>
          </w:p>
        </w:tc>
      </w:tr>
      <w:tr>
        <w:trPr>
          <w:trHeight w:val="300" w:hRule="atLeast"/>
        </w:trPr>
        <w:tc>
          <w:tcPr>
            <w:tcW w:w="314" w:type="dxa"/>
          </w:tcPr>
          <w:p>
            <w:pPr>
              <w:pStyle w:val="TableParagraph"/>
              <w:rPr>
                <w:rFonts w:ascii="Times New Roman"/>
                <w:sz w:val="20"/>
              </w:rPr>
            </w:pPr>
          </w:p>
        </w:tc>
        <w:tc>
          <w:tcPr>
            <w:tcW w:w="2908" w:type="dxa"/>
            <w:gridSpan w:val="2"/>
          </w:tcPr>
          <w:p>
            <w:pPr>
              <w:pStyle w:val="TableParagraph"/>
              <w:spacing w:line="263" w:lineRule="exact" w:before="17"/>
              <w:ind w:left="52"/>
              <w:rPr>
                <w:sz w:val="21"/>
              </w:rPr>
            </w:pPr>
            <w:r>
              <w:rPr>
                <w:sz w:val="21"/>
              </w:rPr>
              <w:t>2.5</w:t>
            </w:r>
            <w:r>
              <w:rPr>
                <w:spacing w:val="-4"/>
                <w:sz w:val="21"/>
              </w:rPr>
              <w:t> 责任免除</w:t>
            </w:r>
          </w:p>
        </w:tc>
        <w:tc>
          <w:tcPr>
            <w:tcW w:w="382" w:type="dxa"/>
          </w:tcPr>
          <w:p>
            <w:pPr>
              <w:pStyle w:val="TableParagraph"/>
              <w:rPr>
                <w:rFonts w:ascii="Times New Roman"/>
                <w:sz w:val="20"/>
              </w:rPr>
            </w:pPr>
          </w:p>
        </w:tc>
        <w:tc>
          <w:tcPr>
            <w:tcW w:w="3017" w:type="dxa"/>
            <w:gridSpan w:val="2"/>
          </w:tcPr>
          <w:p>
            <w:pPr>
              <w:pStyle w:val="TableParagraph"/>
              <w:spacing w:line="263" w:lineRule="exact" w:before="17"/>
              <w:ind w:left="157"/>
              <w:rPr>
                <w:sz w:val="21"/>
              </w:rPr>
            </w:pPr>
            <w:r>
              <w:rPr>
                <w:sz w:val="21"/>
              </w:rPr>
              <w:t>7.1</w:t>
            </w:r>
            <w:r>
              <w:rPr>
                <w:spacing w:val="-4"/>
                <w:sz w:val="21"/>
              </w:rPr>
              <w:t> 您解除合同的手续及风险</w:t>
            </w:r>
          </w:p>
        </w:tc>
        <w:tc>
          <w:tcPr>
            <w:tcW w:w="492" w:type="dxa"/>
          </w:tcPr>
          <w:p>
            <w:pPr>
              <w:pStyle w:val="TableParagraph"/>
              <w:rPr>
                <w:rFonts w:ascii="Times New Roman"/>
                <w:sz w:val="20"/>
              </w:rPr>
            </w:pPr>
          </w:p>
        </w:tc>
        <w:tc>
          <w:tcPr>
            <w:tcW w:w="1787" w:type="dxa"/>
          </w:tcPr>
          <w:p>
            <w:pPr>
              <w:pStyle w:val="TableParagraph"/>
              <w:rPr>
                <w:rFonts w:ascii="Times New Roman"/>
                <w:sz w:val="20"/>
              </w:rPr>
            </w:pPr>
          </w:p>
        </w:tc>
      </w:tr>
      <w:tr>
        <w:trPr>
          <w:trHeight w:val="254" w:hRule="atLeast"/>
        </w:trPr>
        <w:tc>
          <w:tcPr>
            <w:tcW w:w="314" w:type="dxa"/>
          </w:tcPr>
          <w:p>
            <w:pPr>
              <w:pStyle w:val="TableParagraph"/>
              <w:spacing w:line="234" w:lineRule="exact"/>
              <w:ind w:left="50"/>
              <w:rPr>
                <w:rFonts w:ascii="Microsoft JhengHei"/>
                <w:b/>
                <w:sz w:val="21"/>
              </w:rPr>
            </w:pPr>
            <w:r>
              <w:rPr>
                <w:rFonts w:ascii="Microsoft JhengHei"/>
                <w:b/>
                <w:spacing w:val="-5"/>
                <w:w w:val="120"/>
                <w:sz w:val="21"/>
              </w:rPr>
              <w:t>3.</w:t>
            </w:r>
          </w:p>
        </w:tc>
        <w:tc>
          <w:tcPr>
            <w:tcW w:w="2908" w:type="dxa"/>
            <w:gridSpan w:val="2"/>
          </w:tcPr>
          <w:p>
            <w:pPr>
              <w:pStyle w:val="TableParagraph"/>
              <w:spacing w:line="234" w:lineRule="exact"/>
              <w:ind w:left="52"/>
              <w:rPr>
                <w:rFonts w:ascii="Microsoft JhengHei" w:eastAsia="Microsoft JhengHei"/>
                <w:b/>
                <w:sz w:val="21"/>
              </w:rPr>
            </w:pPr>
            <w:r>
              <w:rPr>
                <w:rFonts w:ascii="Microsoft JhengHei" w:eastAsia="Microsoft JhengHei"/>
                <w:b/>
                <w:spacing w:val="-1"/>
                <w:sz w:val="21"/>
              </w:rPr>
              <w:t>保险金及豁免保险费的申请</w:t>
            </w:r>
          </w:p>
        </w:tc>
        <w:tc>
          <w:tcPr>
            <w:tcW w:w="382" w:type="dxa"/>
          </w:tcPr>
          <w:p>
            <w:pPr>
              <w:pStyle w:val="TableParagraph"/>
              <w:spacing w:line="234" w:lineRule="exact"/>
              <w:ind w:left="100" w:right="36"/>
              <w:jc w:val="center"/>
              <w:rPr>
                <w:rFonts w:ascii="Microsoft JhengHei"/>
                <w:b/>
                <w:sz w:val="21"/>
              </w:rPr>
            </w:pPr>
            <w:r>
              <w:rPr>
                <w:rFonts w:ascii="Microsoft JhengHei"/>
                <w:b/>
                <w:spacing w:val="-5"/>
                <w:w w:val="83"/>
                <w:sz w:val="21"/>
              </w:rPr>
              <w:t>8</w:t>
            </w:r>
            <w:r>
              <w:rPr>
                <w:rFonts w:ascii="Microsoft JhengHei"/>
                <w:b/>
                <w:spacing w:val="-5"/>
                <w:w w:val="196"/>
                <w:sz w:val="21"/>
              </w:rPr>
              <w:t>.</w:t>
            </w:r>
          </w:p>
        </w:tc>
        <w:tc>
          <w:tcPr>
            <w:tcW w:w="3017" w:type="dxa"/>
            <w:gridSpan w:val="2"/>
          </w:tcPr>
          <w:p>
            <w:pPr>
              <w:pStyle w:val="TableParagraph"/>
              <w:spacing w:line="234" w:lineRule="exact"/>
              <w:ind w:left="52"/>
              <w:rPr>
                <w:rFonts w:ascii="Microsoft JhengHei" w:eastAsia="Microsoft JhengHei"/>
                <w:b/>
                <w:sz w:val="21"/>
              </w:rPr>
            </w:pPr>
            <w:r>
              <w:rPr>
                <w:rFonts w:ascii="Microsoft JhengHei" w:eastAsia="Microsoft JhengHei"/>
                <w:b/>
                <w:spacing w:val="-2"/>
                <w:sz w:val="21"/>
              </w:rPr>
              <w:t>其它需要关注的事项</w:t>
            </w:r>
          </w:p>
        </w:tc>
        <w:tc>
          <w:tcPr>
            <w:tcW w:w="492" w:type="dxa"/>
          </w:tcPr>
          <w:p>
            <w:pPr>
              <w:pStyle w:val="TableParagraph"/>
              <w:rPr>
                <w:rFonts w:ascii="Times New Roman"/>
                <w:sz w:val="18"/>
              </w:rPr>
            </w:pPr>
          </w:p>
        </w:tc>
        <w:tc>
          <w:tcPr>
            <w:tcW w:w="1787" w:type="dxa"/>
          </w:tcPr>
          <w:p>
            <w:pPr>
              <w:pStyle w:val="TableParagraph"/>
              <w:rPr>
                <w:rFonts w:ascii="Times New Roman"/>
                <w:sz w:val="18"/>
              </w:rPr>
            </w:pPr>
          </w:p>
        </w:tc>
      </w:tr>
      <w:tr>
        <w:trPr>
          <w:trHeight w:val="345" w:hRule="atLeast"/>
        </w:trPr>
        <w:tc>
          <w:tcPr>
            <w:tcW w:w="737" w:type="dxa"/>
            <w:gridSpan w:val="2"/>
          </w:tcPr>
          <w:p>
            <w:pPr>
              <w:pStyle w:val="TableParagraph"/>
              <w:spacing w:line="263" w:lineRule="exact" w:before="62"/>
              <w:ind w:left="366"/>
              <w:rPr>
                <w:sz w:val="21"/>
              </w:rPr>
            </w:pPr>
            <w:r>
              <w:rPr>
                <w:spacing w:val="-5"/>
                <w:sz w:val="21"/>
              </w:rPr>
              <w:t>3.1</w:t>
            </w:r>
          </w:p>
        </w:tc>
        <w:tc>
          <w:tcPr>
            <w:tcW w:w="2485" w:type="dxa"/>
          </w:tcPr>
          <w:p>
            <w:pPr>
              <w:pStyle w:val="TableParagraph"/>
              <w:spacing w:line="263" w:lineRule="exact" w:before="62"/>
              <w:ind w:left="52"/>
              <w:rPr>
                <w:sz w:val="21"/>
              </w:rPr>
            </w:pPr>
            <w:r>
              <w:rPr>
                <w:spacing w:val="-4"/>
                <w:sz w:val="21"/>
              </w:rPr>
              <w:t>受益人</w:t>
            </w:r>
          </w:p>
        </w:tc>
        <w:tc>
          <w:tcPr>
            <w:tcW w:w="910" w:type="dxa"/>
            <w:gridSpan w:val="2"/>
          </w:tcPr>
          <w:p>
            <w:pPr>
              <w:pStyle w:val="TableParagraph"/>
              <w:spacing w:line="263" w:lineRule="exact" w:before="62"/>
              <w:ind w:left="539"/>
              <w:rPr>
                <w:sz w:val="21"/>
              </w:rPr>
            </w:pPr>
            <w:r>
              <w:rPr>
                <w:spacing w:val="-5"/>
                <w:sz w:val="21"/>
              </w:rPr>
              <w:t>8.1</w:t>
            </w:r>
          </w:p>
        </w:tc>
        <w:tc>
          <w:tcPr>
            <w:tcW w:w="4768" w:type="dxa"/>
            <w:gridSpan w:val="3"/>
          </w:tcPr>
          <w:p>
            <w:pPr>
              <w:pStyle w:val="TableParagraph"/>
              <w:spacing w:line="263" w:lineRule="exact" w:before="62"/>
              <w:ind w:left="52"/>
              <w:rPr>
                <w:sz w:val="21"/>
              </w:rPr>
            </w:pPr>
            <w:r>
              <w:rPr>
                <w:spacing w:val="-3"/>
                <w:sz w:val="21"/>
              </w:rPr>
              <w:t>明确说明与如实告知</w:t>
            </w:r>
          </w:p>
        </w:tc>
      </w:tr>
      <w:tr>
        <w:trPr>
          <w:trHeight w:val="300" w:hRule="atLeast"/>
        </w:trPr>
        <w:tc>
          <w:tcPr>
            <w:tcW w:w="737" w:type="dxa"/>
            <w:gridSpan w:val="2"/>
          </w:tcPr>
          <w:p>
            <w:pPr>
              <w:pStyle w:val="TableParagraph"/>
              <w:spacing w:line="265" w:lineRule="exact" w:before="14"/>
              <w:ind w:left="366"/>
              <w:rPr>
                <w:sz w:val="21"/>
              </w:rPr>
            </w:pPr>
            <w:r>
              <w:rPr>
                <w:spacing w:val="-5"/>
                <w:sz w:val="21"/>
              </w:rPr>
              <w:t>3.2</w:t>
            </w:r>
          </w:p>
        </w:tc>
        <w:tc>
          <w:tcPr>
            <w:tcW w:w="2485" w:type="dxa"/>
          </w:tcPr>
          <w:p>
            <w:pPr>
              <w:pStyle w:val="TableParagraph"/>
              <w:spacing w:line="265" w:lineRule="exact" w:before="14"/>
              <w:ind w:left="52"/>
              <w:rPr>
                <w:sz w:val="21"/>
              </w:rPr>
            </w:pPr>
            <w:r>
              <w:rPr>
                <w:spacing w:val="-4"/>
                <w:sz w:val="21"/>
              </w:rPr>
              <w:t>保险事故通知</w:t>
            </w:r>
          </w:p>
        </w:tc>
        <w:tc>
          <w:tcPr>
            <w:tcW w:w="910" w:type="dxa"/>
            <w:gridSpan w:val="2"/>
          </w:tcPr>
          <w:p>
            <w:pPr>
              <w:pStyle w:val="TableParagraph"/>
              <w:spacing w:line="265" w:lineRule="exact" w:before="14"/>
              <w:ind w:left="539"/>
              <w:rPr>
                <w:sz w:val="21"/>
              </w:rPr>
            </w:pPr>
            <w:r>
              <w:rPr>
                <w:spacing w:val="-5"/>
                <w:sz w:val="21"/>
              </w:rPr>
              <w:t>8.2</w:t>
            </w:r>
          </w:p>
        </w:tc>
        <w:tc>
          <w:tcPr>
            <w:tcW w:w="4768" w:type="dxa"/>
            <w:gridSpan w:val="3"/>
          </w:tcPr>
          <w:p>
            <w:pPr>
              <w:pStyle w:val="TableParagraph"/>
              <w:spacing w:line="265" w:lineRule="exact" w:before="14"/>
              <w:ind w:left="52"/>
              <w:rPr>
                <w:sz w:val="21"/>
              </w:rPr>
            </w:pPr>
            <w:r>
              <w:rPr>
                <w:spacing w:val="-3"/>
                <w:sz w:val="21"/>
              </w:rPr>
              <w:t>我们合同解除权的限制</w:t>
            </w:r>
          </w:p>
        </w:tc>
      </w:tr>
      <w:tr>
        <w:trPr>
          <w:trHeight w:val="300" w:hRule="atLeast"/>
        </w:trPr>
        <w:tc>
          <w:tcPr>
            <w:tcW w:w="737" w:type="dxa"/>
            <w:gridSpan w:val="2"/>
          </w:tcPr>
          <w:p>
            <w:pPr>
              <w:pStyle w:val="TableParagraph"/>
              <w:spacing w:line="263" w:lineRule="exact" w:before="17"/>
              <w:ind w:left="366"/>
              <w:rPr>
                <w:sz w:val="21"/>
              </w:rPr>
            </w:pPr>
            <w:r>
              <w:rPr>
                <w:spacing w:val="-5"/>
                <w:sz w:val="21"/>
              </w:rPr>
              <w:t>3.3</w:t>
            </w:r>
          </w:p>
        </w:tc>
        <w:tc>
          <w:tcPr>
            <w:tcW w:w="2485" w:type="dxa"/>
          </w:tcPr>
          <w:p>
            <w:pPr>
              <w:pStyle w:val="TableParagraph"/>
              <w:spacing w:line="263" w:lineRule="exact" w:before="17"/>
              <w:ind w:left="52"/>
              <w:rPr>
                <w:sz w:val="21"/>
              </w:rPr>
            </w:pPr>
            <w:r>
              <w:rPr>
                <w:spacing w:val="-3"/>
                <w:sz w:val="21"/>
              </w:rPr>
              <w:t>保险金及豁免保险费申请</w:t>
            </w:r>
          </w:p>
        </w:tc>
        <w:tc>
          <w:tcPr>
            <w:tcW w:w="910" w:type="dxa"/>
            <w:gridSpan w:val="2"/>
          </w:tcPr>
          <w:p>
            <w:pPr>
              <w:pStyle w:val="TableParagraph"/>
              <w:spacing w:line="263" w:lineRule="exact" w:before="17"/>
              <w:ind w:left="539"/>
              <w:rPr>
                <w:sz w:val="21"/>
              </w:rPr>
            </w:pPr>
            <w:r>
              <w:rPr>
                <w:spacing w:val="-5"/>
                <w:sz w:val="21"/>
              </w:rPr>
              <w:t>8.3</w:t>
            </w:r>
          </w:p>
        </w:tc>
        <w:tc>
          <w:tcPr>
            <w:tcW w:w="4768" w:type="dxa"/>
            <w:gridSpan w:val="3"/>
          </w:tcPr>
          <w:p>
            <w:pPr>
              <w:pStyle w:val="TableParagraph"/>
              <w:spacing w:line="263" w:lineRule="exact" w:before="17"/>
              <w:ind w:left="52"/>
              <w:rPr>
                <w:sz w:val="21"/>
              </w:rPr>
            </w:pPr>
            <w:r>
              <w:rPr>
                <w:spacing w:val="-4"/>
                <w:sz w:val="21"/>
              </w:rPr>
              <w:t>年龄性别错误</w:t>
            </w:r>
          </w:p>
        </w:tc>
      </w:tr>
      <w:tr>
        <w:trPr>
          <w:trHeight w:val="300" w:hRule="atLeast"/>
        </w:trPr>
        <w:tc>
          <w:tcPr>
            <w:tcW w:w="737" w:type="dxa"/>
            <w:gridSpan w:val="2"/>
          </w:tcPr>
          <w:p>
            <w:pPr>
              <w:pStyle w:val="TableParagraph"/>
              <w:spacing w:line="265" w:lineRule="exact" w:before="14"/>
              <w:ind w:left="366"/>
              <w:rPr>
                <w:sz w:val="21"/>
              </w:rPr>
            </w:pPr>
            <w:r>
              <w:rPr>
                <w:spacing w:val="-5"/>
                <w:sz w:val="21"/>
              </w:rPr>
              <w:t>3.4</w:t>
            </w:r>
          </w:p>
        </w:tc>
        <w:tc>
          <w:tcPr>
            <w:tcW w:w="2485" w:type="dxa"/>
          </w:tcPr>
          <w:p>
            <w:pPr>
              <w:pStyle w:val="TableParagraph"/>
              <w:spacing w:line="265" w:lineRule="exact" w:before="14"/>
              <w:ind w:left="52"/>
              <w:rPr>
                <w:sz w:val="21"/>
              </w:rPr>
            </w:pPr>
            <w:r>
              <w:rPr>
                <w:spacing w:val="-4"/>
                <w:sz w:val="21"/>
              </w:rPr>
              <w:t>保险金给付</w:t>
            </w:r>
          </w:p>
        </w:tc>
        <w:tc>
          <w:tcPr>
            <w:tcW w:w="910" w:type="dxa"/>
            <w:gridSpan w:val="2"/>
          </w:tcPr>
          <w:p>
            <w:pPr>
              <w:pStyle w:val="TableParagraph"/>
              <w:spacing w:line="265" w:lineRule="exact" w:before="14"/>
              <w:ind w:left="539"/>
              <w:rPr>
                <w:sz w:val="21"/>
              </w:rPr>
            </w:pPr>
            <w:r>
              <w:rPr>
                <w:spacing w:val="-5"/>
                <w:sz w:val="21"/>
              </w:rPr>
              <w:t>8.4</w:t>
            </w:r>
          </w:p>
        </w:tc>
        <w:tc>
          <w:tcPr>
            <w:tcW w:w="4768" w:type="dxa"/>
            <w:gridSpan w:val="3"/>
          </w:tcPr>
          <w:p>
            <w:pPr>
              <w:pStyle w:val="TableParagraph"/>
              <w:spacing w:line="265" w:lineRule="exact" w:before="14"/>
              <w:ind w:left="52"/>
              <w:rPr>
                <w:sz w:val="21"/>
              </w:rPr>
            </w:pPr>
            <w:r>
              <w:rPr>
                <w:spacing w:val="-4"/>
                <w:sz w:val="21"/>
              </w:rPr>
              <w:t>未还款项</w:t>
            </w:r>
          </w:p>
        </w:tc>
      </w:tr>
      <w:tr>
        <w:trPr>
          <w:trHeight w:val="300" w:hRule="atLeast"/>
        </w:trPr>
        <w:tc>
          <w:tcPr>
            <w:tcW w:w="737" w:type="dxa"/>
            <w:gridSpan w:val="2"/>
          </w:tcPr>
          <w:p>
            <w:pPr>
              <w:pStyle w:val="TableParagraph"/>
              <w:spacing w:line="263" w:lineRule="exact" w:before="17"/>
              <w:ind w:left="366"/>
              <w:rPr>
                <w:sz w:val="21"/>
              </w:rPr>
            </w:pPr>
            <w:r>
              <w:rPr>
                <w:spacing w:val="-5"/>
                <w:sz w:val="21"/>
              </w:rPr>
              <w:t>3.5</w:t>
            </w:r>
          </w:p>
        </w:tc>
        <w:tc>
          <w:tcPr>
            <w:tcW w:w="2485" w:type="dxa"/>
          </w:tcPr>
          <w:p>
            <w:pPr>
              <w:pStyle w:val="TableParagraph"/>
              <w:spacing w:line="263" w:lineRule="exact" w:before="17"/>
              <w:ind w:left="52"/>
              <w:rPr>
                <w:sz w:val="21"/>
              </w:rPr>
            </w:pPr>
            <w:r>
              <w:rPr>
                <w:spacing w:val="-4"/>
                <w:sz w:val="21"/>
              </w:rPr>
              <w:t>宣告死亡处理</w:t>
            </w:r>
          </w:p>
        </w:tc>
        <w:tc>
          <w:tcPr>
            <w:tcW w:w="910" w:type="dxa"/>
            <w:gridSpan w:val="2"/>
          </w:tcPr>
          <w:p>
            <w:pPr>
              <w:pStyle w:val="TableParagraph"/>
              <w:spacing w:line="263" w:lineRule="exact" w:before="17"/>
              <w:ind w:left="539"/>
              <w:rPr>
                <w:sz w:val="21"/>
              </w:rPr>
            </w:pPr>
            <w:r>
              <w:rPr>
                <w:spacing w:val="-5"/>
                <w:sz w:val="21"/>
              </w:rPr>
              <w:t>8.5</w:t>
            </w:r>
          </w:p>
        </w:tc>
        <w:tc>
          <w:tcPr>
            <w:tcW w:w="4768" w:type="dxa"/>
            <w:gridSpan w:val="3"/>
          </w:tcPr>
          <w:p>
            <w:pPr>
              <w:pStyle w:val="TableParagraph"/>
              <w:spacing w:line="263" w:lineRule="exact" w:before="17"/>
              <w:ind w:left="52"/>
              <w:rPr>
                <w:sz w:val="21"/>
              </w:rPr>
            </w:pPr>
            <w:r>
              <w:rPr>
                <w:spacing w:val="-4"/>
                <w:sz w:val="21"/>
              </w:rPr>
              <w:t>合同内容变更</w:t>
            </w:r>
          </w:p>
        </w:tc>
      </w:tr>
      <w:tr>
        <w:trPr>
          <w:trHeight w:val="300" w:hRule="atLeast"/>
        </w:trPr>
        <w:tc>
          <w:tcPr>
            <w:tcW w:w="737" w:type="dxa"/>
            <w:gridSpan w:val="2"/>
          </w:tcPr>
          <w:p>
            <w:pPr>
              <w:pStyle w:val="TableParagraph"/>
              <w:spacing w:line="265" w:lineRule="exact" w:before="14"/>
              <w:ind w:left="366"/>
              <w:rPr>
                <w:sz w:val="21"/>
              </w:rPr>
            </w:pPr>
            <w:r>
              <w:rPr>
                <w:spacing w:val="-5"/>
                <w:sz w:val="21"/>
              </w:rPr>
              <w:t>3.6</w:t>
            </w:r>
          </w:p>
        </w:tc>
        <w:tc>
          <w:tcPr>
            <w:tcW w:w="2485" w:type="dxa"/>
          </w:tcPr>
          <w:p>
            <w:pPr>
              <w:pStyle w:val="TableParagraph"/>
              <w:spacing w:line="265" w:lineRule="exact" w:before="14"/>
              <w:ind w:left="52"/>
              <w:rPr>
                <w:sz w:val="21"/>
              </w:rPr>
            </w:pPr>
            <w:r>
              <w:rPr>
                <w:spacing w:val="-4"/>
                <w:sz w:val="21"/>
              </w:rPr>
              <w:t>诉讼时效</w:t>
            </w:r>
          </w:p>
        </w:tc>
        <w:tc>
          <w:tcPr>
            <w:tcW w:w="910" w:type="dxa"/>
            <w:gridSpan w:val="2"/>
          </w:tcPr>
          <w:p>
            <w:pPr>
              <w:pStyle w:val="TableParagraph"/>
              <w:spacing w:line="265" w:lineRule="exact" w:before="14"/>
              <w:ind w:left="539"/>
              <w:rPr>
                <w:sz w:val="21"/>
              </w:rPr>
            </w:pPr>
            <w:r>
              <w:rPr>
                <w:spacing w:val="-5"/>
                <w:sz w:val="21"/>
              </w:rPr>
              <w:t>8.6</w:t>
            </w:r>
          </w:p>
        </w:tc>
        <w:tc>
          <w:tcPr>
            <w:tcW w:w="4768" w:type="dxa"/>
            <w:gridSpan w:val="3"/>
          </w:tcPr>
          <w:p>
            <w:pPr>
              <w:pStyle w:val="TableParagraph"/>
              <w:spacing w:line="265" w:lineRule="exact" w:before="14"/>
              <w:ind w:left="52"/>
              <w:rPr>
                <w:sz w:val="21"/>
              </w:rPr>
            </w:pPr>
            <w:r>
              <w:rPr>
                <w:spacing w:val="-4"/>
                <w:sz w:val="21"/>
              </w:rPr>
              <w:t>联系方式变更</w:t>
            </w:r>
          </w:p>
        </w:tc>
      </w:tr>
      <w:tr>
        <w:trPr>
          <w:trHeight w:val="300" w:hRule="atLeast"/>
        </w:trPr>
        <w:tc>
          <w:tcPr>
            <w:tcW w:w="737" w:type="dxa"/>
            <w:gridSpan w:val="2"/>
          </w:tcPr>
          <w:p>
            <w:pPr>
              <w:pStyle w:val="TableParagraph"/>
              <w:rPr>
                <w:rFonts w:ascii="Times New Roman"/>
                <w:sz w:val="20"/>
              </w:rPr>
            </w:pPr>
          </w:p>
        </w:tc>
        <w:tc>
          <w:tcPr>
            <w:tcW w:w="2485" w:type="dxa"/>
          </w:tcPr>
          <w:p>
            <w:pPr>
              <w:pStyle w:val="TableParagraph"/>
              <w:rPr>
                <w:rFonts w:ascii="Times New Roman"/>
                <w:sz w:val="20"/>
              </w:rPr>
            </w:pPr>
          </w:p>
        </w:tc>
        <w:tc>
          <w:tcPr>
            <w:tcW w:w="910" w:type="dxa"/>
            <w:gridSpan w:val="2"/>
          </w:tcPr>
          <w:p>
            <w:pPr>
              <w:pStyle w:val="TableParagraph"/>
              <w:spacing w:line="263" w:lineRule="exact" w:before="17"/>
              <w:ind w:left="539"/>
              <w:rPr>
                <w:sz w:val="21"/>
              </w:rPr>
            </w:pPr>
            <w:r>
              <w:rPr>
                <w:spacing w:val="-5"/>
                <w:sz w:val="21"/>
              </w:rPr>
              <w:t>8.7</w:t>
            </w:r>
          </w:p>
        </w:tc>
        <w:tc>
          <w:tcPr>
            <w:tcW w:w="4768" w:type="dxa"/>
            <w:gridSpan w:val="3"/>
          </w:tcPr>
          <w:p>
            <w:pPr>
              <w:pStyle w:val="TableParagraph"/>
              <w:spacing w:line="263" w:lineRule="exact" w:before="17"/>
              <w:ind w:left="52"/>
              <w:rPr>
                <w:sz w:val="21"/>
              </w:rPr>
            </w:pPr>
            <w:r>
              <w:rPr>
                <w:spacing w:val="-4"/>
                <w:sz w:val="21"/>
              </w:rPr>
              <w:t>争议处理</w:t>
            </w:r>
          </w:p>
        </w:tc>
      </w:tr>
      <w:tr>
        <w:trPr>
          <w:trHeight w:val="254" w:hRule="atLeast"/>
        </w:trPr>
        <w:tc>
          <w:tcPr>
            <w:tcW w:w="737" w:type="dxa"/>
            <w:gridSpan w:val="2"/>
          </w:tcPr>
          <w:p>
            <w:pPr>
              <w:pStyle w:val="TableParagraph"/>
              <w:rPr>
                <w:rFonts w:ascii="Times New Roman"/>
                <w:sz w:val="18"/>
              </w:rPr>
            </w:pPr>
          </w:p>
        </w:tc>
        <w:tc>
          <w:tcPr>
            <w:tcW w:w="2485" w:type="dxa"/>
          </w:tcPr>
          <w:p>
            <w:pPr>
              <w:pStyle w:val="TableParagraph"/>
              <w:rPr>
                <w:rFonts w:ascii="Times New Roman"/>
                <w:sz w:val="18"/>
              </w:rPr>
            </w:pPr>
          </w:p>
        </w:tc>
        <w:tc>
          <w:tcPr>
            <w:tcW w:w="910" w:type="dxa"/>
            <w:gridSpan w:val="2"/>
          </w:tcPr>
          <w:p>
            <w:pPr>
              <w:pStyle w:val="TableParagraph"/>
              <w:spacing w:line="220" w:lineRule="exact" w:before="14"/>
              <w:ind w:left="539"/>
              <w:rPr>
                <w:sz w:val="21"/>
              </w:rPr>
            </w:pPr>
            <w:r>
              <w:rPr>
                <w:spacing w:val="-5"/>
                <w:sz w:val="21"/>
              </w:rPr>
              <w:t>8.8</w:t>
            </w:r>
          </w:p>
        </w:tc>
        <w:tc>
          <w:tcPr>
            <w:tcW w:w="4768" w:type="dxa"/>
            <w:gridSpan w:val="3"/>
          </w:tcPr>
          <w:p>
            <w:pPr>
              <w:pStyle w:val="TableParagraph"/>
              <w:spacing w:line="220" w:lineRule="exact" w:before="14"/>
              <w:ind w:left="52"/>
              <w:rPr>
                <w:sz w:val="21"/>
              </w:rPr>
            </w:pPr>
            <w:r>
              <w:rPr>
                <w:spacing w:val="-4"/>
                <w:sz w:val="21"/>
              </w:rPr>
              <w:t>保险事故鉴定</w:t>
            </w:r>
          </w:p>
        </w:tc>
      </w:tr>
    </w:tbl>
    <w:p>
      <w:pPr>
        <w:spacing w:after="0" w:line="220" w:lineRule="exact"/>
        <w:rPr>
          <w:sz w:val="21"/>
        </w:rPr>
        <w:sectPr>
          <w:type w:val="continuous"/>
          <w:pgSz w:w="11910" w:h="16840"/>
          <w:pgMar w:header="0" w:footer="226" w:top="240" w:bottom="420" w:left="980" w:right="400"/>
        </w:sectPr>
      </w:pPr>
    </w:p>
    <w:p>
      <w:pPr>
        <w:spacing w:line="527" w:lineRule="exact" w:before="0"/>
        <w:ind w:left="1303" w:right="1878" w:firstLine="0"/>
        <w:jc w:val="center"/>
        <w:rPr>
          <w:rFonts w:ascii="Microsoft JhengHei" w:eastAsia="Microsoft JhengHei"/>
          <w:b/>
          <w:sz w:val="32"/>
        </w:rPr>
      </w:pPr>
      <w:r>
        <w:rPr>
          <w:rFonts w:ascii="Microsoft JhengHei" w:eastAsia="Microsoft JhengHei"/>
          <w:b/>
          <w:spacing w:val="-1"/>
          <w:sz w:val="32"/>
        </w:rPr>
        <w:t>渤海人寿保险股份有限公司</w:t>
      </w:r>
    </w:p>
    <w:p>
      <w:pPr>
        <w:spacing w:before="35"/>
        <w:ind w:left="1305" w:right="1878" w:firstLine="0"/>
        <w:jc w:val="center"/>
        <w:rPr>
          <w:rFonts w:ascii="Microsoft JhengHei" w:eastAsia="Microsoft JhengHei"/>
          <w:b/>
          <w:sz w:val="32"/>
        </w:rPr>
      </w:pPr>
      <w:r>
        <w:rPr>
          <w:rFonts w:ascii="Microsoft JhengHei" w:eastAsia="Microsoft JhengHei"/>
          <w:b/>
          <w:spacing w:val="-2"/>
          <w:sz w:val="32"/>
        </w:rPr>
        <w:t>渤海人寿乐健一生终身重大疾病保险（尊享版）</w:t>
      </w:r>
      <w:r>
        <w:rPr>
          <w:rFonts w:ascii="Microsoft JhengHei" w:eastAsia="Microsoft JhengHei"/>
          <w:b/>
          <w:spacing w:val="-6"/>
          <w:sz w:val="32"/>
        </w:rPr>
        <w:t>条款</w:t>
      </w:r>
    </w:p>
    <w:p>
      <w:pPr>
        <w:pStyle w:val="BodyText"/>
        <w:spacing w:before="18"/>
        <w:rPr>
          <w:rFonts w:ascii="Microsoft JhengHei"/>
          <w:b/>
          <w:sz w:val="19"/>
        </w:rPr>
      </w:pPr>
    </w:p>
    <w:p>
      <w:pPr>
        <w:pStyle w:val="BodyText"/>
        <w:spacing w:line="278" w:lineRule="auto"/>
        <w:ind w:left="820" w:right="1400"/>
      </w:pPr>
      <w:r>
        <w:rPr>
          <w:spacing w:val="-21"/>
        </w:rPr>
        <w:t>在本条款中，“您”指投保人，“我们”、“本公司”指渤海人寿保险股份有限公司，“本合</w:t>
      </w:r>
      <w:r>
        <w:rPr>
          <w:spacing w:val="-2"/>
        </w:rPr>
        <w:t>同”指您与我们之间订立的“渤海人寿乐健一生终身重大疾病保险（尊享版）</w:t>
      </w:r>
      <w:r>
        <w:rPr>
          <w:spacing w:val="-30"/>
        </w:rPr>
        <w:t>合同”。</w:t>
      </w:r>
    </w:p>
    <w:p>
      <w:pPr>
        <w:pStyle w:val="BodyText"/>
        <w:rPr>
          <w:sz w:val="20"/>
        </w:rPr>
      </w:pPr>
    </w:p>
    <w:p>
      <w:pPr>
        <w:pStyle w:val="Heading1"/>
        <w:numPr>
          <w:ilvl w:val="1"/>
          <w:numId w:val="2"/>
        </w:numPr>
        <w:tabs>
          <w:tab w:pos="1910" w:val="left" w:leader="none"/>
          <w:tab w:pos="1911" w:val="left" w:leader="none"/>
        </w:tabs>
        <w:spacing w:line="240" w:lineRule="auto" w:before="157" w:after="0"/>
        <w:ind w:left="1910" w:right="0" w:hanging="985"/>
        <w:jc w:val="both"/>
      </w:pPr>
      <w:r>
        <w:rPr>
          <w:spacing w:val="-2"/>
        </w:rPr>
        <w:t>您与我们订立的合同</w:t>
      </w:r>
    </w:p>
    <w:p>
      <w:pPr>
        <w:pStyle w:val="BodyText"/>
        <w:spacing w:line="20" w:lineRule="exact"/>
        <w:ind w:left="820"/>
        <w:rPr>
          <w:rFonts w:ascii="Microsoft JhengHei"/>
          <w:sz w:val="2"/>
        </w:rPr>
      </w:pPr>
      <w:r>
        <w:rPr>
          <w:rFonts w:ascii="Microsoft JhengHei"/>
          <w:sz w:val="2"/>
        </w:rPr>
        <w:drawing>
          <wp:inline distT="0" distB="0" distL="0" distR="0">
            <wp:extent cx="5211806" cy="11144"/>
            <wp:effectExtent l="0" t="0" r="0" b="0"/>
            <wp:docPr id="5" name="image3.png"/>
            <wp:cNvGraphicFramePr>
              <a:graphicFrameLocks noChangeAspect="1"/>
            </wp:cNvGraphicFramePr>
            <a:graphic>
              <a:graphicData uri="http://schemas.openxmlformats.org/drawingml/2006/picture">
                <pic:pic>
                  <pic:nvPicPr>
                    <pic:cNvPr id="6" name="image3.png"/>
                    <pic:cNvPicPr/>
                  </pic:nvPicPr>
                  <pic:blipFill>
                    <a:blip r:embed="rId8" cstate="print"/>
                    <a:stretch>
                      <a:fillRect/>
                    </a:stretch>
                  </pic:blipFill>
                  <pic:spPr>
                    <a:xfrm>
                      <a:off x="0" y="0"/>
                      <a:ext cx="5211806" cy="11144"/>
                    </a:xfrm>
                    <a:prstGeom prst="rect">
                      <a:avLst/>
                    </a:prstGeom>
                  </pic:spPr>
                </pic:pic>
              </a:graphicData>
            </a:graphic>
          </wp:inline>
        </w:drawing>
      </w:r>
      <w:r>
        <w:rPr>
          <w:rFonts w:ascii="Microsoft JhengHei"/>
          <w:sz w:val="2"/>
        </w:rPr>
      </w:r>
    </w:p>
    <w:p>
      <w:pPr>
        <w:pStyle w:val="BodyText"/>
        <w:spacing w:before="17"/>
        <w:rPr>
          <w:rFonts w:ascii="Microsoft JhengHei"/>
          <w:b/>
          <w:sz w:val="13"/>
        </w:rPr>
      </w:pPr>
    </w:p>
    <w:p>
      <w:pPr>
        <w:pStyle w:val="ListParagraph"/>
        <w:numPr>
          <w:ilvl w:val="2"/>
          <w:numId w:val="2"/>
        </w:numPr>
        <w:tabs>
          <w:tab w:pos="1910" w:val="left" w:leader="none"/>
          <w:tab w:pos="1911" w:val="left" w:leader="none"/>
          <w:tab w:pos="3461" w:val="left" w:leader="none"/>
        </w:tabs>
        <w:spacing w:line="240" w:lineRule="auto" w:before="0" w:after="0"/>
        <w:ind w:left="1910" w:right="0" w:hanging="985"/>
        <w:jc w:val="both"/>
        <w:rPr>
          <w:sz w:val="21"/>
        </w:rPr>
      </w:pPr>
      <w:r>
        <w:rPr>
          <w:rFonts w:ascii="Microsoft JhengHei" w:eastAsia="Microsoft JhengHei"/>
          <w:b/>
          <w:sz w:val="21"/>
        </w:rPr>
        <w:t>合同构</w:t>
      </w:r>
      <w:r>
        <w:rPr>
          <w:rFonts w:ascii="Microsoft JhengHei" w:eastAsia="Microsoft JhengHei"/>
          <w:b/>
          <w:spacing w:val="-10"/>
          <w:sz w:val="21"/>
        </w:rPr>
        <w:t>成</w:t>
      </w:r>
      <w:r>
        <w:rPr>
          <w:rFonts w:ascii="Microsoft JhengHei" w:eastAsia="Microsoft JhengHei"/>
          <w:b/>
          <w:sz w:val="21"/>
        </w:rPr>
        <w:tab/>
      </w:r>
      <w:r>
        <w:rPr>
          <w:spacing w:val="-2"/>
          <w:sz w:val="21"/>
        </w:rPr>
        <w:t>本</w:t>
      </w:r>
      <w:r>
        <w:rPr>
          <w:spacing w:val="-2"/>
          <w:sz w:val="21"/>
        </w:rPr>
        <w:t>合</w:t>
      </w:r>
      <w:r>
        <w:rPr>
          <w:spacing w:val="-2"/>
          <w:sz w:val="21"/>
        </w:rPr>
        <w:t>同</w:t>
      </w:r>
      <w:r>
        <w:rPr>
          <w:spacing w:val="-2"/>
          <w:sz w:val="21"/>
        </w:rPr>
        <w:t>是</w:t>
      </w:r>
      <w:r>
        <w:rPr>
          <w:spacing w:val="-2"/>
          <w:sz w:val="21"/>
        </w:rPr>
        <w:t>您</w:t>
      </w:r>
      <w:r>
        <w:rPr>
          <w:spacing w:val="-2"/>
          <w:sz w:val="21"/>
        </w:rPr>
        <w:t>与</w:t>
      </w:r>
      <w:r>
        <w:rPr>
          <w:spacing w:val="-2"/>
          <w:sz w:val="21"/>
        </w:rPr>
        <w:t>我</w:t>
      </w:r>
      <w:r>
        <w:rPr>
          <w:spacing w:val="-2"/>
          <w:sz w:val="21"/>
        </w:rPr>
        <w:t>们</w:t>
      </w:r>
      <w:r>
        <w:rPr>
          <w:spacing w:val="-2"/>
          <w:sz w:val="21"/>
        </w:rPr>
        <w:t>约</w:t>
      </w:r>
      <w:r>
        <w:rPr>
          <w:spacing w:val="-2"/>
          <w:sz w:val="21"/>
        </w:rPr>
        <w:t>定</w:t>
      </w:r>
      <w:r>
        <w:rPr>
          <w:spacing w:val="-2"/>
          <w:sz w:val="21"/>
        </w:rPr>
        <w:t>保</w:t>
      </w:r>
      <w:r>
        <w:rPr>
          <w:spacing w:val="-2"/>
          <w:sz w:val="21"/>
        </w:rPr>
        <w:t>险</w:t>
      </w:r>
      <w:r>
        <w:rPr>
          <w:spacing w:val="-2"/>
          <w:sz w:val="21"/>
        </w:rPr>
        <w:t>权</w:t>
      </w:r>
      <w:r>
        <w:rPr>
          <w:spacing w:val="-2"/>
          <w:sz w:val="21"/>
        </w:rPr>
        <w:t>利</w:t>
      </w:r>
      <w:r>
        <w:rPr>
          <w:spacing w:val="-2"/>
          <w:sz w:val="21"/>
        </w:rPr>
        <w:t>义</w:t>
      </w:r>
      <w:r>
        <w:rPr>
          <w:spacing w:val="-2"/>
          <w:sz w:val="21"/>
        </w:rPr>
        <w:t>务</w:t>
      </w:r>
      <w:r>
        <w:rPr>
          <w:spacing w:val="-2"/>
          <w:sz w:val="21"/>
        </w:rPr>
        <w:t>关</w:t>
      </w:r>
      <w:r>
        <w:rPr>
          <w:spacing w:val="-2"/>
          <w:sz w:val="21"/>
        </w:rPr>
        <w:t>系</w:t>
      </w:r>
      <w:r>
        <w:rPr>
          <w:spacing w:val="-2"/>
          <w:sz w:val="21"/>
        </w:rPr>
        <w:t>的</w:t>
      </w:r>
      <w:r>
        <w:rPr>
          <w:spacing w:val="-2"/>
          <w:sz w:val="21"/>
        </w:rPr>
        <w:t>协</w:t>
      </w:r>
      <w:r>
        <w:rPr>
          <w:spacing w:val="-2"/>
          <w:sz w:val="21"/>
        </w:rPr>
        <w:t>议，包</w:t>
      </w:r>
      <w:r>
        <w:rPr>
          <w:spacing w:val="-2"/>
          <w:sz w:val="21"/>
        </w:rPr>
        <w:t>括</w:t>
      </w:r>
      <w:r>
        <w:rPr>
          <w:spacing w:val="-2"/>
          <w:sz w:val="21"/>
        </w:rPr>
        <w:t>本</w:t>
      </w:r>
      <w:r>
        <w:rPr>
          <w:spacing w:val="-10"/>
          <w:sz w:val="21"/>
        </w:rPr>
        <w:t>保</w:t>
      </w:r>
    </w:p>
    <w:p>
      <w:pPr>
        <w:pStyle w:val="BodyText"/>
        <w:spacing w:line="228" w:lineRule="auto" w:before="11"/>
        <w:ind w:left="3462" w:right="1539"/>
        <w:jc w:val="both"/>
      </w:pPr>
      <w:r>
        <w:rPr>
          <w:spacing w:val="-2"/>
        </w:rPr>
        <w:t>险条款、保险单或者其他保险凭证、投保单、与本合同有关</w:t>
      </w:r>
      <w:r>
        <w:rPr>
          <w:spacing w:val="-2"/>
        </w:rPr>
        <w:t>的投保文件、</w:t>
      </w:r>
      <w:r>
        <w:rPr>
          <w:rFonts w:ascii="微软雅黑" w:eastAsia="微软雅黑"/>
          <w:b/>
          <w:spacing w:val="-2"/>
        </w:rPr>
        <w:t>合法有效</w:t>
      </w:r>
      <w:r>
        <w:rPr>
          <w:spacing w:val="-6"/>
        </w:rPr>
        <w:t>(见释义 </w:t>
      </w:r>
      <w:r>
        <w:rPr>
          <w:spacing w:val="-2"/>
        </w:rPr>
        <w:t>13.1)的声明、批注、批单及</w:t>
      </w:r>
      <w:r>
        <w:rPr>
          <w:spacing w:val="-2"/>
        </w:rPr>
        <w:t>其他您与我们共同认可的书面协议。</w:t>
      </w:r>
    </w:p>
    <w:p>
      <w:pPr>
        <w:pStyle w:val="BodyText"/>
        <w:spacing w:before="2"/>
        <w:rPr>
          <w:sz w:val="23"/>
        </w:rPr>
      </w:pPr>
    </w:p>
    <w:p>
      <w:pPr>
        <w:spacing w:after="0"/>
        <w:rPr>
          <w:sz w:val="23"/>
        </w:rPr>
        <w:sectPr>
          <w:pgSz w:w="11910" w:h="16840"/>
          <w:pgMar w:header="0" w:footer="226" w:top="760" w:bottom="420" w:left="980" w:right="400"/>
        </w:sectPr>
      </w:pPr>
    </w:p>
    <w:p>
      <w:pPr>
        <w:pStyle w:val="Heading2"/>
        <w:numPr>
          <w:ilvl w:val="2"/>
          <w:numId w:val="2"/>
        </w:numPr>
        <w:tabs>
          <w:tab w:pos="1910" w:val="left" w:leader="none"/>
          <w:tab w:pos="1911" w:val="left" w:leader="none"/>
        </w:tabs>
        <w:spacing w:line="196" w:lineRule="auto" w:before="53" w:after="0"/>
        <w:ind w:left="1910" w:right="0" w:hanging="985"/>
        <w:jc w:val="left"/>
      </w:pPr>
      <w:r>
        <w:rPr/>
        <w:pict>
          <v:shape style="position:absolute;margin-left:92.828003pt;margin-top:28.546968pt;width:407.9pt;height:269.25pt;mso-position-horizontal-relative:page;mso-position-vertical-relative:paragraph;z-index:15729664" type="#_x0000_t202" id="docshape2"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00"/>
                    <w:gridCol w:w="1531"/>
                    <w:gridCol w:w="5924"/>
                  </w:tblGrid>
                  <w:tr>
                    <w:trPr>
                      <w:trHeight w:val="1361" w:hRule="atLeast"/>
                    </w:trPr>
                    <w:tc>
                      <w:tcPr>
                        <w:tcW w:w="2231" w:type="dxa"/>
                        <w:gridSpan w:val="2"/>
                      </w:tcPr>
                      <w:p>
                        <w:pPr>
                          <w:pStyle w:val="TableParagraph"/>
                          <w:rPr>
                            <w:rFonts w:ascii="Times New Roman"/>
                            <w:sz w:val="20"/>
                          </w:rPr>
                        </w:pPr>
                      </w:p>
                    </w:tc>
                    <w:tc>
                      <w:tcPr>
                        <w:tcW w:w="5924" w:type="dxa"/>
                      </w:tcPr>
                      <w:p>
                        <w:pPr>
                          <w:pStyle w:val="TableParagraph"/>
                          <w:spacing w:line="228" w:lineRule="exact"/>
                          <w:ind w:left="354"/>
                          <w:rPr>
                            <w:sz w:val="21"/>
                          </w:rPr>
                        </w:pPr>
                        <w:r>
                          <w:rPr>
                            <w:spacing w:val="-3"/>
                            <w:sz w:val="21"/>
                          </w:rPr>
                          <w:t>本合同自我们同意承保、收取首期保险费并签发保险单开始</w:t>
                        </w:r>
                      </w:p>
                      <w:p>
                        <w:pPr>
                          <w:pStyle w:val="TableParagraph"/>
                          <w:spacing w:line="211" w:lineRule="auto" w:before="21"/>
                          <w:ind w:left="354" w:right="99"/>
                          <w:rPr>
                            <w:sz w:val="21"/>
                          </w:rPr>
                        </w:pPr>
                        <w:r>
                          <w:rPr>
                            <w:spacing w:val="-2"/>
                            <w:sz w:val="21"/>
                          </w:rPr>
                          <w:t>生效，具体生效日以保险单记载的日期为准。</w:t>
                        </w:r>
                        <w:r>
                          <w:rPr>
                            <w:rFonts w:ascii="微软雅黑" w:eastAsia="微软雅黑"/>
                            <w:b/>
                            <w:spacing w:val="-2"/>
                            <w:sz w:val="21"/>
                          </w:rPr>
                          <w:t>保单年度</w:t>
                        </w:r>
                        <w:r>
                          <w:rPr>
                            <w:spacing w:val="-2"/>
                            <w:sz w:val="21"/>
                          </w:rPr>
                          <w:t>(见</w:t>
                        </w:r>
                        <w:r>
                          <w:rPr>
                            <w:spacing w:val="-18"/>
                            <w:sz w:val="21"/>
                          </w:rPr>
                          <w:t>释义 </w:t>
                        </w:r>
                        <w:r>
                          <w:rPr>
                            <w:sz w:val="21"/>
                          </w:rPr>
                          <w:t>13.2)、</w:t>
                        </w:r>
                        <w:r>
                          <w:rPr>
                            <w:rFonts w:ascii="微软雅黑" w:eastAsia="微软雅黑"/>
                            <w:b/>
                            <w:sz w:val="21"/>
                          </w:rPr>
                          <w:t>保险费约定交纳日</w:t>
                        </w:r>
                        <w:r>
                          <w:rPr>
                            <w:spacing w:val="-11"/>
                            <w:sz w:val="21"/>
                          </w:rPr>
                          <w:t>(见释义 </w:t>
                        </w:r>
                        <w:r>
                          <w:rPr>
                            <w:sz w:val="21"/>
                          </w:rPr>
                          <w:t>13.3)均依据本合同</w:t>
                        </w:r>
                        <w:r>
                          <w:rPr>
                            <w:spacing w:val="-2"/>
                            <w:sz w:val="21"/>
                          </w:rPr>
                          <w:t>的生效日为基础进行计算。</w:t>
                        </w:r>
                      </w:p>
                    </w:tc>
                  </w:tr>
                  <w:tr>
                    <w:trPr>
                      <w:trHeight w:val="948" w:hRule="atLeast"/>
                    </w:trPr>
                    <w:tc>
                      <w:tcPr>
                        <w:tcW w:w="700" w:type="dxa"/>
                      </w:tcPr>
                      <w:p>
                        <w:pPr>
                          <w:pStyle w:val="TableParagraph"/>
                          <w:spacing w:before="115"/>
                          <w:ind w:left="50"/>
                          <w:rPr>
                            <w:rFonts w:ascii="Microsoft JhengHei"/>
                            <w:b/>
                            <w:sz w:val="21"/>
                          </w:rPr>
                        </w:pPr>
                        <w:r>
                          <w:rPr>
                            <w:rFonts w:ascii="Microsoft JhengHei"/>
                            <w:b/>
                            <w:spacing w:val="-5"/>
                            <w:w w:val="105"/>
                            <w:sz w:val="21"/>
                          </w:rPr>
                          <w:t>1.3</w:t>
                        </w:r>
                      </w:p>
                    </w:tc>
                    <w:tc>
                      <w:tcPr>
                        <w:tcW w:w="1531" w:type="dxa"/>
                      </w:tcPr>
                      <w:p>
                        <w:pPr>
                          <w:pStyle w:val="TableParagraph"/>
                          <w:spacing w:before="115"/>
                          <w:ind w:left="334"/>
                          <w:rPr>
                            <w:rFonts w:ascii="Microsoft JhengHei" w:eastAsia="Microsoft JhengHei"/>
                            <w:b/>
                            <w:sz w:val="21"/>
                          </w:rPr>
                        </w:pPr>
                        <w:r>
                          <w:rPr>
                            <w:rFonts w:ascii="Microsoft JhengHei" w:eastAsia="Microsoft JhengHei"/>
                            <w:b/>
                            <w:spacing w:val="-3"/>
                            <w:sz w:val="21"/>
                          </w:rPr>
                          <w:t>投保年龄</w:t>
                        </w:r>
                      </w:p>
                    </w:tc>
                    <w:tc>
                      <w:tcPr>
                        <w:tcW w:w="5924" w:type="dxa"/>
                      </w:tcPr>
                      <w:p>
                        <w:pPr>
                          <w:pStyle w:val="TableParagraph"/>
                          <w:spacing w:line="235" w:lineRule="auto" w:before="123"/>
                          <w:ind w:left="354" w:right="45"/>
                          <w:rPr>
                            <w:sz w:val="21"/>
                          </w:rPr>
                        </w:pPr>
                        <w:r>
                          <w:rPr>
                            <w:sz w:val="21"/>
                          </w:rPr>
                          <w:t>投保年龄指您投保时被保险人的年龄，以</w:t>
                        </w:r>
                        <w:r>
                          <w:rPr>
                            <w:rFonts w:ascii="微软雅黑" w:eastAsia="微软雅黑"/>
                            <w:b/>
                            <w:sz w:val="21"/>
                          </w:rPr>
                          <w:t>周岁</w:t>
                        </w:r>
                        <w:r>
                          <w:rPr>
                            <w:spacing w:val="-11"/>
                            <w:sz w:val="21"/>
                          </w:rPr>
                          <w:t>(见释义 </w:t>
                        </w:r>
                        <w:r>
                          <w:rPr>
                            <w:sz w:val="21"/>
                          </w:rPr>
                          <w:t>13.4)</w:t>
                        </w:r>
                        <w:r>
                          <w:rPr>
                            <w:spacing w:val="-4"/>
                            <w:sz w:val="21"/>
                          </w:rPr>
                          <w:t>计算。</w:t>
                        </w:r>
                      </w:p>
                    </w:tc>
                  </w:tr>
                  <w:tr>
                    <w:trPr>
                      <w:trHeight w:val="475" w:hRule="atLeast"/>
                    </w:trPr>
                    <w:tc>
                      <w:tcPr>
                        <w:tcW w:w="700" w:type="dxa"/>
                      </w:tcPr>
                      <w:p>
                        <w:pPr>
                          <w:pStyle w:val="TableParagraph"/>
                          <w:spacing w:line="342" w:lineRule="exact" w:before="113"/>
                          <w:ind w:left="50"/>
                          <w:rPr>
                            <w:rFonts w:ascii="Microsoft JhengHei"/>
                            <w:b/>
                            <w:sz w:val="21"/>
                          </w:rPr>
                        </w:pPr>
                        <w:r>
                          <w:rPr>
                            <w:rFonts w:ascii="Microsoft JhengHei"/>
                            <w:b/>
                            <w:spacing w:val="-5"/>
                            <w:w w:val="105"/>
                            <w:sz w:val="21"/>
                          </w:rPr>
                          <w:t>1.4</w:t>
                        </w:r>
                      </w:p>
                    </w:tc>
                    <w:tc>
                      <w:tcPr>
                        <w:tcW w:w="1531" w:type="dxa"/>
                      </w:tcPr>
                      <w:p>
                        <w:pPr>
                          <w:pStyle w:val="TableParagraph"/>
                          <w:spacing w:line="342" w:lineRule="exact" w:before="113"/>
                          <w:ind w:left="334"/>
                          <w:rPr>
                            <w:rFonts w:ascii="Microsoft JhengHei" w:eastAsia="Microsoft JhengHei"/>
                            <w:b/>
                            <w:sz w:val="21"/>
                          </w:rPr>
                        </w:pPr>
                        <w:r>
                          <w:rPr>
                            <w:rFonts w:ascii="Microsoft JhengHei" w:eastAsia="Microsoft JhengHei"/>
                            <w:b/>
                            <w:spacing w:val="-4"/>
                            <w:sz w:val="21"/>
                          </w:rPr>
                          <w:t>犹豫期</w:t>
                        </w:r>
                      </w:p>
                    </w:tc>
                    <w:tc>
                      <w:tcPr>
                        <w:tcW w:w="5924" w:type="dxa"/>
                      </w:tcPr>
                      <w:p>
                        <w:pPr>
                          <w:pStyle w:val="TableParagraph"/>
                          <w:spacing w:before="3"/>
                          <w:rPr>
                            <w:sz w:val="14"/>
                          </w:rPr>
                        </w:pPr>
                      </w:p>
                      <w:p>
                        <w:pPr>
                          <w:pStyle w:val="TableParagraph"/>
                          <w:ind w:left="354"/>
                          <w:rPr>
                            <w:sz w:val="21"/>
                          </w:rPr>
                        </w:pPr>
                        <w:r>
                          <w:rPr>
                            <w:spacing w:val="-5"/>
                            <w:sz w:val="21"/>
                          </w:rPr>
                          <w:t>自您签收本合同的次日零时起，有 </w:t>
                        </w:r>
                        <w:r>
                          <w:rPr>
                            <w:spacing w:val="-2"/>
                            <w:sz w:val="21"/>
                          </w:rPr>
                          <w:t>15</w:t>
                        </w:r>
                        <w:r>
                          <w:rPr>
                            <w:spacing w:val="-10"/>
                            <w:sz w:val="21"/>
                          </w:rPr>
                          <w:t> 日的犹豫期。在此期</w:t>
                        </w:r>
                      </w:p>
                    </w:tc>
                  </w:tr>
                  <w:tr>
                    <w:trPr>
                      <w:trHeight w:val="1015" w:hRule="atLeast"/>
                    </w:trPr>
                    <w:tc>
                      <w:tcPr>
                        <w:tcW w:w="2231" w:type="dxa"/>
                        <w:gridSpan w:val="2"/>
                        <w:vMerge w:val="restart"/>
                      </w:tcPr>
                      <w:p>
                        <w:pPr>
                          <w:pStyle w:val="TableParagraph"/>
                          <w:rPr>
                            <w:rFonts w:ascii="Times New Roman"/>
                            <w:sz w:val="20"/>
                          </w:rPr>
                        </w:pPr>
                      </w:p>
                    </w:tc>
                    <w:tc>
                      <w:tcPr>
                        <w:tcW w:w="5924" w:type="dxa"/>
                      </w:tcPr>
                      <w:p>
                        <w:pPr>
                          <w:pStyle w:val="TableParagraph"/>
                          <w:spacing w:line="278" w:lineRule="auto" w:before="24"/>
                          <w:ind w:left="354" w:right="105"/>
                          <w:jc w:val="both"/>
                          <w:rPr>
                            <w:sz w:val="21"/>
                          </w:rPr>
                        </w:pPr>
                        <w:r>
                          <w:rPr>
                            <w:spacing w:val="-2"/>
                            <w:sz w:val="21"/>
                          </w:rPr>
                          <w:t>间，请您认真审视本合同，如果您认为本合同与您的需求不</w:t>
                        </w:r>
                        <w:r>
                          <w:rPr>
                            <w:spacing w:val="-2"/>
                            <w:sz w:val="21"/>
                          </w:rPr>
                          <w:t>相符，您可以在此期间提出解除本合同，我们将在扣除不超</w:t>
                        </w:r>
                        <w:r>
                          <w:rPr>
                            <w:spacing w:val="-11"/>
                            <w:sz w:val="21"/>
                          </w:rPr>
                          <w:t>过 </w:t>
                        </w:r>
                        <w:r>
                          <w:rPr>
                            <w:sz w:val="21"/>
                          </w:rPr>
                          <w:t>10</w:t>
                        </w:r>
                        <w:r>
                          <w:rPr>
                            <w:spacing w:val="-5"/>
                            <w:sz w:val="21"/>
                          </w:rPr>
                          <w:t> 元的工本费后向您无息退还保险费。</w:t>
                        </w:r>
                      </w:p>
                    </w:tc>
                  </w:tr>
                  <w:tr>
                    <w:trPr>
                      <w:trHeight w:val="389" w:hRule="atLeast"/>
                    </w:trPr>
                    <w:tc>
                      <w:tcPr>
                        <w:tcW w:w="2231" w:type="dxa"/>
                        <w:gridSpan w:val="2"/>
                        <w:vMerge/>
                        <w:tcBorders>
                          <w:top w:val="nil"/>
                        </w:tcBorders>
                      </w:tcPr>
                      <w:p>
                        <w:pPr>
                          <w:rPr>
                            <w:sz w:val="2"/>
                            <w:szCs w:val="2"/>
                          </w:rPr>
                        </w:pPr>
                      </w:p>
                    </w:tc>
                    <w:tc>
                      <w:tcPr>
                        <w:tcW w:w="5924" w:type="dxa"/>
                      </w:tcPr>
                      <w:p>
                        <w:pPr>
                          <w:pStyle w:val="TableParagraph"/>
                          <w:spacing w:before="98"/>
                          <w:ind w:left="354"/>
                          <w:rPr>
                            <w:sz w:val="21"/>
                          </w:rPr>
                        </w:pPr>
                        <w:r>
                          <w:rPr>
                            <w:spacing w:val="-3"/>
                            <w:sz w:val="21"/>
                          </w:rPr>
                          <w:t>在犹豫期内解除本合同时，您须填写解除合同申请书，并提</w:t>
                        </w:r>
                      </w:p>
                    </w:tc>
                  </w:tr>
                  <w:tr>
                    <w:trPr>
                      <w:trHeight w:val="312" w:hRule="atLeast"/>
                    </w:trPr>
                    <w:tc>
                      <w:tcPr>
                        <w:tcW w:w="2231" w:type="dxa"/>
                        <w:gridSpan w:val="2"/>
                        <w:vMerge/>
                        <w:tcBorders>
                          <w:top w:val="nil"/>
                        </w:tcBorders>
                      </w:tcPr>
                      <w:p>
                        <w:pPr>
                          <w:rPr>
                            <w:sz w:val="2"/>
                            <w:szCs w:val="2"/>
                          </w:rPr>
                        </w:pPr>
                      </w:p>
                    </w:tc>
                    <w:tc>
                      <w:tcPr>
                        <w:tcW w:w="5924" w:type="dxa"/>
                      </w:tcPr>
                      <w:p>
                        <w:pPr>
                          <w:pStyle w:val="TableParagraph"/>
                          <w:spacing w:line="292" w:lineRule="exact"/>
                          <w:ind w:left="354"/>
                          <w:rPr>
                            <w:sz w:val="21"/>
                          </w:rPr>
                        </w:pPr>
                        <w:r>
                          <w:rPr>
                            <w:spacing w:val="-2"/>
                            <w:sz w:val="21"/>
                          </w:rPr>
                          <w:t>供本合同、您的</w:t>
                        </w:r>
                        <w:r>
                          <w:rPr>
                            <w:rFonts w:ascii="微软雅黑" w:eastAsia="微软雅黑"/>
                            <w:b/>
                            <w:spacing w:val="-2"/>
                            <w:sz w:val="21"/>
                          </w:rPr>
                          <w:t>有效身份证件</w:t>
                        </w:r>
                        <w:r>
                          <w:rPr>
                            <w:spacing w:val="-7"/>
                            <w:sz w:val="21"/>
                          </w:rPr>
                          <w:t>(见释义 </w:t>
                        </w:r>
                        <w:r>
                          <w:rPr>
                            <w:spacing w:val="-2"/>
                            <w:sz w:val="21"/>
                          </w:rPr>
                          <w:t>13.5)</w:t>
                        </w:r>
                        <w:r>
                          <w:rPr>
                            <w:spacing w:val="-4"/>
                            <w:sz w:val="21"/>
                          </w:rPr>
                          <w:t>及您所交保险费</w:t>
                        </w:r>
                      </w:p>
                    </w:tc>
                  </w:tr>
                  <w:tr>
                    <w:trPr>
                      <w:trHeight w:val="312" w:hRule="atLeast"/>
                    </w:trPr>
                    <w:tc>
                      <w:tcPr>
                        <w:tcW w:w="2231" w:type="dxa"/>
                        <w:gridSpan w:val="2"/>
                        <w:vMerge/>
                        <w:tcBorders>
                          <w:top w:val="nil"/>
                        </w:tcBorders>
                      </w:tcPr>
                      <w:p>
                        <w:pPr>
                          <w:rPr>
                            <w:sz w:val="2"/>
                            <w:szCs w:val="2"/>
                          </w:rPr>
                        </w:pPr>
                      </w:p>
                    </w:tc>
                    <w:tc>
                      <w:tcPr>
                        <w:tcW w:w="5924" w:type="dxa"/>
                      </w:tcPr>
                      <w:p>
                        <w:pPr>
                          <w:pStyle w:val="TableParagraph"/>
                          <w:spacing w:before="22"/>
                          <w:ind w:left="354"/>
                          <w:rPr>
                            <w:sz w:val="21"/>
                          </w:rPr>
                        </w:pPr>
                        <w:r>
                          <w:rPr>
                            <w:spacing w:val="-3"/>
                            <w:sz w:val="21"/>
                          </w:rPr>
                          <w:t>的发票。自我们收到您的解除合同申请书时起，本合同即被</w:t>
                        </w:r>
                      </w:p>
                    </w:tc>
                  </w:tr>
                  <w:tr>
                    <w:trPr>
                      <w:trHeight w:val="312" w:hRule="atLeast"/>
                    </w:trPr>
                    <w:tc>
                      <w:tcPr>
                        <w:tcW w:w="2231" w:type="dxa"/>
                        <w:gridSpan w:val="2"/>
                        <w:vMerge/>
                        <w:tcBorders>
                          <w:top w:val="nil"/>
                        </w:tcBorders>
                      </w:tcPr>
                      <w:p>
                        <w:pPr>
                          <w:rPr>
                            <w:sz w:val="2"/>
                            <w:szCs w:val="2"/>
                          </w:rPr>
                        </w:pPr>
                      </w:p>
                    </w:tc>
                    <w:tc>
                      <w:tcPr>
                        <w:tcW w:w="5924" w:type="dxa"/>
                      </w:tcPr>
                      <w:p>
                        <w:pPr>
                          <w:pStyle w:val="TableParagraph"/>
                          <w:spacing w:before="22"/>
                          <w:ind w:left="354"/>
                          <w:rPr>
                            <w:sz w:val="21"/>
                          </w:rPr>
                        </w:pPr>
                        <w:r>
                          <w:rPr>
                            <w:spacing w:val="-3"/>
                            <w:sz w:val="21"/>
                          </w:rPr>
                          <w:t>解除，对于本合同解除前发生的保险事故，我们不承担给付</w:t>
                        </w:r>
                      </w:p>
                    </w:tc>
                  </w:tr>
                  <w:tr>
                    <w:trPr>
                      <w:trHeight w:val="261" w:hRule="atLeast"/>
                    </w:trPr>
                    <w:tc>
                      <w:tcPr>
                        <w:tcW w:w="2231" w:type="dxa"/>
                        <w:gridSpan w:val="2"/>
                        <w:vMerge/>
                        <w:tcBorders>
                          <w:top w:val="nil"/>
                        </w:tcBorders>
                      </w:tcPr>
                      <w:p>
                        <w:pPr>
                          <w:rPr>
                            <w:sz w:val="2"/>
                            <w:szCs w:val="2"/>
                          </w:rPr>
                        </w:pPr>
                      </w:p>
                    </w:tc>
                    <w:tc>
                      <w:tcPr>
                        <w:tcW w:w="5924" w:type="dxa"/>
                      </w:tcPr>
                      <w:p>
                        <w:pPr>
                          <w:pStyle w:val="TableParagraph"/>
                          <w:spacing w:line="220" w:lineRule="exact" w:before="22"/>
                          <w:ind w:left="354"/>
                          <w:rPr>
                            <w:sz w:val="21"/>
                          </w:rPr>
                        </w:pPr>
                        <w:r>
                          <w:rPr>
                            <w:spacing w:val="-4"/>
                            <w:sz w:val="21"/>
                          </w:rPr>
                          <w:t>保险金的责任。</w:t>
                        </w:r>
                      </w:p>
                    </w:tc>
                  </w:tr>
                </w:tbl>
                <w:p>
                  <w:pPr>
                    <w:pStyle w:val="BodyText"/>
                  </w:pPr>
                </w:p>
              </w:txbxContent>
            </v:textbox>
            <w10:wrap type="none"/>
          </v:shape>
        </w:pict>
      </w:r>
      <w:r>
        <w:rPr>
          <w:spacing w:val="-2"/>
        </w:rPr>
        <w:t>合同成立及生</w:t>
      </w:r>
      <w:r>
        <w:rPr>
          <w:spacing w:val="-10"/>
        </w:rPr>
        <w:t>效</w:t>
      </w:r>
    </w:p>
    <w:p>
      <w:pPr>
        <w:pStyle w:val="BodyText"/>
        <w:spacing w:before="72"/>
        <w:ind w:left="244"/>
      </w:pPr>
      <w:r>
        <w:rPr/>
        <w:br w:type="column"/>
      </w:r>
      <w:r>
        <w:rPr>
          <w:spacing w:val="-3"/>
        </w:rPr>
        <w:t>您提出保险申请且我们同意承保，本合同成立。</w:t>
      </w:r>
    </w:p>
    <w:p>
      <w:pPr>
        <w:spacing w:after="0"/>
        <w:sectPr>
          <w:type w:val="continuous"/>
          <w:pgSz w:w="11910" w:h="16840"/>
          <w:pgMar w:header="0" w:footer="226" w:top="240" w:bottom="420" w:left="980" w:right="400"/>
          <w:cols w:num="2" w:equalWidth="0">
            <w:col w:w="3178" w:space="40"/>
            <w:col w:w="7312"/>
          </w:cols>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19"/>
        </w:rPr>
      </w:pPr>
    </w:p>
    <w:p>
      <w:pPr>
        <w:pStyle w:val="Heading1"/>
        <w:numPr>
          <w:ilvl w:val="1"/>
          <w:numId w:val="2"/>
        </w:numPr>
        <w:tabs>
          <w:tab w:pos="1910" w:val="left" w:leader="none"/>
          <w:tab w:pos="1911" w:val="left" w:leader="none"/>
        </w:tabs>
        <w:spacing w:line="429" w:lineRule="exact" w:before="0" w:after="0"/>
        <w:ind w:left="1910" w:right="0" w:hanging="985"/>
        <w:jc w:val="left"/>
      </w:pPr>
      <w:r>
        <w:rPr>
          <w:spacing w:val="-2"/>
        </w:rPr>
        <w:t>我们提供的保障</w:t>
      </w:r>
    </w:p>
    <w:p>
      <w:pPr>
        <w:pStyle w:val="BodyText"/>
        <w:spacing w:line="20" w:lineRule="exact"/>
        <w:ind w:left="820"/>
        <w:rPr>
          <w:rFonts w:ascii="Microsoft JhengHei"/>
          <w:sz w:val="2"/>
        </w:rPr>
      </w:pPr>
      <w:r>
        <w:rPr>
          <w:rFonts w:ascii="Microsoft JhengHei"/>
          <w:sz w:val="2"/>
        </w:rPr>
        <w:drawing>
          <wp:inline distT="0" distB="0" distL="0" distR="0">
            <wp:extent cx="5277830" cy="10858"/>
            <wp:effectExtent l="0" t="0" r="0" b="0"/>
            <wp:docPr id="7" name="image3.png"/>
            <wp:cNvGraphicFramePr>
              <a:graphicFrameLocks noChangeAspect="1"/>
            </wp:cNvGraphicFramePr>
            <a:graphic>
              <a:graphicData uri="http://schemas.openxmlformats.org/drawingml/2006/picture">
                <pic:pic>
                  <pic:nvPicPr>
                    <pic:cNvPr id="8" name="image3.png"/>
                    <pic:cNvPicPr/>
                  </pic:nvPicPr>
                  <pic:blipFill>
                    <a:blip r:embed="rId8" cstate="print"/>
                    <a:stretch>
                      <a:fillRect/>
                    </a:stretch>
                  </pic:blipFill>
                  <pic:spPr>
                    <a:xfrm>
                      <a:off x="0" y="0"/>
                      <a:ext cx="5277830" cy="10858"/>
                    </a:xfrm>
                    <a:prstGeom prst="rect">
                      <a:avLst/>
                    </a:prstGeom>
                  </pic:spPr>
                </pic:pic>
              </a:graphicData>
            </a:graphic>
          </wp:inline>
        </w:drawing>
      </w:r>
      <w:r>
        <w:rPr>
          <w:rFonts w:ascii="Microsoft JhengHei"/>
          <w:sz w:val="2"/>
        </w:rPr>
      </w:r>
    </w:p>
    <w:p>
      <w:pPr>
        <w:pStyle w:val="BodyText"/>
        <w:spacing w:before="12"/>
        <w:rPr>
          <w:rFonts w:ascii="Microsoft JhengHei"/>
          <w:b/>
          <w:sz w:val="13"/>
        </w:rPr>
      </w:pPr>
    </w:p>
    <w:p>
      <w:pPr>
        <w:pStyle w:val="ListParagraph"/>
        <w:numPr>
          <w:ilvl w:val="2"/>
          <w:numId w:val="2"/>
        </w:numPr>
        <w:tabs>
          <w:tab w:pos="1910" w:val="left" w:leader="none"/>
          <w:tab w:pos="1911" w:val="left" w:leader="none"/>
          <w:tab w:pos="3461" w:val="left" w:leader="none"/>
        </w:tabs>
        <w:spacing w:line="355" w:lineRule="exact" w:before="0" w:after="0"/>
        <w:ind w:left="1910" w:right="0" w:hanging="985"/>
        <w:jc w:val="left"/>
        <w:rPr>
          <w:sz w:val="21"/>
        </w:rPr>
      </w:pPr>
      <w:r>
        <w:rPr>
          <w:rFonts w:ascii="Microsoft JhengHei" w:eastAsia="Microsoft JhengHei"/>
          <w:b/>
          <w:position w:val="-1"/>
          <w:sz w:val="21"/>
        </w:rPr>
        <w:t>基本保险金</w:t>
      </w:r>
      <w:r>
        <w:rPr>
          <w:rFonts w:ascii="Microsoft JhengHei" w:eastAsia="Microsoft JhengHei"/>
          <w:b/>
          <w:spacing w:val="-10"/>
          <w:position w:val="-1"/>
          <w:sz w:val="21"/>
        </w:rPr>
        <w:t>额</w:t>
      </w:r>
      <w:r>
        <w:rPr>
          <w:rFonts w:ascii="Microsoft JhengHei" w:eastAsia="Microsoft JhengHei"/>
          <w:b/>
          <w:position w:val="-1"/>
          <w:sz w:val="21"/>
        </w:rPr>
        <w:tab/>
      </w:r>
      <w:r>
        <w:rPr>
          <w:spacing w:val="-2"/>
          <w:sz w:val="21"/>
        </w:rPr>
        <w:t>本</w:t>
      </w:r>
      <w:r>
        <w:rPr>
          <w:spacing w:val="-2"/>
          <w:sz w:val="21"/>
        </w:rPr>
        <w:t>合</w:t>
      </w:r>
      <w:r>
        <w:rPr>
          <w:spacing w:val="-2"/>
          <w:sz w:val="21"/>
        </w:rPr>
        <w:t>同</w:t>
      </w:r>
      <w:r>
        <w:rPr>
          <w:spacing w:val="-2"/>
          <w:sz w:val="21"/>
        </w:rPr>
        <w:t>的</w:t>
      </w:r>
      <w:r>
        <w:rPr>
          <w:spacing w:val="-2"/>
          <w:sz w:val="21"/>
        </w:rPr>
        <w:t>基</w:t>
      </w:r>
      <w:r>
        <w:rPr>
          <w:spacing w:val="-2"/>
          <w:sz w:val="21"/>
        </w:rPr>
        <w:t>本</w:t>
      </w:r>
      <w:r>
        <w:rPr>
          <w:spacing w:val="-2"/>
          <w:sz w:val="21"/>
        </w:rPr>
        <w:t>保</w:t>
      </w:r>
      <w:r>
        <w:rPr>
          <w:spacing w:val="-2"/>
          <w:sz w:val="21"/>
        </w:rPr>
        <w:t>险</w:t>
      </w:r>
      <w:r>
        <w:rPr>
          <w:spacing w:val="-2"/>
          <w:sz w:val="21"/>
        </w:rPr>
        <w:t>金</w:t>
      </w:r>
      <w:r>
        <w:rPr>
          <w:spacing w:val="-2"/>
          <w:sz w:val="21"/>
        </w:rPr>
        <w:t>额</w:t>
      </w:r>
      <w:r>
        <w:rPr>
          <w:spacing w:val="-2"/>
          <w:sz w:val="21"/>
        </w:rPr>
        <w:t>由</w:t>
      </w:r>
      <w:r>
        <w:rPr>
          <w:spacing w:val="-2"/>
          <w:sz w:val="21"/>
        </w:rPr>
        <w:t>您</w:t>
      </w:r>
      <w:r>
        <w:rPr>
          <w:spacing w:val="-2"/>
          <w:sz w:val="21"/>
        </w:rPr>
        <w:t>在</w:t>
      </w:r>
      <w:r>
        <w:rPr>
          <w:spacing w:val="-2"/>
          <w:sz w:val="21"/>
        </w:rPr>
        <w:t>投</w:t>
      </w:r>
      <w:r>
        <w:rPr>
          <w:spacing w:val="-2"/>
          <w:sz w:val="21"/>
        </w:rPr>
        <w:t>保</w:t>
      </w:r>
      <w:r>
        <w:rPr>
          <w:spacing w:val="-2"/>
          <w:sz w:val="21"/>
        </w:rPr>
        <w:t>时</w:t>
      </w:r>
      <w:r>
        <w:rPr>
          <w:spacing w:val="-2"/>
          <w:sz w:val="21"/>
        </w:rPr>
        <w:t>与</w:t>
      </w:r>
      <w:r>
        <w:rPr>
          <w:spacing w:val="-2"/>
          <w:sz w:val="21"/>
        </w:rPr>
        <w:t>我</w:t>
      </w:r>
      <w:r>
        <w:rPr>
          <w:spacing w:val="-2"/>
          <w:sz w:val="21"/>
        </w:rPr>
        <w:t>们</w:t>
      </w:r>
      <w:r>
        <w:rPr>
          <w:spacing w:val="-2"/>
          <w:sz w:val="21"/>
        </w:rPr>
        <w:t>约</w:t>
      </w:r>
      <w:r>
        <w:rPr>
          <w:spacing w:val="-2"/>
          <w:sz w:val="21"/>
        </w:rPr>
        <w:t>定，并</w:t>
      </w:r>
      <w:r>
        <w:rPr>
          <w:spacing w:val="-2"/>
          <w:sz w:val="21"/>
        </w:rPr>
        <w:t>在</w:t>
      </w:r>
      <w:r>
        <w:rPr>
          <w:spacing w:val="-2"/>
          <w:sz w:val="21"/>
        </w:rPr>
        <w:t>保</w:t>
      </w:r>
      <w:r>
        <w:rPr>
          <w:spacing w:val="-10"/>
          <w:sz w:val="21"/>
        </w:rPr>
        <w:t>险</w:t>
      </w:r>
    </w:p>
    <w:p>
      <w:pPr>
        <w:pStyle w:val="BodyText"/>
        <w:spacing w:line="237" w:lineRule="exact"/>
        <w:ind w:left="3462"/>
      </w:pPr>
      <w:r>
        <w:rPr>
          <w:spacing w:val="-3"/>
        </w:rPr>
        <w:t>单上载明。若该金额发生变更，则以变更后的金额为基本保</w:t>
      </w:r>
    </w:p>
    <w:p>
      <w:pPr>
        <w:pStyle w:val="BodyText"/>
        <w:spacing w:before="5"/>
        <w:ind w:left="3462"/>
      </w:pPr>
      <w:r>
        <w:rPr>
          <w:spacing w:val="-3"/>
        </w:rPr>
        <w:t>险金额。</w:t>
      </w:r>
    </w:p>
    <w:p>
      <w:pPr>
        <w:pStyle w:val="BodyText"/>
        <w:spacing w:before="2"/>
        <w:rPr>
          <w:sz w:val="22"/>
        </w:rPr>
      </w:pPr>
    </w:p>
    <w:p>
      <w:pPr>
        <w:spacing w:after="0"/>
        <w:rPr>
          <w:sz w:val="22"/>
        </w:rPr>
        <w:sectPr>
          <w:type w:val="continuous"/>
          <w:pgSz w:w="11910" w:h="16840"/>
          <w:pgMar w:header="0" w:footer="226" w:top="240" w:bottom="420" w:left="980" w:right="400"/>
        </w:sectPr>
      </w:pPr>
    </w:p>
    <w:p>
      <w:pPr>
        <w:pStyle w:val="Heading2"/>
        <w:numPr>
          <w:ilvl w:val="2"/>
          <w:numId w:val="2"/>
        </w:numPr>
        <w:tabs>
          <w:tab w:pos="1910" w:val="left" w:leader="none"/>
          <w:tab w:pos="1911" w:val="left" w:leader="none"/>
        </w:tabs>
        <w:spacing w:line="194" w:lineRule="auto" w:before="55" w:after="0"/>
        <w:ind w:left="1910" w:right="0" w:hanging="985"/>
        <w:jc w:val="left"/>
      </w:pPr>
      <w:r>
        <w:rPr>
          <w:spacing w:val="-2"/>
        </w:rPr>
        <w:t>未成年人身故</w:t>
      </w:r>
      <w:r>
        <w:rPr>
          <w:spacing w:val="-2"/>
        </w:rPr>
        <w:t>保险金额限制</w:t>
      </w:r>
    </w:p>
    <w:p>
      <w:pPr>
        <w:pStyle w:val="BodyText"/>
        <w:spacing w:line="278" w:lineRule="auto" w:before="71"/>
        <w:ind w:left="244" w:right="1597"/>
      </w:pPr>
      <w:r>
        <w:rPr/>
        <w:br w:type="column"/>
      </w:r>
      <w:r>
        <w:rPr>
          <w:spacing w:val="-2"/>
        </w:rPr>
        <w:t>为未成年子女投保的人身保险，身故给付的保险金额总和约</w:t>
      </w:r>
      <w:r>
        <w:rPr>
          <w:spacing w:val="-2"/>
        </w:rPr>
        <w:t>定不得超过国务院保险监督管理机构规定的限额。</w:t>
      </w:r>
    </w:p>
    <w:p>
      <w:pPr>
        <w:spacing w:after="0" w:line="278" w:lineRule="auto"/>
        <w:sectPr>
          <w:type w:val="continuous"/>
          <w:pgSz w:w="11910" w:h="16840"/>
          <w:pgMar w:header="0" w:footer="226" w:top="240" w:bottom="420" w:left="980" w:right="400"/>
          <w:cols w:num="2" w:equalWidth="0">
            <w:col w:w="3178" w:space="40"/>
            <w:col w:w="7312"/>
          </w:cols>
        </w:sectPr>
      </w:pPr>
    </w:p>
    <w:p>
      <w:pPr>
        <w:pStyle w:val="BodyText"/>
        <w:rPr>
          <w:sz w:val="20"/>
        </w:rPr>
      </w:pPr>
    </w:p>
    <w:p>
      <w:pPr>
        <w:pStyle w:val="BodyText"/>
        <w:spacing w:before="7"/>
        <w:rPr>
          <w:sz w:val="26"/>
        </w:rPr>
      </w:pPr>
    </w:p>
    <w:p>
      <w:pPr>
        <w:pStyle w:val="ListParagraph"/>
        <w:numPr>
          <w:ilvl w:val="2"/>
          <w:numId w:val="2"/>
        </w:numPr>
        <w:tabs>
          <w:tab w:pos="1910" w:val="left" w:leader="none"/>
          <w:tab w:pos="1911" w:val="left" w:leader="none"/>
          <w:tab w:pos="3461" w:val="left" w:leader="none"/>
        </w:tabs>
        <w:spacing w:line="384" w:lineRule="exact" w:before="2" w:after="0"/>
        <w:ind w:left="1910" w:right="0" w:hanging="985"/>
        <w:jc w:val="left"/>
        <w:rPr>
          <w:sz w:val="21"/>
        </w:rPr>
      </w:pPr>
      <w:r>
        <w:rPr>
          <w:rFonts w:ascii="Microsoft JhengHei" w:eastAsia="Microsoft JhengHei"/>
          <w:b/>
          <w:sz w:val="21"/>
        </w:rPr>
        <w:t>保险期</w:t>
      </w:r>
      <w:r>
        <w:rPr>
          <w:rFonts w:ascii="Microsoft JhengHei" w:eastAsia="Microsoft JhengHei"/>
          <w:b/>
          <w:spacing w:val="-10"/>
          <w:sz w:val="21"/>
        </w:rPr>
        <w:t>间</w:t>
      </w:r>
      <w:r>
        <w:rPr>
          <w:rFonts w:ascii="Microsoft JhengHei" w:eastAsia="Microsoft JhengHei"/>
          <w:b/>
          <w:sz w:val="21"/>
        </w:rPr>
        <w:tab/>
      </w:r>
      <w:r>
        <w:rPr>
          <w:spacing w:val="-2"/>
          <w:sz w:val="21"/>
        </w:rPr>
        <w:t>本</w:t>
      </w:r>
      <w:r>
        <w:rPr>
          <w:spacing w:val="-2"/>
          <w:sz w:val="21"/>
        </w:rPr>
        <w:t>合</w:t>
      </w:r>
      <w:r>
        <w:rPr>
          <w:spacing w:val="-2"/>
          <w:sz w:val="21"/>
        </w:rPr>
        <w:t>同</w:t>
      </w:r>
      <w:r>
        <w:rPr>
          <w:spacing w:val="-2"/>
          <w:sz w:val="21"/>
        </w:rPr>
        <w:t>的</w:t>
      </w:r>
      <w:r>
        <w:rPr>
          <w:spacing w:val="-2"/>
          <w:sz w:val="21"/>
        </w:rPr>
        <w:t>保</w:t>
      </w:r>
      <w:r>
        <w:rPr>
          <w:spacing w:val="-2"/>
          <w:sz w:val="21"/>
        </w:rPr>
        <w:t>险</w:t>
      </w:r>
      <w:r>
        <w:rPr>
          <w:spacing w:val="-2"/>
          <w:sz w:val="21"/>
        </w:rPr>
        <w:t>期</w:t>
      </w:r>
      <w:r>
        <w:rPr>
          <w:spacing w:val="-2"/>
          <w:sz w:val="21"/>
        </w:rPr>
        <w:t>间</w:t>
      </w:r>
      <w:r>
        <w:rPr>
          <w:spacing w:val="-2"/>
          <w:sz w:val="21"/>
        </w:rPr>
        <w:t>为</w:t>
      </w:r>
      <w:r>
        <w:rPr>
          <w:spacing w:val="-2"/>
          <w:sz w:val="21"/>
        </w:rPr>
        <w:t>终</w:t>
      </w:r>
      <w:r>
        <w:rPr>
          <w:spacing w:val="-2"/>
          <w:sz w:val="21"/>
        </w:rPr>
        <w:t>身</w:t>
      </w:r>
      <w:r>
        <w:rPr>
          <w:spacing w:val="-2"/>
          <w:sz w:val="21"/>
        </w:rPr>
        <w:t>，自</w:t>
      </w:r>
      <w:r>
        <w:rPr>
          <w:spacing w:val="-2"/>
          <w:sz w:val="21"/>
        </w:rPr>
        <w:t>本</w:t>
      </w:r>
      <w:r>
        <w:rPr>
          <w:spacing w:val="-2"/>
          <w:sz w:val="21"/>
        </w:rPr>
        <w:t>合</w:t>
      </w:r>
      <w:r>
        <w:rPr>
          <w:spacing w:val="-2"/>
          <w:sz w:val="21"/>
        </w:rPr>
        <w:t>同</w:t>
      </w:r>
      <w:r>
        <w:rPr>
          <w:spacing w:val="-2"/>
          <w:sz w:val="21"/>
        </w:rPr>
        <w:t>生</w:t>
      </w:r>
      <w:r>
        <w:rPr>
          <w:spacing w:val="-2"/>
          <w:sz w:val="21"/>
        </w:rPr>
        <w:t>效</w:t>
      </w:r>
      <w:r>
        <w:rPr>
          <w:spacing w:val="-2"/>
          <w:sz w:val="21"/>
        </w:rPr>
        <w:t>日</w:t>
      </w:r>
      <w:r>
        <w:rPr>
          <w:spacing w:val="-2"/>
          <w:sz w:val="21"/>
        </w:rPr>
        <w:t>零</w:t>
      </w:r>
      <w:r>
        <w:rPr>
          <w:spacing w:val="-2"/>
          <w:sz w:val="21"/>
        </w:rPr>
        <w:t>时开始，</w:t>
      </w:r>
      <w:r>
        <w:rPr>
          <w:spacing w:val="-2"/>
          <w:sz w:val="21"/>
        </w:rPr>
        <w:t>并</w:t>
      </w:r>
      <w:r>
        <w:rPr>
          <w:spacing w:val="-10"/>
          <w:sz w:val="21"/>
        </w:rPr>
        <w:t>在</w:t>
      </w:r>
    </w:p>
    <w:p>
      <w:pPr>
        <w:pStyle w:val="BodyText"/>
        <w:spacing w:line="267" w:lineRule="exact"/>
        <w:ind w:left="3462"/>
      </w:pPr>
      <w:r>
        <w:rPr>
          <w:spacing w:val="-4"/>
        </w:rPr>
        <w:t>保险单上载明。</w:t>
      </w:r>
    </w:p>
    <w:p>
      <w:pPr>
        <w:spacing w:after="0" w:line="267" w:lineRule="exact"/>
        <w:sectPr>
          <w:type w:val="continuous"/>
          <w:pgSz w:w="11910" w:h="16840"/>
          <w:pgMar w:header="0" w:footer="226" w:top="240" w:bottom="420" w:left="980" w:right="400"/>
        </w:sectPr>
      </w:pPr>
    </w:p>
    <w:p>
      <w:pPr>
        <w:pStyle w:val="ListParagraph"/>
        <w:numPr>
          <w:ilvl w:val="2"/>
          <w:numId w:val="2"/>
        </w:numPr>
        <w:tabs>
          <w:tab w:pos="1910" w:val="left" w:leader="none"/>
          <w:tab w:pos="1911" w:val="left" w:leader="none"/>
          <w:tab w:pos="3461" w:val="left" w:leader="none"/>
        </w:tabs>
        <w:spacing w:line="368" w:lineRule="exact" w:before="0" w:after="0"/>
        <w:ind w:left="1910" w:right="0" w:hanging="985"/>
        <w:jc w:val="left"/>
        <w:rPr>
          <w:sz w:val="21"/>
        </w:rPr>
      </w:pPr>
      <w:r>
        <w:rPr>
          <w:rFonts w:ascii="Microsoft JhengHei" w:eastAsia="Microsoft JhengHei"/>
          <w:b/>
          <w:sz w:val="21"/>
        </w:rPr>
        <w:t>保险责</w:t>
      </w:r>
      <w:r>
        <w:rPr>
          <w:rFonts w:ascii="Microsoft JhengHei" w:eastAsia="Microsoft JhengHei"/>
          <w:b/>
          <w:spacing w:val="-10"/>
          <w:sz w:val="21"/>
        </w:rPr>
        <w:t>任</w:t>
      </w:r>
      <w:r>
        <w:rPr>
          <w:rFonts w:ascii="Microsoft JhengHei" w:eastAsia="Microsoft JhengHei"/>
          <w:b/>
          <w:sz w:val="21"/>
        </w:rPr>
        <w:tab/>
      </w:r>
      <w:r>
        <w:rPr>
          <w:spacing w:val="-2"/>
          <w:sz w:val="21"/>
        </w:rPr>
        <w:t>在</w:t>
      </w:r>
      <w:r>
        <w:rPr>
          <w:spacing w:val="-2"/>
          <w:sz w:val="21"/>
        </w:rPr>
        <w:t>本</w:t>
      </w:r>
      <w:r>
        <w:rPr>
          <w:spacing w:val="-2"/>
          <w:sz w:val="21"/>
        </w:rPr>
        <w:t>合</w:t>
      </w:r>
      <w:r>
        <w:rPr>
          <w:spacing w:val="-2"/>
          <w:sz w:val="21"/>
        </w:rPr>
        <w:t>同</w:t>
      </w:r>
      <w:r>
        <w:rPr>
          <w:spacing w:val="-2"/>
          <w:sz w:val="21"/>
        </w:rPr>
        <w:t>保</w:t>
      </w:r>
      <w:r>
        <w:rPr>
          <w:spacing w:val="-2"/>
          <w:sz w:val="21"/>
        </w:rPr>
        <w:t>险</w:t>
      </w:r>
      <w:r>
        <w:rPr>
          <w:spacing w:val="-2"/>
          <w:sz w:val="21"/>
        </w:rPr>
        <w:t>期</w:t>
      </w:r>
      <w:r>
        <w:rPr>
          <w:spacing w:val="-2"/>
          <w:sz w:val="21"/>
        </w:rPr>
        <w:t>间</w:t>
      </w:r>
      <w:r>
        <w:rPr>
          <w:spacing w:val="-2"/>
          <w:sz w:val="21"/>
        </w:rPr>
        <w:t>内，</w:t>
      </w:r>
      <w:r>
        <w:rPr>
          <w:spacing w:val="-2"/>
          <w:sz w:val="21"/>
        </w:rPr>
        <w:t>我</w:t>
      </w:r>
      <w:r>
        <w:rPr>
          <w:spacing w:val="-2"/>
          <w:sz w:val="21"/>
        </w:rPr>
        <w:t>们</w:t>
      </w:r>
      <w:r>
        <w:rPr>
          <w:spacing w:val="-2"/>
          <w:sz w:val="21"/>
        </w:rPr>
        <w:t>承</w:t>
      </w:r>
      <w:r>
        <w:rPr>
          <w:spacing w:val="-2"/>
          <w:sz w:val="21"/>
        </w:rPr>
        <w:t>担</w:t>
      </w:r>
      <w:r>
        <w:rPr>
          <w:spacing w:val="-2"/>
          <w:sz w:val="21"/>
        </w:rPr>
        <w:t>下</w:t>
      </w:r>
      <w:r>
        <w:rPr>
          <w:spacing w:val="-2"/>
          <w:sz w:val="21"/>
        </w:rPr>
        <w:t>列</w:t>
      </w:r>
      <w:r>
        <w:rPr>
          <w:spacing w:val="-2"/>
          <w:sz w:val="21"/>
        </w:rPr>
        <w:t>保</w:t>
      </w:r>
      <w:r>
        <w:rPr>
          <w:spacing w:val="-2"/>
          <w:sz w:val="21"/>
        </w:rPr>
        <w:t>险</w:t>
      </w:r>
      <w:r>
        <w:rPr>
          <w:spacing w:val="-2"/>
          <w:sz w:val="21"/>
        </w:rPr>
        <w:t>责</w:t>
      </w:r>
      <w:r>
        <w:rPr>
          <w:spacing w:val="-2"/>
          <w:sz w:val="21"/>
        </w:rPr>
        <w:t>任</w:t>
      </w:r>
      <w:r>
        <w:rPr>
          <w:spacing w:val="-10"/>
          <w:sz w:val="21"/>
        </w:rPr>
        <w:t>：</w:t>
      </w:r>
    </w:p>
    <w:p>
      <w:pPr>
        <w:pStyle w:val="BodyText"/>
        <w:spacing w:before="8"/>
        <w:rPr>
          <w:sz w:val="19"/>
        </w:rPr>
      </w:pPr>
    </w:p>
    <w:p>
      <w:pPr>
        <w:pStyle w:val="BodyText"/>
        <w:tabs>
          <w:tab w:pos="3461" w:val="left" w:leader="none"/>
        </w:tabs>
        <w:spacing w:line="384" w:lineRule="exact" w:before="1"/>
        <w:ind w:left="1910"/>
      </w:pPr>
      <w:r>
        <w:rPr>
          <w:rFonts w:ascii="Microsoft JhengHei" w:eastAsia="Microsoft JhengHei"/>
          <w:b/>
        </w:rPr>
        <w:t>等待</w:t>
      </w:r>
      <w:r>
        <w:rPr>
          <w:rFonts w:ascii="Microsoft JhengHei" w:eastAsia="Microsoft JhengHei"/>
          <w:b/>
          <w:spacing w:val="-10"/>
        </w:rPr>
        <w:t>期</w:t>
      </w:r>
      <w:r>
        <w:rPr>
          <w:rFonts w:ascii="Microsoft JhengHei" w:eastAsia="Microsoft JhengHei"/>
          <w:b/>
        </w:rPr>
        <w:tab/>
      </w:r>
      <w:r>
        <w:rPr>
          <w:spacing w:val="-2"/>
        </w:rPr>
        <w:t>自</w:t>
      </w:r>
      <w:r>
        <w:rPr>
          <w:spacing w:val="-2"/>
        </w:rPr>
        <w:t>本</w:t>
      </w:r>
      <w:r>
        <w:rPr>
          <w:spacing w:val="-2"/>
        </w:rPr>
        <w:t>合</w:t>
      </w:r>
      <w:r>
        <w:rPr>
          <w:spacing w:val="-2"/>
        </w:rPr>
        <w:t>同</w:t>
      </w:r>
      <w:r>
        <w:rPr>
          <w:spacing w:val="-2"/>
        </w:rPr>
        <w:t>生</w:t>
      </w:r>
      <w:r>
        <w:rPr>
          <w:spacing w:val="-2"/>
        </w:rPr>
        <w:t>效</w:t>
      </w:r>
      <w:r>
        <w:rPr>
          <w:spacing w:val="-2"/>
        </w:rPr>
        <w:t>（</w:t>
      </w:r>
      <w:r>
        <w:rPr>
          <w:spacing w:val="-2"/>
        </w:rPr>
        <w:t>若</w:t>
      </w:r>
      <w:r>
        <w:rPr>
          <w:spacing w:val="-2"/>
        </w:rPr>
        <w:t>曾</w:t>
      </w:r>
      <w:r>
        <w:rPr>
          <w:spacing w:val="-2"/>
        </w:rPr>
        <w:t>复</w:t>
      </w:r>
      <w:r>
        <w:rPr>
          <w:spacing w:val="-2"/>
        </w:rPr>
        <w:t>效</w:t>
      </w:r>
      <w:r>
        <w:rPr>
          <w:spacing w:val="-2"/>
        </w:rPr>
        <w:t>，则</w:t>
      </w:r>
      <w:r>
        <w:rPr>
          <w:spacing w:val="-2"/>
        </w:rPr>
        <w:t>自</w:t>
      </w:r>
      <w:r>
        <w:rPr>
          <w:spacing w:val="-2"/>
        </w:rPr>
        <w:t>合</w:t>
      </w:r>
      <w:r>
        <w:rPr>
          <w:spacing w:val="-2"/>
        </w:rPr>
        <w:t>同</w:t>
      </w:r>
      <w:r>
        <w:rPr>
          <w:spacing w:val="-2"/>
        </w:rPr>
        <w:t>最</w:t>
      </w:r>
      <w:r>
        <w:rPr>
          <w:spacing w:val="-2"/>
        </w:rPr>
        <w:t>后</w:t>
      </w:r>
      <w:r>
        <w:rPr>
          <w:spacing w:val="-2"/>
        </w:rPr>
        <w:t>复</w:t>
      </w:r>
      <w:r>
        <w:rPr>
          <w:spacing w:val="-2"/>
        </w:rPr>
        <w:t>效</w:t>
      </w:r>
      <w:r>
        <w:rPr>
          <w:spacing w:val="-2"/>
        </w:rPr>
        <w:t>）之日起</w:t>
      </w:r>
      <w:r>
        <w:rPr>
          <w:spacing w:val="-35"/>
        </w:rPr>
        <w:t> </w:t>
      </w:r>
      <w:r>
        <w:rPr>
          <w:spacing w:val="-5"/>
        </w:rPr>
        <w:t>90</w:t>
      </w:r>
    </w:p>
    <w:p>
      <w:pPr>
        <w:pStyle w:val="BodyText"/>
        <w:spacing w:line="199" w:lineRule="auto" w:before="33"/>
        <w:ind w:left="3462" w:right="1696"/>
      </w:pPr>
      <w:r>
        <w:rPr/>
        <w:t>日内（</w:t>
      </w:r>
      <w:r>
        <w:rPr>
          <w:spacing w:val="-18"/>
        </w:rPr>
        <w:t>含第 </w:t>
      </w:r>
      <w:r>
        <w:rPr/>
        <w:t>90</w:t>
      </w:r>
      <w:r>
        <w:rPr>
          <w:spacing w:val="-27"/>
        </w:rPr>
        <w:t> 日</w:t>
      </w:r>
      <w:r>
        <w:rPr/>
        <w:t>）为等待期。若被保险人于本合同等待期内身故、</w:t>
      </w:r>
      <w:r>
        <w:rPr>
          <w:rFonts w:ascii="微软雅黑" w:eastAsia="微软雅黑"/>
          <w:b/>
        </w:rPr>
        <w:t>高残</w:t>
      </w:r>
      <w:r>
        <w:rPr>
          <w:spacing w:val="-11"/>
        </w:rPr>
        <w:t>(见释义 </w:t>
      </w:r>
      <w:r>
        <w:rPr/>
        <w:t>13.6)，或经</w:t>
      </w:r>
      <w:r>
        <w:rPr>
          <w:rFonts w:ascii="微软雅黑" w:eastAsia="微软雅黑"/>
          <w:b/>
        </w:rPr>
        <w:t>医院</w:t>
      </w:r>
      <w:r>
        <w:rPr>
          <w:spacing w:val="-11"/>
        </w:rPr>
        <w:t>(见释义 </w:t>
      </w:r>
      <w:r>
        <w:rPr/>
        <w:t>13.7)的</w:t>
      </w:r>
      <w:r>
        <w:rPr>
          <w:rFonts w:ascii="微软雅黑" w:eastAsia="微软雅黑"/>
          <w:b/>
        </w:rPr>
        <w:t>专</w:t>
      </w:r>
      <w:r>
        <w:rPr>
          <w:rFonts w:ascii="微软雅黑" w:eastAsia="微软雅黑"/>
          <w:b/>
        </w:rPr>
        <w:t>科医生</w:t>
      </w:r>
      <w:r>
        <w:rPr>
          <w:spacing w:val="-11"/>
        </w:rPr>
        <w:t>(见释义 </w:t>
      </w:r>
      <w:r>
        <w:rPr/>
        <w:t>13.8)</w:t>
      </w:r>
      <w:r>
        <w:rPr>
          <w:rFonts w:ascii="微软雅黑" w:eastAsia="微软雅黑"/>
          <w:b/>
        </w:rPr>
        <w:t>初次确诊</w:t>
      </w:r>
      <w:r>
        <w:rPr>
          <w:spacing w:val="-11"/>
        </w:rPr>
        <w:t>(见释义 </w:t>
      </w:r>
      <w:r>
        <w:rPr/>
        <w:t>13.9)发生本合同所</w:t>
      </w:r>
      <w:r>
        <w:rPr/>
        <w:t>定义的</w:t>
      </w:r>
      <w:r>
        <w:rPr>
          <w:rFonts w:ascii="微软雅黑" w:eastAsia="微软雅黑"/>
          <w:b/>
        </w:rPr>
        <w:t>重度疾病</w:t>
      </w:r>
      <w:r>
        <w:rPr/>
        <w:t>（</w:t>
      </w:r>
      <w:r>
        <w:rPr>
          <w:spacing w:val="-10"/>
        </w:rPr>
        <w:t>见定义 </w:t>
      </w:r>
      <w:r>
        <w:rPr/>
        <w:t>9.1）或者</w:t>
      </w:r>
      <w:r>
        <w:rPr>
          <w:rFonts w:ascii="微软雅黑" w:eastAsia="微软雅黑"/>
          <w:b/>
        </w:rPr>
        <w:t>极重度疾病</w:t>
      </w:r>
      <w:r>
        <w:rPr/>
        <w:t>（见定义 </w:t>
      </w:r>
      <w:r>
        <w:rPr>
          <w:spacing w:val="15"/>
        </w:rPr>
        <w:t>12.1</w:t>
      </w:r>
      <w:r>
        <w:rPr>
          <w:spacing w:val="-91"/>
        </w:rPr>
        <w:t>）</w:t>
      </w:r>
      <w:r>
        <w:rPr>
          <w:spacing w:val="15"/>
        </w:rPr>
        <w:t>（</w:t>
      </w:r>
      <w:r>
        <w:rPr>
          <w:spacing w:val="-2"/>
        </w:rPr>
        <w:t>无论一种或者多种）或达到</w:t>
      </w:r>
      <w:r>
        <w:rPr>
          <w:rFonts w:ascii="微软雅黑" w:eastAsia="微软雅黑"/>
          <w:b/>
          <w:spacing w:val="-2"/>
        </w:rPr>
        <w:t>疾病终末期</w:t>
      </w:r>
      <w:r>
        <w:rPr>
          <w:spacing w:val="-2"/>
        </w:rPr>
        <w:t>（见释义</w:t>
      </w:r>
    </w:p>
    <w:p>
      <w:pPr>
        <w:pStyle w:val="BodyText"/>
        <w:spacing w:line="278" w:lineRule="auto" w:before="16"/>
        <w:ind w:left="3462" w:right="1595"/>
      </w:pPr>
      <w:r>
        <w:rPr>
          <w:spacing w:val="11"/>
        </w:rPr>
        <w:t>13.10</w:t>
      </w:r>
      <w:r>
        <w:rPr>
          <w:spacing w:val="-95"/>
        </w:rPr>
        <w:t>）</w:t>
      </w:r>
      <w:r>
        <w:rPr>
          <w:spacing w:val="-4"/>
        </w:rPr>
        <w:t>，我们不承担给付保险金责任，并返还本合同累计已</w:t>
      </w:r>
      <w:r>
        <w:rPr>
          <w:spacing w:val="-2"/>
        </w:rPr>
        <w:t>交保险费之和（不计利息</w:t>
      </w:r>
      <w:r>
        <w:rPr>
          <w:spacing w:val="-106"/>
        </w:rPr>
        <w:t>）</w:t>
      </w:r>
      <w:r>
        <w:rPr>
          <w:spacing w:val="-2"/>
        </w:rPr>
        <w:t>，本合同终止。</w:t>
      </w:r>
    </w:p>
    <w:p>
      <w:pPr>
        <w:pStyle w:val="BodyText"/>
        <w:spacing w:line="225" w:lineRule="auto" w:before="167"/>
        <w:ind w:left="3462" w:right="1597"/>
        <w:jc w:val="both"/>
        <w:rPr>
          <w:rFonts w:ascii="微软雅黑" w:eastAsia="微软雅黑"/>
          <w:b/>
        </w:rPr>
      </w:pPr>
      <w:r>
        <w:rPr>
          <w:spacing w:val="-2"/>
        </w:rPr>
        <w:t>若被保险人于本合同等待期内经医院的专科医生初次确诊发</w:t>
      </w:r>
      <w:r>
        <w:rPr/>
        <w:t>生本合同所定义的</w:t>
      </w:r>
      <w:r>
        <w:rPr>
          <w:rFonts w:ascii="微软雅黑" w:eastAsia="微软雅黑"/>
          <w:b/>
        </w:rPr>
        <w:t>中度疾病</w:t>
      </w:r>
      <w:r>
        <w:rPr/>
        <w:t>（</w:t>
      </w:r>
      <w:r>
        <w:rPr>
          <w:spacing w:val="-13"/>
        </w:rPr>
        <w:t>见定义 </w:t>
      </w:r>
      <w:r>
        <w:rPr/>
        <w:t>10.1）或者</w:t>
      </w:r>
      <w:r>
        <w:rPr>
          <w:rFonts w:ascii="微软雅黑" w:eastAsia="微软雅黑"/>
          <w:b/>
        </w:rPr>
        <w:t>轻度疾病</w:t>
      </w:r>
    </w:p>
    <w:p>
      <w:pPr>
        <w:pStyle w:val="BodyText"/>
        <w:spacing w:line="315" w:lineRule="exact"/>
        <w:ind w:left="3462"/>
        <w:jc w:val="both"/>
      </w:pPr>
      <w:r>
        <w:rPr>
          <w:spacing w:val="-6"/>
        </w:rPr>
        <w:t>（</w:t>
      </w:r>
      <w:r>
        <w:rPr>
          <w:spacing w:val="-10"/>
        </w:rPr>
        <w:t>见定义 </w:t>
      </w:r>
      <w:r>
        <w:rPr>
          <w:spacing w:val="12"/>
        </w:rPr>
        <w:t>11</w:t>
      </w:r>
      <w:r>
        <w:rPr>
          <w:spacing w:val="7"/>
        </w:rPr>
        <w:t>.</w:t>
      </w:r>
      <w:r>
        <w:rPr>
          <w:spacing w:val="12"/>
        </w:rPr>
        <w:t>1</w:t>
      </w:r>
      <w:r>
        <w:rPr>
          <w:spacing w:val="-94"/>
        </w:rPr>
        <w:t>）</w:t>
      </w:r>
      <w:r>
        <w:rPr>
          <w:spacing w:val="12"/>
        </w:rPr>
        <w:t>（</w:t>
      </w:r>
      <w:r>
        <w:rPr>
          <w:spacing w:val="-6"/>
        </w:rPr>
        <w:t>无论一种或者多种</w:t>
      </w:r>
      <w:r>
        <w:rPr>
          <w:spacing w:val="-106"/>
        </w:rPr>
        <w:t>）</w:t>
      </w:r>
      <w:r>
        <w:rPr>
          <w:spacing w:val="-6"/>
        </w:rPr>
        <w:t>，或在</w:t>
      </w:r>
      <w:r>
        <w:rPr>
          <w:rFonts w:ascii="微软雅黑" w:eastAsia="微软雅黑"/>
          <w:b/>
          <w:spacing w:val="-6"/>
        </w:rPr>
        <w:t>医院住院</w:t>
      </w:r>
      <w:r>
        <w:rPr>
          <w:spacing w:val="-6"/>
        </w:rPr>
        <w:t>（</w:t>
      </w:r>
      <w:r>
        <w:rPr>
          <w:spacing w:val="-8"/>
        </w:rPr>
        <w:t>见释</w:t>
      </w:r>
    </w:p>
    <w:p>
      <w:pPr>
        <w:pStyle w:val="BodyText"/>
        <w:spacing w:line="278" w:lineRule="auto"/>
        <w:ind w:left="3462" w:right="1543"/>
        <w:jc w:val="both"/>
      </w:pPr>
      <w:r>
        <w:rPr>
          <w:spacing w:val="-6"/>
        </w:rPr>
        <w:t>义 </w:t>
      </w:r>
      <w:r>
        <w:rPr>
          <w:spacing w:val="-2"/>
        </w:rPr>
        <w:t>13.11）治疗的（若您选择了住院关怀津贴保险金责任</w:t>
      </w:r>
      <w:r>
        <w:rPr>
          <w:spacing w:val="-114"/>
        </w:rPr>
        <w:t>）</w:t>
      </w:r>
      <w:r>
        <w:rPr>
          <w:spacing w:val="-8"/>
        </w:rPr>
        <w:t>，</w:t>
      </w:r>
      <w:r>
        <w:rPr>
          <w:spacing w:val="-2"/>
        </w:rPr>
        <w:t>我们不承担给付保险金责任及豁免保险费责任，本合同继续</w:t>
      </w:r>
      <w:r>
        <w:rPr>
          <w:spacing w:val="-4"/>
        </w:rPr>
        <w:t>有效。</w:t>
      </w:r>
    </w:p>
    <w:p>
      <w:pPr>
        <w:pStyle w:val="BodyText"/>
        <w:spacing w:line="235" w:lineRule="auto" w:before="88"/>
        <w:ind w:left="3462" w:right="1643"/>
        <w:jc w:val="both"/>
      </w:pPr>
      <w:r>
        <w:rPr>
          <w:spacing w:val="-2"/>
        </w:rPr>
        <w:t>被保险人因</w:t>
      </w:r>
      <w:r>
        <w:rPr>
          <w:rFonts w:ascii="微软雅黑" w:eastAsia="微软雅黑"/>
          <w:b/>
          <w:spacing w:val="-2"/>
        </w:rPr>
        <w:t>意外伤害</w:t>
      </w:r>
      <w:r>
        <w:rPr>
          <w:spacing w:val="-6"/>
        </w:rPr>
        <w:t>(见释义 </w:t>
      </w:r>
      <w:r>
        <w:rPr>
          <w:spacing w:val="-2"/>
        </w:rPr>
        <w:t>13.12)发生上述情形的，不受</w:t>
      </w:r>
      <w:r>
        <w:rPr>
          <w:spacing w:val="-2"/>
        </w:rPr>
        <w:t>等待期的限制。</w:t>
      </w:r>
    </w:p>
    <w:p>
      <w:pPr>
        <w:pStyle w:val="BodyText"/>
        <w:spacing w:before="5"/>
        <w:rPr>
          <w:sz w:val="23"/>
        </w:rPr>
      </w:pPr>
    </w:p>
    <w:p>
      <w:pPr>
        <w:pStyle w:val="Heading2"/>
        <w:spacing w:before="0"/>
      </w:pPr>
      <w:r>
        <w:rPr>
          <w:spacing w:val="-3"/>
        </w:rPr>
        <w:t>必选责任</w:t>
      </w:r>
    </w:p>
    <w:p>
      <w:pPr>
        <w:pStyle w:val="BodyText"/>
        <w:spacing w:before="6"/>
        <w:rPr>
          <w:rFonts w:ascii="Microsoft JhengHei"/>
          <w:b/>
          <w:sz w:val="13"/>
        </w:rPr>
      </w:pPr>
    </w:p>
    <w:p>
      <w:pPr>
        <w:spacing w:after="0"/>
        <w:rPr>
          <w:rFonts w:ascii="Microsoft JhengHei"/>
          <w:sz w:val="13"/>
        </w:rPr>
        <w:sectPr>
          <w:pgSz w:w="11910" w:h="16840"/>
          <w:pgMar w:header="0" w:footer="226" w:top="820" w:bottom="420" w:left="980" w:right="400"/>
        </w:sectPr>
      </w:pPr>
    </w:p>
    <w:p>
      <w:pPr>
        <w:spacing w:line="196" w:lineRule="auto" w:before="53"/>
        <w:ind w:left="1910" w:right="0" w:firstLine="0"/>
        <w:jc w:val="left"/>
        <w:rPr>
          <w:rFonts w:ascii="Microsoft JhengHei" w:eastAsia="Microsoft JhengHei"/>
          <w:b/>
          <w:sz w:val="21"/>
        </w:rPr>
      </w:pPr>
      <w:r>
        <w:rPr>
          <w:rFonts w:ascii="Microsoft JhengHei" w:eastAsia="Microsoft JhengHei"/>
          <w:b/>
          <w:spacing w:val="-2"/>
          <w:sz w:val="21"/>
        </w:rPr>
        <w:t>重度疾病保险</w:t>
      </w:r>
      <w:r>
        <w:rPr>
          <w:rFonts w:ascii="Microsoft JhengHei" w:eastAsia="Microsoft JhengHei"/>
          <w:b/>
          <w:spacing w:val="-10"/>
          <w:sz w:val="21"/>
        </w:rPr>
        <w:t>金</w:t>
      </w:r>
    </w:p>
    <w:p>
      <w:pPr>
        <w:pStyle w:val="BodyText"/>
        <w:spacing w:line="280" w:lineRule="auto" w:before="72"/>
        <w:ind w:left="243" w:right="1595"/>
        <w:jc w:val="both"/>
      </w:pPr>
      <w:r>
        <w:rPr/>
        <w:br w:type="column"/>
      </w:r>
      <w:r>
        <w:rPr>
          <w:spacing w:val="-4"/>
        </w:rPr>
        <w:t>本合同所列重度疾病分为六组（见定义</w:t>
      </w:r>
      <w:r>
        <w:rPr>
          <w:spacing w:val="13"/>
        </w:rPr>
        <w:t>9</w:t>
      </w:r>
      <w:r>
        <w:rPr>
          <w:spacing w:val="18"/>
        </w:rPr>
        <w:t>.2</w:t>
      </w:r>
      <w:r>
        <w:rPr>
          <w:spacing w:val="-88"/>
        </w:rPr>
        <w:t>）</w:t>
      </w:r>
      <w:r>
        <w:rPr>
          <w:spacing w:val="-2"/>
        </w:rPr>
        <w:t>，每组重度疾病</w:t>
      </w:r>
      <w:r>
        <w:rPr>
          <w:spacing w:val="-2"/>
        </w:rPr>
        <w:t>保险金的给付次数以一次为限，给付后该组重度疾病的保险</w:t>
      </w:r>
      <w:r>
        <w:rPr>
          <w:spacing w:val="-2"/>
        </w:rPr>
        <w:t>责任终止。本合同重度疾病保险金的累计给付次数以六次为</w:t>
      </w:r>
      <w:r>
        <w:rPr>
          <w:spacing w:val="-2"/>
        </w:rPr>
        <w:t>限，当累计给付达到六次时，本合同终止。</w:t>
      </w:r>
    </w:p>
    <w:p>
      <w:pPr>
        <w:pStyle w:val="BodyText"/>
        <w:spacing w:line="278" w:lineRule="auto" w:before="148"/>
        <w:ind w:left="243" w:right="1595"/>
        <w:jc w:val="both"/>
      </w:pPr>
      <w:r>
        <w:rPr>
          <w:spacing w:val="-2"/>
        </w:rPr>
        <w:t>若被保险人因同一疾病原因或同次医疗行为或同次意外伤害</w:t>
      </w:r>
      <w:r>
        <w:rPr>
          <w:spacing w:val="-2"/>
        </w:rPr>
        <w:t>事故导致初次患上本合同所定义的两种或者两种以上的重度</w:t>
      </w:r>
      <w:r>
        <w:rPr>
          <w:spacing w:val="-2"/>
        </w:rPr>
        <w:t>疾病，我们仅按一种重度疾病给付重度疾病保险金，给付后</w:t>
      </w:r>
      <w:r>
        <w:rPr>
          <w:spacing w:val="-2"/>
        </w:rPr>
        <w:t>该种重度疾病所属组别的保险责任终止。</w:t>
      </w:r>
    </w:p>
    <w:p>
      <w:pPr>
        <w:pStyle w:val="ListParagraph"/>
        <w:numPr>
          <w:ilvl w:val="0"/>
          <w:numId w:val="3"/>
        </w:numPr>
        <w:tabs>
          <w:tab w:pos="773" w:val="left" w:leader="none"/>
        </w:tabs>
        <w:spacing w:line="240" w:lineRule="auto" w:before="153" w:after="0"/>
        <w:ind w:left="772" w:right="0" w:hanging="530"/>
        <w:jc w:val="left"/>
        <w:rPr>
          <w:sz w:val="21"/>
        </w:rPr>
      </w:pPr>
      <w:r>
        <w:rPr>
          <w:spacing w:val="-3"/>
          <w:sz w:val="21"/>
        </w:rPr>
        <w:t>首次重度疾病保险金</w:t>
      </w:r>
    </w:p>
    <w:p>
      <w:pPr>
        <w:pStyle w:val="BodyText"/>
        <w:spacing w:before="9"/>
        <w:rPr>
          <w:sz w:val="15"/>
        </w:rPr>
      </w:pPr>
    </w:p>
    <w:p>
      <w:pPr>
        <w:pStyle w:val="BodyText"/>
        <w:spacing w:line="278" w:lineRule="auto"/>
        <w:ind w:left="243" w:right="1596"/>
        <w:jc w:val="both"/>
      </w:pPr>
      <w:r>
        <w:rPr>
          <w:spacing w:val="-2"/>
        </w:rPr>
        <w:t>在本合同保险期间内，若被保险人因意外伤害或于等待期后</w:t>
      </w:r>
      <w:r>
        <w:rPr>
          <w:spacing w:val="-2"/>
        </w:rPr>
        <w:t>因意外伤害以外的原因，经医院专科医生初次确诊患有本合</w:t>
      </w:r>
      <w:r>
        <w:rPr>
          <w:spacing w:val="-2"/>
        </w:rPr>
        <w:t>同约定的重度疾病（无论一种或多种），我们将按以下三者</w:t>
      </w:r>
      <w:r>
        <w:rPr>
          <w:spacing w:val="-2"/>
        </w:rPr>
        <w:t>的较大者给付首次重度疾病保险金：</w:t>
      </w:r>
    </w:p>
    <w:p>
      <w:pPr>
        <w:pStyle w:val="BodyText"/>
        <w:spacing w:line="283" w:lineRule="auto" w:before="154"/>
        <w:ind w:left="867" w:right="1600" w:hanging="312"/>
        <w:jc w:val="both"/>
      </w:pPr>
      <w:r>
        <w:rPr>
          <w:spacing w:val="-6"/>
        </w:rPr>
        <w:t>① 被保险人首次重度疾病确诊之日本合同的基本保险金</w:t>
      </w:r>
      <w:r>
        <w:rPr>
          <w:spacing w:val="-6"/>
        </w:rPr>
        <w:t>额；</w:t>
      </w:r>
    </w:p>
    <w:p>
      <w:pPr>
        <w:pStyle w:val="BodyText"/>
        <w:spacing w:line="310" w:lineRule="exact"/>
        <w:ind w:left="555"/>
        <w:jc w:val="both"/>
        <w:rPr>
          <w:rFonts w:ascii="微软雅黑" w:hAnsi="微软雅黑" w:eastAsia="微软雅黑"/>
          <w:b/>
        </w:rPr>
      </w:pPr>
      <w:r>
        <w:rPr>
          <w:spacing w:val="-5"/>
        </w:rPr>
        <w:t>② 被保险人首次重度疾病确诊之日本合同的</w:t>
      </w:r>
      <w:r>
        <w:rPr>
          <w:rFonts w:ascii="微软雅黑" w:hAnsi="微软雅黑" w:eastAsia="微软雅黑"/>
          <w:b/>
          <w:spacing w:val="-3"/>
        </w:rPr>
        <w:t>现金价值</w:t>
      </w:r>
    </w:p>
    <w:p>
      <w:pPr>
        <w:pStyle w:val="BodyText"/>
        <w:spacing w:line="265" w:lineRule="exact"/>
        <w:ind w:left="867"/>
      </w:pPr>
      <w:r>
        <w:rPr/>
        <w:t>（见释义</w:t>
      </w:r>
      <w:r>
        <w:rPr>
          <w:spacing w:val="-2"/>
        </w:rPr>
        <w:t>13.13）；</w:t>
      </w:r>
    </w:p>
    <w:p>
      <w:pPr>
        <w:pStyle w:val="BodyText"/>
        <w:spacing w:line="278" w:lineRule="auto" w:before="44"/>
        <w:ind w:left="867" w:right="1601" w:hanging="312"/>
      </w:pPr>
      <w:r>
        <w:rPr>
          <w:spacing w:val="-6"/>
        </w:rPr>
        <w:t>③ 被保险人首次重度疾病确诊之日本合同累计已交保险</w:t>
      </w:r>
      <w:r>
        <w:rPr>
          <w:spacing w:val="-2"/>
        </w:rPr>
        <w:t>费之和（不计利息）。</w:t>
      </w:r>
    </w:p>
    <w:p>
      <w:pPr>
        <w:pStyle w:val="BodyText"/>
        <w:spacing w:line="278" w:lineRule="auto" w:before="153"/>
        <w:ind w:left="243" w:right="1595"/>
      </w:pPr>
      <w:r>
        <w:rPr>
          <w:spacing w:val="-2"/>
        </w:rPr>
        <w:t>确诊之日的二十四时起本合同的现金价值减少为零，给付后</w:t>
      </w:r>
      <w:r>
        <w:rPr>
          <w:spacing w:val="-2"/>
        </w:rPr>
        <w:t>该重度疾病所属组别的保险责任终止，本合同继续有效。</w:t>
      </w:r>
    </w:p>
    <w:p>
      <w:pPr>
        <w:pStyle w:val="BodyText"/>
        <w:spacing w:line="283" w:lineRule="auto" w:before="154"/>
        <w:ind w:left="243" w:right="1595"/>
      </w:pPr>
      <w:r>
        <w:rPr>
          <w:spacing w:val="-2"/>
        </w:rPr>
        <w:t>自被保险人首次重度疾病确诊之日起，我们不再承担本合同</w:t>
      </w:r>
      <w:r>
        <w:rPr>
          <w:spacing w:val="-3"/>
        </w:rPr>
        <w:t>规定的中度疾病保险金、轻度疾病保险金、住院关怀津贴保</w:t>
      </w:r>
    </w:p>
    <w:p>
      <w:pPr>
        <w:spacing w:after="0" w:line="283" w:lineRule="auto"/>
        <w:sectPr>
          <w:type w:val="continuous"/>
          <w:pgSz w:w="11910" w:h="16840"/>
          <w:pgMar w:header="0" w:footer="226" w:top="240" w:bottom="420" w:left="980" w:right="400"/>
          <w:cols w:num="2" w:equalWidth="0">
            <w:col w:w="3179" w:space="40"/>
            <w:col w:w="7311"/>
          </w:cols>
        </w:sectPr>
      </w:pPr>
    </w:p>
    <w:p>
      <w:pPr>
        <w:pStyle w:val="BodyText"/>
        <w:spacing w:line="278" w:lineRule="auto" w:before="57"/>
        <w:ind w:left="3462" w:right="1595"/>
      </w:pPr>
      <w:r>
        <w:rPr>
          <w:spacing w:val="-2"/>
        </w:rPr>
        <w:t>险金（若您选择了住院关怀津贴保险金责任）、身故或高残</w:t>
      </w:r>
      <w:r>
        <w:rPr>
          <w:spacing w:val="-2"/>
        </w:rPr>
        <w:t>保险金和疾病终末期保险金规定的各项保险责任。</w:t>
      </w:r>
    </w:p>
    <w:p>
      <w:pPr>
        <w:pStyle w:val="BodyText"/>
        <w:spacing w:line="278" w:lineRule="auto" w:before="154"/>
        <w:ind w:left="3462" w:right="1595"/>
      </w:pPr>
      <w:r>
        <w:rPr>
          <w:spacing w:val="-2"/>
        </w:rPr>
        <w:t>若您选择了住院关怀津贴保险金责任，我们在给付首次重度</w:t>
      </w:r>
      <w:r>
        <w:rPr>
          <w:spacing w:val="-2"/>
        </w:rPr>
        <w:t>疾病保险金时，需扣减已累计给付的住院关怀津贴保险金</w:t>
      </w:r>
    </w:p>
    <w:p>
      <w:pPr>
        <w:pStyle w:val="BodyText"/>
        <w:spacing w:line="269" w:lineRule="exact"/>
        <w:ind w:left="3462"/>
      </w:pPr>
      <w:r>
        <w:rPr/>
        <w:t>（不计利息</w:t>
      </w:r>
      <w:r>
        <w:rPr>
          <w:spacing w:val="-111"/>
        </w:rPr>
        <w:t>）</w:t>
      </w:r>
      <w:r>
        <w:rPr>
          <w:spacing w:val="-10"/>
        </w:rPr>
        <w:t>。</w:t>
      </w:r>
    </w:p>
    <w:p>
      <w:pPr>
        <w:pStyle w:val="BodyText"/>
        <w:spacing w:before="4"/>
        <w:rPr>
          <w:sz w:val="15"/>
        </w:rPr>
      </w:pPr>
    </w:p>
    <w:p>
      <w:pPr>
        <w:pStyle w:val="ListParagraph"/>
        <w:numPr>
          <w:ilvl w:val="1"/>
          <w:numId w:val="3"/>
        </w:numPr>
        <w:tabs>
          <w:tab w:pos="3991" w:val="left" w:leader="none"/>
        </w:tabs>
        <w:spacing w:line="240" w:lineRule="auto" w:before="1" w:after="0"/>
        <w:ind w:left="3991" w:right="0" w:hanging="529"/>
        <w:jc w:val="left"/>
        <w:rPr>
          <w:sz w:val="21"/>
        </w:rPr>
      </w:pPr>
      <w:r>
        <w:rPr>
          <w:spacing w:val="-3"/>
          <w:sz w:val="21"/>
        </w:rPr>
        <w:t>第二次重度疾病保险金</w:t>
      </w:r>
    </w:p>
    <w:p>
      <w:pPr>
        <w:pStyle w:val="BodyText"/>
        <w:spacing w:before="9"/>
        <w:rPr>
          <w:sz w:val="15"/>
        </w:rPr>
      </w:pPr>
    </w:p>
    <w:p>
      <w:pPr>
        <w:pStyle w:val="BodyText"/>
        <w:spacing w:line="278" w:lineRule="auto"/>
        <w:ind w:left="3462" w:right="1595"/>
      </w:pPr>
      <w:r>
        <w:rPr>
          <w:spacing w:val="-2"/>
        </w:rPr>
        <w:t>在本合同保险期间内，且在被保险人首次确诊本合同所约定</w:t>
      </w:r>
      <w:r>
        <w:rPr>
          <w:spacing w:val="-2"/>
        </w:rPr>
        <w:t>的重度疾病180日之后，若被保险人经医院专科医生初次确</w:t>
      </w:r>
      <w:r>
        <w:rPr>
          <w:spacing w:val="-2"/>
        </w:rPr>
        <w:t>诊患有除首次重度疾病所属组别以外的其他组别中的重度疾</w:t>
      </w:r>
      <w:r>
        <w:rPr>
          <w:spacing w:val="-2"/>
        </w:rPr>
        <w:t>病（无论一种或多种</w:t>
      </w:r>
      <w:r>
        <w:rPr>
          <w:spacing w:val="-111"/>
        </w:rPr>
        <w:t>）</w:t>
      </w:r>
      <w:r>
        <w:rPr>
          <w:spacing w:val="-2"/>
        </w:rPr>
        <w:t>，我们将按被保险人确诊该次重度疾</w:t>
      </w:r>
      <w:r>
        <w:rPr>
          <w:spacing w:val="-2"/>
        </w:rPr>
        <w:t>病之日本合同所载明的基本保险金额给付第二次重度疾病保</w:t>
      </w:r>
      <w:r>
        <w:rPr>
          <w:spacing w:val="-2"/>
        </w:rPr>
        <w:t>险金，给付后该重度疾病所属组别的保险责任终止，本合同</w:t>
      </w:r>
      <w:r>
        <w:rPr>
          <w:spacing w:val="-2"/>
        </w:rPr>
        <w:t>继续有效。</w:t>
      </w:r>
    </w:p>
    <w:p>
      <w:pPr>
        <w:pStyle w:val="ListParagraph"/>
        <w:numPr>
          <w:ilvl w:val="1"/>
          <w:numId w:val="3"/>
        </w:numPr>
        <w:tabs>
          <w:tab w:pos="3991" w:val="left" w:leader="none"/>
        </w:tabs>
        <w:spacing w:line="240" w:lineRule="auto" w:before="154" w:after="0"/>
        <w:ind w:left="3991" w:right="0" w:hanging="529"/>
        <w:jc w:val="left"/>
        <w:rPr>
          <w:sz w:val="21"/>
        </w:rPr>
      </w:pPr>
      <w:r>
        <w:rPr>
          <w:spacing w:val="-3"/>
          <w:sz w:val="21"/>
        </w:rPr>
        <w:t>第三次重度疾病保险金</w:t>
      </w:r>
    </w:p>
    <w:p>
      <w:pPr>
        <w:pStyle w:val="BodyText"/>
        <w:spacing w:before="9"/>
        <w:rPr>
          <w:sz w:val="15"/>
        </w:rPr>
      </w:pPr>
    </w:p>
    <w:p>
      <w:pPr>
        <w:pStyle w:val="BodyText"/>
        <w:spacing w:line="276" w:lineRule="auto"/>
        <w:ind w:left="3462" w:right="1595"/>
      </w:pPr>
      <w:r>
        <w:rPr>
          <w:spacing w:val="-2"/>
        </w:rPr>
        <w:t>在本合同保险期间内，且在被保险人第二次确诊本合同所约</w:t>
      </w:r>
      <w:r>
        <w:rPr>
          <w:spacing w:val="-2"/>
        </w:rPr>
        <w:t>定的重度疾病180日之后，若被保险人经医院专科医生初次</w:t>
      </w:r>
      <w:r>
        <w:rPr>
          <w:spacing w:val="-2"/>
        </w:rPr>
        <w:t>确诊患有除首次重度疾病及第二次重度疾病所属组别以外的</w:t>
      </w:r>
      <w:r>
        <w:rPr>
          <w:spacing w:val="-2"/>
        </w:rPr>
        <w:t>其他组别中的重度疾病（无论一种或多种</w:t>
      </w:r>
      <w:r>
        <w:rPr>
          <w:spacing w:val="-106"/>
        </w:rPr>
        <w:t>）</w:t>
      </w:r>
      <w:r>
        <w:rPr>
          <w:spacing w:val="-2"/>
        </w:rPr>
        <w:t>，我们将按被保</w:t>
      </w:r>
      <w:r>
        <w:rPr>
          <w:spacing w:val="-2"/>
        </w:rPr>
        <w:t>险人确诊该次重度疾病之日本合同所载明的基本保险金额给</w:t>
      </w:r>
      <w:r>
        <w:rPr>
          <w:spacing w:val="-2"/>
        </w:rPr>
        <w:t>付第三次重度疾病保险金，</w:t>
      </w:r>
      <w:r>
        <w:rPr>
          <w:spacing w:val="-2"/>
          <w:sz w:val="22"/>
        </w:rPr>
        <w:t>给付后该重度疾病所属组别的</w:t>
      </w:r>
      <w:r>
        <w:rPr>
          <w:spacing w:val="-2"/>
          <w:sz w:val="22"/>
        </w:rPr>
        <w:t>保险责任终止，</w:t>
      </w:r>
      <w:r>
        <w:rPr>
          <w:spacing w:val="-2"/>
        </w:rPr>
        <w:t>本合同继续有效。</w:t>
      </w:r>
    </w:p>
    <w:p>
      <w:pPr>
        <w:pStyle w:val="ListParagraph"/>
        <w:numPr>
          <w:ilvl w:val="1"/>
          <w:numId w:val="3"/>
        </w:numPr>
        <w:tabs>
          <w:tab w:pos="3991" w:val="left" w:leader="none"/>
        </w:tabs>
        <w:spacing w:line="240" w:lineRule="auto" w:before="142" w:after="0"/>
        <w:ind w:left="3991" w:right="0" w:hanging="529"/>
        <w:jc w:val="left"/>
        <w:rPr>
          <w:sz w:val="21"/>
        </w:rPr>
      </w:pPr>
      <w:r>
        <w:rPr>
          <w:spacing w:val="-3"/>
          <w:sz w:val="21"/>
        </w:rPr>
        <w:t>第四次重度疾病保险金</w:t>
      </w:r>
    </w:p>
    <w:p>
      <w:pPr>
        <w:pStyle w:val="BodyText"/>
        <w:spacing w:before="10"/>
        <w:rPr>
          <w:sz w:val="15"/>
        </w:rPr>
      </w:pPr>
    </w:p>
    <w:p>
      <w:pPr>
        <w:pStyle w:val="BodyText"/>
        <w:spacing w:line="276" w:lineRule="auto"/>
        <w:ind w:left="3462" w:right="1547"/>
      </w:pPr>
      <w:r>
        <w:rPr>
          <w:spacing w:val="-5"/>
          <w:w w:val="100"/>
        </w:rPr>
        <w:t>在本合同保险期间内，且在被保险人第三次确诊本合同所约定的重度疾病</w:t>
      </w:r>
      <w:r>
        <w:rPr>
          <w:w w:val="100"/>
        </w:rPr>
        <w:t>180</w:t>
      </w:r>
      <w:r>
        <w:rPr>
          <w:spacing w:val="-5"/>
          <w:w w:val="100"/>
        </w:rPr>
        <w:t>日之后，若被保险人经医院专科医生初次确诊患有除首次重度疾病、第二次重度疾病及第三次重度疾病所属组别以外的其他组别中的重度疾病</w:t>
      </w:r>
      <w:r>
        <w:rPr>
          <w:w w:val="100"/>
        </w:rPr>
        <w:t>（</w:t>
      </w:r>
      <w:r>
        <w:rPr>
          <w:spacing w:val="-3"/>
          <w:w w:val="100"/>
        </w:rPr>
        <w:t>无论一种或多</w:t>
      </w:r>
      <w:r>
        <w:rPr>
          <w:spacing w:val="-3"/>
          <w:w w:val="100"/>
        </w:rPr>
        <w:t> 种</w:t>
      </w:r>
      <w:r>
        <w:rPr>
          <w:spacing w:val="-106"/>
          <w:w w:val="100"/>
        </w:rPr>
        <w:t>）</w:t>
      </w:r>
      <w:r>
        <w:rPr>
          <w:spacing w:val="-5"/>
          <w:w w:val="100"/>
        </w:rPr>
        <w:t>，我们将按被保险人确诊该次重度疾病之日本合同所载明的基本保险金额给付第四次重度疾病保险金，</w:t>
      </w:r>
      <w:r>
        <w:rPr>
          <w:spacing w:val="-5"/>
          <w:w w:val="100"/>
          <w:sz w:val="22"/>
        </w:rPr>
        <w:t>给付后该重</w:t>
      </w:r>
      <w:r>
        <w:rPr>
          <w:spacing w:val="-2"/>
          <w:w w:val="100"/>
          <w:sz w:val="22"/>
        </w:rPr>
        <w:t>度疾病所属组别的保险责任终止，</w:t>
      </w:r>
      <w:r>
        <w:rPr>
          <w:spacing w:val="-3"/>
          <w:w w:val="100"/>
        </w:rPr>
        <w:t>本合同继续有效。</w:t>
      </w:r>
    </w:p>
    <w:p>
      <w:pPr>
        <w:pStyle w:val="ListParagraph"/>
        <w:numPr>
          <w:ilvl w:val="1"/>
          <w:numId w:val="3"/>
        </w:numPr>
        <w:tabs>
          <w:tab w:pos="3991" w:val="left" w:leader="none"/>
        </w:tabs>
        <w:spacing w:line="240" w:lineRule="auto" w:before="143" w:after="0"/>
        <w:ind w:left="3991" w:right="0" w:hanging="529"/>
        <w:jc w:val="left"/>
        <w:rPr>
          <w:sz w:val="21"/>
        </w:rPr>
      </w:pPr>
      <w:r>
        <w:rPr>
          <w:spacing w:val="-3"/>
          <w:sz w:val="21"/>
        </w:rPr>
        <w:t>第五次重度疾病保险金</w:t>
      </w:r>
    </w:p>
    <w:p>
      <w:pPr>
        <w:pStyle w:val="BodyText"/>
        <w:spacing w:before="9"/>
        <w:rPr>
          <w:sz w:val="15"/>
        </w:rPr>
      </w:pPr>
    </w:p>
    <w:p>
      <w:pPr>
        <w:pStyle w:val="BodyText"/>
        <w:spacing w:line="278" w:lineRule="auto"/>
        <w:ind w:left="3462" w:right="1595"/>
      </w:pPr>
      <w:r>
        <w:rPr>
          <w:spacing w:val="-2"/>
        </w:rPr>
        <w:t>在本合同保险期间内，且在被保险人第四次确诊本合同所约</w:t>
      </w:r>
      <w:r>
        <w:rPr>
          <w:spacing w:val="-2"/>
        </w:rPr>
        <w:t>定的重度疾病180日之后，若被保险人经医院专科医生初次</w:t>
      </w:r>
      <w:r>
        <w:rPr>
          <w:spacing w:val="-2"/>
        </w:rPr>
        <w:t>确诊患有除首次重度疾病、第二次重度疾病、第三次重度疾</w:t>
      </w:r>
      <w:r>
        <w:rPr>
          <w:spacing w:val="-3"/>
        </w:rPr>
        <w:t>病及第四次重度疾病所属组别以外的其他组别中的重度疾病</w:t>
      </w:r>
    </w:p>
    <w:p>
      <w:pPr>
        <w:spacing w:line="273" w:lineRule="auto" w:before="0"/>
        <w:ind w:left="3462" w:right="1595" w:firstLine="0"/>
        <w:jc w:val="left"/>
        <w:rPr>
          <w:sz w:val="21"/>
        </w:rPr>
      </w:pPr>
      <w:r>
        <w:rPr>
          <w:spacing w:val="-2"/>
          <w:sz w:val="21"/>
        </w:rPr>
        <w:t>（无论一种或多种</w:t>
      </w:r>
      <w:r>
        <w:rPr>
          <w:spacing w:val="-106"/>
          <w:sz w:val="21"/>
        </w:rPr>
        <w:t>）</w:t>
      </w:r>
      <w:r>
        <w:rPr>
          <w:spacing w:val="-4"/>
          <w:sz w:val="21"/>
        </w:rPr>
        <w:t>，我们将按被保险人确诊该次重度疾病</w:t>
      </w:r>
      <w:r>
        <w:rPr>
          <w:spacing w:val="-2"/>
          <w:sz w:val="21"/>
        </w:rPr>
        <w:t>之日本合同所载明的基本保险金额给付第五次重度疾病保险</w:t>
      </w:r>
      <w:r>
        <w:rPr>
          <w:spacing w:val="-2"/>
          <w:sz w:val="21"/>
        </w:rPr>
        <w:t>金，</w:t>
      </w:r>
      <w:r>
        <w:rPr>
          <w:spacing w:val="-2"/>
          <w:sz w:val="22"/>
        </w:rPr>
        <w:t>给付后该重度疾病所属组别的保险责任终止，</w:t>
      </w:r>
      <w:r>
        <w:rPr>
          <w:spacing w:val="-2"/>
          <w:sz w:val="21"/>
        </w:rPr>
        <w:t>本合同</w:t>
      </w:r>
      <w:r>
        <w:rPr>
          <w:spacing w:val="-2"/>
          <w:sz w:val="21"/>
        </w:rPr>
        <w:t>继续有效。</w:t>
      </w:r>
    </w:p>
    <w:p>
      <w:pPr>
        <w:pStyle w:val="ListParagraph"/>
        <w:numPr>
          <w:ilvl w:val="1"/>
          <w:numId w:val="3"/>
        </w:numPr>
        <w:tabs>
          <w:tab w:pos="3991" w:val="left" w:leader="none"/>
        </w:tabs>
        <w:spacing w:line="240" w:lineRule="auto" w:before="160" w:after="0"/>
        <w:ind w:left="3991" w:right="0" w:hanging="529"/>
        <w:jc w:val="left"/>
        <w:rPr>
          <w:sz w:val="21"/>
        </w:rPr>
      </w:pPr>
      <w:r>
        <w:rPr>
          <w:spacing w:val="-3"/>
          <w:sz w:val="21"/>
        </w:rPr>
        <w:t>第六次重度疾病保险金</w:t>
      </w:r>
    </w:p>
    <w:p>
      <w:pPr>
        <w:pStyle w:val="BodyText"/>
        <w:spacing w:before="9"/>
        <w:rPr>
          <w:sz w:val="15"/>
        </w:rPr>
      </w:pPr>
    </w:p>
    <w:p>
      <w:pPr>
        <w:pStyle w:val="BodyText"/>
        <w:spacing w:line="278" w:lineRule="auto" w:before="1"/>
        <w:ind w:left="3462" w:right="1595"/>
      </w:pPr>
      <w:r>
        <w:rPr>
          <w:spacing w:val="-2"/>
        </w:rPr>
        <w:t>在本合同保险期间内，且在被保险人第五次确诊本合同所约</w:t>
      </w:r>
      <w:r>
        <w:rPr>
          <w:spacing w:val="-2"/>
        </w:rPr>
        <w:t>定的重度疾病180日之后，若被保险人经医院专科医生初次</w:t>
      </w:r>
      <w:r>
        <w:rPr>
          <w:spacing w:val="-2"/>
        </w:rPr>
        <w:t>确诊患有除首次重度疾病、第二次重度疾病、第三次重度疾</w:t>
      </w:r>
      <w:r>
        <w:rPr>
          <w:spacing w:val="-3"/>
        </w:rPr>
        <w:t>病、第四次重度疾病及第五次重度疾病所属组别以外的其他</w:t>
      </w:r>
    </w:p>
    <w:p>
      <w:pPr>
        <w:spacing w:after="0" w:line="278" w:lineRule="auto"/>
        <w:sectPr>
          <w:pgSz w:w="11910" w:h="16840"/>
          <w:pgMar w:header="0" w:footer="226" w:top="660" w:bottom="420" w:left="980" w:right="400"/>
        </w:sectPr>
      </w:pPr>
    </w:p>
    <w:p>
      <w:pPr>
        <w:pStyle w:val="BodyText"/>
        <w:spacing w:line="278" w:lineRule="auto" w:before="57"/>
        <w:ind w:left="3462" w:right="1595"/>
      </w:pPr>
      <w:r>
        <w:rPr>
          <w:spacing w:val="-2"/>
        </w:rPr>
        <w:t>组别中的重度疾病（无论一种或多种</w:t>
      </w:r>
      <w:r>
        <w:rPr>
          <w:spacing w:val="-106"/>
        </w:rPr>
        <w:t>）</w:t>
      </w:r>
      <w:r>
        <w:rPr>
          <w:spacing w:val="-4"/>
        </w:rPr>
        <w:t>，我们将按被保险人</w:t>
      </w:r>
      <w:r>
        <w:rPr>
          <w:spacing w:val="-2"/>
        </w:rPr>
        <w:t>确诊该次重度疾病之日本合同所载明的基本保险金额给付第</w:t>
      </w:r>
      <w:r>
        <w:rPr>
          <w:spacing w:val="-2"/>
        </w:rPr>
        <w:t>六次重度疾病保险金，本合同终止。</w:t>
      </w:r>
    </w:p>
    <w:p>
      <w:pPr>
        <w:pStyle w:val="BodyText"/>
        <w:spacing w:before="6"/>
        <w:rPr>
          <w:sz w:val="19"/>
        </w:rPr>
      </w:pPr>
    </w:p>
    <w:p>
      <w:pPr>
        <w:spacing w:after="0"/>
        <w:rPr>
          <w:sz w:val="19"/>
        </w:rPr>
        <w:sectPr>
          <w:pgSz w:w="11910" w:h="16840"/>
          <w:pgMar w:header="0" w:footer="226" w:top="660" w:bottom="420" w:left="980" w:right="400"/>
        </w:sectPr>
      </w:pPr>
    </w:p>
    <w:p>
      <w:pPr>
        <w:pStyle w:val="Heading2"/>
        <w:spacing w:line="196" w:lineRule="auto" w:before="53"/>
      </w:pPr>
      <w:r>
        <w:rPr>
          <w:spacing w:val="-2"/>
        </w:rPr>
        <w:t>中度疾病保险</w:t>
      </w:r>
      <w:r>
        <w:rPr>
          <w:spacing w:val="-10"/>
        </w:rPr>
        <w:t>金</w:t>
      </w:r>
    </w:p>
    <w:p>
      <w:pPr>
        <w:pStyle w:val="BodyText"/>
        <w:spacing w:line="278" w:lineRule="auto" w:before="72"/>
        <w:ind w:left="243" w:right="1595"/>
        <w:jc w:val="both"/>
      </w:pPr>
      <w:r>
        <w:rPr/>
        <w:br w:type="column"/>
      </w:r>
      <w:r>
        <w:rPr>
          <w:spacing w:val="-2"/>
        </w:rPr>
        <w:t>在本合同保险期间内，若被保险人因意外伤害或于等待期后</w:t>
      </w:r>
      <w:r>
        <w:rPr>
          <w:spacing w:val="-2"/>
        </w:rPr>
        <w:t>因意外伤害以外的原因，经医院的专科医生初次确诊发生本</w:t>
      </w:r>
      <w:r>
        <w:rPr>
          <w:spacing w:val="-2"/>
        </w:rPr>
        <w:t>合同所定义的中度疾病，且此前未发生本合同所定义的重度</w:t>
      </w:r>
      <w:r>
        <w:rPr>
          <w:spacing w:val="-2"/>
        </w:rPr>
        <w:t>疾病，我们将按本合同载明的基本保险金额的 </w:t>
      </w:r>
      <w:r>
        <w:rPr/>
        <w:t>60%给付中度</w:t>
      </w:r>
      <w:r>
        <w:rPr>
          <w:spacing w:val="-2"/>
        </w:rPr>
        <w:t>疾病保险金，本合同继续有效。</w:t>
      </w:r>
    </w:p>
    <w:p>
      <w:pPr>
        <w:pStyle w:val="BodyText"/>
        <w:spacing w:line="278" w:lineRule="auto" w:before="159"/>
        <w:ind w:left="243" w:right="1595"/>
      </w:pPr>
      <w:r>
        <w:rPr>
          <w:spacing w:val="-2"/>
        </w:rPr>
        <w:t>本合同的中度疾病保险金累计给付以两次为限。每种中度疾</w:t>
      </w:r>
      <w:r>
        <w:rPr>
          <w:spacing w:val="-2"/>
        </w:rPr>
        <w:t>病只给付一次中度疾病保险金。</w:t>
      </w:r>
    </w:p>
    <w:p>
      <w:pPr>
        <w:pStyle w:val="BodyText"/>
        <w:spacing w:line="280" w:lineRule="auto" w:before="153"/>
        <w:ind w:left="243" w:right="1595"/>
        <w:jc w:val="both"/>
      </w:pPr>
      <w:r>
        <w:rPr>
          <w:spacing w:val="-2"/>
        </w:rPr>
        <w:t>若被保险人因同一疾病原因或同次医疗行为或同次意外伤害</w:t>
      </w:r>
      <w:r>
        <w:rPr>
          <w:spacing w:val="-2"/>
        </w:rPr>
        <w:t>事故导致初次患上本合同所定义的两种或者两种以上的中度</w:t>
      </w:r>
      <w:r>
        <w:rPr>
          <w:spacing w:val="-2"/>
        </w:rPr>
        <w:t>疾病，我们仅按一种中度疾病给付中度疾病保险金，给付后</w:t>
      </w:r>
      <w:r>
        <w:rPr>
          <w:spacing w:val="-2"/>
        </w:rPr>
        <w:t>该种中度疾病保险金保险责任终止。</w:t>
      </w:r>
    </w:p>
    <w:p>
      <w:pPr>
        <w:spacing w:after="0" w:line="280" w:lineRule="auto"/>
        <w:jc w:val="both"/>
        <w:sectPr>
          <w:type w:val="continuous"/>
          <w:pgSz w:w="11910" w:h="16840"/>
          <w:pgMar w:header="0" w:footer="226" w:top="240" w:bottom="420" w:left="980" w:right="400"/>
          <w:cols w:num="2" w:equalWidth="0">
            <w:col w:w="3179" w:space="40"/>
            <w:col w:w="7311"/>
          </w:cols>
        </w:sectPr>
      </w:pPr>
    </w:p>
    <w:p>
      <w:pPr>
        <w:pStyle w:val="BodyText"/>
        <w:rPr>
          <w:sz w:val="20"/>
        </w:rPr>
      </w:pPr>
    </w:p>
    <w:p>
      <w:pPr>
        <w:pStyle w:val="BodyText"/>
        <w:spacing w:before="5"/>
        <w:rPr>
          <w:sz w:val="26"/>
        </w:rPr>
      </w:pPr>
    </w:p>
    <w:p>
      <w:pPr>
        <w:spacing w:after="0"/>
        <w:rPr>
          <w:sz w:val="26"/>
        </w:rPr>
        <w:sectPr>
          <w:type w:val="continuous"/>
          <w:pgSz w:w="11910" w:h="16840"/>
          <w:pgMar w:header="0" w:footer="226" w:top="240" w:bottom="420" w:left="980" w:right="400"/>
        </w:sectPr>
      </w:pPr>
    </w:p>
    <w:p>
      <w:pPr>
        <w:pStyle w:val="Heading2"/>
        <w:spacing w:line="194" w:lineRule="auto" w:before="56"/>
      </w:pPr>
      <w:r>
        <w:rPr>
          <w:spacing w:val="-2"/>
        </w:rPr>
        <w:t>轻度疾病保险</w:t>
      </w:r>
      <w:r>
        <w:rPr>
          <w:spacing w:val="-10"/>
        </w:rPr>
        <w:t>金</w:t>
      </w:r>
    </w:p>
    <w:p>
      <w:pPr>
        <w:pStyle w:val="BodyText"/>
        <w:spacing w:line="278" w:lineRule="auto" w:before="72"/>
        <w:ind w:left="243" w:right="1595"/>
        <w:jc w:val="both"/>
      </w:pPr>
      <w:r>
        <w:rPr/>
        <w:br w:type="column"/>
      </w:r>
      <w:r>
        <w:rPr>
          <w:spacing w:val="-2"/>
        </w:rPr>
        <w:t>在本合同保险期间内，若被保险人因意外伤害或于等待期后</w:t>
      </w:r>
      <w:r>
        <w:rPr>
          <w:spacing w:val="-2"/>
        </w:rPr>
        <w:t>因意外伤害以外的原因，经医院的专科医生初次确诊发生本</w:t>
      </w:r>
      <w:r>
        <w:rPr>
          <w:spacing w:val="-2"/>
        </w:rPr>
        <w:t>合同所定义的轻度疾病，且此前未发生本合同所定义的重度</w:t>
      </w:r>
      <w:r>
        <w:rPr>
          <w:spacing w:val="-2"/>
        </w:rPr>
        <w:t>疾病，我们将按本合同载明的基本保险金额的 </w:t>
      </w:r>
      <w:r>
        <w:rPr/>
        <w:t>30%给付轻度</w:t>
      </w:r>
      <w:r>
        <w:rPr>
          <w:spacing w:val="-2"/>
        </w:rPr>
        <w:t>疾病保险金，本合同继续有效。</w:t>
      </w:r>
    </w:p>
    <w:p>
      <w:pPr>
        <w:pStyle w:val="BodyText"/>
        <w:spacing w:line="283" w:lineRule="auto" w:before="154"/>
        <w:ind w:left="243" w:right="1595"/>
      </w:pPr>
      <w:r>
        <w:rPr>
          <w:spacing w:val="-2"/>
        </w:rPr>
        <w:t>本合同的轻度疾病保险金累计给付以四次为限。每种轻度疾</w:t>
      </w:r>
      <w:r>
        <w:rPr>
          <w:spacing w:val="-2"/>
        </w:rPr>
        <w:t>病只给付一次轻度疾病保险金。</w:t>
      </w:r>
    </w:p>
    <w:p>
      <w:pPr>
        <w:pStyle w:val="BodyText"/>
        <w:spacing w:line="278" w:lineRule="auto" w:before="147"/>
        <w:ind w:left="243" w:right="1595"/>
        <w:jc w:val="both"/>
      </w:pPr>
      <w:r>
        <w:rPr>
          <w:spacing w:val="-2"/>
        </w:rPr>
        <w:t>若被保险人因同一疾病原因或同次医疗行为或同次意外伤害</w:t>
      </w:r>
      <w:r>
        <w:rPr>
          <w:spacing w:val="-2"/>
        </w:rPr>
        <w:t>事故导致初次患上本合同所定义的两种或者两种以上的轻度</w:t>
      </w:r>
      <w:r>
        <w:rPr>
          <w:spacing w:val="-2"/>
        </w:rPr>
        <w:t>疾病，我们仅按一种轻度疾病给付轻度疾病保险金，给付后</w:t>
      </w:r>
      <w:r>
        <w:rPr>
          <w:spacing w:val="-2"/>
        </w:rPr>
        <w:t>该种轻度疾病保险金保险责任终止。</w:t>
      </w:r>
    </w:p>
    <w:p>
      <w:pPr>
        <w:pStyle w:val="BodyText"/>
        <w:spacing w:line="278" w:lineRule="auto" w:before="154"/>
        <w:ind w:left="243" w:right="1595"/>
      </w:pPr>
      <w:r>
        <w:rPr>
          <w:spacing w:val="-2"/>
        </w:rPr>
        <w:t>若被保险人确诊的疾病同时满足本合同所定义的重度疾病、</w:t>
      </w:r>
      <w:r>
        <w:rPr>
          <w:spacing w:val="-2"/>
        </w:rPr>
        <w:t>中度疾病及轻度疾病中的任意两项或三项，我们仅承担其中</w:t>
      </w:r>
      <w:r>
        <w:rPr>
          <w:spacing w:val="-2"/>
        </w:rPr>
        <w:t>严重程度最高一项的保险金的给付责任。若被保险人因同一</w:t>
      </w:r>
      <w:r>
        <w:rPr>
          <w:spacing w:val="-2"/>
        </w:rPr>
        <w:t>疾病原因或同次医疗行为同时满足本合同所定义的重度疾</w:t>
      </w:r>
      <w:r>
        <w:rPr>
          <w:spacing w:val="40"/>
        </w:rPr>
        <w:t> </w:t>
      </w:r>
      <w:r>
        <w:rPr>
          <w:spacing w:val="-2"/>
        </w:rPr>
        <w:t>病、中度疾病及轻度疾病中的任意两项或三项，我们仅承担</w:t>
      </w:r>
      <w:r>
        <w:rPr>
          <w:spacing w:val="-2"/>
        </w:rPr>
        <w:t>其中严重程度最高一项的保险金的给付责任。严重程度由高</w:t>
      </w:r>
      <w:r>
        <w:rPr>
          <w:spacing w:val="-2"/>
        </w:rPr>
        <w:t>至低依次为：重度疾病、中度疾病、轻度疾病。</w:t>
      </w:r>
    </w:p>
    <w:p>
      <w:pPr>
        <w:spacing w:after="0" w:line="278" w:lineRule="auto"/>
        <w:sectPr>
          <w:type w:val="continuous"/>
          <w:pgSz w:w="11910" w:h="16840"/>
          <w:pgMar w:header="0" w:footer="226" w:top="240" w:bottom="420" w:left="980" w:right="400"/>
          <w:cols w:num="2" w:equalWidth="0">
            <w:col w:w="3179" w:space="40"/>
            <w:col w:w="7311"/>
          </w:cols>
        </w:sectPr>
      </w:pPr>
    </w:p>
    <w:p>
      <w:pPr>
        <w:pStyle w:val="BodyText"/>
        <w:spacing w:before="11"/>
        <w:rPr>
          <w:sz w:val="19"/>
        </w:rPr>
      </w:pPr>
    </w:p>
    <w:p>
      <w:pPr>
        <w:spacing w:after="0"/>
        <w:rPr>
          <w:sz w:val="19"/>
        </w:rPr>
        <w:sectPr>
          <w:type w:val="continuous"/>
          <w:pgSz w:w="11910" w:h="16840"/>
          <w:pgMar w:header="0" w:footer="226" w:top="240" w:bottom="420" w:left="980" w:right="400"/>
        </w:sectPr>
      </w:pPr>
    </w:p>
    <w:p>
      <w:pPr>
        <w:pStyle w:val="Heading2"/>
        <w:spacing w:line="349" w:lineRule="exact" w:before="2"/>
      </w:pPr>
      <w:r>
        <w:rPr>
          <w:spacing w:val="-4"/>
        </w:rPr>
        <w:t>“恶性肿瘤—</w:t>
      </w:r>
    </w:p>
    <w:p>
      <w:pPr>
        <w:spacing w:line="194" w:lineRule="auto" w:before="16"/>
        <w:ind w:left="1910" w:right="0" w:firstLine="0"/>
        <w:jc w:val="left"/>
        <w:rPr>
          <w:rFonts w:ascii="Microsoft JhengHei" w:hAnsi="Microsoft JhengHei" w:eastAsia="Microsoft JhengHei"/>
          <w:b/>
          <w:sz w:val="21"/>
        </w:rPr>
      </w:pPr>
      <w:r>
        <w:rPr>
          <w:rFonts w:ascii="Microsoft JhengHei" w:hAnsi="Microsoft JhengHei" w:eastAsia="Microsoft JhengHei"/>
          <w:b/>
          <w:spacing w:val="-4"/>
          <w:sz w:val="21"/>
        </w:rPr>
        <w:t>—</w:t>
      </w:r>
      <w:r>
        <w:rPr>
          <w:rFonts w:ascii="Microsoft JhengHei" w:hAnsi="Microsoft JhengHei" w:eastAsia="Microsoft JhengHei"/>
          <w:b/>
          <w:spacing w:val="-4"/>
          <w:sz w:val="21"/>
        </w:rPr>
        <w:t>重度”陪护</w:t>
      </w:r>
      <w:r>
        <w:rPr>
          <w:rFonts w:ascii="Microsoft JhengHei" w:hAnsi="Microsoft JhengHei" w:eastAsia="Microsoft JhengHei"/>
          <w:b/>
          <w:spacing w:val="-4"/>
          <w:sz w:val="21"/>
        </w:rPr>
        <w:t>保险金</w:t>
      </w:r>
    </w:p>
    <w:p>
      <w:pPr>
        <w:pStyle w:val="BodyText"/>
        <w:spacing w:line="206" w:lineRule="auto" w:before="101"/>
        <w:ind w:left="243" w:right="1539"/>
      </w:pPr>
      <w:r>
        <w:rPr/>
        <w:br w:type="column"/>
      </w:r>
      <w:r>
        <w:rPr>
          <w:spacing w:val="-2"/>
        </w:rPr>
        <w:t>若被保险人因意外伤害或于等待期后因意外伤害以外的原</w:t>
      </w:r>
      <w:r>
        <w:rPr>
          <w:spacing w:val="80"/>
        </w:rPr>
        <w:t> </w:t>
      </w:r>
      <w:r>
        <w:rPr>
          <w:spacing w:val="-2"/>
        </w:rPr>
        <w:t>因，经医院的专科医生初次确诊发生本合同所定义的</w:t>
      </w:r>
      <w:r>
        <w:rPr>
          <w:rFonts w:ascii="微软雅黑" w:hAnsi="微软雅黑" w:eastAsia="微软雅黑"/>
          <w:b/>
          <w:spacing w:val="-2"/>
        </w:rPr>
        <w:t>“恶性</w:t>
      </w:r>
      <w:r>
        <w:rPr>
          <w:rFonts w:ascii="微软雅黑" w:hAnsi="微软雅黑" w:eastAsia="微软雅黑"/>
          <w:b/>
          <w:spacing w:val="-6"/>
        </w:rPr>
        <w:t>肿瘤——</w:t>
      </w:r>
      <w:r>
        <w:rPr>
          <w:rFonts w:ascii="微软雅黑" w:hAnsi="微软雅黑" w:eastAsia="微软雅黑"/>
          <w:b/>
          <w:spacing w:val="-40"/>
        </w:rPr>
        <w:t>重度”</w:t>
      </w:r>
      <w:r>
        <w:rPr/>
        <w:t>（</w:t>
      </w:r>
      <w:r>
        <w:rPr>
          <w:spacing w:val="-18"/>
        </w:rPr>
        <w:t>见定义 </w:t>
      </w:r>
      <w:r>
        <w:rPr>
          <w:spacing w:val="16"/>
        </w:rPr>
        <w:t>9.1</w:t>
      </w:r>
      <w:r>
        <w:rPr>
          <w:spacing w:val="-90"/>
        </w:rPr>
        <w:t>）</w:t>
      </w:r>
      <w:r>
        <w:rPr>
          <w:spacing w:val="11"/>
        </w:rPr>
        <w:t>（</w:t>
      </w:r>
      <w:r>
        <w:rPr>
          <w:spacing w:val="-6"/>
        </w:rPr>
        <w:t>无论一种或者多种</w:t>
      </w:r>
      <w:r>
        <w:rPr>
          <w:spacing w:val="-106"/>
        </w:rPr>
        <w:t>）</w:t>
      </w:r>
      <w:r>
        <w:rPr>
          <w:spacing w:val="-6"/>
        </w:rPr>
        <w:t>，我们将</w:t>
      </w:r>
    </w:p>
    <w:p>
      <w:pPr>
        <w:pStyle w:val="BodyText"/>
        <w:spacing w:before="10"/>
        <w:ind w:left="243"/>
      </w:pPr>
      <w:r>
        <w:rPr>
          <w:spacing w:val="-4"/>
        </w:rPr>
        <w:t>每年按本合同载明的基本保险金额的 </w:t>
      </w:r>
      <w:r>
        <w:rPr>
          <w:spacing w:val="-2"/>
        </w:rPr>
        <w:t>10</w:t>
      </w:r>
      <w:r>
        <w:rPr>
          <w:spacing w:val="-3"/>
        </w:rPr>
        <w:t>%给付“恶性肿瘤—</w:t>
      </w:r>
    </w:p>
    <w:p>
      <w:pPr>
        <w:pStyle w:val="BodyText"/>
        <w:spacing w:line="278" w:lineRule="auto" w:before="43"/>
        <w:ind w:left="243" w:right="1596"/>
        <w:jc w:val="both"/>
      </w:pPr>
      <w:r>
        <w:rPr>
          <w:spacing w:val="-5"/>
        </w:rPr>
        <w:t>—重度”陪护保险金，连续给付 </w:t>
      </w:r>
      <w:r>
        <w:rPr>
          <w:spacing w:val="-4"/>
        </w:rPr>
        <w:t>5</w:t>
      </w:r>
      <w:r>
        <w:rPr>
          <w:spacing w:val="-7"/>
        </w:rPr>
        <w:t> 次。第一次给付日为首次</w:t>
      </w:r>
      <w:r>
        <w:rPr>
          <w:spacing w:val="-2"/>
        </w:rPr>
        <w:t>确诊日的次年对应日，第二至第五次给付日依次类推。若当</w:t>
      </w:r>
      <w:r>
        <w:rPr>
          <w:spacing w:val="-2"/>
        </w:rPr>
        <w:t>月无对应的同一日，则以该月最后一日为对应日。</w:t>
      </w:r>
    </w:p>
    <w:p>
      <w:pPr>
        <w:pStyle w:val="BodyText"/>
        <w:spacing w:line="283" w:lineRule="auto" w:before="154"/>
        <w:ind w:left="243" w:right="1596"/>
        <w:jc w:val="both"/>
      </w:pPr>
      <w:r>
        <w:rPr>
          <w:w w:val="95"/>
        </w:rPr>
        <w:t>“</w:t>
      </w:r>
      <w:r>
        <w:rPr>
          <w:w w:val="95"/>
        </w:rPr>
        <w:t>恶</w:t>
      </w:r>
      <w:r>
        <w:rPr>
          <w:w w:val="95"/>
        </w:rPr>
        <w:t>性</w:t>
      </w:r>
      <w:r>
        <w:rPr>
          <w:w w:val="95"/>
        </w:rPr>
        <w:t>肿</w:t>
      </w:r>
      <w:r>
        <w:rPr>
          <w:w w:val="95"/>
        </w:rPr>
        <w:t>瘤——重度”</w:t>
      </w:r>
      <w:r>
        <w:rPr>
          <w:w w:val="95"/>
        </w:rPr>
        <w:t>陪</w:t>
      </w:r>
      <w:r>
        <w:rPr>
          <w:w w:val="95"/>
        </w:rPr>
        <w:t>护</w:t>
      </w:r>
      <w:r>
        <w:rPr>
          <w:w w:val="95"/>
        </w:rPr>
        <w:t>保</w:t>
      </w:r>
      <w:r>
        <w:rPr>
          <w:w w:val="95"/>
        </w:rPr>
        <w:t>险</w:t>
      </w:r>
      <w:r>
        <w:rPr>
          <w:w w:val="95"/>
        </w:rPr>
        <w:t>金</w:t>
      </w:r>
      <w:r>
        <w:rPr>
          <w:w w:val="95"/>
        </w:rPr>
        <w:t>累</w:t>
      </w:r>
      <w:r>
        <w:rPr>
          <w:w w:val="95"/>
        </w:rPr>
        <w:t>计</w:t>
      </w:r>
      <w:r>
        <w:rPr>
          <w:w w:val="95"/>
        </w:rPr>
        <w:t>给</w:t>
      </w:r>
      <w:r>
        <w:rPr>
          <w:w w:val="95"/>
        </w:rPr>
        <w:t>付</w:t>
      </w:r>
      <w:r>
        <w:rPr>
          <w:w w:val="95"/>
        </w:rPr>
        <w:t>达</w:t>
      </w:r>
      <w:r>
        <w:rPr>
          <w:w w:val="95"/>
        </w:rPr>
        <w:t>到</w:t>
      </w:r>
      <w:r>
        <w:rPr>
          <w:w w:val="95"/>
        </w:rPr>
        <w:t> 5 次</w:t>
      </w:r>
      <w:r>
        <w:rPr>
          <w:w w:val="95"/>
        </w:rPr>
        <w:t>时</w:t>
      </w:r>
      <w:r>
        <w:rPr>
          <w:w w:val="95"/>
        </w:rPr>
        <w:t>，本</w:t>
      </w:r>
      <w:r>
        <w:rPr>
          <w:spacing w:val="-2"/>
        </w:rPr>
        <w:t>项保险责任终止，本合同继续有效。</w:t>
      </w:r>
    </w:p>
    <w:p>
      <w:pPr>
        <w:spacing w:after="0" w:line="283" w:lineRule="auto"/>
        <w:jc w:val="both"/>
        <w:sectPr>
          <w:type w:val="continuous"/>
          <w:pgSz w:w="11910" w:h="16840"/>
          <w:pgMar w:header="0" w:footer="226" w:top="240" w:bottom="420" w:left="980" w:right="400"/>
          <w:cols w:num="2" w:equalWidth="0">
            <w:col w:w="3179" w:space="40"/>
            <w:col w:w="7311"/>
          </w:cols>
        </w:sectPr>
      </w:pPr>
    </w:p>
    <w:p>
      <w:pPr>
        <w:pStyle w:val="BodyText"/>
        <w:spacing w:line="278" w:lineRule="auto" w:before="51"/>
        <w:ind w:left="3462" w:right="1596"/>
        <w:jc w:val="both"/>
      </w:pPr>
      <w:r>
        <w:rPr>
          <w:w w:val="95"/>
        </w:rPr>
        <w:t>若</w:t>
      </w:r>
      <w:r>
        <w:rPr>
          <w:w w:val="95"/>
        </w:rPr>
        <w:t>未</w:t>
      </w:r>
      <w:r>
        <w:rPr>
          <w:w w:val="95"/>
        </w:rPr>
        <w:t>领</w:t>
      </w:r>
      <w:r>
        <w:rPr>
          <w:w w:val="95"/>
        </w:rPr>
        <w:t>满</w:t>
      </w:r>
      <w:r>
        <w:rPr>
          <w:w w:val="95"/>
        </w:rPr>
        <w:t> 5 </w:t>
      </w:r>
      <w:r>
        <w:rPr>
          <w:w w:val="95"/>
        </w:rPr>
        <w:t>次</w:t>
      </w:r>
      <w:r>
        <w:rPr>
          <w:w w:val="95"/>
        </w:rPr>
        <w:t>“</w:t>
      </w:r>
      <w:r>
        <w:rPr>
          <w:w w:val="95"/>
        </w:rPr>
        <w:t>恶</w:t>
      </w:r>
      <w:r>
        <w:rPr>
          <w:w w:val="95"/>
        </w:rPr>
        <w:t>性</w:t>
      </w:r>
      <w:r>
        <w:rPr>
          <w:w w:val="95"/>
        </w:rPr>
        <w:t>肿</w:t>
      </w:r>
      <w:r>
        <w:rPr>
          <w:w w:val="95"/>
        </w:rPr>
        <w:t>瘤</w:t>
      </w:r>
      <w:r>
        <w:rPr>
          <w:w w:val="95"/>
        </w:rPr>
        <w:t>——</w:t>
      </w:r>
      <w:r>
        <w:rPr>
          <w:w w:val="95"/>
        </w:rPr>
        <w:t>重</w:t>
      </w:r>
      <w:r>
        <w:rPr>
          <w:w w:val="95"/>
        </w:rPr>
        <w:t>度</w:t>
      </w:r>
      <w:r>
        <w:rPr>
          <w:w w:val="95"/>
        </w:rPr>
        <w:t>”陪</w:t>
      </w:r>
      <w:r>
        <w:rPr>
          <w:w w:val="95"/>
        </w:rPr>
        <w:t>护</w:t>
      </w:r>
      <w:r>
        <w:rPr>
          <w:w w:val="95"/>
        </w:rPr>
        <w:t>保</w:t>
      </w:r>
      <w:r>
        <w:rPr>
          <w:w w:val="95"/>
        </w:rPr>
        <w:t>险</w:t>
      </w:r>
      <w:r>
        <w:rPr>
          <w:w w:val="95"/>
        </w:rPr>
        <w:t>金被保</w:t>
      </w:r>
      <w:r>
        <w:rPr>
          <w:w w:val="95"/>
        </w:rPr>
        <w:t>险</w:t>
      </w:r>
      <w:r>
        <w:rPr>
          <w:w w:val="95"/>
        </w:rPr>
        <w:t>人</w:t>
      </w:r>
      <w:r>
        <w:rPr>
          <w:w w:val="95"/>
        </w:rPr>
        <w:t>即</w:t>
      </w:r>
      <w:r>
        <w:rPr>
          <w:spacing w:val="-2"/>
        </w:rPr>
        <w:t>身故，我们将剩余的“恶性肿瘤——重度”陪护保险金一次</w:t>
      </w:r>
      <w:r>
        <w:rPr>
          <w:spacing w:val="-2"/>
        </w:rPr>
        <w:t>性给付“恶性肿瘤——重度”陪护保险金受益人，本合同终</w:t>
      </w:r>
      <w:r>
        <w:rPr>
          <w:spacing w:val="-2"/>
        </w:rPr>
        <w:t>止。若“恶性肿瘤——重度”陪护保险金受益人与被保险人</w:t>
      </w:r>
      <w:r>
        <w:rPr>
          <w:spacing w:val="-2"/>
        </w:rPr>
        <w:t>为同一人，则将此金额给付被保险人的继承人。</w:t>
      </w:r>
    </w:p>
    <w:p>
      <w:pPr>
        <w:pStyle w:val="BodyText"/>
        <w:spacing w:before="11"/>
        <w:rPr>
          <w:sz w:val="19"/>
        </w:rPr>
      </w:pPr>
    </w:p>
    <w:p>
      <w:pPr>
        <w:spacing w:after="0"/>
        <w:rPr>
          <w:sz w:val="19"/>
        </w:rPr>
        <w:sectPr>
          <w:pgSz w:w="11910" w:h="16840"/>
          <w:pgMar w:header="0" w:footer="226" w:top="820" w:bottom="420" w:left="980" w:right="400"/>
        </w:sectPr>
      </w:pPr>
    </w:p>
    <w:p>
      <w:pPr>
        <w:pStyle w:val="Heading2"/>
        <w:spacing w:line="194" w:lineRule="auto" w:before="56"/>
      </w:pPr>
      <w:r>
        <w:rPr>
          <w:spacing w:val="-2"/>
        </w:rPr>
        <w:t>极重度疾病保</w:t>
      </w:r>
      <w:r>
        <w:rPr>
          <w:spacing w:val="-6"/>
        </w:rPr>
        <w:t>险金</w:t>
      </w:r>
    </w:p>
    <w:p>
      <w:pPr>
        <w:pStyle w:val="BodyText"/>
        <w:spacing w:line="312" w:lineRule="exact" w:before="32"/>
        <w:ind w:left="243" w:right="1543"/>
      </w:pPr>
      <w:r>
        <w:rPr/>
        <w:br w:type="column"/>
      </w:r>
      <w:r>
        <w:rPr>
          <w:spacing w:val="-2"/>
        </w:rPr>
        <w:t>若被保险人因意外伤害或于等待期后因意外伤害以外的原</w:t>
      </w:r>
      <w:r>
        <w:rPr>
          <w:spacing w:val="80"/>
        </w:rPr>
        <w:t> </w:t>
      </w:r>
      <w:r>
        <w:rPr>
          <w:spacing w:val="-2"/>
        </w:rPr>
        <w:t>因，经医院的专科医生初次确诊发生本合同所定义的</w:t>
      </w:r>
      <w:r>
        <w:rPr>
          <w:rFonts w:ascii="微软雅黑" w:eastAsia="微软雅黑"/>
          <w:b/>
          <w:spacing w:val="-2"/>
        </w:rPr>
        <w:t>极重度</w:t>
      </w:r>
      <w:r>
        <w:rPr>
          <w:rFonts w:ascii="微软雅黑" w:eastAsia="微软雅黑"/>
          <w:b/>
          <w:spacing w:val="-4"/>
        </w:rPr>
        <w:t>疾病</w:t>
      </w:r>
      <w:r>
        <w:rPr>
          <w:spacing w:val="-4"/>
        </w:rPr>
        <w:t>（</w:t>
      </w:r>
      <w:r>
        <w:rPr>
          <w:spacing w:val="-16"/>
        </w:rPr>
        <w:t>见定义 </w:t>
      </w:r>
      <w:r>
        <w:rPr>
          <w:spacing w:val="9"/>
        </w:rPr>
        <w:t>1</w:t>
      </w:r>
      <w:r>
        <w:rPr>
          <w:spacing w:val="14"/>
        </w:rPr>
        <w:t>2.1</w:t>
      </w:r>
      <w:r>
        <w:rPr>
          <w:spacing w:val="-92"/>
        </w:rPr>
        <w:t>）</w:t>
      </w:r>
      <w:r>
        <w:rPr>
          <w:spacing w:val="14"/>
        </w:rPr>
        <w:t>（</w:t>
      </w:r>
      <w:r>
        <w:rPr>
          <w:spacing w:val="-4"/>
        </w:rPr>
        <w:t>无论一种或者多种</w:t>
      </w:r>
      <w:r>
        <w:rPr>
          <w:spacing w:val="-111"/>
        </w:rPr>
        <w:t>）</w:t>
      </w:r>
      <w:r>
        <w:rPr>
          <w:spacing w:val="-4"/>
        </w:rPr>
        <w:t>，我们除给付上述</w:t>
      </w:r>
      <w:r>
        <w:rPr>
          <w:spacing w:val="-3"/>
        </w:rPr>
        <w:t>重度疾病保险金外，还将按本合同载明的基本保险金额额外</w:t>
      </w:r>
    </w:p>
    <w:p>
      <w:pPr>
        <w:pStyle w:val="BodyText"/>
        <w:spacing w:line="278" w:lineRule="auto" w:before="40"/>
        <w:ind w:left="243" w:right="1597"/>
      </w:pPr>
      <w:r>
        <w:rPr>
          <w:spacing w:val="-2"/>
        </w:rPr>
        <w:t>给付极重度疾病保险金，本项保险责任终止，本合同继续有</w:t>
      </w:r>
      <w:r>
        <w:rPr>
          <w:spacing w:val="-6"/>
        </w:rPr>
        <w:t>效。</w:t>
      </w:r>
    </w:p>
    <w:p>
      <w:pPr>
        <w:spacing w:after="0" w:line="278" w:lineRule="auto"/>
        <w:sectPr>
          <w:type w:val="continuous"/>
          <w:pgSz w:w="11910" w:h="16840"/>
          <w:pgMar w:header="0" w:footer="226" w:top="240" w:bottom="420" w:left="980" w:right="400"/>
          <w:cols w:num="2" w:equalWidth="0">
            <w:col w:w="3179" w:space="40"/>
            <w:col w:w="7311"/>
          </w:cols>
        </w:sectPr>
      </w:pPr>
    </w:p>
    <w:p>
      <w:pPr>
        <w:pStyle w:val="BodyText"/>
        <w:spacing w:before="11"/>
        <w:rPr>
          <w:sz w:val="19"/>
        </w:rPr>
      </w:pPr>
    </w:p>
    <w:p>
      <w:pPr>
        <w:spacing w:after="0"/>
        <w:rPr>
          <w:sz w:val="19"/>
        </w:rPr>
        <w:sectPr>
          <w:type w:val="continuous"/>
          <w:pgSz w:w="11910" w:h="16840"/>
          <w:pgMar w:header="0" w:footer="226" w:top="240" w:bottom="420" w:left="980" w:right="400"/>
        </w:sectPr>
      </w:pPr>
    </w:p>
    <w:p>
      <w:pPr>
        <w:pStyle w:val="Heading2"/>
        <w:spacing w:line="194" w:lineRule="auto" w:before="56"/>
      </w:pPr>
      <w:r>
        <w:rPr>
          <w:spacing w:val="-2"/>
        </w:rPr>
        <w:t>身故或高残保</w:t>
      </w:r>
      <w:r>
        <w:rPr>
          <w:spacing w:val="-6"/>
        </w:rPr>
        <w:t>险金</w:t>
      </w:r>
    </w:p>
    <w:p>
      <w:pPr>
        <w:pStyle w:val="BodyText"/>
        <w:spacing w:line="278" w:lineRule="auto" w:before="72"/>
        <w:ind w:left="243" w:right="1595"/>
        <w:jc w:val="both"/>
      </w:pPr>
      <w:r>
        <w:rPr/>
        <w:br w:type="column"/>
      </w:r>
      <w:r>
        <w:rPr>
          <w:spacing w:val="-2"/>
        </w:rPr>
        <w:t>在本合同保险期间内，若被保险人因意外伤害或于等待期后</w:t>
      </w:r>
      <w:r>
        <w:rPr>
          <w:spacing w:val="-2"/>
        </w:rPr>
        <w:t>因意外伤害以外的原因身故或高残，我们向身故或高残保险</w:t>
      </w:r>
      <w:r>
        <w:rPr>
          <w:spacing w:val="-2"/>
        </w:rPr>
        <w:t>金受益人给付身故或高残保险金，本合同终止。身故或高残</w:t>
      </w:r>
      <w:r>
        <w:rPr>
          <w:spacing w:val="-2"/>
        </w:rPr>
        <w:t>保险金的金额约定如下：</w:t>
      </w:r>
    </w:p>
    <w:p>
      <w:pPr>
        <w:pStyle w:val="ListParagraph"/>
        <w:numPr>
          <w:ilvl w:val="0"/>
          <w:numId w:val="4"/>
        </w:numPr>
        <w:tabs>
          <w:tab w:pos="666" w:val="left" w:leader="none"/>
          <w:tab w:pos="667" w:val="left" w:leader="none"/>
        </w:tabs>
        <w:spacing w:line="280" w:lineRule="auto" w:before="154" w:after="0"/>
        <w:ind w:left="666" w:right="1596" w:hanging="423"/>
        <w:jc w:val="left"/>
        <w:rPr>
          <w:sz w:val="21"/>
        </w:rPr>
      </w:pPr>
      <w:r>
        <w:rPr>
          <w:spacing w:val="-3"/>
          <w:sz w:val="21"/>
        </w:rPr>
        <w:t>若被保险人于年满 </w:t>
      </w:r>
      <w:r>
        <w:rPr>
          <w:sz w:val="21"/>
        </w:rPr>
        <w:t>18</w:t>
      </w:r>
      <w:r>
        <w:rPr>
          <w:spacing w:val="-6"/>
          <w:sz w:val="21"/>
        </w:rPr>
        <w:t> 周岁的保单周年日前</w:t>
      </w:r>
      <w:r>
        <w:rPr>
          <w:sz w:val="21"/>
        </w:rPr>
        <w:t>（不含当</w:t>
      </w:r>
      <w:r>
        <w:rPr>
          <w:sz w:val="21"/>
        </w:rPr>
        <w:t> </w:t>
      </w:r>
      <w:r>
        <w:rPr>
          <w:spacing w:val="-2"/>
          <w:sz w:val="21"/>
        </w:rPr>
        <w:t>日）身故或高残，身故或高残保险金的金额为被保险人</w:t>
      </w:r>
      <w:r>
        <w:rPr>
          <w:spacing w:val="-2"/>
          <w:sz w:val="21"/>
        </w:rPr>
        <w:t>身故或高残时本合同累计已交保险费之和（不计利息）</w:t>
      </w:r>
      <w:r>
        <w:rPr>
          <w:spacing w:val="-11"/>
          <w:sz w:val="21"/>
        </w:rPr>
        <w:t>的 </w:t>
      </w:r>
      <w:r>
        <w:rPr>
          <w:sz w:val="21"/>
        </w:rPr>
        <w:t>2</w:t>
      </w:r>
      <w:r>
        <w:rPr>
          <w:spacing w:val="-8"/>
          <w:sz w:val="21"/>
        </w:rPr>
        <w:t> 倍；</w:t>
      </w:r>
    </w:p>
    <w:p>
      <w:pPr>
        <w:pStyle w:val="ListParagraph"/>
        <w:numPr>
          <w:ilvl w:val="0"/>
          <w:numId w:val="4"/>
        </w:numPr>
        <w:tabs>
          <w:tab w:pos="666" w:val="left" w:leader="none"/>
          <w:tab w:pos="667" w:val="left" w:leader="none"/>
        </w:tabs>
        <w:spacing w:line="278" w:lineRule="auto" w:before="147" w:after="0"/>
        <w:ind w:left="666" w:right="1595" w:hanging="423"/>
        <w:jc w:val="left"/>
        <w:rPr>
          <w:sz w:val="21"/>
        </w:rPr>
      </w:pPr>
      <w:r>
        <w:rPr>
          <w:spacing w:val="-3"/>
          <w:sz w:val="21"/>
        </w:rPr>
        <w:t>若被保险人于年满 </w:t>
      </w:r>
      <w:r>
        <w:rPr>
          <w:sz w:val="21"/>
        </w:rPr>
        <w:t>18</w:t>
      </w:r>
      <w:r>
        <w:rPr>
          <w:spacing w:val="-6"/>
          <w:sz w:val="21"/>
        </w:rPr>
        <w:t> 周岁的保单周年日后</w:t>
      </w:r>
      <w:r>
        <w:rPr>
          <w:sz w:val="21"/>
        </w:rPr>
        <w:t>（含当日）</w:t>
      </w:r>
      <w:r>
        <w:rPr>
          <w:spacing w:val="-2"/>
          <w:sz w:val="21"/>
        </w:rPr>
        <w:t>身故或高残，身故或高残保险金的金额为以下三者的较</w:t>
      </w:r>
      <w:r>
        <w:rPr>
          <w:spacing w:val="-4"/>
          <w:sz w:val="21"/>
        </w:rPr>
        <w:t>大者：</w:t>
      </w:r>
    </w:p>
    <w:p>
      <w:pPr>
        <w:pStyle w:val="ListParagraph"/>
        <w:numPr>
          <w:ilvl w:val="0"/>
          <w:numId w:val="5"/>
        </w:numPr>
        <w:tabs>
          <w:tab w:pos="1196" w:val="left" w:leader="none"/>
        </w:tabs>
        <w:spacing w:line="240" w:lineRule="auto" w:before="154" w:after="0"/>
        <w:ind w:left="1195" w:right="0" w:hanging="530"/>
        <w:jc w:val="left"/>
        <w:rPr>
          <w:sz w:val="21"/>
        </w:rPr>
      </w:pPr>
      <w:r>
        <w:rPr>
          <w:spacing w:val="-3"/>
          <w:sz w:val="21"/>
        </w:rPr>
        <w:t>被保险人身故或高残时本合同的基本保险金额；</w:t>
      </w:r>
    </w:p>
    <w:p>
      <w:pPr>
        <w:pStyle w:val="ListParagraph"/>
        <w:numPr>
          <w:ilvl w:val="0"/>
          <w:numId w:val="5"/>
        </w:numPr>
        <w:tabs>
          <w:tab w:pos="1196" w:val="left" w:leader="none"/>
        </w:tabs>
        <w:spacing w:line="240" w:lineRule="auto" w:before="48" w:after="0"/>
        <w:ind w:left="1195" w:right="0" w:hanging="530"/>
        <w:jc w:val="left"/>
        <w:rPr>
          <w:sz w:val="21"/>
        </w:rPr>
      </w:pPr>
      <w:r>
        <w:rPr>
          <w:spacing w:val="-3"/>
          <w:sz w:val="21"/>
        </w:rPr>
        <w:t>被保险人身故或高残时本合同的现金价值；</w:t>
      </w:r>
    </w:p>
    <w:p>
      <w:pPr>
        <w:pStyle w:val="ListParagraph"/>
        <w:numPr>
          <w:ilvl w:val="0"/>
          <w:numId w:val="5"/>
        </w:numPr>
        <w:tabs>
          <w:tab w:pos="1196" w:val="left" w:leader="none"/>
        </w:tabs>
        <w:spacing w:line="278" w:lineRule="auto" w:before="43" w:after="0"/>
        <w:ind w:left="1146" w:right="1702" w:hanging="480"/>
        <w:jc w:val="left"/>
        <w:rPr>
          <w:sz w:val="21"/>
        </w:rPr>
      </w:pPr>
      <w:r>
        <w:rPr>
          <w:spacing w:val="-2"/>
          <w:sz w:val="21"/>
        </w:rPr>
        <w:t>被保险人身故或高残时本合同累计已交保险费之</w:t>
      </w:r>
      <w:r>
        <w:rPr>
          <w:spacing w:val="-2"/>
          <w:sz w:val="21"/>
        </w:rPr>
        <w:t>和（不计利息）。</w:t>
      </w:r>
    </w:p>
    <w:p>
      <w:pPr>
        <w:pStyle w:val="BodyText"/>
        <w:spacing w:line="278" w:lineRule="auto" w:before="154"/>
        <w:ind w:left="243" w:right="1596"/>
        <w:jc w:val="both"/>
      </w:pPr>
      <w:r>
        <w:rPr>
          <w:spacing w:val="-2"/>
        </w:rPr>
        <w:t>若您选择了住院关怀津贴保险金责任，我们在给付身故或高</w:t>
      </w:r>
      <w:r>
        <w:rPr>
          <w:spacing w:val="-2"/>
        </w:rPr>
        <w:t>残保险金时，需扣减已累计给付的住院关怀津贴保险金（不</w:t>
      </w:r>
      <w:r>
        <w:rPr>
          <w:spacing w:val="-4"/>
        </w:rPr>
        <w:t>计利息</w:t>
      </w:r>
      <w:r>
        <w:rPr>
          <w:spacing w:val="-106"/>
        </w:rPr>
        <w:t>）</w:t>
      </w:r>
      <w:r>
        <w:rPr>
          <w:spacing w:val="-4"/>
        </w:rPr>
        <w:t>。</w:t>
      </w:r>
    </w:p>
    <w:p>
      <w:pPr>
        <w:spacing w:after="0" w:line="278" w:lineRule="auto"/>
        <w:jc w:val="both"/>
        <w:sectPr>
          <w:type w:val="continuous"/>
          <w:pgSz w:w="11910" w:h="16840"/>
          <w:pgMar w:header="0" w:footer="226" w:top="240" w:bottom="420" w:left="980" w:right="400"/>
          <w:cols w:num="2" w:equalWidth="0">
            <w:col w:w="3179" w:space="40"/>
            <w:col w:w="7311"/>
          </w:cols>
        </w:sectPr>
      </w:pPr>
    </w:p>
    <w:p>
      <w:pPr>
        <w:pStyle w:val="Heading2"/>
        <w:spacing w:line="194" w:lineRule="auto" w:before="35"/>
      </w:pPr>
      <w:r>
        <w:rPr>
          <w:spacing w:val="-2"/>
        </w:rPr>
        <w:t>疾病终末期保</w:t>
      </w:r>
      <w:r>
        <w:rPr>
          <w:spacing w:val="-6"/>
        </w:rPr>
        <w:t>险金</w:t>
      </w:r>
    </w:p>
    <w:p>
      <w:pPr>
        <w:pStyle w:val="BodyText"/>
        <w:spacing w:line="278" w:lineRule="auto" w:before="51"/>
        <w:ind w:left="243" w:right="1595"/>
        <w:jc w:val="both"/>
      </w:pPr>
      <w:r>
        <w:rPr/>
        <w:br w:type="column"/>
      </w:r>
      <w:r>
        <w:rPr>
          <w:spacing w:val="-2"/>
        </w:rPr>
        <w:t>在本合同保险期间内，若被保险人因意外伤害或于等待期后</w:t>
      </w:r>
      <w:r>
        <w:rPr>
          <w:spacing w:val="-2"/>
        </w:rPr>
        <w:t>因意外伤害以外的原因，经医院的专科医生初次确诊达到疾</w:t>
      </w:r>
      <w:r>
        <w:rPr>
          <w:spacing w:val="-2"/>
        </w:rPr>
        <w:t>病终末期，我们向疾病终末期保险金受益人给付疾病终末期</w:t>
      </w:r>
      <w:r>
        <w:rPr>
          <w:spacing w:val="-3"/>
        </w:rPr>
        <w:t>保险金，本合同终止。疾病终末期保险金的金额约定如下：</w:t>
      </w:r>
    </w:p>
    <w:p>
      <w:pPr>
        <w:pStyle w:val="ListParagraph"/>
        <w:numPr>
          <w:ilvl w:val="0"/>
          <w:numId w:val="4"/>
        </w:numPr>
        <w:tabs>
          <w:tab w:pos="666" w:val="left" w:leader="none"/>
          <w:tab w:pos="667" w:val="left" w:leader="none"/>
        </w:tabs>
        <w:spacing w:line="280" w:lineRule="auto" w:before="154" w:after="0"/>
        <w:ind w:left="666" w:right="1596" w:hanging="423"/>
        <w:jc w:val="left"/>
        <w:rPr>
          <w:sz w:val="21"/>
        </w:rPr>
      </w:pPr>
      <w:r>
        <w:rPr>
          <w:spacing w:val="-3"/>
          <w:sz w:val="21"/>
        </w:rPr>
        <w:t>若被保险人于年满 </w:t>
      </w:r>
      <w:r>
        <w:rPr>
          <w:sz w:val="21"/>
        </w:rPr>
        <w:t>18</w:t>
      </w:r>
      <w:r>
        <w:rPr>
          <w:spacing w:val="-6"/>
          <w:sz w:val="21"/>
        </w:rPr>
        <w:t> 周岁的保单周年日前</w:t>
      </w:r>
      <w:r>
        <w:rPr>
          <w:sz w:val="21"/>
        </w:rPr>
        <w:t>（不含当</w:t>
      </w:r>
      <w:r>
        <w:rPr>
          <w:sz w:val="21"/>
        </w:rPr>
        <w:t> </w:t>
      </w:r>
      <w:r>
        <w:rPr>
          <w:spacing w:val="-2"/>
          <w:sz w:val="21"/>
        </w:rPr>
        <w:t>日）确诊达到疾病终末期，疾病终末期保险金的金额为</w:t>
      </w:r>
      <w:r>
        <w:rPr>
          <w:spacing w:val="-2"/>
          <w:sz w:val="21"/>
        </w:rPr>
        <w:t>被保险人确诊达到疾病终末期时本合同累计已交保险费</w:t>
      </w:r>
      <w:r>
        <w:rPr>
          <w:sz w:val="21"/>
        </w:rPr>
        <w:t>之和（不计利息）</w:t>
      </w:r>
      <w:r>
        <w:rPr>
          <w:spacing w:val="-15"/>
          <w:sz w:val="21"/>
        </w:rPr>
        <w:t>的 </w:t>
      </w:r>
      <w:r>
        <w:rPr>
          <w:sz w:val="21"/>
        </w:rPr>
        <w:t>2</w:t>
      </w:r>
      <w:r>
        <w:rPr>
          <w:spacing w:val="-8"/>
          <w:sz w:val="21"/>
        </w:rPr>
        <w:t> 倍；</w:t>
      </w:r>
    </w:p>
    <w:p>
      <w:pPr>
        <w:pStyle w:val="ListParagraph"/>
        <w:numPr>
          <w:ilvl w:val="0"/>
          <w:numId w:val="4"/>
        </w:numPr>
        <w:tabs>
          <w:tab w:pos="666" w:val="left" w:leader="none"/>
          <w:tab w:pos="667" w:val="left" w:leader="none"/>
        </w:tabs>
        <w:spacing w:line="278" w:lineRule="auto" w:before="147" w:after="0"/>
        <w:ind w:left="666" w:right="1600" w:hanging="423"/>
        <w:jc w:val="left"/>
        <w:rPr>
          <w:sz w:val="21"/>
        </w:rPr>
      </w:pPr>
      <w:r>
        <w:rPr>
          <w:spacing w:val="-3"/>
          <w:sz w:val="21"/>
        </w:rPr>
        <w:t>若被保险人于年满 </w:t>
      </w:r>
      <w:r>
        <w:rPr>
          <w:sz w:val="21"/>
        </w:rPr>
        <w:t>18</w:t>
      </w:r>
      <w:r>
        <w:rPr>
          <w:spacing w:val="-6"/>
          <w:sz w:val="21"/>
        </w:rPr>
        <w:t> 周岁的保单周年日后</w:t>
      </w:r>
      <w:r>
        <w:rPr>
          <w:sz w:val="21"/>
        </w:rPr>
        <w:t>（含当日）</w:t>
      </w:r>
      <w:r>
        <w:rPr>
          <w:spacing w:val="-2"/>
          <w:sz w:val="21"/>
        </w:rPr>
        <w:t>确诊达到疾病终末期，疾病终末期保险金的金额为以下</w:t>
      </w:r>
      <w:r>
        <w:rPr>
          <w:spacing w:val="-2"/>
          <w:sz w:val="21"/>
        </w:rPr>
        <w:t>三者的较大者：</w:t>
      </w:r>
    </w:p>
    <w:p>
      <w:pPr>
        <w:pStyle w:val="ListParagraph"/>
        <w:numPr>
          <w:ilvl w:val="0"/>
          <w:numId w:val="6"/>
        </w:numPr>
        <w:tabs>
          <w:tab w:pos="1196" w:val="left" w:leader="none"/>
        </w:tabs>
        <w:spacing w:line="283" w:lineRule="auto" w:before="153" w:after="0"/>
        <w:ind w:left="1146" w:right="1701" w:hanging="480"/>
        <w:jc w:val="left"/>
        <w:rPr>
          <w:sz w:val="21"/>
        </w:rPr>
      </w:pPr>
      <w:r>
        <w:rPr>
          <w:spacing w:val="-2"/>
          <w:sz w:val="21"/>
        </w:rPr>
        <w:t>被保险人确诊达到疾病终末期时本合同的基本保</w:t>
      </w:r>
      <w:r>
        <w:rPr>
          <w:spacing w:val="-4"/>
          <w:sz w:val="21"/>
        </w:rPr>
        <w:t>险金额；</w:t>
      </w:r>
    </w:p>
    <w:p>
      <w:pPr>
        <w:pStyle w:val="ListParagraph"/>
        <w:numPr>
          <w:ilvl w:val="0"/>
          <w:numId w:val="6"/>
        </w:numPr>
        <w:tabs>
          <w:tab w:pos="1196" w:val="left" w:leader="none"/>
        </w:tabs>
        <w:spacing w:line="278" w:lineRule="auto" w:before="0" w:after="0"/>
        <w:ind w:left="1146" w:right="1701" w:hanging="480"/>
        <w:jc w:val="left"/>
        <w:rPr>
          <w:sz w:val="21"/>
        </w:rPr>
      </w:pPr>
      <w:r>
        <w:rPr>
          <w:spacing w:val="-2"/>
          <w:sz w:val="21"/>
        </w:rPr>
        <w:t>被保险人确诊达到疾病终末期时本合同的现金价</w:t>
      </w:r>
      <w:r>
        <w:rPr>
          <w:spacing w:val="-6"/>
          <w:sz w:val="21"/>
        </w:rPr>
        <w:t>值；</w:t>
      </w:r>
    </w:p>
    <w:p>
      <w:pPr>
        <w:pStyle w:val="ListParagraph"/>
        <w:numPr>
          <w:ilvl w:val="0"/>
          <w:numId w:val="6"/>
        </w:numPr>
        <w:tabs>
          <w:tab w:pos="1196" w:val="left" w:leader="none"/>
        </w:tabs>
        <w:spacing w:line="278" w:lineRule="auto" w:before="0" w:after="0"/>
        <w:ind w:left="1146" w:right="1701" w:hanging="480"/>
        <w:jc w:val="left"/>
        <w:rPr>
          <w:sz w:val="21"/>
        </w:rPr>
      </w:pPr>
      <w:r>
        <w:rPr>
          <w:spacing w:val="-2"/>
          <w:sz w:val="21"/>
        </w:rPr>
        <w:t>被保险人确诊达到疾病终末期时本合同累计已交</w:t>
      </w:r>
      <w:r>
        <w:rPr>
          <w:spacing w:val="-2"/>
          <w:sz w:val="21"/>
        </w:rPr>
        <w:t>保险费之和（不计利息）。</w:t>
      </w:r>
    </w:p>
    <w:p>
      <w:pPr>
        <w:pStyle w:val="BodyText"/>
        <w:spacing w:line="278" w:lineRule="auto" w:before="148"/>
        <w:ind w:left="243" w:right="1596"/>
        <w:jc w:val="both"/>
      </w:pPr>
      <w:r>
        <w:rPr>
          <w:spacing w:val="-2"/>
        </w:rPr>
        <w:t>若您选择了住院关怀津贴保险金责任，我们在给付疾病终末</w:t>
      </w:r>
      <w:r>
        <w:rPr>
          <w:spacing w:val="-2"/>
        </w:rPr>
        <w:t>期保险金时，需扣减已累计给付的住院关怀津贴保险金（不</w:t>
      </w:r>
      <w:r>
        <w:rPr>
          <w:spacing w:val="-4"/>
        </w:rPr>
        <w:t>计利息</w:t>
      </w:r>
      <w:r>
        <w:rPr>
          <w:spacing w:val="-106"/>
        </w:rPr>
        <w:t>）</w:t>
      </w:r>
      <w:r>
        <w:rPr>
          <w:spacing w:val="-4"/>
        </w:rPr>
        <w:t>。</w:t>
      </w:r>
    </w:p>
    <w:p>
      <w:pPr>
        <w:pStyle w:val="BodyText"/>
        <w:spacing w:line="283" w:lineRule="auto" w:before="154"/>
        <w:ind w:left="243" w:right="1595"/>
      </w:pPr>
      <w:r>
        <w:rPr>
          <w:spacing w:val="-2"/>
        </w:rPr>
        <w:t>身故保险金、高残保险金及疾病终末期保险金，我们仅给付</w:t>
      </w:r>
      <w:r>
        <w:rPr>
          <w:spacing w:val="-2"/>
        </w:rPr>
        <w:t>其中一项。</w:t>
      </w:r>
    </w:p>
    <w:p>
      <w:pPr>
        <w:spacing w:after="0" w:line="283" w:lineRule="auto"/>
        <w:sectPr>
          <w:pgSz w:w="11910" w:h="16840"/>
          <w:pgMar w:header="0" w:footer="226" w:top="820" w:bottom="420" w:left="980" w:right="400"/>
          <w:cols w:num="2" w:equalWidth="0">
            <w:col w:w="3179" w:space="40"/>
            <w:col w:w="7311"/>
          </w:cols>
        </w:sectPr>
      </w:pPr>
    </w:p>
    <w:p>
      <w:pPr>
        <w:pStyle w:val="BodyText"/>
        <w:rPr>
          <w:sz w:val="22"/>
        </w:rPr>
      </w:pPr>
    </w:p>
    <w:p>
      <w:pPr>
        <w:pStyle w:val="BodyText"/>
        <w:tabs>
          <w:tab w:pos="3461" w:val="left" w:leader="none"/>
        </w:tabs>
        <w:spacing w:line="312" w:lineRule="exact" w:before="32"/>
        <w:ind w:left="3462" w:right="1596" w:hanging="1552"/>
      </w:pPr>
      <w:r>
        <w:rPr>
          <w:rFonts w:ascii="Microsoft JhengHei" w:eastAsia="Microsoft JhengHei"/>
          <w:b/>
          <w:spacing w:val="-2"/>
        </w:rPr>
        <w:t>豁</w:t>
      </w:r>
      <w:r>
        <w:rPr>
          <w:rFonts w:ascii="Microsoft JhengHei" w:eastAsia="Microsoft JhengHei"/>
          <w:b/>
          <w:spacing w:val="-2"/>
        </w:rPr>
        <w:t>免</w:t>
      </w:r>
      <w:r>
        <w:rPr>
          <w:rFonts w:ascii="Microsoft JhengHei" w:eastAsia="Microsoft JhengHei"/>
          <w:b/>
          <w:spacing w:val="-2"/>
        </w:rPr>
        <w:t>保</w:t>
      </w:r>
      <w:r>
        <w:rPr>
          <w:rFonts w:ascii="Microsoft JhengHei" w:eastAsia="Microsoft JhengHei"/>
          <w:b/>
          <w:spacing w:val="-2"/>
        </w:rPr>
        <w:t>险</w:t>
      </w:r>
      <w:r>
        <w:rPr>
          <w:rFonts w:ascii="Microsoft JhengHei" w:eastAsia="Microsoft JhengHei"/>
          <w:b/>
          <w:spacing w:val="-2"/>
        </w:rPr>
        <w:t>费</w:t>
      </w:r>
      <w:r>
        <w:rPr>
          <w:rFonts w:ascii="Microsoft JhengHei" w:eastAsia="Microsoft JhengHei"/>
          <w:b/>
        </w:rPr>
        <w:tab/>
      </w:r>
      <w:r>
        <w:rPr>
          <w:spacing w:val="-2"/>
        </w:rPr>
        <w:t>在</w:t>
      </w:r>
      <w:r>
        <w:rPr>
          <w:spacing w:val="-2"/>
        </w:rPr>
        <w:t>本</w:t>
      </w:r>
      <w:r>
        <w:rPr>
          <w:spacing w:val="-2"/>
        </w:rPr>
        <w:t>合</w:t>
      </w:r>
      <w:r>
        <w:rPr>
          <w:spacing w:val="-2"/>
        </w:rPr>
        <w:t>同</w:t>
      </w:r>
      <w:r>
        <w:rPr>
          <w:spacing w:val="-2"/>
        </w:rPr>
        <w:t>保</w:t>
      </w:r>
      <w:r>
        <w:rPr>
          <w:spacing w:val="-2"/>
        </w:rPr>
        <w:t>险</w:t>
      </w:r>
      <w:r>
        <w:rPr>
          <w:spacing w:val="-2"/>
        </w:rPr>
        <w:t>期</w:t>
      </w:r>
      <w:r>
        <w:rPr>
          <w:spacing w:val="-2"/>
        </w:rPr>
        <w:t>间</w:t>
      </w:r>
      <w:r>
        <w:rPr>
          <w:spacing w:val="-2"/>
        </w:rPr>
        <w:t>内，</w:t>
      </w:r>
      <w:r>
        <w:rPr>
          <w:spacing w:val="-2"/>
        </w:rPr>
        <w:t>若</w:t>
      </w:r>
      <w:r>
        <w:rPr>
          <w:spacing w:val="-2"/>
        </w:rPr>
        <w:t>被</w:t>
      </w:r>
      <w:r>
        <w:rPr>
          <w:spacing w:val="-2"/>
        </w:rPr>
        <w:t>保</w:t>
      </w:r>
      <w:r>
        <w:rPr>
          <w:spacing w:val="-2"/>
        </w:rPr>
        <w:t>险</w:t>
      </w:r>
      <w:r>
        <w:rPr>
          <w:spacing w:val="-2"/>
        </w:rPr>
        <w:t>人</w:t>
      </w:r>
      <w:r>
        <w:rPr>
          <w:spacing w:val="-2"/>
        </w:rPr>
        <w:t>因</w:t>
      </w:r>
      <w:r>
        <w:rPr>
          <w:spacing w:val="-2"/>
        </w:rPr>
        <w:t>意</w:t>
      </w:r>
      <w:r>
        <w:rPr>
          <w:spacing w:val="-2"/>
        </w:rPr>
        <w:t>外</w:t>
      </w:r>
      <w:r>
        <w:rPr>
          <w:spacing w:val="-2"/>
        </w:rPr>
        <w:t>伤</w:t>
      </w:r>
      <w:r>
        <w:rPr>
          <w:spacing w:val="-2"/>
        </w:rPr>
        <w:t>害</w:t>
      </w:r>
      <w:r>
        <w:rPr>
          <w:spacing w:val="-2"/>
        </w:rPr>
        <w:t>或于等</w:t>
      </w:r>
      <w:r>
        <w:rPr>
          <w:spacing w:val="-2"/>
        </w:rPr>
        <w:t>待</w:t>
      </w:r>
      <w:r>
        <w:rPr>
          <w:spacing w:val="-2"/>
        </w:rPr>
        <w:t>期</w:t>
      </w:r>
      <w:r>
        <w:rPr>
          <w:spacing w:val="-2"/>
        </w:rPr>
        <w:t>后</w:t>
      </w:r>
      <w:r>
        <w:rPr>
          <w:spacing w:val="-2"/>
        </w:rPr>
        <w:t>因</w:t>
      </w:r>
      <w:r>
        <w:rPr>
          <w:spacing w:val="-2"/>
        </w:rPr>
        <w:t>意</w:t>
      </w:r>
      <w:r>
        <w:rPr>
          <w:spacing w:val="-2"/>
        </w:rPr>
        <w:t>外</w:t>
      </w:r>
      <w:r>
        <w:rPr>
          <w:spacing w:val="-2"/>
        </w:rPr>
        <w:t>伤</w:t>
      </w:r>
      <w:r>
        <w:rPr>
          <w:spacing w:val="-2"/>
        </w:rPr>
        <w:t>害</w:t>
      </w:r>
      <w:r>
        <w:rPr>
          <w:spacing w:val="-2"/>
        </w:rPr>
        <w:t>以</w:t>
      </w:r>
      <w:r>
        <w:rPr>
          <w:spacing w:val="-2"/>
        </w:rPr>
        <w:t>外</w:t>
      </w:r>
      <w:r>
        <w:rPr>
          <w:spacing w:val="-2"/>
        </w:rPr>
        <w:t>的</w:t>
      </w:r>
      <w:r>
        <w:rPr>
          <w:spacing w:val="-2"/>
        </w:rPr>
        <w:t>原</w:t>
      </w:r>
      <w:r>
        <w:rPr>
          <w:spacing w:val="-2"/>
        </w:rPr>
        <w:t>因</w:t>
      </w:r>
      <w:r>
        <w:rPr>
          <w:spacing w:val="-2"/>
        </w:rPr>
        <w:t>，</w:t>
      </w:r>
      <w:r>
        <w:rPr>
          <w:spacing w:val="-2"/>
        </w:rPr>
        <w:t>经</w:t>
      </w:r>
      <w:r>
        <w:rPr>
          <w:spacing w:val="-2"/>
        </w:rPr>
        <w:t>医</w:t>
      </w:r>
      <w:r>
        <w:rPr>
          <w:spacing w:val="-2"/>
        </w:rPr>
        <w:t>院</w:t>
      </w:r>
      <w:r>
        <w:rPr>
          <w:spacing w:val="-2"/>
        </w:rPr>
        <w:t>的</w:t>
      </w:r>
      <w:r>
        <w:rPr>
          <w:spacing w:val="-2"/>
        </w:rPr>
        <w:t>专</w:t>
      </w:r>
      <w:r>
        <w:rPr>
          <w:spacing w:val="-2"/>
        </w:rPr>
        <w:t>科</w:t>
      </w:r>
      <w:r>
        <w:rPr>
          <w:spacing w:val="-2"/>
        </w:rPr>
        <w:t>医</w:t>
      </w:r>
      <w:r>
        <w:rPr>
          <w:spacing w:val="-2"/>
        </w:rPr>
        <w:t>生</w:t>
      </w:r>
      <w:r>
        <w:rPr>
          <w:spacing w:val="-2"/>
        </w:rPr>
        <w:t>初</w:t>
      </w:r>
      <w:r>
        <w:rPr>
          <w:spacing w:val="-2"/>
        </w:rPr>
        <w:t>次确诊</w:t>
      </w:r>
      <w:r>
        <w:rPr>
          <w:spacing w:val="-2"/>
        </w:rPr>
        <w:t>发</w:t>
      </w:r>
      <w:r>
        <w:rPr>
          <w:spacing w:val="-2"/>
        </w:rPr>
        <w:t>生</w:t>
      </w:r>
      <w:r>
        <w:rPr>
          <w:spacing w:val="-2"/>
        </w:rPr>
        <w:t>本</w:t>
      </w:r>
      <w:r>
        <w:rPr>
          <w:spacing w:val="-2"/>
        </w:rPr>
        <w:t>合</w:t>
      </w:r>
      <w:r>
        <w:rPr>
          <w:spacing w:val="-2"/>
        </w:rPr>
        <w:t>同</w:t>
      </w:r>
      <w:r>
        <w:rPr>
          <w:spacing w:val="-2"/>
        </w:rPr>
        <w:t>所</w:t>
      </w:r>
      <w:r>
        <w:rPr>
          <w:spacing w:val="-2"/>
        </w:rPr>
        <w:t>定</w:t>
      </w:r>
      <w:r>
        <w:rPr>
          <w:spacing w:val="-2"/>
        </w:rPr>
        <w:t>义</w:t>
      </w:r>
      <w:r>
        <w:rPr>
          <w:spacing w:val="-2"/>
        </w:rPr>
        <w:t>的</w:t>
      </w:r>
      <w:r>
        <w:rPr>
          <w:spacing w:val="-2"/>
        </w:rPr>
        <w:t>轻</w:t>
      </w:r>
      <w:r>
        <w:rPr>
          <w:spacing w:val="-2"/>
        </w:rPr>
        <w:t>度</w:t>
      </w:r>
      <w:r>
        <w:rPr>
          <w:spacing w:val="-2"/>
        </w:rPr>
        <w:t>疾</w:t>
      </w:r>
      <w:r>
        <w:rPr>
          <w:spacing w:val="-2"/>
        </w:rPr>
        <w:t>病</w:t>
      </w:r>
      <w:r>
        <w:rPr>
          <w:spacing w:val="-2"/>
        </w:rPr>
        <w:t>、</w:t>
      </w:r>
      <w:r>
        <w:rPr>
          <w:spacing w:val="-2"/>
        </w:rPr>
        <w:t>中</w:t>
      </w:r>
      <w:r>
        <w:rPr>
          <w:spacing w:val="-2"/>
        </w:rPr>
        <w:t>度</w:t>
      </w:r>
      <w:r>
        <w:rPr>
          <w:spacing w:val="-2"/>
        </w:rPr>
        <w:t>疾</w:t>
      </w:r>
      <w:r>
        <w:rPr>
          <w:spacing w:val="-2"/>
        </w:rPr>
        <w:t>病</w:t>
      </w:r>
      <w:r>
        <w:rPr>
          <w:spacing w:val="-2"/>
        </w:rPr>
        <w:t>或</w:t>
      </w:r>
      <w:r>
        <w:rPr>
          <w:spacing w:val="-2"/>
        </w:rPr>
        <w:t>重</w:t>
      </w:r>
      <w:r>
        <w:rPr>
          <w:spacing w:val="-2"/>
        </w:rPr>
        <w:t>度</w:t>
      </w:r>
      <w:r>
        <w:rPr>
          <w:spacing w:val="-2"/>
        </w:rPr>
        <w:t>疾</w:t>
      </w:r>
      <w:r>
        <w:rPr>
          <w:spacing w:val="-2"/>
        </w:rPr>
        <w:t>病</w:t>
      </w:r>
      <w:r>
        <w:rPr>
          <w:spacing w:val="-2"/>
        </w:rPr>
        <w:t>（无论</w:t>
      </w:r>
      <w:r>
        <w:rPr>
          <w:spacing w:val="-2"/>
        </w:rPr>
        <w:t>一</w:t>
      </w:r>
      <w:r>
        <w:rPr>
          <w:spacing w:val="-2"/>
        </w:rPr>
        <w:t>种</w:t>
      </w:r>
      <w:r>
        <w:rPr>
          <w:spacing w:val="-2"/>
        </w:rPr>
        <w:t>或</w:t>
      </w:r>
      <w:r>
        <w:rPr>
          <w:spacing w:val="-2"/>
        </w:rPr>
        <w:t>者</w:t>
      </w:r>
      <w:r>
        <w:rPr>
          <w:spacing w:val="-2"/>
        </w:rPr>
        <w:t>多</w:t>
      </w:r>
      <w:r>
        <w:rPr>
          <w:spacing w:val="-2"/>
        </w:rPr>
        <w:t>种</w:t>
      </w:r>
      <w:r>
        <w:rPr>
          <w:spacing w:val="-106"/>
        </w:rPr>
        <w:t>）</w:t>
      </w:r>
      <w:r>
        <w:rPr/>
        <w:t>，</w:t>
      </w:r>
      <w:r>
        <w:rPr>
          <w:spacing w:val="-2"/>
        </w:rPr>
        <w:t>我</w:t>
      </w:r>
      <w:r>
        <w:rPr>
          <w:spacing w:val="-2"/>
        </w:rPr>
        <w:t>们</w:t>
      </w:r>
      <w:r>
        <w:rPr>
          <w:spacing w:val="-2"/>
        </w:rPr>
        <w:t>将</w:t>
      </w:r>
      <w:r>
        <w:rPr>
          <w:spacing w:val="-2"/>
        </w:rPr>
        <w:t>豁</w:t>
      </w:r>
      <w:r>
        <w:rPr>
          <w:spacing w:val="-2"/>
        </w:rPr>
        <w:t>免</w:t>
      </w:r>
      <w:r>
        <w:rPr>
          <w:spacing w:val="-2"/>
        </w:rPr>
        <w:t>本</w:t>
      </w:r>
      <w:r>
        <w:rPr>
          <w:spacing w:val="-2"/>
        </w:rPr>
        <w:t>合</w:t>
      </w:r>
      <w:r>
        <w:rPr>
          <w:spacing w:val="-2"/>
        </w:rPr>
        <w:t>同</w:t>
      </w:r>
      <w:r>
        <w:rPr>
          <w:spacing w:val="-2"/>
        </w:rPr>
        <w:t>自</w:t>
      </w:r>
      <w:r>
        <w:rPr>
          <w:spacing w:val="-2"/>
        </w:rPr>
        <w:t>疾</w:t>
      </w:r>
      <w:r>
        <w:rPr>
          <w:spacing w:val="-2"/>
        </w:rPr>
        <w:t>病</w:t>
      </w:r>
      <w:r>
        <w:rPr>
          <w:spacing w:val="-2"/>
        </w:rPr>
        <w:t>确</w:t>
      </w:r>
      <w:r>
        <w:rPr>
          <w:spacing w:val="-2"/>
        </w:rPr>
        <w:t>诊</w:t>
      </w:r>
      <w:r>
        <w:rPr>
          <w:spacing w:val="-2"/>
        </w:rPr>
        <w:t>之</w:t>
      </w:r>
      <w:r>
        <w:rPr>
          <w:spacing w:val="-2"/>
        </w:rPr>
        <w:t>日</w:t>
      </w:r>
      <w:r>
        <w:rPr>
          <w:spacing w:val="-2"/>
        </w:rPr>
        <w:t>以后的</w:t>
      </w:r>
      <w:r>
        <w:rPr>
          <w:spacing w:val="-2"/>
        </w:rPr>
        <w:t>各</w:t>
      </w:r>
      <w:r>
        <w:rPr>
          <w:spacing w:val="-2"/>
        </w:rPr>
        <w:t>期</w:t>
      </w:r>
      <w:r>
        <w:rPr>
          <w:spacing w:val="-2"/>
        </w:rPr>
        <w:t>保</w:t>
      </w:r>
      <w:r>
        <w:rPr>
          <w:spacing w:val="-4"/>
        </w:rPr>
        <w:t>险</w:t>
      </w:r>
      <w:r>
        <w:rPr>
          <w:spacing w:val="-4"/>
        </w:rPr>
        <w:t>费</w:t>
      </w:r>
      <w:r>
        <w:rPr>
          <w:spacing w:val="-4"/>
        </w:rPr>
        <w:t>。</w:t>
      </w:r>
    </w:p>
    <w:p>
      <w:pPr>
        <w:pStyle w:val="BodyText"/>
        <w:spacing w:before="2"/>
        <w:rPr>
          <w:sz w:val="15"/>
        </w:rPr>
      </w:pPr>
    </w:p>
    <w:p>
      <w:pPr>
        <w:pStyle w:val="BodyText"/>
        <w:ind w:left="3462"/>
      </w:pPr>
      <w:r>
        <w:rPr>
          <w:spacing w:val="-3"/>
        </w:rPr>
        <w:t>被豁免的保险费视为已交纳，本合同继续有效。</w:t>
      </w:r>
    </w:p>
    <w:p>
      <w:pPr>
        <w:pStyle w:val="BodyText"/>
        <w:spacing w:before="5"/>
        <w:rPr>
          <w:sz w:val="23"/>
        </w:rPr>
      </w:pPr>
    </w:p>
    <w:p>
      <w:pPr>
        <w:pStyle w:val="Heading2"/>
        <w:spacing w:before="0"/>
      </w:pPr>
      <w:r>
        <w:rPr>
          <w:spacing w:val="-3"/>
        </w:rPr>
        <w:t>可选责任</w:t>
      </w:r>
    </w:p>
    <w:p>
      <w:pPr>
        <w:pStyle w:val="BodyText"/>
        <w:spacing w:before="12"/>
        <w:rPr>
          <w:rFonts w:ascii="Microsoft JhengHei"/>
          <w:b/>
          <w:sz w:val="13"/>
        </w:rPr>
      </w:pPr>
    </w:p>
    <w:p>
      <w:pPr>
        <w:spacing w:after="0"/>
        <w:rPr>
          <w:rFonts w:ascii="Microsoft JhengHei"/>
          <w:sz w:val="13"/>
        </w:rPr>
        <w:sectPr>
          <w:type w:val="continuous"/>
          <w:pgSz w:w="11910" w:h="16840"/>
          <w:pgMar w:header="0" w:footer="226" w:top="240" w:bottom="420" w:left="980" w:right="400"/>
        </w:sectPr>
      </w:pPr>
    </w:p>
    <w:p>
      <w:pPr>
        <w:spacing w:line="196" w:lineRule="auto" w:before="52"/>
        <w:ind w:left="1910" w:right="0" w:firstLine="0"/>
        <w:jc w:val="left"/>
        <w:rPr>
          <w:rFonts w:ascii="Microsoft JhengHei" w:eastAsia="Microsoft JhengHei"/>
          <w:b/>
          <w:sz w:val="21"/>
        </w:rPr>
      </w:pPr>
      <w:r>
        <w:rPr>
          <w:rFonts w:ascii="Microsoft JhengHei" w:eastAsia="Microsoft JhengHei"/>
          <w:b/>
          <w:spacing w:val="-2"/>
          <w:sz w:val="21"/>
        </w:rPr>
        <w:t>住院关怀津贴</w:t>
      </w:r>
      <w:r>
        <w:rPr>
          <w:rFonts w:ascii="Microsoft JhengHei" w:eastAsia="Microsoft JhengHei"/>
          <w:b/>
          <w:spacing w:val="-4"/>
          <w:sz w:val="21"/>
        </w:rPr>
        <w:t>保险金</w:t>
      </w:r>
    </w:p>
    <w:p>
      <w:pPr>
        <w:pStyle w:val="BodyText"/>
        <w:spacing w:line="225" w:lineRule="auto" w:before="84"/>
        <w:ind w:left="244" w:right="1538"/>
      </w:pPr>
      <w:r>
        <w:rPr/>
        <w:br w:type="column"/>
      </w:r>
      <w:r>
        <w:rPr>
          <w:spacing w:val="-2"/>
        </w:rPr>
        <w:t>在本合同保险期间内，若被保险人尚未发生本合同所定义的</w:t>
      </w:r>
      <w:r>
        <w:rPr>
          <w:spacing w:val="-7"/>
        </w:rPr>
        <w:t>重度疾病，且于年满 </w:t>
      </w:r>
      <w:r>
        <w:rPr>
          <w:spacing w:val="-2"/>
        </w:rPr>
        <w:t>60</w:t>
      </w:r>
      <w:r>
        <w:rPr>
          <w:spacing w:val="-13"/>
        </w:rPr>
        <w:t> 周岁的</w:t>
      </w:r>
      <w:r>
        <w:rPr>
          <w:rFonts w:ascii="微软雅黑" w:eastAsia="微软雅黑"/>
          <w:b/>
          <w:spacing w:val="-2"/>
        </w:rPr>
        <w:t>保单周年日</w:t>
      </w:r>
      <w:r>
        <w:rPr>
          <w:spacing w:val="-2"/>
        </w:rPr>
        <w:t>（</w:t>
      </w:r>
      <w:r>
        <w:rPr>
          <w:spacing w:val="-12"/>
        </w:rPr>
        <w:t>见释义 </w:t>
      </w:r>
      <w:r>
        <w:rPr>
          <w:spacing w:val="-2"/>
        </w:rPr>
        <w:t>13.14）</w:t>
      </w:r>
    </w:p>
    <w:p>
      <w:pPr>
        <w:pStyle w:val="BodyText"/>
        <w:spacing w:line="278" w:lineRule="auto"/>
        <w:ind w:left="244" w:right="1596"/>
      </w:pPr>
      <w:r>
        <w:rPr>
          <w:spacing w:val="-2"/>
        </w:rPr>
        <w:t>（含当日）后，因意外伤害或于等待期后因意外伤害以外的</w:t>
      </w:r>
      <w:r>
        <w:rPr>
          <w:spacing w:val="-2"/>
        </w:rPr>
        <w:t>原因在医院住院治疗的，本公司按本合同基本保险金额的</w:t>
      </w:r>
      <w:r>
        <w:rPr>
          <w:spacing w:val="-2"/>
        </w:rPr>
        <w:t> 0.1%乘以实际住院天数给付住院关怀津贴保险金。</w:t>
      </w:r>
    </w:p>
    <w:p>
      <w:pPr>
        <w:pStyle w:val="BodyText"/>
        <w:spacing w:before="153"/>
        <w:ind w:left="244"/>
      </w:pPr>
      <w:r>
        <w:rPr>
          <w:spacing w:val="-5"/>
        </w:rPr>
        <w:t>每一保单年度累计给付天数最高以 </w:t>
      </w:r>
      <w:r>
        <w:rPr>
          <w:spacing w:val="-2"/>
        </w:rPr>
        <w:t>90</w:t>
      </w:r>
      <w:r>
        <w:rPr>
          <w:spacing w:val="-13"/>
        </w:rPr>
        <w:t> 日为限。</w:t>
      </w:r>
    </w:p>
    <w:p>
      <w:pPr>
        <w:pStyle w:val="BodyText"/>
        <w:spacing w:before="4"/>
        <w:rPr>
          <w:sz w:val="15"/>
        </w:rPr>
      </w:pPr>
    </w:p>
    <w:p>
      <w:pPr>
        <w:pStyle w:val="BodyText"/>
        <w:spacing w:line="280" w:lineRule="auto" w:before="1"/>
        <w:ind w:left="244" w:right="1595"/>
        <w:jc w:val="both"/>
      </w:pPr>
      <w:r>
        <w:rPr>
          <w:spacing w:val="-2"/>
        </w:rPr>
        <w:t>我们在给付首次重度疾病保险金、身故或高残保险金及疾病</w:t>
      </w:r>
      <w:r>
        <w:rPr>
          <w:spacing w:val="-2"/>
        </w:rPr>
        <w:t>终末期保险金时，均需扣减已累计给付的住院关怀津贴保险</w:t>
      </w:r>
      <w:r>
        <w:rPr>
          <w:spacing w:val="-2"/>
        </w:rPr>
        <w:t>金（不计利息</w:t>
      </w:r>
      <w:r>
        <w:rPr>
          <w:spacing w:val="-106"/>
        </w:rPr>
        <w:t>）</w:t>
      </w:r>
      <w:r>
        <w:rPr>
          <w:spacing w:val="-2"/>
        </w:rPr>
        <w:t>。</w:t>
      </w:r>
    </w:p>
    <w:p>
      <w:pPr>
        <w:spacing w:after="0" w:line="280" w:lineRule="auto"/>
        <w:jc w:val="both"/>
        <w:sectPr>
          <w:type w:val="continuous"/>
          <w:pgSz w:w="11910" w:h="16840"/>
          <w:pgMar w:header="0" w:footer="226" w:top="240" w:bottom="420" w:left="980" w:right="400"/>
          <w:cols w:num="2" w:equalWidth="0">
            <w:col w:w="3178" w:space="40"/>
            <w:col w:w="7312"/>
          </w:cols>
        </w:sectPr>
      </w:pPr>
    </w:p>
    <w:p>
      <w:pPr>
        <w:pStyle w:val="ListParagraph"/>
        <w:numPr>
          <w:ilvl w:val="2"/>
          <w:numId w:val="2"/>
        </w:numPr>
        <w:tabs>
          <w:tab w:pos="1910" w:val="left" w:leader="none"/>
          <w:tab w:pos="1911" w:val="left" w:leader="none"/>
          <w:tab w:pos="3461" w:val="left" w:leader="none"/>
        </w:tabs>
        <w:spacing w:line="366" w:lineRule="exact" w:before="0" w:after="0"/>
        <w:ind w:left="1910" w:right="0" w:hanging="985"/>
        <w:jc w:val="left"/>
        <w:rPr>
          <w:sz w:val="21"/>
        </w:rPr>
      </w:pPr>
      <w:r>
        <w:rPr>
          <w:rFonts w:ascii="Microsoft JhengHei" w:eastAsia="Microsoft JhengHei"/>
          <w:b/>
          <w:sz w:val="21"/>
        </w:rPr>
        <w:t>责任免</w:t>
      </w:r>
      <w:r>
        <w:rPr>
          <w:rFonts w:ascii="Microsoft JhengHei" w:eastAsia="Microsoft JhengHei"/>
          <w:b/>
          <w:spacing w:val="-10"/>
          <w:sz w:val="21"/>
        </w:rPr>
        <w:t>除</w:t>
      </w:r>
      <w:r>
        <w:rPr>
          <w:rFonts w:ascii="Microsoft JhengHei" w:eastAsia="Microsoft JhengHei"/>
          <w:b/>
          <w:sz w:val="21"/>
        </w:rPr>
        <w:tab/>
      </w:r>
      <w:r>
        <w:rPr>
          <w:spacing w:val="-2"/>
          <w:sz w:val="21"/>
        </w:rPr>
        <w:t>因</w:t>
      </w:r>
      <w:r>
        <w:rPr>
          <w:spacing w:val="-2"/>
          <w:sz w:val="21"/>
        </w:rPr>
        <w:t>下</w:t>
      </w:r>
      <w:r>
        <w:rPr>
          <w:spacing w:val="-2"/>
          <w:sz w:val="21"/>
        </w:rPr>
        <w:t>列</w:t>
      </w:r>
      <w:r>
        <w:rPr>
          <w:spacing w:val="-2"/>
          <w:sz w:val="21"/>
        </w:rPr>
        <w:t>情</w:t>
      </w:r>
      <w:r>
        <w:rPr>
          <w:spacing w:val="-2"/>
          <w:sz w:val="21"/>
        </w:rPr>
        <w:t>形</w:t>
      </w:r>
      <w:r>
        <w:rPr>
          <w:spacing w:val="-2"/>
          <w:sz w:val="21"/>
        </w:rPr>
        <w:t>之</w:t>
      </w:r>
      <w:r>
        <w:rPr>
          <w:spacing w:val="-2"/>
          <w:sz w:val="21"/>
        </w:rPr>
        <w:t>一</w:t>
      </w:r>
      <w:r>
        <w:rPr>
          <w:spacing w:val="-2"/>
          <w:sz w:val="21"/>
        </w:rPr>
        <w:t>，导</w:t>
      </w:r>
      <w:r>
        <w:rPr>
          <w:spacing w:val="-2"/>
          <w:sz w:val="21"/>
        </w:rPr>
        <w:t>致</w:t>
      </w:r>
      <w:r>
        <w:rPr>
          <w:spacing w:val="-2"/>
          <w:sz w:val="21"/>
        </w:rPr>
        <w:t>被</w:t>
      </w:r>
      <w:r>
        <w:rPr>
          <w:spacing w:val="-2"/>
          <w:sz w:val="21"/>
        </w:rPr>
        <w:t>保</w:t>
      </w:r>
      <w:r>
        <w:rPr>
          <w:spacing w:val="-2"/>
          <w:sz w:val="21"/>
        </w:rPr>
        <w:t>险</w:t>
      </w:r>
      <w:r>
        <w:rPr>
          <w:spacing w:val="-2"/>
          <w:sz w:val="21"/>
        </w:rPr>
        <w:t>人</w:t>
      </w:r>
      <w:r>
        <w:rPr>
          <w:spacing w:val="-2"/>
          <w:sz w:val="21"/>
        </w:rPr>
        <w:t>发</w:t>
      </w:r>
      <w:r>
        <w:rPr>
          <w:spacing w:val="-2"/>
          <w:sz w:val="21"/>
        </w:rPr>
        <w:t>生</w:t>
      </w:r>
      <w:r>
        <w:rPr>
          <w:spacing w:val="-2"/>
          <w:sz w:val="21"/>
        </w:rPr>
        <w:t>疾</w:t>
      </w:r>
      <w:r>
        <w:rPr>
          <w:spacing w:val="-2"/>
          <w:sz w:val="21"/>
        </w:rPr>
        <w:t>病</w:t>
      </w:r>
      <w:r>
        <w:rPr>
          <w:spacing w:val="-2"/>
          <w:sz w:val="21"/>
        </w:rPr>
        <w:t>、</w:t>
      </w:r>
      <w:r>
        <w:rPr>
          <w:spacing w:val="-2"/>
          <w:sz w:val="21"/>
        </w:rPr>
        <w:t>达</w:t>
      </w:r>
      <w:r>
        <w:rPr>
          <w:spacing w:val="-2"/>
          <w:sz w:val="21"/>
        </w:rPr>
        <w:t>到疾病</w:t>
      </w:r>
      <w:r>
        <w:rPr>
          <w:spacing w:val="-2"/>
          <w:sz w:val="21"/>
        </w:rPr>
        <w:t>状</w:t>
      </w:r>
      <w:r>
        <w:rPr>
          <w:spacing w:val="-2"/>
          <w:sz w:val="21"/>
        </w:rPr>
        <w:t>态</w:t>
      </w:r>
      <w:r>
        <w:rPr>
          <w:spacing w:val="-10"/>
          <w:sz w:val="21"/>
        </w:rPr>
        <w:t>、</w:t>
      </w:r>
    </w:p>
    <w:p>
      <w:pPr>
        <w:pStyle w:val="BodyText"/>
        <w:spacing w:line="278" w:lineRule="auto"/>
        <w:ind w:left="3462" w:right="1808"/>
      </w:pPr>
      <w:r>
        <w:rPr>
          <w:spacing w:val="-2"/>
        </w:rPr>
        <w:t>进行手术、住院治疗（若您选择了住院关怀津贴保险金责任</w:t>
      </w:r>
      <w:r>
        <w:rPr>
          <w:spacing w:val="-106"/>
        </w:rPr>
        <w:t>）</w:t>
      </w:r>
      <w:r>
        <w:rPr>
          <w:spacing w:val="-2"/>
        </w:rPr>
        <w:t>、身故或高残的，我们不承担保险责任：</w:t>
      </w:r>
    </w:p>
    <w:p>
      <w:pPr>
        <w:pStyle w:val="ListParagraph"/>
        <w:numPr>
          <w:ilvl w:val="3"/>
          <w:numId w:val="2"/>
        </w:numPr>
        <w:tabs>
          <w:tab w:pos="3991" w:val="left" w:leader="none"/>
        </w:tabs>
        <w:spacing w:line="240" w:lineRule="auto" w:before="151" w:after="0"/>
        <w:ind w:left="3991" w:right="0" w:hanging="529"/>
        <w:jc w:val="left"/>
        <w:rPr>
          <w:sz w:val="21"/>
        </w:rPr>
      </w:pPr>
      <w:r>
        <w:rPr>
          <w:spacing w:val="-3"/>
          <w:sz w:val="21"/>
        </w:rPr>
        <w:t>投保人对被保险人的故意杀害、故意伤害；</w:t>
      </w:r>
    </w:p>
    <w:p>
      <w:pPr>
        <w:pStyle w:val="ListParagraph"/>
        <w:numPr>
          <w:ilvl w:val="3"/>
          <w:numId w:val="2"/>
        </w:numPr>
        <w:tabs>
          <w:tab w:pos="3991" w:val="left" w:leader="none"/>
        </w:tabs>
        <w:spacing w:line="240" w:lineRule="auto" w:before="48" w:after="0"/>
        <w:ind w:left="3991" w:right="0" w:hanging="529"/>
        <w:jc w:val="left"/>
        <w:rPr>
          <w:sz w:val="21"/>
        </w:rPr>
      </w:pPr>
      <w:r>
        <w:rPr>
          <w:spacing w:val="-3"/>
          <w:sz w:val="21"/>
        </w:rPr>
        <w:t>被保险人故意犯罪或抗拒依法采取的刑事强制措施；</w:t>
      </w:r>
    </w:p>
    <w:p>
      <w:pPr>
        <w:pStyle w:val="ListParagraph"/>
        <w:numPr>
          <w:ilvl w:val="3"/>
          <w:numId w:val="2"/>
        </w:numPr>
        <w:tabs>
          <w:tab w:pos="3991" w:val="left" w:leader="none"/>
        </w:tabs>
        <w:spacing w:line="278" w:lineRule="auto" w:before="43" w:after="0"/>
        <w:ind w:left="3942" w:right="1538" w:hanging="480"/>
        <w:jc w:val="left"/>
        <w:rPr>
          <w:sz w:val="21"/>
        </w:rPr>
      </w:pPr>
      <w:r>
        <w:rPr>
          <w:spacing w:val="-2"/>
          <w:sz w:val="21"/>
        </w:rPr>
        <w:t>被保险人故意自伤、或自本合同成立或者本合同效力恢</w:t>
      </w:r>
      <w:r>
        <w:rPr>
          <w:spacing w:val="-12"/>
          <w:sz w:val="21"/>
        </w:rPr>
        <w:t>复之日起 </w:t>
      </w:r>
      <w:r>
        <w:rPr>
          <w:sz w:val="21"/>
        </w:rPr>
        <w:t>2</w:t>
      </w:r>
      <w:r>
        <w:rPr>
          <w:spacing w:val="-8"/>
          <w:sz w:val="21"/>
        </w:rPr>
        <w:t> 年内自杀，但被保险人自杀时为无民事行为</w:t>
      </w:r>
      <w:r>
        <w:rPr>
          <w:spacing w:val="-2"/>
          <w:sz w:val="21"/>
        </w:rPr>
        <w:t>能力人的除外；</w:t>
      </w:r>
    </w:p>
    <w:p>
      <w:pPr>
        <w:pStyle w:val="ListParagraph"/>
        <w:numPr>
          <w:ilvl w:val="3"/>
          <w:numId w:val="2"/>
        </w:numPr>
        <w:tabs>
          <w:tab w:pos="3991" w:val="left" w:leader="none"/>
        </w:tabs>
        <w:spacing w:line="282" w:lineRule="exact" w:before="0" w:after="0"/>
        <w:ind w:left="3991" w:right="0" w:hanging="529"/>
        <w:jc w:val="left"/>
        <w:rPr>
          <w:sz w:val="21"/>
        </w:rPr>
      </w:pPr>
      <w:r>
        <w:rPr>
          <w:spacing w:val="-2"/>
          <w:sz w:val="21"/>
        </w:rPr>
        <w:t>被保险人服用、吸食或注射</w:t>
      </w:r>
      <w:r>
        <w:rPr>
          <w:rFonts w:ascii="微软雅黑" w:eastAsia="微软雅黑"/>
          <w:b/>
          <w:spacing w:val="-2"/>
          <w:sz w:val="21"/>
        </w:rPr>
        <w:t>毒品</w:t>
      </w:r>
      <w:r>
        <w:rPr>
          <w:spacing w:val="-10"/>
          <w:sz w:val="21"/>
        </w:rPr>
        <w:t>(见释义 </w:t>
      </w:r>
      <w:r>
        <w:rPr>
          <w:spacing w:val="-2"/>
          <w:sz w:val="21"/>
        </w:rPr>
        <w:t>13.15)；</w:t>
      </w:r>
    </w:p>
    <w:p>
      <w:pPr>
        <w:pStyle w:val="ListParagraph"/>
        <w:numPr>
          <w:ilvl w:val="3"/>
          <w:numId w:val="2"/>
        </w:numPr>
        <w:tabs>
          <w:tab w:pos="3991" w:val="left" w:leader="none"/>
        </w:tabs>
        <w:spacing w:line="194" w:lineRule="auto" w:before="15" w:after="0"/>
        <w:ind w:left="3942" w:right="1533" w:hanging="480"/>
        <w:jc w:val="left"/>
        <w:rPr>
          <w:sz w:val="21"/>
        </w:rPr>
      </w:pPr>
      <w:r>
        <w:rPr>
          <w:sz w:val="21"/>
        </w:rPr>
        <w:t>被保险人</w:t>
      </w:r>
      <w:r>
        <w:rPr>
          <w:rFonts w:ascii="微软雅黑" w:eastAsia="微软雅黑"/>
          <w:b/>
          <w:sz w:val="21"/>
        </w:rPr>
        <w:t>酒后驾驶</w:t>
      </w:r>
      <w:r>
        <w:rPr>
          <w:spacing w:val="-9"/>
          <w:sz w:val="21"/>
        </w:rPr>
        <w:t>(见释义 </w:t>
      </w:r>
      <w:r>
        <w:rPr>
          <w:sz w:val="21"/>
        </w:rPr>
        <w:t>13.16)、</w:t>
      </w:r>
      <w:r>
        <w:rPr>
          <w:rFonts w:ascii="微软雅黑" w:eastAsia="微软雅黑"/>
          <w:b/>
          <w:sz w:val="21"/>
        </w:rPr>
        <w:t>无合法有效驾驶证</w:t>
      </w:r>
      <w:r>
        <w:rPr>
          <w:rFonts w:ascii="微软雅黑" w:eastAsia="微软雅黑"/>
          <w:b/>
          <w:sz w:val="21"/>
        </w:rPr>
        <w:t>驾驶</w:t>
      </w:r>
      <w:r>
        <w:rPr>
          <w:spacing w:val="-8"/>
          <w:sz w:val="21"/>
        </w:rPr>
        <w:t>(见释义 </w:t>
      </w:r>
      <w:r>
        <w:rPr>
          <w:sz w:val="21"/>
        </w:rPr>
        <w:t>13.17)，或驾驶</w:t>
      </w:r>
      <w:r>
        <w:rPr>
          <w:rFonts w:ascii="微软雅黑" w:eastAsia="微软雅黑"/>
          <w:b/>
          <w:sz w:val="21"/>
        </w:rPr>
        <w:t>无合法有效行驶证</w:t>
      </w:r>
      <w:r>
        <w:rPr>
          <w:sz w:val="21"/>
        </w:rPr>
        <w:t>(见释</w:t>
      </w:r>
      <w:r>
        <w:rPr>
          <w:spacing w:val="-11"/>
          <w:sz w:val="21"/>
        </w:rPr>
        <w:t>义 </w:t>
      </w:r>
      <w:r>
        <w:rPr>
          <w:sz w:val="21"/>
        </w:rPr>
        <w:t>13.18)的</w:t>
      </w:r>
      <w:r>
        <w:rPr>
          <w:rFonts w:ascii="微软雅黑" w:eastAsia="微软雅黑"/>
          <w:b/>
          <w:sz w:val="21"/>
        </w:rPr>
        <w:t>机动车</w:t>
      </w:r>
      <w:r>
        <w:rPr>
          <w:spacing w:val="-5"/>
          <w:sz w:val="21"/>
        </w:rPr>
        <w:t>(见释义 </w:t>
      </w:r>
      <w:r>
        <w:rPr>
          <w:sz w:val="21"/>
        </w:rPr>
        <w:t>13.19)；</w:t>
      </w:r>
    </w:p>
    <w:p>
      <w:pPr>
        <w:pStyle w:val="ListParagraph"/>
        <w:numPr>
          <w:ilvl w:val="3"/>
          <w:numId w:val="2"/>
        </w:numPr>
        <w:tabs>
          <w:tab w:pos="3991" w:val="left" w:leader="none"/>
        </w:tabs>
        <w:spacing w:line="326" w:lineRule="exact" w:before="0" w:after="0"/>
        <w:ind w:left="3991" w:right="0" w:hanging="529"/>
        <w:jc w:val="left"/>
        <w:rPr>
          <w:sz w:val="21"/>
        </w:rPr>
      </w:pPr>
      <w:r>
        <w:rPr>
          <w:spacing w:val="-2"/>
          <w:sz w:val="21"/>
        </w:rPr>
        <w:t>被保险人</w:t>
      </w:r>
      <w:r>
        <w:rPr>
          <w:rFonts w:ascii="微软雅黑" w:eastAsia="微软雅黑"/>
          <w:b/>
          <w:spacing w:val="-2"/>
          <w:sz w:val="21"/>
        </w:rPr>
        <w:t>感染艾滋病病毒或患艾滋病</w:t>
      </w:r>
      <w:r>
        <w:rPr>
          <w:spacing w:val="-8"/>
          <w:sz w:val="21"/>
        </w:rPr>
        <w:t>(见释义 </w:t>
      </w:r>
      <w:r>
        <w:rPr>
          <w:spacing w:val="-2"/>
          <w:sz w:val="21"/>
        </w:rPr>
        <w:t>13.20)；</w:t>
      </w:r>
    </w:p>
    <w:p>
      <w:pPr>
        <w:pStyle w:val="ListParagraph"/>
        <w:numPr>
          <w:ilvl w:val="3"/>
          <w:numId w:val="2"/>
        </w:numPr>
        <w:tabs>
          <w:tab w:pos="3991" w:val="left" w:leader="none"/>
        </w:tabs>
        <w:spacing w:line="265" w:lineRule="exact" w:before="0" w:after="0"/>
        <w:ind w:left="3991" w:right="0" w:hanging="529"/>
        <w:jc w:val="left"/>
        <w:rPr>
          <w:sz w:val="21"/>
        </w:rPr>
      </w:pPr>
      <w:r>
        <w:rPr>
          <w:spacing w:val="-3"/>
          <w:sz w:val="21"/>
        </w:rPr>
        <w:t>战争、军事冲突、暴乱或武装叛乱；</w:t>
      </w:r>
    </w:p>
    <w:p>
      <w:pPr>
        <w:pStyle w:val="ListParagraph"/>
        <w:numPr>
          <w:ilvl w:val="3"/>
          <w:numId w:val="2"/>
        </w:numPr>
        <w:tabs>
          <w:tab w:pos="3991" w:val="left" w:leader="none"/>
        </w:tabs>
        <w:spacing w:line="257" w:lineRule="exact" w:before="44" w:after="0"/>
        <w:ind w:left="3991" w:right="0" w:hanging="529"/>
        <w:jc w:val="left"/>
        <w:rPr>
          <w:sz w:val="21"/>
        </w:rPr>
      </w:pPr>
      <w:r>
        <w:rPr>
          <w:spacing w:val="-3"/>
          <w:sz w:val="21"/>
        </w:rPr>
        <w:t>核爆炸、核辐射或核污染；</w:t>
      </w:r>
    </w:p>
    <w:p>
      <w:pPr>
        <w:pStyle w:val="ListParagraph"/>
        <w:numPr>
          <w:ilvl w:val="3"/>
          <w:numId w:val="2"/>
        </w:numPr>
        <w:tabs>
          <w:tab w:pos="3991" w:val="left" w:leader="none"/>
        </w:tabs>
        <w:spacing w:line="194" w:lineRule="auto" w:before="40" w:after="0"/>
        <w:ind w:left="3942" w:right="1533" w:hanging="480"/>
        <w:jc w:val="left"/>
        <w:rPr>
          <w:sz w:val="21"/>
        </w:rPr>
      </w:pPr>
      <w:r>
        <w:rPr>
          <w:rFonts w:ascii="微软雅黑" w:eastAsia="微软雅黑"/>
          <w:b/>
          <w:sz w:val="21"/>
        </w:rPr>
        <w:t>遗传性疾病</w:t>
      </w:r>
      <w:r>
        <w:rPr>
          <w:spacing w:val="-8"/>
          <w:sz w:val="21"/>
        </w:rPr>
        <w:t>(见释义 </w:t>
      </w:r>
      <w:r>
        <w:rPr>
          <w:sz w:val="21"/>
        </w:rPr>
        <w:t>13.21)，</w:t>
      </w:r>
      <w:r>
        <w:rPr>
          <w:rFonts w:ascii="微软雅黑" w:eastAsia="微软雅黑"/>
          <w:b/>
          <w:sz w:val="21"/>
        </w:rPr>
        <w:t>先天性畸形、变形或染色</w:t>
      </w:r>
      <w:r>
        <w:rPr>
          <w:rFonts w:ascii="微软雅黑" w:eastAsia="微软雅黑"/>
          <w:b/>
          <w:sz w:val="21"/>
        </w:rPr>
        <w:t>体异常</w:t>
      </w:r>
      <w:r>
        <w:rPr>
          <w:spacing w:val="-9"/>
          <w:sz w:val="21"/>
        </w:rPr>
        <w:t>(见释义 </w:t>
      </w:r>
      <w:r>
        <w:rPr>
          <w:sz w:val="21"/>
        </w:rPr>
        <w:t>13.22)。</w:t>
      </w:r>
    </w:p>
    <w:p>
      <w:pPr>
        <w:pStyle w:val="BodyText"/>
        <w:spacing w:line="278" w:lineRule="auto" w:before="165"/>
        <w:ind w:left="3462" w:right="1595"/>
      </w:pPr>
      <w:r>
        <w:rPr>
          <w:spacing w:val="-2"/>
        </w:rPr>
        <w:t>因上述第（1）种情形导致被保险人身故的，本合同终止，</w:t>
      </w:r>
      <w:r>
        <w:rPr>
          <w:spacing w:val="-2"/>
        </w:rPr>
        <w:t>我们向被保险人的继承人退还本合同终止时的现金价值；因</w:t>
      </w:r>
      <w:r>
        <w:rPr>
          <w:spacing w:val="-2"/>
        </w:rPr>
        <w:t>上述第（1）种情形导致被保险人高残、达到疾病终末期、</w:t>
      </w:r>
      <w:r>
        <w:rPr>
          <w:spacing w:val="-2"/>
        </w:rPr>
        <w:t>住院治疗或确诊发生本合同所定义的重度疾病、中度疾病、</w:t>
      </w:r>
      <w:r>
        <w:rPr>
          <w:spacing w:val="-2"/>
        </w:rPr>
        <w:t>轻度疾病、极重度疾病的，本合同终止，我们向被保险人退</w:t>
      </w:r>
      <w:r>
        <w:rPr>
          <w:spacing w:val="-2"/>
        </w:rPr>
        <w:t>还本合同终止时的现金价值。</w:t>
      </w:r>
    </w:p>
    <w:p>
      <w:pPr>
        <w:pStyle w:val="BodyText"/>
        <w:spacing w:line="280" w:lineRule="auto" w:before="154"/>
        <w:ind w:left="3462" w:right="1596"/>
      </w:pPr>
      <w:r>
        <w:rPr>
          <w:spacing w:val="-2"/>
        </w:rPr>
        <w:t>因上述第（2）-（9）情形导致被保险人身故、高残、达到</w:t>
      </w:r>
      <w:r>
        <w:rPr>
          <w:spacing w:val="-2"/>
        </w:rPr>
        <w:t>疾病终末期、住院治疗或确诊发生本合同所定义的重度疾</w:t>
      </w:r>
      <w:r>
        <w:rPr/>
        <w:t> </w:t>
      </w:r>
      <w:r>
        <w:rPr>
          <w:spacing w:val="-2"/>
        </w:rPr>
        <w:t>病、中度疾病、轻度疾病、极重度疾病的，本合同终止，我</w:t>
      </w:r>
      <w:r>
        <w:rPr>
          <w:spacing w:val="-2"/>
        </w:rPr>
        <w:t>们向您退还本合同终止时的现金价值。</w:t>
      </w:r>
    </w:p>
    <w:p>
      <w:pPr>
        <w:pStyle w:val="BodyText"/>
        <w:spacing w:line="278" w:lineRule="auto" w:before="147"/>
        <w:ind w:left="3462" w:right="1596"/>
        <w:jc w:val="both"/>
      </w:pPr>
      <w:r>
        <w:rPr>
          <w:spacing w:val="-2"/>
        </w:rPr>
        <w:t>若您选择了住院关怀津贴保险金责任，因下列情形之一导致</w:t>
      </w:r>
      <w:r>
        <w:rPr>
          <w:spacing w:val="-2"/>
        </w:rPr>
        <w:t>被保险人住院治疗的，我们不承担给付住院关怀津贴保险金</w:t>
      </w:r>
      <w:r>
        <w:rPr>
          <w:spacing w:val="-2"/>
        </w:rPr>
        <w:t>的责任，本合同继续有效：</w:t>
      </w:r>
    </w:p>
    <w:p>
      <w:pPr>
        <w:pStyle w:val="ListParagraph"/>
        <w:numPr>
          <w:ilvl w:val="3"/>
          <w:numId w:val="2"/>
        </w:numPr>
        <w:tabs>
          <w:tab w:pos="4097" w:val="left" w:leader="none"/>
        </w:tabs>
        <w:spacing w:line="240" w:lineRule="auto" w:before="154" w:after="0"/>
        <w:ind w:left="4096" w:right="0" w:hanging="635"/>
        <w:jc w:val="left"/>
        <w:rPr>
          <w:sz w:val="21"/>
        </w:rPr>
      </w:pPr>
      <w:r>
        <w:rPr>
          <w:spacing w:val="-3"/>
          <w:sz w:val="21"/>
        </w:rPr>
        <w:t>被保险人因药物过敏或精神疾患导致的伤害；</w:t>
      </w:r>
    </w:p>
    <w:p>
      <w:pPr>
        <w:pStyle w:val="ListParagraph"/>
        <w:numPr>
          <w:ilvl w:val="3"/>
          <w:numId w:val="2"/>
        </w:numPr>
        <w:tabs>
          <w:tab w:pos="4097" w:val="left" w:leader="none"/>
        </w:tabs>
        <w:spacing w:line="223" w:lineRule="auto" w:before="63" w:after="0"/>
        <w:ind w:left="4086" w:right="1497" w:hanging="624"/>
        <w:jc w:val="left"/>
        <w:rPr>
          <w:sz w:val="21"/>
        </w:rPr>
      </w:pPr>
      <w:r>
        <w:rPr>
          <w:spacing w:val="-2"/>
          <w:sz w:val="21"/>
        </w:rPr>
        <w:t>被保险人因整容手术、变性手术或其他内、外科手术</w:t>
      </w:r>
      <w:r>
        <w:rPr>
          <w:sz w:val="21"/>
        </w:rPr>
        <w:t>导致的</w:t>
      </w:r>
      <w:r>
        <w:rPr>
          <w:rFonts w:ascii="微软雅黑" w:eastAsia="微软雅黑"/>
          <w:b/>
          <w:sz w:val="21"/>
        </w:rPr>
        <w:t>医疗事故</w:t>
      </w:r>
      <w:r>
        <w:rPr>
          <w:spacing w:val="-8"/>
          <w:sz w:val="21"/>
        </w:rPr>
        <w:t>(见释义 </w:t>
      </w:r>
      <w:r>
        <w:rPr>
          <w:sz w:val="21"/>
        </w:rPr>
        <w:t>13.23)；</w:t>
      </w:r>
    </w:p>
    <w:p>
      <w:pPr>
        <w:pStyle w:val="ListParagraph"/>
        <w:numPr>
          <w:ilvl w:val="3"/>
          <w:numId w:val="2"/>
        </w:numPr>
        <w:tabs>
          <w:tab w:pos="4097" w:val="left" w:leader="none"/>
        </w:tabs>
        <w:spacing w:line="278" w:lineRule="auto" w:before="0" w:after="0"/>
        <w:ind w:left="4086" w:right="1497" w:hanging="624"/>
        <w:jc w:val="left"/>
        <w:rPr>
          <w:sz w:val="21"/>
        </w:rPr>
      </w:pPr>
      <w:r>
        <w:rPr>
          <w:spacing w:val="-2"/>
          <w:sz w:val="21"/>
        </w:rPr>
        <w:t>被保险人未遵医嘱，私自使用药物，但按使用说明的</w:t>
      </w:r>
      <w:r>
        <w:rPr>
          <w:spacing w:val="-2"/>
          <w:sz w:val="21"/>
        </w:rPr>
        <w:t>规定使用非处方药不在此限；</w:t>
      </w:r>
    </w:p>
    <w:p>
      <w:pPr>
        <w:pStyle w:val="ListParagraph"/>
        <w:numPr>
          <w:ilvl w:val="3"/>
          <w:numId w:val="2"/>
        </w:numPr>
        <w:tabs>
          <w:tab w:pos="4097" w:val="left" w:leader="none"/>
        </w:tabs>
        <w:spacing w:line="282" w:lineRule="exact" w:before="0" w:after="0"/>
        <w:ind w:left="4096" w:right="0" w:hanging="635"/>
        <w:jc w:val="left"/>
        <w:rPr>
          <w:sz w:val="21"/>
        </w:rPr>
      </w:pPr>
      <w:r>
        <w:rPr>
          <w:spacing w:val="-2"/>
          <w:sz w:val="21"/>
        </w:rPr>
        <w:t>未告知的</w:t>
      </w:r>
      <w:r>
        <w:rPr>
          <w:rFonts w:ascii="微软雅黑" w:eastAsia="微软雅黑"/>
          <w:b/>
          <w:spacing w:val="-2"/>
          <w:sz w:val="21"/>
        </w:rPr>
        <w:t>既往症</w:t>
      </w:r>
      <w:r>
        <w:rPr>
          <w:spacing w:val="-11"/>
          <w:sz w:val="21"/>
        </w:rPr>
        <w:t>(见释义 </w:t>
      </w:r>
      <w:r>
        <w:rPr>
          <w:spacing w:val="-2"/>
          <w:sz w:val="21"/>
        </w:rPr>
        <w:t>13.24)；</w:t>
      </w:r>
    </w:p>
    <w:p>
      <w:pPr>
        <w:pStyle w:val="ListParagraph"/>
        <w:numPr>
          <w:ilvl w:val="3"/>
          <w:numId w:val="2"/>
        </w:numPr>
        <w:tabs>
          <w:tab w:pos="4097" w:val="left" w:leader="none"/>
        </w:tabs>
        <w:spacing w:line="194" w:lineRule="auto" w:before="14" w:after="0"/>
        <w:ind w:left="4086" w:right="1437" w:hanging="624"/>
        <w:jc w:val="both"/>
        <w:rPr>
          <w:sz w:val="21"/>
        </w:rPr>
      </w:pPr>
      <w:r>
        <w:rPr>
          <w:spacing w:val="-2"/>
          <w:sz w:val="21"/>
        </w:rPr>
        <w:t>被保险人从事下列高风险运动：</w:t>
      </w:r>
      <w:r>
        <w:rPr>
          <w:rFonts w:ascii="微软雅黑" w:eastAsia="微软雅黑"/>
          <w:b/>
          <w:spacing w:val="-2"/>
          <w:sz w:val="21"/>
        </w:rPr>
        <w:t>潜水</w:t>
      </w:r>
      <w:r>
        <w:rPr>
          <w:spacing w:val="-6"/>
          <w:sz w:val="21"/>
        </w:rPr>
        <w:t>(见释义 </w:t>
      </w:r>
      <w:r>
        <w:rPr>
          <w:spacing w:val="-2"/>
          <w:sz w:val="21"/>
        </w:rPr>
        <w:t>13.25)</w:t>
      </w:r>
      <w:r>
        <w:rPr>
          <w:spacing w:val="-2"/>
          <w:sz w:val="21"/>
        </w:rPr>
        <w:t>、</w:t>
      </w:r>
      <w:r>
        <w:rPr>
          <w:spacing w:val="-2"/>
          <w:sz w:val="21"/>
        </w:rPr>
        <w:t>跳伞、</w:t>
      </w:r>
      <w:r>
        <w:rPr>
          <w:rFonts w:ascii="微软雅黑" w:eastAsia="微软雅黑"/>
          <w:b/>
          <w:spacing w:val="-2"/>
          <w:sz w:val="21"/>
        </w:rPr>
        <w:t>攀岩</w:t>
      </w:r>
      <w:r>
        <w:rPr>
          <w:spacing w:val="-6"/>
          <w:sz w:val="21"/>
        </w:rPr>
        <w:t>(见释义 </w:t>
      </w:r>
      <w:r>
        <w:rPr>
          <w:spacing w:val="-2"/>
          <w:sz w:val="21"/>
        </w:rPr>
        <w:t>13.26)、驾驶翔机或者滑翔伞、</w:t>
      </w:r>
      <w:r>
        <w:rPr>
          <w:rFonts w:ascii="微软雅黑" w:eastAsia="微软雅黑"/>
          <w:b/>
          <w:spacing w:val="-2"/>
          <w:sz w:val="21"/>
        </w:rPr>
        <w:t>探</w:t>
      </w:r>
      <w:r>
        <w:rPr>
          <w:rFonts w:ascii="微软雅黑" w:eastAsia="微软雅黑"/>
          <w:b/>
          <w:sz w:val="21"/>
        </w:rPr>
        <w:t>险</w:t>
      </w:r>
      <w:r>
        <w:rPr>
          <w:spacing w:val="-6"/>
          <w:sz w:val="21"/>
        </w:rPr>
        <w:t>(见释义 </w:t>
      </w:r>
      <w:r>
        <w:rPr>
          <w:sz w:val="21"/>
        </w:rPr>
        <w:t>13.27)、摔跤、</w:t>
      </w:r>
      <w:r>
        <w:rPr>
          <w:rFonts w:ascii="微软雅黑" w:eastAsia="微软雅黑"/>
          <w:b/>
          <w:sz w:val="21"/>
        </w:rPr>
        <w:t>武术比赛</w:t>
      </w:r>
      <w:r>
        <w:rPr>
          <w:spacing w:val="-6"/>
          <w:sz w:val="21"/>
        </w:rPr>
        <w:t>(见释义 </w:t>
      </w:r>
      <w:r>
        <w:rPr>
          <w:sz w:val="21"/>
        </w:rPr>
        <w:t>13.28)、</w:t>
      </w:r>
      <w:r>
        <w:rPr>
          <w:rFonts w:ascii="微软雅黑" w:eastAsia="微软雅黑"/>
          <w:b/>
          <w:sz w:val="21"/>
        </w:rPr>
        <w:t>特技表演</w:t>
      </w:r>
      <w:r>
        <w:rPr>
          <w:spacing w:val="-8"/>
          <w:sz w:val="21"/>
        </w:rPr>
        <w:t>(见释义 </w:t>
      </w:r>
      <w:r>
        <w:rPr>
          <w:sz w:val="21"/>
        </w:rPr>
        <w:t>13.29)、赛马、赛车、蹦极；</w:t>
      </w:r>
    </w:p>
    <w:p>
      <w:pPr>
        <w:pStyle w:val="ListParagraph"/>
        <w:numPr>
          <w:ilvl w:val="3"/>
          <w:numId w:val="2"/>
        </w:numPr>
        <w:tabs>
          <w:tab w:pos="4097" w:val="left" w:leader="none"/>
        </w:tabs>
        <w:spacing w:line="278" w:lineRule="auto" w:before="9" w:after="0"/>
        <w:ind w:left="4086" w:right="1497" w:hanging="624"/>
        <w:jc w:val="left"/>
        <w:rPr>
          <w:sz w:val="21"/>
        </w:rPr>
      </w:pPr>
      <w:r>
        <w:rPr>
          <w:spacing w:val="-2"/>
          <w:sz w:val="21"/>
        </w:rPr>
        <w:t>被保险人挑衅或者故意行为而导致的打斗、被袭击、</w:t>
      </w:r>
      <w:r>
        <w:rPr>
          <w:spacing w:val="-4"/>
          <w:sz w:val="21"/>
        </w:rPr>
        <w:t>被谋杀；</w:t>
      </w:r>
    </w:p>
    <w:p>
      <w:pPr>
        <w:pStyle w:val="ListParagraph"/>
        <w:numPr>
          <w:ilvl w:val="3"/>
          <w:numId w:val="2"/>
        </w:numPr>
        <w:tabs>
          <w:tab w:pos="4097" w:val="left" w:leader="none"/>
        </w:tabs>
        <w:spacing w:line="278" w:lineRule="auto" w:before="0" w:after="0"/>
        <w:ind w:left="4086" w:right="1497" w:hanging="624"/>
        <w:jc w:val="both"/>
        <w:rPr>
          <w:sz w:val="21"/>
        </w:rPr>
      </w:pPr>
      <w:r>
        <w:rPr>
          <w:spacing w:val="-2"/>
          <w:sz w:val="21"/>
        </w:rPr>
        <w:t>不孕不育治疗、避孕、节育（含绝育</w:t>
      </w:r>
      <w:r>
        <w:rPr>
          <w:spacing w:val="-111"/>
          <w:sz w:val="21"/>
        </w:rPr>
        <w:t>）</w:t>
      </w:r>
      <w:r>
        <w:rPr>
          <w:spacing w:val="-2"/>
          <w:sz w:val="21"/>
        </w:rPr>
        <w:t>、子宫体腔内妊</w:t>
      </w:r>
      <w:r>
        <w:rPr>
          <w:spacing w:val="-2"/>
          <w:sz w:val="21"/>
        </w:rPr>
        <w:t>娠、产前产后检查、流产、堕胎、分娩（含难产</w:t>
      </w:r>
      <w:r>
        <w:rPr>
          <w:spacing w:val="-106"/>
          <w:sz w:val="21"/>
        </w:rPr>
        <w:t>）</w:t>
      </w:r>
      <w:r>
        <w:rPr>
          <w:spacing w:val="-2"/>
          <w:sz w:val="21"/>
        </w:rPr>
        <w:t>、变</w:t>
      </w:r>
      <w:r>
        <w:rPr>
          <w:spacing w:val="-6"/>
          <w:sz w:val="21"/>
        </w:rPr>
        <w:t>性手术、人体试验、人工生殖，或者有前述任一原因引</w:t>
      </w:r>
      <w:r>
        <w:rPr>
          <w:spacing w:val="-2"/>
          <w:sz w:val="21"/>
        </w:rPr>
        <w:t>起的并发症；</w:t>
      </w:r>
    </w:p>
    <w:p>
      <w:pPr>
        <w:spacing w:after="0" w:line="278" w:lineRule="auto"/>
        <w:jc w:val="both"/>
        <w:rPr>
          <w:sz w:val="21"/>
        </w:rPr>
        <w:sectPr>
          <w:pgSz w:w="11910" w:h="16840"/>
          <w:pgMar w:header="0" w:footer="226" w:top="820" w:bottom="420" w:left="980" w:right="400"/>
        </w:sectPr>
      </w:pPr>
    </w:p>
    <w:p>
      <w:pPr>
        <w:pStyle w:val="ListParagraph"/>
        <w:numPr>
          <w:ilvl w:val="3"/>
          <w:numId w:val="2"/>
        </w:numPr>
        <w:tabs>
          <w:tab w:pos="4097" w:val="left" w:leader="none"/>
        </w:tabs>
        <w:spacing w:line="278" w:lineRule="auto" w:before="57" w:after="0"/>
        <w:ind w:left="4086" w:right="1497" w:hanging="624"/>
        <w:jc w:val="both"/>
        <w:rPr>
          <w:sz w:val="21"/>
        </w:rPr>
      </w:pPr>
      <w:r>
        <w:rPr>
          <w:spacing w:val="-2"/>
          <w:sz w:val="21"/>
        </w:rPr>
        <w:t>《中华人民共和国传染病防治法》规定的甲类及乙类</w:t>
      </w:r>
      <w:r>
        <w:rPr>
          <w:spacing w:val="-2"/>
          <w:sz w:val="21"/>
        </w:rPr>
        <w:t>法定传染病（不含病毒性肝炎</w:t>
      </w:r>
      <w:r>
        <w:rPr>
          <w:spacing w:val="-106"/>
          <w:sz w:val="21"/>
        </w:rPr>
        <w:t>）</w:t>
      </w:r>
      <w:r>
        <w:rPr>
          <w:spacing w:val="-2"/>
          <w:sz w:val="21"/>
        </w:rPr>
        <w:t>，或者国家有关法律、</w:t>
      </w:r>
      <w:r>
        <w:rPr>
          <w:spacing w:val="-13"/>
          <w:sz w:val="21"/>
        </w:rPr>
        <w:t>法规、规范性法律文件规定的法定传染病。前述传染病</w:t>
      </w:r>
      <w:r>
        <w:rPr>
          <w:spacing w:val="-2"/>
          <w:sz w:val="21"/>
        </w:rPr>
        <w:t>定义以被保险人入院当日《中华人民共和国传染病防</w:t>
      </w:r>
      <w:r>
        <w:rPr>
          <w:spacing w:val="-6"/>
          <w:sz w:val="21"/>
        </w:rPr>
        <w:t>治法》或者国家有关法律、法规、规范性法律文件的规</w:t>
      </w:r>
      <w:r>
        <w:rPr>
          <w:spacing w:val="-4"/>
          <w:sz w:val="21"/>
        </w:rPr>
        <w:t>定为准；</w:t>
      </w:r>
    </w:p>
    <w:p>
      <w:pPr>
        <w:pStyle w:val="ListParagraph"/>
        <w:numPr>
          <w:ilvl w:val="3"/>
          <w:numId w:val="2"/>
        </w:numPr>
        <w:tabs>
          <w:tab w:pos="4097" w:val="left" w:leader="none"/>
        </w:tabs>
        <w:spacing w:line="278" w:lineRule="auto" w:before="0" w:after="0"/>
        <w:ind w:left="4086" w:right="1391" w:hanging="624"/>
        <w:jc w:val="left"/>
        <w:rPr>
          <w:sz w:val="21"/>
        </w:rPr>
      </w:pPr>
      <w:r>
        <w:rPr>
          <w:spacing w:val="-2"/>
          <w:sz w:val="21"/>
        </w:rPr>
        <w:t>疗养、康复治疗、心理治疗、美容、矫形、视力矫正手</w:t>
      </w:r>
      <w:r>
        <w:rPr>
          <w:spacing w:val="-18"/>
          <w:sz w:val="21"/>
        </w:rPr>
        <w:t>术、牙齿治疗、安装假肢、非意外事故所致的整容手术。</w:t>
      </w:r>
    </w:p>
    <w:p>
      <w:pPr>
        <w:pStyle w:val="BodyText"/>
        <w:spacing w:before="4"/>
        <w:rPr>
          <w:sz w:val="17"/>
        </w:rPr>
      </w:pPr>
    </w:p>
    <w:p>
      <w:pPr>
        <w:pStyle w:val="Heading1"/>
        <w:numPr>
          <w:ilvl w:val="1"/>
          <w:numId w:val="2"/>
        </w:numPr>
        <w:tabs>
          <w:tab w:pos="1910" w:val="left" w:leader="none"/>
          <w:tab w:pos="1911" w:val="left" w:leader="none"/>
        </w:tabs>
        <w:spacing w:line="240" w:lineRule="auto" w:before="0" w:after="0"/>
        <w:ind w:left="1910" w:right="0" w:hanging="985"/>
        <w:jc w:val="both"/>
      </w:pPr>
      <w:r>
        <w:rPr>
          <w:spacing w:val="-1"/>
        </w:rPr>
        <w:t>保险金及豁免保险费的申请</w:t>
      </w:r>
    </w:p>
    <w:p>
      <w:pPr>
        <w:pStyle w:val="BodyText"/>
        <w:spacing w:line="20" w:lineRule="exact"/>
        <w:ind w:left="820"/>
        <w:rPr>
          <w:rFonts w:ascii="Microsoft JhengHei"/>
          <w:sz w:val="2"/>
        </w:rPr>
      </w:pPr>
      <w:r>
        <w:rPr>
          <w:rFonts w:ascii="Microsoft JhengHei"/>
          <w:sz w:val="2"/>
        </w:rPr>
        <w:drawing>
          <wp:inline distT="0" distB="0" distL="0" distR="0">
            <wp:extent cx="5339596" cy="10001"/>
            <wp:effectExtent l="0" t="0" r="0" b="0"/>
            <wp:docPr id="9" name="image3.png"/>
            <wp:cNvGraphicFramePr>
              <a:graphicFrameLocks noChangeAspect="1"/>
            </wp:cNvGraphicFramePr>
            <a:graphic>
              <a:graphicData uri="http://schemas.openxmlformats.org/drawingml/2006/picture">
                <pic:pic>
                  <pic:nvPicPr>
                    <pic:cNvPr id="10" name="image3.png"/>
                    <pic:cNvPicPr/>
                  </pic:nvPicPr>
                  <pic:blipFill>
                    <a:blip r:embed="rId8" cstate="print"/>
                    <a:stretch>
                      <a:fillRect/>
                    </a:stretch>
                  </pic:blipFill>
                  <pic:spPr>
                    <a:xfrm>
                      <a:off x="0" y="0"/>
                      <a:ext cx="5339596" cy="10001"/>
                    </a:xfrm>
                    <a:prstGeom prst="rect">
                      <a:avLst/>
                    </a:prstGeom>
                  </pic:spPr>
                </pic:pic>
              </a:graphicData>
            </a:graphic>
          </wp:inline>
        </w:drawing>
      </w:r>
      <w:r>
        <w:rPr>
          <w:rFonts w:ascii="Microsoft JhengHei"/>
          <w:sz w:val="2"/>
        </w:rPr>
      </w:r>
    </w:p>
    <w:p>
      <w:pPr>
        <w:pStyle w:val="BodyText"/>
        <w:spacing w:before="1"/>
        <w:rPr>
          <w:rFonts w:ascii="Microsoft JhengHei"/>
          <w:b/>
          <w:sz w:val="14"/>
        </w:rPr>
      </w:pPr>
    </w:p>
    <w:p>
      <w:pPr>
        <w:pStyle w:val="ListParagraph"/>
        <w:numPr>
          <w:ilvl w:val="2"/>
          <w:numId w:val="2"/>
        </w:numPr>
        <w:tabs>
          <w:tab w:pos="1910" w:val="left" w:leader="none"/>
          <w:tab w:pos="1911" w:val="left" w:leader="none"/>
          <w:tab w:pos="3461" w:val="left" w:leader="none"/>
        </w:tabs>
        <w:spacing w:line="384" w:lineRule="exact" w:before="0" w:after="0"/>
        <w:ind w:left="1910" w:right="0" w:hanging="985"/>
        <w:jc w:val="both"/>
        <w:rPr>
          <w:sz w:val="21"/>
        </w:rPr>
      </w:pPr>
      <w:r>
        <w:rPr>
          <w:rFonts w:ascii="Microsoft JhengHei" w:eastAsia="Microsoft JhengHei"/>
          <w:b/>
          <w:sz w:val="21"/>
        </w:rPr>
        <w:t>受益</w:t>
      </w:r>
      <w:r>
        <w:rPr>
          <w:rFonts w:ascii="Microsoft JhengHei" w:eastAsia="Microsoft JhengHei"/>
          <w:b/>
          <w:spacing w:val="-10"/>
          <w:sz w:val="21"/>
        </w:rPr>
        <w:t>人</w:t>
      </w:r>
      <w:r>
        <w:rPr>
          <w:rFonts w:ascii="Microsoft JhengHei" w:eastAsia="Microsoft JhengHei"/>
          <w:b/>
          <w:sz w:val="21"/>
        </w:rPr>
        <w:tab/>
      </w:r>
      <w:r>
        <w:rPr>
          <w:spacing w:val="-2"/>
          <w:sz w:val="21"/>
        </w:rPr>
        <w:t>您</w:t>
      </w:r>
      <w:r>
        <w:rPr>
          <w:spacing w:val="-2"/>
          <w:sz w:val="21"/>
        </w:rPr>
        <w:t>或</w:t>
      </w:r>
      <w:r>
        <w:rPr>
          <w:spacing w:val="-2"/>
          <w:sz w:val="21"/>
        </w:rPr>
        <w:t>者</w:t>
      </w:r>
      <w:r>
        <w:rPr>
          <w:spacing w:val="-2"/>
          <w:sz w:val="21"/>
        </w:rPr>
        <w:t>被</w:t>
      </w:r>
      <w:r>
        <w:rPr>
          <w:spacing w:val="-2"/>
          <w:sz w:val="21"/>
        </w:rPr>
        <w:t>保</w:t>
      </w:r>
      <w:r>
        <w:rPr>
          <w:spacing w:val="-2"/>
          <w:sz w:val="21"/>
        </w:rPr>
        <w:t>险</w:t>
      </w:r>
      <w:r>
        <w:rPr>
          <w:spacing w:val="-2"/>
          <w:sz w:val="21"/>
        </w:rPr>
        <w:t>人</w:t>
      </w:r>
      <w:r>
        <w:rPr>
          <w:spacing w:val="-2"/>
          <w:sz w:val="21"/>
        </w:rPr>
        <w:t>可</w:t>
      </w:r>
      <w:r>
        <w:rPr>
          <w:spacing w:val="-2"/>
          <w:sz w:val="21"/>
        </w:rPr>
        <w:t>以</w:t>
      </w:r>
      <w:r>
        <w:rPr>
          <w:spacing w:val="-2"/>
          <w:sz w:val="21"/>
        </w:rPr>
        <w:t>指</w:t>
      </w:r>
      <w:r>
        <w:rPr>
          <w:spacing w:val="-2"/>
          <w:sz w:val="21"/>
        </w:rPr>
        <w:t>定</w:t>
      </w:r>
      <w:r>
        <w:rPr>
          <w:spacing w:val="-2"/>
          <w:sz w:val="21"/>
        </w:rPr>
        <w:t>一</w:t>
      </w:r>
      <w:r>
        <w:rPr>
          <w:spacing w:val="-2"/>
          <w:sz w:val="21"/>
        </w:rPr>
        <w:t>人</w:t>
      </w:r>
      <w:r>
        <w:rPr>
          <w:spacing w:val="-2"/>
          <w:sz w:val="21"/>
        </w:rPr>
        <w:t>或</w:t>
      </w:r>
      <w:r>
        <w:rPr>
          <w:spacing w:val="-2"/>
          <w:sz w:val="21"/>
        </w:rPr>
        <w:t>者</w:t>
      </w:r>
      <w:r>
        <w:rPr>
          <w:spacing w:val="-2"/>
          <w:sz w:val="21"/>
        </w:rPr>
        <w:t>多</w:t>
      </w:r>
      <w:r>
        <w:rPr>
          <w:spacing w:val="-2"/>
          <w:sz w:val="21"/>
        </w:rPr>
        <w:t>人</w:t>
      </w:r>
      <w:r>
        <w:rPr>
          <w:spacing w:val="-2"/>
          <w:sz w:val="21"/>
        </w:rPr>
        <w:t>为</w:t>
      </w:r>
      <w:r>
        <w:rPr>
          <w:spacing w:val="-2"/>
          <w:sz w:val="21"/>
        </w:rPr>
        <w:t>身</w:t>
      </w:r>
      <w:r>
        <w:rPr>
          <w:spacing w:val="-2"/>
          <w:sz w:val="21"/>
        </w:rPr>
        <w:t>故</w:t>
      </w:r>
      <w:r>
        <w:rPr>
          <w:spacing w:val="-2"/>
          <w:sz w:val="21"/>
        </w:rPr>
        <w:t>保险金</w:t>
      </w:r>
      <w:r>
        <w:rPr>
          <w:spacing w:val="-2"/>
          <w:sz w:val="21"/>
        </w:rPr>
        <w:t>受</w:t>
      </w:r>
      <w:r>
        <w:rPr>
          <w:spacing w:val="-10"/>
          <w:sz w:val="21"/>
        </w:rPr>
        <w:t>益</w:t>
      </w:r>
    </w:p>
    <w:p>
      <w:pPr>
        <w:pStyle w:val="BodyText"/>
        <w:spacing w:line="278" w:lineRule="auto"/>
        <w:ind w:left="3462" w:right="1597"/>
        <w:jc w:val="both"/>
      </w:pPr>
      <w:r>
        <w:rPr>
          <w:spacing w:val="-2"/>
        </w:rPr>
        <w:t>人。身故保险金受益人为多人时，可以确定受益顺序和受益</w:t>
      </w:r>
      <w:r>
        <w:rPr>
          <w:spacing w:val="-2"/>
        </w:rPr>
        <w:t>份额；如果没有确定份额，各身故保险金受益人按照相等份</w:t>
      </w:r>
      <w:r>
        <w:rPr>
          <w:spacing w:val="-2"/>
        </w:rPr>
        <w:t>额享有受益权。</w:t>
      </w:r>
    </w:p>
    <w:p>
      <w:pPr>
        <w:pStyle w:val="BodyText"/>
        <w:spacing w:line="283" w:lineRule="auto" w:before="152"/>
        <w:ind w:left="3462" w:right="1597"/>
      </w:pPr>
      <w:r>
        <w:rPr>
          <w:spacing w:val="-2"/>
        </w:rPr>
        <w:t>被保险人为无民事行为能力人或者限制民事行为能力人的，</w:t>
      </w:r>
      <w:r>
        <w:rPr>
          <w:spacing w:val="-2"/>
        </w:rPr>
        <w:t>可以依法由其监护人指定身故保险金受益人。</w:t>
      </w:r>
    </w:p>
    <w:p>
      <w:pPr>
        <w:pStyle w:val="BodyText"/>
        <w:spacing w:line="278" w:lineRule="auto" w:before="147"/>
        <w:ind w:left="3462" w:right="1597"/>
        <w:jc w:val="both"/>
      </w:pPr>
      <w:r>
        <w:rPr>
          <w:spacing w:val="-2"/>
        </w:rPr>
        <w:t>您或者被保险人在被保险人身故前可以变更身故保险金受益</w:t>
      </w:r>
      <w:r>
        <w:rPr>
          <w:spacing w:val="-2"/>
        </w:rPr>
        <w:t>人、受益顺序或者受益份额，并书面通知我们。我们收到变</w:t>
      </w:r>
      <w:r>
        <w:rPr>
          <w:spacing w:val="-2"/>
        </w:rPr>
        <w:t>更的书面通知后，将及时在保险单或者其他保险凭证上批注</w:t>
      </w:r>
      <w:r>
        <w:rPr>
          <w:spacing w:val="-2"/>
        </w:rPr>
        <w:t>或者附贴批单，变更的生效时间以批注或者批单中载明的时</w:t>
      </w:r>
      <w:r>
        <w:rPr>
          <w:spacing w:val="-4"/>
        </w:rPr>
        <w:t>间为准。</w:t>
      </w:r>
    </w:p>
    <w:p>
      <w:pPr>
        <w:pStyle w:val="BodyText"/>
        <w:spacing w:line="283" w:lineRule="auto" w:before="154"/>
        <w:ind w:left="3462" w:right="1597"/>
      </w:pPr>
      <w:r>
        <w:rPr>
          <w:spacing w:val="-2"/>
        </w:rPr>
        <w:t>您在指定和变更身故保险金受益人、受益顺序或者受益份额</w:t>
      </w:r>
      <w:r>
        <w:rPr>
          <w:spacing w:val="-2"/>
        </w:rPr>
        <w:t>时，必须经过被保险人同意。</w:t>
      </w:r>
    </w:p>
    <w:p>
      <w:pPr>
        <w:pStyle w:val="BodyText"/>
        <w:spacing w:line="278" w:lineRule="auto" w:before="147"/>
        <w:ind w:left="3462" w:right="1595"/>
        <w:jc w:val="both"/>
      </w:pPr>
      <w:r>
        <w:rPr>
          <w:spacing w:val="-2"/>
        </w:rPr>
        <w:t>被保险人身故后，有下列情形之一的，身故保险金作为被保</w:t>
      </w:r>
      <w:r>
        <w:rPr>
          <w:spacing w:val="-2"/>
        </w:rPr>
        <w:t>险人的遗产，由我们依照中华人民共和国继承法律制度的规</w:t>
      </w:r>
      <w:r>
        <w:rPr>
          <w:spacing w:val="-2"/>
        </w:rPr>
        <w:t>定履行给付身故保险金的义务：</w:t>
      </w:r>
    </w:p>
    <w:p>
      <w:pPr>
        <w:pStyle w:val="ListParagraph"/>
        <w:numPr>
          <w:ilvl w:val="0"/>
          <w:numId w:val="7"/>
        </w:numPr>
        <w:tabs>
          <w:tab w:pos="3991" w:val="left" w:leader="none"/>
        </w:tabs>
        <w:spacing w:line="283" w:lineRule="auto" w:before="154" w:after="0"/>
        <w:ind w:left="3942" w:right="1703" w:hanging="480"/>
        <w:jc w:val="left"/>
        <w:rPr>
          <w:sz w:val="21"/>
        </w:rPr>
      </w:pPr>
      <w:r>
        <w:rPr>
          <w:spacing w:val="-2"/>
          <w:sz w:val="21"/>
        </w:rPr>
        <w:t>没有指定身故保险金受益人的，或者身故保险金受益</w:t>
      </w:r>
      <w:r>
        <w:rPr>
          <w:spacing w:val="-2"/>
          <w:sz w:val="21"/>
        </w:rPr>
        <w:t>人指定不明无法确定的；</w:t>
      </w:r>
    </w:p>
    <w:p>
      <w:pPr>
        <w:pStyle w:val="ListParagraph"/>
        <w:numPr>
          <w:ilvl w:val="0"/>
          <w:numId w:val="7"/>
        </w:numPr>
        <w:tabs>
          <w:tab w:pos="3991" w:val="left" w:leader="none"/>
        </w:tabs>
        <w:spacing w:line="278" w:lineRule="auto" w:before="0" w:after="0"/>
        <w:ind w:left="3942" w:right="1703" w:hanging="480"/>
        <w:jc w:val="left"/>
        <w:rPr>
          <w:sz w:val="21"/>
        </w:rPr>
      </w:pPr>
      <w:r>
        <w:rPr>
          <w:spacing w:val="-2"/>
          <w:sz w:val="21"/>
        </w:rPr>
        <w:t>身故保险金受益人先于被保险人身故，没有其他身故</w:t>
      </w:r>
      <w:r>
        <w:rPr>
          <w:spacing w:val="-2"/>
          <w:sz w:val="21"/>
        </w:rPr>
        <w:t>保险金受益人的；</w:t>
      </w:r>
    </w:p>
    <w:p>
      <w:pPr>
        <w:pStyle w:val="ListParagraph"/>
        <w:numPr>
          <w:ilvl w:val="0"/>
          <w:numId w:val="7"/>
        </w:numPr>
        <w:tabs>
          <w:tab w:pos="3991" w:val="left" w:leader="none"/>
        </w:tabs>
        <w:spacing w:line="278" w:lineRule="auto" w:before="0" w:after="0"/>
        <w:ind w:left="3942" w:right="1703" w:hanging="480"/>
        <w:jc w:val="left"/>
        <w:rPr>
          <w:sz w:val="21"/>
        </w:rPr>
      </w:pPr>
      <w:r>
        <w:rPr>
          <w:spacing w:val="-2"/>
          <w:sz w:val="21"/>
        </w:rPr>
        <w:t>身故保险金受益人依法丧失受益权或者放弃受益权，</w:t>
      </w:r>
      <w:r>
        <w:rPr>
          <w:spacing w:val="-2"/>
          <w:sz w:val="21"/>
        </w:rPr>
        <w:t>没有其他身故保险金受益人的。</w:t>
      </w:r>
    </w:p>
    <w:p>
      <w:pPr>
        <w:pStyle w:val="BodyText"/>
        <w:spacing w:line="278" w:lineRule="auto" w:before="148"/>
        <w:ind w:left="3462" w:right="1597"/>
      </w:pPr>
      <w:r>
        <w:rPr>
          <w:spacing w:val="-2"/>
        </w:rPr>
        <w:t>身故保险金受益人与被保险人在同一事件中身故，且不能确</w:t>
      </w:r>
      <w:r>
        <w:rPr>
          <w:spacing w:val="-2"/>
        </w:rPr>
        <w:t>定身故先后顺序的，推定身故保险金受益人身故在先。</w:t>
      </w:r>
    </w:p>
    <w:p>
      <w:pPr>
        <w:pStyle w:val="BodyText"/>
        <w:spacing w:line="283" w:lineRule="auto" w:before="153"/>
        <w:ind w:left="3462" w:right="1597"/>
      </w:pPr>
      <w:r>
        <w:rPr>
          <w:spacing w:val="-2"/>
        </w:rPr>
        <w:t>受益人故意造成被保险人死亡、伤残、疾病的，或者故意杀</w:t>
      </w:r>
      <w:r>
        <w:rPr>
          <w:spacing w:val="-2"/>
        </w:rPr>
        <w:t>害被保险人未遂的，该受益人丧失受益权。</w:t>
      </w:r>
    </w:p>
    <w:p>
      <w:pPr>
        <w:pStyle w:val="BodyText"/>
        <w:spacing w:line="278" w:lineRule="auto" w:before="148"/>
        <w:ind w:left="3462" w:right="1595"/>
      </w:pPr>
      <w:r>
        <w:rPr>
          <w:spacing w:val="-2"/>
        </w:rPr>
        <w:t>除另有指定外，重度疾病保险金、中度疾病保险金、轻度疾</w:t>
      </w:r>
      <w:r>
        <w:rPr>
          <w:spacing w:val="-13"/>
        </w:rPr>
        <w:t>病保险金、“恶性肿瘤——重度”陪护保险金、极重度疾病</w:t>
      </w:r>
      <w:r>
        <w:rPr>
          <w:spacing w:val="-2"/>
        </w:rPr>
        <w:t>保险金、住院关怀津贴保险金、高残保险金、疾病终末期保</w:t>
      </w:r>
      <w:r>
        <w:rPr>
          <w:spacing w:val="-2"/>
        </w:rPr>
        <w:t>险金的受益人为被保险人本人。</w:t>
      </w:r>
    </w:p>
    <w:p>
      <w:pPr>
        <w:pStyle w:val="BodyText"/>
        <w:spacing w:before="1"/>
        <w:rPr>
          <w:sz w:val="20"/>
        </w:rPr>
      </w:pPr>
    </w:p>
    <w:p>
      <w:pPr>
        <w:pStyle w:val="ListParagraph"/>
        <w:numPr>
          <w:ilvl w:val="2"/>
          <w:numId w:val="2"/>
        </w:numPr>
        <w:tabs>
          <w:tab w:pos="1910" w:val="left" w:leader="none"/>
          <w:tab w:pos="1911" w:val="left" w:leader="none"/>
          <w:tab w:pos="3461" w:val="left" w:leader="none"/>
        </w:tabs>
        <w:spacing w:line="384" w:lineRule="exact" w:before="0" w:after="0"/>
        <w:ind w:left="1910" w:right="0" w:hanging="985"/>
        <w:jc w:val="left"/>
        <w:rPr>
          <w:sz w:val="21"/>
        </w:rPr>
      </w:pPr>
      <w:r>
        <w:rPr>
          <w:rFonts w:ascii="Microsoft JhengHei" w:eastAsia="Microsoft JhengHei"/>
          <w:b/>
          <w:sz w:val="21"/>
        </w:rPr>
        <w:t>保险事故通</w:t>
      </w:r>
      <w:r>
        <w:rPr>
          <w:rFonts w:ascii="Microsoft JhengHei" w:eastAsia="Microsoft JhengHei"/>
          <w:b/>
          <w:spacing w:val="-10"/>
          <w:sz w:val="21"/>
        </w:rPr>
        <w:t>知</w:t>
      </w:r>
      <w:r>
        <w:rPr>
          <w:rFonts w:ascii="Microsoft JhengHei" w:eastAsia="Microsoft JhengHei"/>
          <w:b/>
          <w:sz w:val="21"/>
        </w:rPr>
        <w:tab/>
      </w:r>
      <w:r>
        <w:rPr>
          <w:spacing w:val="-2"/>
          <w:sz w:val="21"/>
        </w:rPr>
        <w:t>您</w:t>
      </w:r>
      <w:r>
        <w:rPr>
          <w:spacing w:val="-2"/>
          <w:sz w:val="21"/>
        </w:rPr>
        <w:t>或</w:t>
      </w:r>
      <w:r>
        <w:rPr>
          <w:spacing w:val="-2"/>
          <w:sz w:val="21"/>
        </w:rPr>
        <w:t>者</w:t>
      </w:r>
      <w:r>
        <w:rPr>
          <w:spacing w:val="-2"/>
          <w:sz w:val="21"/>
        </w:rPr>
        <w:t>受</w:t>
      </w:r>
      <w:r>
        <w:rPr>
          <w:spacing w:val="-2"/>
          <w:sz w:val="21"/>
        </w:rPr>
        <w:t>益</w:t>
      </w:r>
      <w:r>
        <w:rPr>
          <w:spacing w:val="-2"/>
          <w:sz w:val="21"/>
        </w:rPr>
        <w:t>人</w:t>
      </w:r>
      <w:r>
        <w:rPr>
          <w:spacing w:val="-2"/>
          <w:sz w:val="21"/>
        </w:rPr>
        <w:t>知</w:t>
      </w:r>
      <w:r>
        <w:rPr>
          <w:spacing w:val="-2"/>
          <w:sz w:val="21"/>
        </w:rPr>
        <w:t>道</w:t>
      </w:r>
      <w:r>
        <w:rPr>
          <w:spacing w:val="-2"/>
          <w:sz w:val="21"/>
        </w:rPr>
        <w:t>保</w:t>
      </w:r>
      <w:r>
        <w:rPr>
          <w:spacing w:val="-2"/>
          <w:sz w:val="21"/>
        </w:rPr>
        <w:t>险</w:t>
      </w:r>
      <w:r>
        <w:rPr>
          <w:spacing w:val="-2"/>
          <w:sz w:val="21"/>
        </w:rPr>
        <w:t>事</w:t>
      </w:r>
      <w:r>
        <w:rPr>
          <w:spacing w:val="-2"/>
          <w:sz w:val="21"/>
        </w:rPr>
        <w:t>故</w:t>
      </w:r>
      <w:r>
        <w:rPr>
          <w:spacing w:val="-2"/>
          <w:sz w:val="21"/>
        </w:rPr>
        <w:t>发</w:t>
      </w:r>
      <w:r>
        <w:rPr>
          <w:spacing w:val="-2"/>
          <w:sz w:val="21"/>
        </w:rPr>
        <w:t>生</w:t>
      </w:r>
      <w:r>
        <w:rPr>
          <w:spacing w:val="-2"/>
          <w:sz w:val="21"/>
        </w:rPr>
        <w:t>后</w:t>
      </w:r>
      <w:r>
        <w:rPr>
          <w:spacing w:val="-2"/>
          <w:sz w:val="21"/>
        </w:rPr>
        <w:t>应</w:t>
      </w:r>
      <w:r>
        <w:rPr>
          <w:spacing w:val="-2"/>
          <w:sz w:val="21"/>
        </w:rPr>
        <w:t>当在</w:t>
      </w:r>
      <w:r>
        <w:rPr>
          <w:spacing w:val="-44"/>
          <w:sz w:val="21"/>
        </w:rPr>
        <w:t> </w:t>
      </w:r>
      <w:r>
        <w:rPr>
          <w:spacing w:val="-2"/>
          <w:sz w:val="21"/>
        </w:rPr>
        <w:t>10</w:t>
      </w:r>
      <w:r>
        <w:rPr>
          <w:spacing w:val="-44"/>
          <w:sz w:val="21"/>
        </w:rPr>
        <w:t> </w:t>
      </w:r>
      <w:r>
        <w:rPr>
          <w:spacing w:val="-2"/>
          <w:sz w:val="21"/>
        </w:rPr>
        <w:t>日内通</w:t>
      </w:r>
      <w:r>
        <w:rPr>
          <w:spacing w:val="-2"/>
          <w:sz w:val="21"/>
        </w:rPr>
        <w:t>知</w:t>
      </w:r>
      <w:r>
        <w:rPr>
          <w:spacing w:val="-10"/>
          <w:sz w:val="21"/>
        </w:rPr>
        <w:t>我</w:t>
      </w:r>
    </w:p>
    <w:p>
      <w:pPr>
        <w:pStyle w:val="BodyText"/>
        <w:spacing w:line="267" w:lineRule="exact"/>
        <w:ind w:left="3462"/>
      </w:pPr>
      <w:r>
        <w:rPr>
          <w:spacing w:val="-3"/>
        </w:rPr>
        <w:t>们。故意或者因重大过失未及时通知，致使保险事故的性</w:t>
      </w:r>
    </w:p>
    <w:p>
      <w:pPr>
        <w:spacing w:after="0" w:line="267" w:lineRule="exact"/>
        <w:sectPr>
          <w:pgSz w:w="11910" w:h="16840"/>
          <w:pgMar w:header="0" w:footer="226" w:top="660" w:bottom="420" w:left="980" w:right="400"/>
        </w:sectPr>
      </w:pPr>
    </w:p>
    <w:p>
      <w:pPr>
        <w:pStyle w:val="BodyText"/>
        <w:spacing w:line="278" w:lineRule="auto" w:before="57"/>
        <w:ind w:left="3462" w:right="1597"/>
        <w:jc w:val="both"/>
      </w:pPr>
      <w:r>
        <w:rPr>
          <w:spacing w:val="-2"/>
        </w:rPr>
        <w:t>质、原因、损失程度等难以确定的，我们对无法确定的部分</w:t>
      </w:r>
      <w:r>
        <w:rPr>
          <w:spacing w:val="-2"/>
        </w:rPr>
        <w:t>不承担给付保险金的责任，但我们通过其他途径已经及时知</w:t>
      </w:r>
      <w:r>
        <w:rPr>
          <w:spacing w:val="-2"/>
        </w:rPr>
        <w:t>道或者应当及时知道保险事故发生或者虽未及时通知但不影</w:t>
      </w:r>
      <w:r>
        <w:rPr>
          <w:spacing w:val="-2"/>
        </w:rPr>
        <w:t>响我们确定保险事故的性质、原因、损失程度的除外。</w:t>
      </w:r>
    </w:p>
    <w:p>
      <w:pPr>
        <w:pStyle w:val="BodyText"/>
        <w:spacing w:before="12"/>
        <w:rPr>
          <w:sz w:val="19"/>
        </w:rPr>
      </w:pPr>
    </w:p>
    <w:p>
      <w:pPr>
        <w:spacing w:after="0"/>
        <w:rPr>
          <w:sz w:val="19"/>
        </w:rPr>
        <w:sectPr>
          <w:pgSz w:w="11910" w:h="16840"/>
          <w:pgMar w:header="0" w:footer="226" w:top="660" w:bottom="420" w:left="980" w:right="400"/>
        </w:sectPr>
      </w:pPr>
    </w:p>
    <w:p>
      <w:pPr>
        <w:pStyle w:val="Heading2"/>
        <w:numPr>
          <w:ilvl w:val="2"/>
          <w:numId w:val="2"/>
        </w:numPr>
        <w:tabs>
          <w:tab w:pos="1910" w:val="left" w:leader="none"/>
          <w:tab w:pos="1911" w:val="left" w:leader="none"/>
        </w:tabs>
        <w:spacing w:line="194" w:lineRule="auto" w:before="55" w:after="0"/>
        <w:ind w:left="1910" w:right="0" w:hanging="985"/>
        <w:jc w:val="left"/>
      </w:pPr>
      <w:r>
        <w:rPr>
          <w:spacing w:val="-2"/>
        </w:rPr>
        <w:t>保险金及豁免</w:t>
      </w:r>
      <w:r>
        <w:rPr>
          <w:spacing w:val="-2"/>
        </w:rPr>
        <w:t>保险费申请</w:t>
      </w:r>
    </w:p>
    <w:p>
      <w:pPr>
        <w:pStyle w:val="BodyText"/>
        <w:spacing w:before="71"/>
        <w:ind w:left="243"/>
      </w:pPr>
      <w:r>
        <w:rPr/>
        <w:br w:type="column"/>
      </w:r>
      <w:r>
        <w:rPr>
          <w:spacing w:val="-3"/>
        </w:rPr>
        <w:t>在申请保险金或申请豁免保险费时，请按照下列方式办理：</w:t>
      </w:r>
    </w:p>
    <w:p>
      <w:pPr>
        <w:spacing w:after="0"/>
        <w:sectPr>
          <w:type w:val="continuous"/>
          <w:pgSz w:w="11910" w:h="16840"/>
          <w:pgMar w:header="0" w:footer="226" w:top="240" w:bottom="420" w:left="980" w:right="400"/>
          <w:cols w:num="2" w:equalWidth="0">
            <w:col w:w="3179" w:space="40"/>
            <w:col w:w="7311"/>
          </w:cols>
        </w:sectPr>
      </w:pPr>
    </w:p>
    <w:p>
      <w:pPr>
        <w:pStyle w:val="BodyText"/>
      </w:pPr>
    </w:p>
    <w:p>
      <w:pPr>
        <w:spacing w:after="0"/>
        <w:sectPr>
          <w:type w:val="continuous"/>
          <w:pgSz w:w="11910" w:h="16840"/>
          <w:pgMar w:header="0" w:footer="226" w:top="240" w:bottom="420" w:left="980" w:right="400"/>
        </w:sectPr>
      </w:pPr>
    </w:p>
    <w:p>
      <w:pPr>
        <w:pStyle w:val="Heading2"/>
        <w:spacing w:line="194" w:lineRule="auto" w:before="56"/>
        <w:jc w:val="both"/>
      </w:pPr>
      <w:r>
        <w:rPr>
          <w:spacing w:val="-2"/>
        </w:rPr>
        <w:t>重度疾病保险</w:t>
      </w:r>
      <w:r>
        <w:rPr>
          <w:spacing w:val="-2"/>
        </w:rPr>
        <w:t>金等疾病类保</w:t>
      </w:r>
      <w:r>
        <w:rPr>
          <w:spacing w:val="-2"/>
        </w:rPr>
        <w:t>险金及豁免保</w:t>
      </w:r>
      <w:r>
        <w:rPr>
          <w:spacing w:val="-4"/>
        </w:rPr>
        <w:t>险费申请</w:t>
      </w:r>
    </w:p>
    <w:p>
      <w:pPr>
        <w:pStyle w:val="BodyText"/>
        <w:spacing w:line="278" w:lineRule="auto" w:before="72"/>
        <w:ind w:left="243" w:right="1595"/>
        <w:jc w:val="both"/>
      </w:pPr>
      <w:r>
        <w:rPr/>
        <w:br w:type="column"/>
      </w:r>
      <w:r>
        <w:rPr>
          <w:spacing w:val="-2"/>
        </w:rPr>
        <w:t>申请重度疾病保险金、中度疾病保险金、轻度疾病保险金、 “恶性肿瘤——重度”陪护保险金、极重度疾病保险金、疾</w:t>
      </w:r>
      <w:r>
        <w:rPr>
          <w:spacing w:val="-2"/>
        </w:rPr>
        <w:t>病终末期保险金、豁免保险费的，申请人须填写领取保险金</w:t>
      </w:r>
      <w:r>
        <w:rPr>
          <w:spacing w:val="-2"/>
        </w:rPr>
        <w:t>申请书，并向我们提供下列资料：</w:t>
      </w:r>
    </w:p>
    <w:p>
      <w:pPr>
        <w:pStyle w:val="ListParagraph"/>
        <w:numPr>
          <w:ilvl w:val="0"/>
          <w:numId w:val="8"/>
        </w:numPr>
        <w:tabs>
          <w:tab w:pos="773" w:val="left" w:leader="none"/>
        </w:tabs>
        <w:spacing w:line="240" w:lineRule="auto" w:before="154" w:after="0"/>
        <w:ind w:left="772" w:right="0" w:hanging="530"/>
        <w:jc w:val="left"/>
        <w:rPr>
          <w:sz w:val="21"/>
        </w:rPr>
      </w:pPr>
      <w:r>
        <w:rPr>
          <w:spacing w:val="-4"/>
          <w:sz w:val="21"/>
        </w:rPr>
        <w:t>本合同；</w:t>
      </w:r>
    </w:p>
    <w:p>
      <w:pPr>
        <w:pStyle w:val="ListParagraph"/>
        <w:numPr>
          <w:ilvl w:val="0"/>
          <w:numId w:val="8"/>
        </w:numPr>
        <w:tabs>
          <w:tab w:pos="773" w:val="left" w:leader="none"/>
        </w:tabs>
        <w:spacing w:line="240" w:lineRule="auto" w:before="47" w:after="0"/>
        <w:ind w:left="772" w:right="0" w:hanging="530"/>
        <w:jc w:val="left"/>
        <w:rPr>
          <w:sz w:val="21"/>
        </w:rPr>
      </w:pPr>
      <w:r>
        <w:rPr>
          <w:spacing w:val="-3"/>
          <w:sz w:val="21"/>
        </w:rPr>
        <w:t>申请人的有效身份证件；</w:t>
      </w:r>
    </w:p>
    <w:p>
      <w:pPr>
        <w:pStyle w:val="ListParagraph"/>
        <w:numPr>
          <w:ilvl w:val="0"/>
          <w:numId w:val="8"/>
        </w:numPr>
        <w:tabs>
          <w:tab w:pos="773" w:val="left" w:leader="none"/>
        </w:tabs>
        <w:spacing w:line="278" w:lineRule="auto" w:before="43" w:after="0"/>
        <w:ind w:left="723" w:right="1703" w:hanging="480"/>
        <w:jc w:val="left"/>
        <w:rPr>
          <w:sz w:val="21"/>
        </w:rPr>
      </w:pPr>
      <w:r>
        <w:rPr>
          <w:spacing w:val="-2"/>
          <w:sz w:val="21"/>
        </w:rPr>
        <w:t>由医疗机构出具的可证明被保险人所患疾病的诊断证</w:t>
      </w:r>
      <w:r>
        <w:rPr>
          <w:spacing w:val="-2"/>
          <w:sz w:val="21"/>
        </w:rPr>
        <w:t>明和诊断所患疾病必需的检查报告；</w:t>
      </w:r>
    </w:p>
    <w:p>
      <w:pPr>
        <w:pStyle w:val="ListParagraph"/>
        <w:numPr>
          <w:ilvl w:val="0"/>
          <w:numId w:val="8"/>
        </w:numPr>
        <w:tabs>
          <w:tab w:pos="773" w:val="left" w:leader="none"/>
        </w:tabs>
        <w:spacing w:line="278" w:lineRule="auto" w:before="1" w:after="0"/>
        <w:ind w:left="723" w:right="1703" w:hanging="480"/>
        <w:jc w:val="left"/>
        <w:rPr>
          <w:sz w:val="21"/>
        </w:rPr>
      </w:pPr>
      <w:r>
        <w:rPr>
          <w:spacing w:val="-2"/>
          <w:sz w:val="21"/>
        </w:rPr>
        <w:t>所能提供的与确认保险事故的性质、原因、伤害程度</w:t>
      </w:r>
      <w:r>
        <w:rPr>
          <w:spacing w:val="-2"/>
          <w:sz w:val="21"/>
        </w:rPr>
        <w:t>等有关的其他资料。</w:t>
      </w:r>
    </w:p>
    <w:p>
      <w:pPr>
        <w:spacing w:after="0" w:line="278" w:lineRule="auto"/>
        <w:jc w:val="left"/>
        <w:rPr>
          <w:sz w:val="21"/>
        </w:rPr>
        <w:sectPr>
          <w:type w:val="continuous"/>
          <w:pgSz w:w="11910" w:h="16840"/>
          <w:pgMar w:header="0" w:footer="226" w:top="240" w:bottom="420" w:left="980" w:right="400"/>
          <w:cols w:num="2" w:equalWidth="0">
            <w:col w:w="3179" w:space="40"/>
            <w:col w:w="7311"/>
          </w:cols>
        </w:sectPr>
      </w:pPr>
    </w:p>
    <w:p>
      <w:pPr>
        <w:pStyle w:val="BodyText"/>
        <w:spacing w:before="6"/>
        <w:rPr>
          <w:sz w:val="19"/>
        </w:rPr>
      </w:pPr>
    </w:p>
    <w:p>
      <w:pPr>
        <w:spacing w:after="0"/>
        <w:rPr>
          <w:sz w:val="19"/>
        </w:rPr>
        <w:sectPr>
          <w:type w:val="continuous"/>
          <w:pgSz w:w="11910" w:h="16840"/>
          <w:pgMar w:header="0" w:footer="226" w:top="240" w:bottom="420" w:left="980" w:right="400"/>
        </w:sectPr>
      </w:pPr>
    </w:p>
    <w:p>
      <w:pPr>
        <w:pStyle w:val="Heading2"/>
        <w:spacing w:line="196" w:lineRule="auto" w:before="53"/>
      </w:pPr>
      <w:r>
        <w:rPr>
          <w:spacing w:val="-2"/>
        </w:rPr>
        <w:t>住院关怀津贴</w:t>
      </w:r>
      <w:r>
        <w:rPr>
          <w:spacing w:val="-2"/>
        </w:rPr>
        <w:t>保险金申请</w:t>
      </w:r>
    </w:p>
    <w:p>
      <w:pPr>
        <w:pStyle w:val="BodyText"/>
        <w:spacing w:line="283" w:lineRule="auto" w:before="72"/>
        <w:ind w:left="243" w:right="1597"/>
      </w:pPr>
      <w:r>
        <w:rPr/>
        <w:br w:type="column"/>
      </w:r>
      <w:r>
        <w:rPr>
          <w:spacing w:val="-2"/>
        </w:rPr>
        <w:t>申请住院关怀津贴保险金的，申请人须填写领取保险金申请</w:t>
      </w:r>
      <w:r>
        <w:rPr>
          <w:spacing w:val="-2"/>
        </w:rPr>
        <w:t>书，并向我们提供下列资料：</w:t>
      </w:r>
    </w:p>
    <w:p>
      <w:pPr>
        <w:pStyle w:val="ListParagraph"/>
        <w:numPr>
          <w:ilvl w:val="0"/>
          <w:numId w:val="9"/>
        </w:numPr>
        <w:tabs>
          <w:tab w:pos="773" w:val="left" w:leader="none"/>
        </w:tabs>
        <w:spacing w:line="240" w:lineRule="auto" w:before="148" w:after="0"/>
        <w:ind w:left="772" w:right="0" w:hanging="530"/>
        <w:jc w:val="left"/>
        <w:rPr>
          <w:sz w:val="21"/>
        </w:rPr>
      </w:pPr>
      <w:r>
        <w:rPr>
          <w:spacing w:val="-4"/>
          <w:sz w:val="21"/>
        </w:rPr>
        <w:t>本合同；</w:t>
      </w:r>
    </w:p>
    <w:p>
      <w:pPr>
        <w:pStyle w:val="ListParagraph"/>
        <w:numPr>
          <w:ilvl w:val="0"/>
          <w:numId w:val="9"/>
        </w:numPr>
        <w:tabs>
          <w:tab w:pos="773" w:val="left" w:leader="none"/>
        </w:tabs>
        <w:spacing w:line="240" w:lineRule="auto" w:before="42" w:after="0"/>
        <w:ind w:left="772" w:right="0" w:hanging="530"/>
        <w:jc w:val="left"/>
        <w:rPr>
          <w:sz w:val="21"/>
        </w:rPr>
      </w:pPr>
      <w:r>
        <w:rPr>
          <w:spacing w:val="-3"/>
          <w:sz w:val="21"/>
        </w:rPr>
        <w:t>申请人的有效身份证件；</w:t>
      </w:r>
    </w:p>
    <w:p>
      <w:pPr>
        <w:pStyle w:val="ListParagraph"/>
        <w:numPr>
          <w:ilvl w:val="0"/>
          <w:numId w:val="9"/>
        </w:numPr>
        <w:tabs>
          <w:tab w:pos="773" w:val="left" w:leader="none"/>
        </w:tabs>
        <w:spacing w:line="278" w:lineRule="auto" w:before="43" w:after="0"/>
        <w:ind w:left="723" w:right="1497" w:hanging="480"/>
        <w:jc w:val="left"/>
        <w:rPr>
          <w:sz w:val="21"/>
        </w:rPr>
      </w:pPr>
      <w:r>
        <w:rPr>
          <w:spacing w:val="-2"/>
          <w:sz w:val="21"/>
        </w:rPr>
        <w:t>由医院出具的医疗费用原始单据及费用明细单、医疗诊</w:t>
      </w:r>
      <w:r>
        <w:rPr>
          <w:spacing w:val="-2"/>
          <w:sz w:val="21"/>
        </w:rPr>
        <w:t>断证明及病历等相关资料；</w:t>
      </w:r>
    </w:p>
    <w:p>
      <w:pPr>
        <w:pStyle w:val="ListParagraph"/>
        <w:numPr>
          <w:ilvl w:val="0"/>
          <w:numId w:val="9"/>
        </w:numPr>
        <w:tabs>
          <w:tab w:pos="773" w:val="left" w:leader="none"/>
        </w:tabs>
        <w:spacing w:line="278" w:lineRule="auto" w:before="1" w:after="0"/>
        <w:ind w:left="723" w:right="1497" w:hanging="480"/>
        <w:jc w:val="left"/>
        <w:rPr>
          <w:sz w:val="21"/>
        </w:rPr>
      </w:pPr>
      <w:r>
        <w:rPr>
          <w:spacing w:val="-2"/>
          <w:sz w:val="21"/>
        </w:rPr>
        <w:t>所能提供的与确认保险事故的性质、原因、伤害程度等</w:t>
      </w:r>
      <w:r>
        <w:rPr>
          <w:spacing w:val="-2"/>
          <w:sz w:val="21"/>
        </w:rPr>
        <w:t>有关的其他资料。</w:t>
      </w:r>
    </w:p>
    <w:p>
      <w:pPr>
        <w:spacing w:after="0" w:line="278" w:lineRule="auto"/>
        <w:jc w:val="left"/>
        <w:rPr>
          <w:sz w:val="21"/>
        </w:rPr>
        <w:sectPr>
          <w:type w:val="continuous"/>
          <w:pgSz w:w="11910" w:h="16840"/>
          <w:pgMar w:header="0" w:footer="226" w:top="240" w:bottom="420" w:left="980" w:right="400"/>
          <w:cols w:num="2" w:equalWidth="0">
            <w:col w:w="3179" w:space="40"/>
            <w:col w:w="7311"/>
          </w:cols>
        </w:sectPr>
      </w:pPr>
    </w:p>
    <w:p>
      <w:pPr>
        <w:pStyle w:val="BodyText"/>
        <w:spacing w:before="1"/>
        <w:rPr>
          <w:sz w:val="25"/>
        </w:rPr>
      </w:pPr>
    </w:p>
    <w:p>
      <w:pPr>
        <w:spacing w:after="0"/>
        <w:rPr>
          <w:sz w:val="25"/>
        </w:rPr>
        <w:sectPr>
          <w:type w:val="continuous"/>
          <w:pgSz w:w="11910" w:h="16840"/>
          <w:pgMar w:header="0" w:footer="226" w:top="240" w:bottom="420" w:left="980" w:right="400"/>
        </w:sectPr>
      </w:pPr>
    </w:p>
    <w:p>
      <w:pPr>
        <w:pStyle w:val="Heading2"/>
        <w:spacing w:line="194" w:lineRule="auto"/>
      </w:pPr>
      <w:r>
        <w:rPr>
          <w:spacing w:val="-2"/>
        </w:rPr>
        <w:t>身故保险金申</w:t>
      </w:r>
      <w:r>
        <w:rPr>
          <w:spacing w:val="-10"/>
        </w:rPr>
        <w:t>请</w:t>
      </w:r>
    </w:p>
    <w:p>
      <w:pPr>
        <w:pStyle w:val="BodyText"/>
        <w:spacing w:line="278" w:lineRule="auto" w:before="72"/>
        <w:ind w:left="243" w:right="1597"/>
      </w:pPr>
      <w:r>
        <w:rPr/>
        <w:br w:type="column"/>
      </w:r>
      <w:r>
        <w:rPr>
          <w:spacing w:val="-2"/>
        </w:rPr>
        <w:t>身故保险金受益人作为申请人须填写领取保险金申请书，并</w:t>
      </w:r>
      <w:r>
        <w:rPr>
          <w:spacing w:val="-2"/>
        </w:rPr>
        <w:t>须提供下列证明和资料的原件：</w:t>
      </w:r>
    </w:p>
    <w:p>
      <w:pPr>
        <w:pStyle w:val="ListParagraph"/>
        <w:numPr>
          <w:ilvl w:val="0"/>
          <w:numId w:val="10"/>
        </w:numPr>
        <w:tabs>
          <w:tab w:pos="773" w:val="left" w:leader="none"/>
        </w:tabs>
        <w:spacing w:line="240" w:lineRule="auto" w:before="154" w:after="0"/>
        <w:ind w:left="772" w:right="0" w:hanging="530"/>
        <w:jc w:val="left"/>
        <w:rPr>
          <w:sz w:val="21"/>
        </w:rPr>
      </w:pPr>
      <w:r>
        <w:rPr>
          <w:spacing w:val="-4"/>
          <w:sz w:val="21"/>
        </w:rPr>
        <w:t>本合同；</w:t>
      </w:r>
    </w:p>
    <w:p>
      <w:pPr>
        <w:pStyle w:val="ListParagraph"/>
        <w:numPr>
          <w:ilvl w:val="0"/>
          <w:numId w:val="10"/>
        </w:numPr>
        <w:tabs>
          <w:tab w:pos="773" w:val="left" w:leader="none"/>
        </w:tabs>
        <w:spacing w:line="240" w:lineRule="auto" w:before="47" w:after="0"/>
        <w:ind w:left="772" w:right="0" w:hanging="530"/>
        <w:jc w:val="left"/>
        <w:rPr>
          <w:sz w:val="21"/>
        </w:rPr>
      </w:pPr>
      <w:r>
        <w:rPr>
          <w:spacing w:val="-3"/>
          <w:sz w:val="21"/>
        </w:rPr>
        <w:t>身故保险金受益人的有效身份证件；</w:t>
      </w:r>
    </w:p>
    <w:p>
      <w:pPr>
        <w:pStyle w:val="ListParagraph"/>
        <w:numPr>
          <w:ilvl w:val="0"/>
          <w:numId w:val="10"/>
        </w:numPr>
        <w:tabs>
          <w:tab w:pos="773" w:val="left" w:leader="none"/>
        </w:tabs>
        <w:spacing w:line="278" w:lineRule="auto" w:before="43" w:after="0"/>
        <w:ind w:left="723" w:right="1703" w:hanging="480"/>
        <w:jc w:val="left"/>
        <w:rPr>
          <w:sz w:val="21"/>
        </w:rPr>
      </w:pPr>
      <w:r>
        <w:rPr>
          <w:spacing w:val="-2"/>
          <w:sz w:val="21"/>
        </w:rPr>
        <w:t>国务院卫生行政部门规定的医疗机构、公安部门或者</w:t>
      </w:r>
      <w:r>
        <w:rPr>
          <w:spacing w:val="-2"/>
          <w:sz w:val="21"/>
        </w:rPr>
        <w:t>其他相关机构出具的被保险人的死亡证明；</w:t>
      </w:r>
    </w:p>
    <w:p>
      <w:pPr>
        <w:pStyle w:val="ListParagraph"/>
        <w:numPr>
          <w:ilvl w:val="0"/>
          <w:numId w:val="10"/>
        </w:numPr>
        <w:tabs>
          <w:tab w:pos="773" w:val="left" w:leader="none"/>
        </w:tabs>
        <w:spacing w:line="278" w:lineRule="auto" w:before="0" w:after="0"/>
        <w:ind w:left="723" w:right="1703" w:hanging="480"/>
        <w:jc w:val="left"/>
        <w:rPr>
          <w:sz w:val="21"/>
        </w:rPr>
      </w:pPr>
      <w:r>
        <w:rPr>
          <w:spacing w:val="-2"/>
          <w:sz w:val="21"/>
        </w:rPr>
        <w:t>所能提供的与确认保险事故的性质、原因等有关的其</w:t>
      </w:r>
      <w:r>
        <w:rPr>
          <w:spacing w:val="-2"/>
          <w:sz w:val="21"/>
        </w:rPr>
        <w:t>他证明和资料。</w:t>
      </w:r>
    </w:p>
    <w:p>
      <w:pPr>
        <w:spacing w:after="0" w:line="278" w:lineRule="auto"/>
        <w:jc w:val="left"/>
        <w:rPr>
          <w:sz w:val="21"/>
        </w:rPr>
        <w:sectPr>
          <w:type w:val="continuous"/>
          <w:pgSz w:w="11910" w:h="16840"/>
          <w:pgMar w:header="0" w:footer="226" w:top="240" w:bottom="420" w:left="980" w:right="400"/>
          <w:cols w:num="2" w:equalWidth="0">
            <w:col w:w="3179" w:space="40"/>
            <w:col w:w="7311"/>
          </w:cols>
        </w:sectPr>
      </w:pPr>
    </w:p>
    <w:p>
      <w:pPr>
        <w:pStyle w:val="BodyText"/>
        <w:spacing w:before="7"/>
        <w:rPr>
          <w:sz w:val="19"/>
        </w:rPr>
      </w:pPr>
    </w:p>
    <w:p>
      <w:pPr>
        <w:spacing w:after="0"/>
        <w:rPr>
          <w:sz w:val="19"/>
        </w:rPr>
        <w:sectPr>
          <w:type w:val="continuous"/>
          <w:pgSz w:w="11910" w:h="16840"/>
          <w:pgMar w:header="0" w:footer="226" w:top="240" w:bottom="420" w:left="980" w:right="400"/>
        </w:sectPr>
      </w:pPr>
    </w:p>
    <w:p>
      <w:pPr>
        <w:pStyle w:val="Heading2"/>
        <w:spacing w:line="196" w:lineRule="auto" w:before="52"/>
      </w:pPr>
      <w:r>
        <w:rPr>
          <w:spacing w:val="-2"/>
        </w:rPr>
        <w:t>高残保险金申</w:t>
      </w:r>
      <w:r>
        <w:rPr>
          <w:spacing w:val="-10"/>
        </w:rPr>
        <w:t>请</w:t>
      </w:r>
    </w:p>
    <w:p>
      <w:pPr>
        <w:pStyle w:val="BodyText"/>
        <w:spacing w:line="283" w:lineRule="auto" w:before="71"/>
        <w:ind w:left="243" w:right="1597"/>
      </w:pPr>
      <w:r>
        <w:rPr/>
        <w:br w:type="column"/>
      </w:r>
      <w:r>
        <w:rPr>
          <w:spacing w:val="-2"/>
        </w:rPr>
        <w:t>申请高残保险金的，申请人须填写领取保险金申请书，并须</w:t>
      </w:r>
      <w:r>
        <w:rPr>
          <w:spacing w:val="-2"/>
        </w:rPr>
        <w:t>提供下列证明和资料的原件：</w:t>
      </w:r>
    </w:p>
    <w:p>
      <w:pPr>
        <w:pStyle w:val="ListParagraph"/>
        <w:numPr>
          <w:ilvl w:val="0"/>
          <w:numId w:val="11"/>
        </w:numPr>
        <w:tabs>
          <w:tab w:pos="773" w:val="left" w:leader="none"/>
        </w:tabs>
        <w:spacing w:line="240" w:lineRule="auto" w:before="148" w:after="0"/>
        <w:ind w:left="772" w:right="0" w:hanging="530"/>
        <w:jc w:val="left"/>
        <w:rPr>
          <w:sz w:val="21"/>
        </w:rPr>
      </w:pPr>
      <w:r>
        <w:rPr>
          <w:spacing w:val="-4"/>
          <w:sz w:val="21"/>
        </w:rPr>
        <w:t>本合同；</w:t>
      </w:r>
    </w:p>
    <w:p>
      <w:pPr>
        <w:pStyle w:val="ListParagraph"/>
        <w:numPr>
          <w:ilvl w:val="0"/>
          <w:numId w:val="11"/>
        </w:numPr>
        <w:tabs>
          <w:tab w:pos="773" w:val="left" w:leader="none"/>
        </w:tabs>
        <w:spacing w:line="240" w:lineRule="auto" w:before="43" w:after="0"/>
        <w:ind w:left="772" w:right="0" w:hanging="530"/>
        <w:jc w:val="left"/>
        <w:rPr>
          <w:sz w:val="21"/>
        </w:rPr>
      </w:pPr>
      <w:r>
        <w:rPr>
          <w:spacing w:val="-3"/>
          <w:sz w:val="21"/>
        </w:rPr>
        <w:t>高残保险金受益人的有效身份证件；</w:t>
      </w:r>
    </w:p>
    <w:p>
      <w:pPr>
        <w:pStyle w:val="ListParagraph"/>
        <w:numPr>
          <w:ilvl w:val="0"/>
          <w:numId w:val="11"/>
        </w:numPr>
        <w:tabs>
          <w:tab w:pos="773" w:val="left" w:leader="none"/>
        </w:tabs>
        <w:spacing w:line="278" w:lineRule="auto" w:before="43" w:after="0"/>
        <w:ind w:left="723" w:right="1540" w:hanging="480"/>
        <w:jc w:val="left"/>
        <w:rPr>
          <w:sz w:val="21"/>
        </w:rPr>
      </w:pPr>
      <w:r>
        <w:rPr>
          <w:spacing w:val="-2"/>
          <w:sz w:val="21"/>
        </w:rPr>
        <w:t>由二级以上（含二级）公立医院或者由双方认可的医疗</w:t>
      </w:r>
      <w:r>
        <w:rPr>
          <w:spacing w:val="-2"/>
          <w:sz w:val="21"/>
        </w:rPr>
        <w:t>机构（或鉴定机构）出具的被保险人伤残程度的资料或</w:t>
      </w:r>
      <w:r>
        <w:rPr>
          <w:spacing w:val="-2"/>
          <w:sz w:val="21"/>
        </w:rPr>
        <w:t>身体伤残程度鉴定书；</w:t>
      </w:r>
    </w:p>
    <w:p>
      <w:pPr>
        <w:pStyle w:val="ListParagraph"/>
        <w:numPr>
          <w:ilvl w:val="0"/>
          <w:numId w:val="11"/>
        </w:numPr>
        <w:tabs>
          <w:tab w:pos="773" w:val="left" w:leader="none"/>
        </w:tabs>
        <w:spacing w:line="278" w:lineRule="auto" w:before="0" w:after="0"/>
        <w:ind w:left="723" w:right="1703" w:hanging="480"/>
        <w:jc w:val="left"/>
        <w:rPr>
          <w:sz w:val="21"/>
        </w:rPr>
      </w:pPr>
      <w:r>
        <w:rPr>
          <w:spacing w:val="-2"/>
          <w:sz w:val="21"/>
        </w:rPr>
        <w:t>所能提供的与确认保险事故的性质、原因、伤害程度</w:t>
      </w:r>
      <w:r>
        <w:rPr>
          <w:spacing w:val="-2"/>
          <w:sz w:val="21"/>
        </w:rPr>
        <w:t>等有关的其他证明和资料。</w:t>
      </w:r>
    </w:p>
    <w:p>
      <w:pPr>
        <w:spacing w:after="0" w:line="278" w:lineRule="auto"/>
        <w:jc w:val="left"/>
        <w:rPr>
          <w:sz w:val="21"/>
        </w:rPr>
        <w:sectPr>
          <w:type w:val="continuous"/>
          <w:pgSz w:w="11910" w:h="16840"/>
          <w:pgMar w:header="0" w:footer="226" w:top="240" w:bottom="420" w:left="980" w:right="400"/>
          <w:cols w:num="2" w:equalWidth="0">
            <w:col w:w="3179" w:space="40"/>
            <w:col w:w="7311"/>
          </w:cols>
        </w:sectPr>
      </w:pPr>
    </w:p>
    <w:p>
      <w:pPr>
        <w:pStyle w:val="BodyText"/>
        <w:tabs>
          <w:tab w:pos="3461" w:val="left" w:leader="none"/>
        </w:tabs>
        <w:spacing w:line="235" w:lineRule="auto"/>
        <w:ind w:left="3462" w:right="1597" w:hanging="1552"/>
      </w:pPr>
      <w:r>
        <w:rPr>
          <w:rFonts w:ascii="Microsoft JhengHei" w:eastAsia="Microsoft JhengHei"/>
          <w:b/>
          <w:spacing w:val="-2"/>
        </w:rPr>
        <w:t>特</w:t>
      </w:r>
      <w:r>
        <w:rPr>
          <w:rFonts w:ascii="Microsoft JhengHei" w:eastAsia="Microsoft JhengHei"/>
          <w:b/>
          <w:spacing w:val="-2"/>
        </w:rPr>
        <w:t>别</w:t>
      </w:r>
      <w:r>
        <w:rPr>
          <w:rFonts w:ascii="Microsoft JhengHei" w:eastAsia="Microsoft JhengHei"/>
          <w:b/>
          <w:spacing w:val="-2"/>
        </w:rPr>
        <w:t>注</w:t>
      </w:r>
      <w:r>
        <w:rPr>
          <w:rFonts w:ascii="Microsoft JhengHei" w:eastAsia="Microsoft JhengHei"/>
          <w:b/>
          <w:spacing w:val="-2"/>
        </w:rPr>
        <w:t>意</w:t>
      </w:r>
      <w:r>
        <w:rPr>
          <w:rFonts w:ascii="Microsoft JhengHei" w:eastAsia="Microsoft JhengHei"/>
          <w:b/>
          <w:spacing w:val="-2"/>
        </w:rPr>
        <w:t>事</w:t>
      </w:r>
      <w:r>
        <w:rPr>
          <w:rFonts w:ascii="Microsoft JhengHei" w:eastAsia="Microsoft JhengHei"/>
          <w:b/>
          <w:spacing w:val="-2"/>
        </w:rPr>
        <w:t>项</w:t>
      </w:r>
      <w:r>
        <w:rPr>
          <w:rFonts w:ascii="Microsoft JhengHei" w:eastAsia="Microsoft JhengHei"/>
          <w:b/>
        </w:rPr>
        <w:tab/>
      </w:r>
      <w:r>
        <w:rPr>
          <w:spacing w:val="-2"/>
        </w:rPr>
        <w:t>以</w:t>
      </w:r>
      <w:r>
        <w:rPr>
          <w:spacing w:val="-2"/>
        </w:rPr>
        <w:t>上</w:t>
      </w:r>
      <w:r>
        <w:rPr>
          <w:spacing w:val="-2"/>
        </w:rPr>
        <w:t>证</w:t>
      </w:r>
      <w:r>
        <w:rPr>
          <w:spacing w:val="-2"/>
        </w:rPr>
        <w:t>明</w:t>
      </w:r>
      <w:r>
        <w:rPr>
          <w:spacing w:val="-2"/>
        </w:rPr>
        <w:t>和</w:t>
      </w:r>
      <w:r>
        <w:rPr>
          <w:spacing w:val="-2"/>
        </w:rPr>
        <w:t>资</w:t>
      </w:r>
      <w:r>
        <w:rPr>
          <w:spacing w:val="-2"/>
        </w:rPr>
        <w:t>料</w:t>
      </w:r>
      <w:r>
        <w:rPr>
          <w:spacing w:val="-2"/>
        </w:rPr>
        <w:t>不</w:t>
      </w:r>
      <w:r>
        <w:rPr>
          <w:spacing w:val="-2"/>
        </w:rPr>
        <w:t>完</w:t>
      </w:r>
      <w:r>
        <w:rPr>
          <w:spacing w:val="-2"/>
        </w:rPr>
        <w:t>整</w:t>
      </w:r>
      <w:r>
        <w:rPr>
          <w:spacing w:val="-2"/>
        </w:rPr>
        <w:t>的</w:t>
      </w:r>
      <w:r>
        <w:rPr>
          <w:spacing w:val="-2"/>
        </w:rPr>
        <w:t>，我</w:t>
      </w:r>
      <w:r>
        <w:rPr>
          <w:spacing w:val="-2"/>
        </w:rPr>
        <w:t>们</w:t>
      </w:r>
      <w:r>
        <w:rPr>
          <w:spacing w:val="-2"/>
        </w:rPr>
        <w:t>将</w:t>
      </w:r>
      <w:r>
        <w:rPr>
          <w:spacing w:val="-2"/>
        </w:rPr>
        <w:t>及</w:t>
      </w:r>
      <w:r>
        <w:rPr>
          <w:spacing w:val="-2"/>
        </w:rPr>
        <w:t>时</w:t>
      </w:r>
      <w:r>
        <w:rPr>
          <w:spacing w:val="-2"/>
        </w:rPr>
        <w:t>一</w:t>
      </w:r>
      <w:r>
        <w:rPr>
          <w:spacing w:val="-2"/>
        </w:rPr>
        <w:t>次</w:t>
      </w:r>
      <w:r>
        <w:rPr>
          <w:spacing w:val="-2"/>
        </w:rPr>
        <w:t>性</w:t>
      </w:r>
      <w:r>
        <w:rPr>
          <w:spacing w:val="-2"/>
        </w:rPr>
        <w:t>通知受</w:t>
      </w:r>
      <w:r>
        <w:rPr>
          <w:spacing w:val="-2"/>
        </w:rPr>
        <w:t>益</w:t>
      </w:r>
      <w:r>
        <w:rPr>
          <w:spacing w:val="-2"/>
        </w:rPr>
        <w:t>人</w:t>
      </w:r>
      <w:r>
        <w:rPr>
          <w:spacing w:val="-2"/>
        </w:rPr>
        <w:t>补</w:t>
      </w:r>
      <w:r>
        <w:rPr>
          <w:spacing w:val="-2"/>
        </w:rPr>
        <w:t>充</w:t>
      </w:r>
      <w:r>
        <w:rPr>
          <w:spacing w:val="-2"/>
        </w:rPr>
        <w:t>提</w:t>
      </w:r>
      <w:r>
        <w:rPr>
          <w:spacing w:val="-2"/>
        </w:rPr>
        <w:t>供</w:t>
      </w:r>
      <w:r>
        <w:rPr>
          <w:spacing w:val="-2"/>
        </w:rPr>
        <w:t>有</w:t>
      </w:r>
      <w:r>
        <w:rPr>
          <w:spacing w:val="-2"/>
        </w:rPr>
        <w:t>关</w:t>
      </w:r>
      <w:r>
        <w:rPr>
          <w:spacing w:val="-2"/>
        </w:rPr>
        <w:t>的</w:t>
      </w:r>
      <w:r>
        <w:rPr>
          <w:spacing w:val="-2"/>
        </w:rPr>
        <w:t>证</w:t>
      </w:r>
      <w:r>
        <w:rPr>
          <w:spacing w:val="-2"/>
        </w:rPr>
        <w:t>明</w:t>
      </w:r>
      <w:r>
        <w:rPr>
          <w:spacing w:val="-2"/>
        </w:rPr>
        <w:t>和</w:t>
      </w:r>
      <w:r>
        <w:rPr>
          <w:spacing w:val="-2"/>
        </w:rPr>
        <w:t>资</w:t>
      </w:r>
      <w:r>
        <w:rPr>
          <w:spacing w:val="-2"/>
        </w:rPr>
        <w:t>料</w:t>
      </w:r>
      <w:r>
        <w:rPr>
          <w:spacing w:val="-2"/>
        </w:rPr>
        <w:t>。</w:t>
      </w:r>
    </w:p>
    <w:p>
      <w:pPr>
        <w:pStyle w:val="BodyText"/>
        <w:spacing w:before="7"/>
        <w:rPr>
          <w:sz w:val="14"/>
        </w:rPr>
      </w:pPr>
    </w:p>
    <w:p>
      <w:pPr>
        <w:pStyle w:val="BodyText"/>
        <w:spacing w:line="283" w:lineRule="auto"/>
        <w:ind w:left="3462" w:right="1597"/>
      </w:pPr>
      <w:r>
        <w:rPr>
          <w:spacing w:val="-2"/>
        </w:rPr>
        <w:t>委托他人领取保险金时，受托人还必须提供本人的有效身份</w:t>
      </w:r>
      <w:r>
        <w:rPr>
          <w:spacing w:val="-2"/>
        </w:rPr>
        <w:t>证件及委托人亲笔签名的授权委托书。</w:t>
      </w:r>
    </w:p>
    <w:p>
      <w:pPr>
        <w:pStyle w:val="BodyText"/>
        <w:spacing w:line="278" w:lineRule="auto" w:before="148"/>
        <w:ind w:left="3462" w:right="1597"/>
      </w:pPr>
      <w:r>
        <w:rPr>
          <w:spacing w:val="-2"/>
        </w:rPr>
        <w:t>保险金作为被保险人遗产时，继承人还必须提供可证明其合</w:t>
      </w:r>
      <w:r>
        <w:rPr>
          <w:spacing w:val="-2"/>
        </w:rPr>
        <w:t>法继承权的相关法律文件。</w:t>
      </w:r>
    </w:p>
    <w:p>
      <w:pPr>
        <w:pStyle w:val="BodyText"/>
        <w:spacing w:line="280" w:lineRule="auto" w:before="153"/>
        <w:ind w:left="3462" w:right="1597"/>
        <w:jc w:val="both"/>
      </w:pPr>
      <w:r>
        <w:rPr>
          <w:spacing w:val="-2"/>
        </w:rPr>
        <w:t>受益人或者继承人为无民事行为能力人或者限制民事行为能</w:t>
      </w:r>
      <w:r>
        <w:rPr>
          <w:spacing w:val="-2"/>
        </w:rPr>
        <w:t>力人时，由其合法监护人代其申请领取保险金，其合法监护</w:t>
      </w:r>
      <w:r>
        <w:rPr>
          <w:spacing w:val="-2"/>
        </w:rPr>
        <w:t>人还必须提供受益人或者继承人为无民事行为能力人或者限</w:t>
      </w:r>
      <w:r>
        <w:rPr>
          <w:spacing w:val="-3"/>
        </w:rPr>
        <w:t>制民事行为能力人的证明和监护人具有合法监护权的证明。</w:t>
      </w:r>
    </w:p>
    <w:p>
      <w:pPr>
        <w:pStyle w:val="BodyText"/>
        <w:spacing w:before="3"/>
        <w:rPr>
          <w:sz w:val="19"/>
        </w:rPr>
      </w:pPr>
    </w:p>
    <w:p>
      <w:pPr>
        <w:pStyle w:val="ListParagraph"/>
        <w:numPr>
          <w:ilvl w:val="2"/>
          <w:numId w:val="2"/>
        </w:numPr>
        <w:tabs>
          <w:tab w:pos="1910" w:val="left" w:leader="none"/>
          <w:tab w:pos="1911" w:val="left" w:leader="none"/>
          <w:tab w:pos="3461" w:val="left" w:leader="none"/>
        </w:tabs>
        <w:spacing w:line="240" w:lineRule="auto" w:before="0" w:after="0"/>
        <w:ind w:left="1910" w:right="0" w:hanging="985"/>
        <w:jc w:val="left"/>
        <w:rPr>
          <w:sz w:val="21"/>
        </w:rPr>
      </w:pPr>
      <w:r>
        <w:rPr>
          <w:rFonts w:ascii="Microsoft JhengHei" w:eastAsia="Microsoft JhengHei"/>
          <w:b/>
          <w:sz w:val="21"/>
        </w:rPr>
        <w:t>保险金给</w:t>
      </w:r>
      <w:r>
        <w:rPr>
          <w:rFonts w:ascii="Microsoft JhengHei" w:eastAsia="Microsoft JhengHei"/>
          <w:b/>
          <w:spacing w:val="-10"/>
          <w:sz w:val="21"/>
        </w:rPr>
        <w:t>付</w:t>
      </w:r>
      <w:r>
        <w:rPr>
          <w:rFonts w:ascii="Microsoft JhengHei" w:eastAsia="Microsoft JhengHei"/>
          <w:b/>
          <w:sz w:val="21"/>
        </w:rPr>
        <w:tab/>
      </w:r>
      <w:r>
        <w:rPr>
          <w:spacing w:val="-2"/>
          <w:sz w:val="21"/>
        </w:rPr>
        <w:t>我</w:t>
      </w:r>
      <w:r>
        <w:rPr>
          <w:spacing w:val="-2"/>
          <w:sz w:val="21"/>
        </w:rPr>
        <w:t>们</w:t>
      </w:r>
      <w:r>
        <w:rPr>
          <w:spacing w:val="-2"/>
          <w:sz w:val="21"/>
        </w:rPr>
        <w:t>在</w:t>
      </w:r>
      <w:r>
        <w:rPr>
          <w:spacing w:val="-2"/>
          <w:sz w:val="21"/>
        </w:rPr>
        <w:t>收</w:t>
      </w:r>
      <w:r>
        <w:rPr>
          <w:spacing w:val="-2"/>
          <w:sz w:val="21"/>
        </w:rPr>
        <w:t>到</w:t>
      </w:r>
      <w:r>
        <w:rPr>
          <w:spacing w:val="-2"/>
          <w:sz w:val="21"/>
        </w:rPr>
        <w:t>领</w:t>
      </w:r>
      <w:r>
        <w:rPr>
          <w:spacing w:val="-2"/>
          <w:sz w:val="21"/>
        </w:rPr>
        <w:t>取</w:t>
      </w:r>
      <w:r>
        <w:rPr>
          <w:spacing w:val="-2"/>
          <w:sz w:val="21"/>
        </w:rPr>
        <w:t>保</w:t>
      </w:r>
      <w:r>
        <w:rPr>
          <w:spacing w:val="-2"/>
          <w:sz w:val="21"/>
        </w:rPr>
        <w:t>险</w:t>
      </w:r>
      <w:r>
        <w:rPr>
          <w:spacing w:val="-2"/>
          <w:sz w:val="21"/>
        </w:rPr>
        <w:t>金</w:t>
      </w:r>
      <w:r>
        <w:rPr>
          <w:spacing w:val="-2"/>
          <w:sz w:val="21"/>
        </w:rPr>
        <w:t>申</w:t>
      </w:r>
      <w:r>
        <w:rPr>
          <w:spacing w:val="-2"/>
          <w:sz w:val="21"/>
        </w:rPr>
        <w:t>请</w:t>
      </w:r>
      <w:r>
        <w:rPr>
          <w:spacing w:val="-2"/>
          <w:sz w:val="21"/>
        </w:rPr>
        <w:t>书</w:t>
      </w:r>
      <w:r>
        <w:rPr>
          <w:spacing w:val="-2"/>
          <w:sz w:val="21"/>
        </w:rPr>
        <w:t>及</w:t>
      </w:r>
      <w:r>
        <w:rPr>
          <w:spacing w:val="-2"/>
          <w:sz w:val="21"/>
        </w:rPr>
        <w:t>本</w:t>
      </w:r>
      <w:r>
        <w:rPr>
          <w:spacing w:val="-2"/>
          <w:sz w:val="21"/>
        </w:rPr>
        <w:t>合</w:t>
      </w:r>
      <w:r>
        <w:rPr>
          <w:spacing w:val="-2"/>
          <w:sz w:val="21"/>
        </w:rPr>
        <w:t>同</w:t>
      </w:r>
      <w:r>
        <w:rPr>
          <w:spacing w:val="-2"/>
          <w:sz w:val="21"/>
        </w:rPr>
        <w:t>约</w:t>
      </w:r>
      <w:r>
        <w:rPr>
          <w:spacing w:val="-2"/>
          <w:sz w:val="21"/>
        </w:rPr>
        <w:t>定</w:t>
      </w:r>
      <w:r>
        <w:rPr>
          <w:spacing w:val="-2"/>
          <w:sz w:val="21"/>
        </w:rPr>
        <w:t>的</w:t>
      </w:r>
      <w:r>
        <w:rPr>
          <w:spacing w:val="-2"/>
          <w:sz w:val="21"/>
        </w:rPr>
        <w:t>证明和</w:t>
      </w:r>
      <w:r>
        <w:rPr>
          <w:spacing w:val="-2"/>
          <w:sz w:val="21"/>
        </w:rPr>
        <w:t>资</w:t>
      </w:r>
      <w:r>
        <w:rPr>
          <w:spacing w:val="-10"/>
          <w:sz w:val="21"/>
        </w:rPr>
        <w:t>料</w:t>
      </w:r>
    </w:p>
    <w:p>
      <w:pPr>
        <w:pStyle w:val="BodyText"/>
        <w:spacing w:line="278" w:lineRule="auto"/>
        <w:ind w:left="3462" w:right="1597"/>
      </w:pPr>
      <w:r>
        <w:rPr>
          <w:spacing w:val="-7"/>
        </w:rPr>
        <w:t>后，将在 </w:t>
      </w:r>
      <w:r>
        <w:rPr/>
        <w:t>5</w:t>
      </w:r>
      <w:r>
        <w:rPr>
          <w:spacing w:val="-8"/>
        </w:rPr>
        <w:t> 日内作出核定；情形复杂的，在 </w:t>
      </w:r>
      <w:r>
        <w:rPr/>
        <w:t>30</w:t>
      </w:r>
      <w:r>
        <w:rPr>
          <w:spacing w:val="-7"/>
        </w:rPr>
        <w:t> 日内作出核</w:t>
      </w:r>
      <w:r>
        <w:rPr>
          <w:spacing w:val="-2"/>
        </w:rPr>
        <w:t>定。对属于保险责任的，我们在与受益人达成给付保险金的</w:t>
      </w:r>
      <w:r>
        <w:rPr>
          <w:spacing w:val="-6"/>
        </w:rPr>
        <w:t>协议后 </w:t>
      </w:r>
      <w:r>
        <w:rPr/>
        <w:t>10</w:t>
      </w:r>
      <w:r>
        <w:rPr>
          <w:spacing w:val="-5"/>
        </w:rPr>
        <w:t> 日内，履行给付保险金义务。</w:t>
      </w:r>
    </w:p>
    <w:p>
      <w:pPr>
        <w:pStyle w:val="BodyText"/>
        <w:spacing w:line="278" w:lineRule="auto" w:before="154"/>
        <w:ind w:left="3462" w:right="1597"/>
      </w:pPr>
      <w:r>
        <w:rPr>
          <w:spacing w:val="-2"/>
        </w:rPr>
        <w:t>我们未及时履行前款规定义务的，对属于保险责任的，除支</w:t>
      </w:r>
      <w:r>
        <w:rPr>
          <w:spacing w:val="-2"/>
        </w:rPr>
        <w:t>付保险金外，应当赔偿受益人因此受到的利息损失。前述</w:t>
      </w:r>
      <w:r>
        <w:rPr/>
        <w:t> </w:t>
      </w:r>
      <w:r>
        <w:rPr>
          <w:spacing w:val="-2"/>
        </w:rPr>
        <w:t>“损失”是指按照中国人民银行公布的同时期的人民币活期</w:t>
      </w:r>
      <w:r>
        <w:rPr>
          <w:spacing w:val="-2"/>
        </w:rPr>
        <w:t>存款基准利率、以复利方式计算的利息损失。</w:t>
      </w:r>
    </w:p>
    <w:p>
      <w:pPr>
        <w:pStyle w:val="BodyText"/>
        <w:spacing w:line="283" w:lineRule="auto" w:before="154"/>
        <w:ind w:left="3462" w:right="1596"/>
      </w:pPr>
      <w:r>
        <w:rPr>
          <w:spacing w:val="-3"/>
        </w:rPr>
        <w:t>对不属于保险责任的，我们自作出核定之日起 </w:t>
      </w:r>
      <w:r>
        <w:rPr/>
        <w:t>3</w:t>
      </w:r>
      <w:r>
        <w:rPr>
          <w:spacing w:val="-10"/>
        </w:rPr>
        <w:t> 日内向受益</w:t>
      </w:r>
      <w:r>
        <w:rPr>
          <w:spacing w:val="-2"/>
        </w:rPr>
        <w:t>人发出拒绝给付保险金通知书并说明理由。</w:t>
      </w:r>
    </w:p>
    <w:p>
      <w:pPr>
        <w:pStyle w:val="BodyText"/>
        <w:spacing w:line="278" w:lineRule="auto" w:before="147"/>
        <w:ind w:left="3462" w:right="1595"/>
      </w:pPr>
      <w:r>
        <w:rPr>
          <w:spacing w:val="-2"/>
        </w:rPr>
        <w:t>我们在收到领取保险金申请书及有关证明和资料之日起 </w:t>
      </w:r>
      <w:r>
        <w:rPr/>
        <w:t>60</w:t>
      </w:r>
      <w:r>
        <w:rPr>
          <w:spacing w:val="-2"/>
        </w:rPr>
        <w:t>日内，对给付保险金的金额不能确定的，根据已有证明和资</w:t>
      </w:r>
      <w:r>
        <w:rPr>
          <w:spacing w:val="-2"/>
        </w:rPr>
        <w:t>料可以确定的金额先予支付；我们最终确定给付保险金的金</w:t>
      </w:r>
      <w:r>
        <w:rPr>
          <w:spacing w:val="-2"/>
        </w:rPr>
        <w:t>额后，将支付相应的差额。</w:t>
      </w:r>
    </w:p>
    <w:p>
      <w:pPr>
        <w:pStyle w:val="BodyText"/>
        <w:spacing w:before="1"/>
        <w:rPr>
          <w:sz w:val="20"/>
        </w:rPr>
      </w:pPr>
    </w:p>
    <w:p>
      <w:pPr>
        <w:pStyle w:val="ListParagraph"/>
        <w:numPr>
          <w:ilvl w:val="2"/>
          <w:numId w:val="2"/>
        </w:numPr>
        <w:tabs>
          <w:tab w:pos="1910" w:val="left" w:leader="none"/>
          <w:tab w:pos="1911" w:val="left" w:leader="none"/>
        </w:tabs>
        <w:spacing w:line="384" w:lineRule="exact" w:before="0" w:after="0"/>
        <w:ind w:left="1910" w:right="0" w:hanging="985"/>
        <w:jc w:val="both"/>
        <w:rPr>
          <w:sz w:val="21"/>
        </w:rPr>
      </w:pPr>
      <w:r>
        <w:rPr>
          <w:rFonts w:ascii="Microsoft JhengHei" w:eastAsia="Microsoft JhengHei"/>
          <w:b/>
          <w:spacing w:val="28"/>
          <w:sz w:val="21"/>
        </w:rPr>
        <w:t>宣告死亡处理 </w:t>
      </w:r>
      <w:r>
        <w:rPr>
          <w:spacing w:val="-1"/>
          <w:sz w:val="21"/>
        </w:rPr>
        <w:t>在本合同有效期内，如果被保险人被人民法院宣告死亡，我</w:t>
      </w:r>
    </w:p>
    <w:p>
      <w:pPr>
        <w:pStyle w:val="BodyText"/>
        <w:spacing w:line="278" w:lineRule="auto"/>
        <w:ind w:left="3462" w:right="1597"/>
        <w:jc w:val="both"/>
      </w:pPr>
      <w:r>
        <w:rPr>
          <w:spacing w:val="-2"/>
        </w:rPr>
        <w:t>们以人民法院宣告死亡的判决作出之日作为被保险人的死亡</w:t>
      </w:r>
      <w:r>
        <w:rPr>
          <w:spacing w:val="-2"/>
        </w:rPr>
        <w:t>时间；如果被保险人因意外事件下落不明被人民法院宣告死</w:t>
      </w:r>
      <w:r>
        <w:rPr>
          <w:spacing w:val="-2"/>
        </w:rPr>
        <w:t>亡的，我们以意外事件发生之日作为被保险人的死亡时间。</w:t>
      </w:r>
      <w:r>
        <w:rPr>
          <w:spacing w:val="-2"/>
        </w:rPr>
        <w:t>我们按本合同的约定给付身故保险金本合同终止。</w:t>
      </w:r>
    </w:p>
    <w:p>
      <w:pPr>
        <w:pStyle w:val="BodyText"/>
        <w:spacing w:line="280" w:lineRule="auto" w:before="151"/>
        <w:ind w:left="3462" w:right="1597"/>
      </w:pPr>
      <w:r>
        <w:rPr>
          <w:spacing w:val="-2"/>
        </w:rPr>
        <w:t>如果被保险人在宣告死亡后重新出现或者确知其没有死亡，</w:t>
      </w:r>
      <w:r>
        <w:rPr>
          <w:spacing w:val="-3"/>
        </w:rPr>
        <w:t>身故保险金受益人应在知道后 </w:t>
      </w:r>
      <w:r>
        <w:rPr/>
        <w:t>30</w:t>
      </w:r>
      <w:r>
        <w:rPr>
          <w:spacing w:val="-5"/>
        </w:rPr>
        <w:t> 日内向我们退还已领取的</w:t>
      </w:r>
      <w:r>
        <w:rPr>
          <w:spacing w:val="-2"/>
        </w:rPr>
        <w:t>身故保险金，在前述情形下，本合同的效力依法确定。</w:t>
      </w:r>
    </w:p>
    <w:p>
      <w:pPr>
        <w:pStyle w:val="BodyText"/>
        <w:spacing w:before="5"/>
        <w:rPr>
          <w:sz w:val="19"/>
        </w:rPr>
      </w:pPr>
    </w:p>
    <w:p>
      <w:pPr>
        <w:pStyle w:val="ListParagraph"/>
        <w:numPr>
          <w:ilvl w:val="2"/>
          <w:numId w:val="2"/>
        </w:numPr>
        <w:tabs>
          <w:tab w:pos="1910" w:val="left" w:leader="none"/>
          <w:tab w:pos="1911" w:val="left" w:leader="none"/>
          <w:tab w:pos="3461" w:val="left" w:leader="none"/>
        </w:tabs>
        <w:spacing w:line="384" w:lineRule="exact" w:before="0" w:after="0"/>
        <w:ind w:left="1910" w:right="0" w:hanging="985"/>
        <w:jc w:val="left"/>
        <w:rPr>
          <w:sz w:val="21"/>
        </w:rPr>
      </w:pPr>
      <w:r>
        <w:rPr>
          <w:rFonts w:ascii="Microsoft JhengHei" w:eastAsia="Microsoft JhengHei"/>
          <w:b/>
          <w:sz w:val="21"/>
        </w:rPr>
        <w:t>诉讼时</w:t>
      </w:r>
      <w:r>
        <w:rPr>
          <w:rFonts w:ascii="Microsoft JhengHei" w:eastAsia="Microsoft JhengHei"/>
          <w:b/>
          <w:spacing w:val="-10"/>
          <w:sz w:val="21"/>
        </w:rPr>
        <w:t>效</w:t>
      </w:r>
      <w:r>
        <w:rPr>
          <w:rFonts w:ascii="Microsoft JhengHei" w:eastAsia="Microsoft JhengHei"/>
          <w:b/>
          <w:sz w:val="21"/>
        </w:rPr>
        <w:tab/>
      </w:r>
      <w:r>
        <w:rPr>
          <w:spacing w:val="-2"/>
          <w:sz w:val="21"/>
        </w:rPr>
        <w:t>权</w:t>
      </w:r>
      <w:r>
        <w:rPr>
          <w:spacing w:val="-2"/>
          <w:sz w:val="21"/>
        </w:rPr>
        <w:t>利</w:t>
      </w:r>
      <w:r>
        <w:rPr>
          <w:spacing w:val="-2"/>
          <w:sz w:val="21"/>
        </w:rPr>
        <w:t>人</w:t>
      </w:r>
      <w:r>
        <w:rPr>
          <w:spacing w:val="-2"/>
          <w:sz w:val="21"/>
        </w:rPr>
        <w:t>向</w:t>
      </w:r>
      <w:r>
        <w:rPr>
          <w:spacing w:val="-2"/>
          <w:sz w:val="21"/>
        </w:rPr>
        <w:t>我</w:t>
      </w:r>
      <w:r>
        <w:rPr>
          <w:spacing w:val="-2"/>
          <w:sz w:val="21"/>
        </w:rPr>
        <w:t>们</w:t>
      </w:r>
      <w:r>
        <w:rPr>
          <w:spacing w:val="-2"/>
          <w:sz w:val="21"/>
        </w:rPr>
        <w:t>申</w:t>
      </w:r>
      <w:r>
        <w:rPr>
          <w:spacing w:val="-2"/>
          <w:sz w:val="21"/>
        </w:rPr>
        <w:t>请</w:t>
      </w:r>
      <w:r>
        <w:rPr>
          <w:spacing w:val="-2"/>
          <w:sz w:val="21"/>
        </w:rPr>
        <w:t>给</w:t>
      </w:r>
      <w:r>
        <w:rPr>
          <w:spacing w:val="-2"/>
          <w:sz w:val="21"/>
        </w:rPr>
        <w:t>付</w:t>
      </w:r>
      <w:r>
        <w:rPr>
          <w:spacing w:val="-2"/>
          <w:sz w:val="21"/>
        </w:rPr>
        <w:t>保</w:t>
      </w:r>
      <w:r>
        <w:rPr>
          <w:spacing w:val="-2"/>
          <w:sz w:val="21"/>
        </w:rPr>
        <w:t>险</w:t>
      </w:r>
      <w:r>
        <w:rPr>
          <w:spacing w:val="-2"/>
          <w:sz w:val="21"/>
        </w:rPr>
        <w:t>金</w:t>
      </w:r>
      <w:r>
        <w:rPr>
          <w:spacing w:val="-2"/>
          <w:sz w:val="21"/>
        </w:rPr>
        <w:t>的</w:t>
      </w:r>
      <w:r>
        <w:rPr>
          <w:spacing w:val="-2"/>
          <w:sz w:val="21"/>
        </w:rPr>
        <w:t>诉</w:t>
      </w:r>
      <w:r>
        <w:rPr>
          <w:spacing w:val="-2"/>
          <w:sz w:val="21"/>
        </w:rPr>
        <w:t>讼</w:t>
      </w:r>
      <w:r>
        <w:rPr>
          <w:spacing w:val="-2"/>
          <w:sz w:val="21"/>
        </w:rPr>
        <w:t>时</w:t>
      </w:r>
      <w:r>
        <w:rPr>
          <w:spacing w:val="-2"/>
          <w:sz w:val="21"/>
        </w:rPr>
        <w:t>效</w:t>
      </w:r>
      <w:r>
        <w:rPr>
          <w:spacing w:val="-2"/>
          <w:sz w:val="21"/>
        </w:rPr>
        <w:t>期</w:t>
      </w:r>
      <w:r>
        <w:rPr>
          <w:spacing w:val="-2"/>
          <w:sz w:val="21"/>
        </w:rPr>
        <w:t>间</w:t>
      </w:r>
      <w:r>
        <w:rPr>
          <w:spacing w:val="-2"/>
          <w:sz w:val="21"/>
        </w:rPr>
        <w:t>为</w:t>
      </w:r>
      <w:r>
        <w:rPr>
          <w:spacing w:val="-46"/>
          <w:sz w:val="21"/>
        </w:rPr>
        <w:t> </w:t>
      </w:r>
      <w:r>
        <w:rPr>
          <w:spacing w:val="-2"/>
          <w:sz w:val="21"/>
        </w:rPr>
        <w:t>2</w:t>
      </w:r>
      <w:r>
        <w:rPr>
          <w:spacing w:val="-40"/>
          <w:sz w:val="21"/>
        </w:rPr>
        <w:t> </w:t>
      </w:r>
      <w:r>
        <w:rPr>
          <w:spacing w:val="-2"/>
          <w:sz w:val="21"/>
        </w:rPr>
        <w:t>年，</w:t>
      </w:r>
      <w:r>
        <w:rPr>
          <w:spacing w:val="-2"/>
          <w:sz w:val="21"/>
        </w:rPr>
        <w:t>自</w:t>
      </w:r>
      <w:r>
        <w:rPr>
          <w:spacing w:val="-10"/>
          <w:sz w:val="21"/>
        </w:rPr>
        <w:t>其</w:t>
      </w:r>
    </w:p>
    <w:p>
      <w:pPr>
        <w:pStyle w:val="BodyText"/>
        <w:spacing w:line="267" w:lineRule="exact"/>
        <w:ind w:left="3462"/>
      </w:pPr>
      <w:r>
        <w:rPr>
          <w:spacing w:val="-3"/>
        </w:rPr>
        <w:t>知道或者应当知道保险事故发生之日起计算。</w:t>
      </w:r>
    </w:p>
    <w:p>
      <w:pPr>
        <w:pStyle w:val="BodyText"/>
        <w:spacing w:before="11"/>
        <w:rPr>
          <w:sz w:val="24"/>
        </w:rPr>
      </w:pPr>
    </w:p>
    <w:p>
      <w:pPr>
        <w:pStyle w:val="Heading1"/>
        <w:numPr>
          <w:ilvl w:val="1"/>
          <w:numId w:val="2"/>
        </w:numPr>
        <w:tabs>
          <w:tab w:pos="1910" w:val="left" w:leader="none"/>
          <w:tab w:pos="1911" w:val="left" w:leader="none"/>
        </w:tabs>
        <w:spacing w:line="240" w:lineRule="auto" w:before="0" w:after="0"/>
        <w:ind w:left="1910" w:right="0" w:hanging="985"/>
        <w:jc w:val="both"/>
      </w:pPr>
      <w:r>
        <w:rPr>
          <w:spacing w:val="-2"/>
        </w:rPr>
        <w:t>保险费的交纳</w:t>
      </w:r>
    </w:p>
    <w:p>
      <w:pPr>
        <w:pStyle w:val="BodyText"/>
        <w:spacing w:line="20" w:lineRule="exact"/>
        <w:ind w:left="820"/>
        <w:rPr>
          <w:rFonts w:ascii="Microsoft JhengHei"/>
          <w:sz w:val="2"/>
        </w:rPr>
      </w:pPr>
      <w:r>
        <w:rPr>
          <w:rFonts w:ascii="Microsoft JhengHei"/>
          <w:sz w:val="2"/>
        </w:rPr>
        <w:drawing>
          <wp:inline distT="0" distB="0" distL="0" distR="0">
            <wp:extent cx="5241538" cy="11144"/>
            <wp:effectExtent l="0" t="0" r="0" b="0"/>
            <wp:docPr id="11" name="image3.png"/>
            <wp:cNvGraphicFramePr>
              <a:graphicFrameLocks noChangeAspect="1"/>
            </wp:cNvGraphicFramePr>
            <a:graphic>
              <a:graphicData uri="http://schemas.openxmlformats.org/drawingml/2006/picture">
                <pic:pic>
                  <pic:nvPicPr>
                    <pic:cNvPr id="12" name="image3.png"/>
                    <pic:cNvPicPr/>
                  </pic:nvPicPr>
                  <pic:blipFill>
                    <a:blip r:embed="rId8" cstate="print"/>
                    <a:stretch>
                      <a:fillRect/>
                    </a:stretch>
                  </pic:blipFill>
                  <pic:spPr>
                    <a:xfrm>
                      <a:off x="0" y="0"/>
                      <a:ext cx="5241538" cy="11144"/>
                    </a:xfrm>
                    <a:prstGeom prst="rect">
                      <a:avLst/>
                    </a:prstGeom>
                  </pic:spPr>
                </pic:pic>
              </a:graphicData>
            </a:graphic>
          </wp:inline>
        </w:drawing>
      </w:r>
      <w:r>
        <w:rPr>
          <w:rFonts w:ascii="Microsoft JhengHei"/>
          <w:sz w:val="2"/>
        </w:rPr>
      </w:r>
    </w:p>
    <w:p>
      <w:pPr>
        <w:pStyle w:val="BodyText"/>
        <w:spacing w:before="16"/>
        <w:rPr>
          <w:rFonts w:ascii="Microsoft JhengHei"/>
          <w:b/>
          <w:sz w:val="13"/>
        </w:rPr>
      </w:pPr>
    </w:p>
    <w:p>
      <w:pPr>
        <w:pStyle w:val="ListParagraph"/>
        <w:numPr>
          <w:ilvl w:val="2"/>
          <w:numId w:val="2"/>
        </w:numPr>
        <w:tabs>
          <w:tab w:pos="1910" w:val="left" w:leader="none"/>
          <w:tab w:pos="1911" w:val="left" w:leader="none"/>
          <w:tab w:pos="3461" w:val="left" w:leader="none"/>
        </w:tabs>
        <w:spacing w:line="240" w:lineRule="auto" w:before="1" w:after="0"/>
        <w:ind w:left="1910" w:right="0" w:hanging="985"/>
        <w:jc w:val="left"/>
        <w:rPr>
          <w:sz w:val="21"/>
        </w:rPr>
      </w:pPr>
      <w:r>
        <w:rPr>
          <w:rFonts w:ascii="Microsoft JhengHei" w:eastAsia="Microsoft JhengHei"/>
          <w:b/>
          <w:sz w:val="21"/>
        </w:rPr>
        <w:t>保险费的交</w:t>
      </w:r>
      <w:r>
        <w:rPr>
          <w:rFonts w:ascii="Microsoft JhengHei" w:eastAsia="Microsoft JhengHei"/>
          <w:b/>
          <w:spacing w:val="-10"/>
          <w:sz w:val="21"/>
        </w:rPr>
        <w:t>纳</w:t>
      </w:r>
      <w:r>
        <w:rPr>
          <w:rFonts w:ascii="Microsoft JhengHei" w:eastAsia="Microsoft JhengHei"/>
          <w:b/>
          <w:sz w:val="21"/>
        </w:rPr>
        <w:tab/>
      </w:r>
      <w:r>
        <w:rPr>
          <w:spacing w:val="-2"/>
          <w:sz w:val="21"/>
        </w:rPr>
        <w:t>本</w:t>
      </w:r>
      <w:r>
        <w:rPr>
          <w:spacing w:val="-2"/>
          <w:sz w:val="21"/>
        </w:rPr>
        <w:t>合</w:t>
      </w:r>
      <w:r>
        <w:rPr>
          <w:spacing w:val="-2"/>
          <w:sz w:val="21"/>
        </w:rPr>
        <w:t>同</w:t>
      </w:r>
      <w:r>
        <w:rPr>
          <w:spacing w:val="-2"/>
          <w:sz w:val="21"/>
        </w:rPr>
        <w:t>的</w:t>
      </w:r>
      <w:r>
        <w:rPr>
          <w:spacing w:val="-2"/>
          <w:sz w:val="21"/>
        </w:rPr>
        <w:t>交</w:t>
      </w:r>
      <w:r>
        <w:rPr>
          <w:spacing w:val="-2"/>
          <w:sz w:val="21"/>
        </w:rPr>
        <w:t>费</w:t>
      </w:r>
      <w:r>
        <w:rPr>
          <w:spacing w:val="-2"/>
          <w:sz w:val="21"/>
        </w:rPr>
        <w:t>方</w:t>
      </w:r>
      <w:r>
        <w:rPr>
          <w:spacing w:val="-2"/>
          <w:sz w:val="21"/>
        </w:rPr>
        <w:t>式</w:t>
      </w:r>
      <w:r>
        <w:rPr>
          <w:spacing w:val="-2"/>
          <w:sz w:val="21"/>
        </w:rPr>
        <w:t>和</w:t>
      </w:r>
      <w:r>
        <w:rPr>
          <w:spacing w:val="-2"/>
          <w:sz w:val="21"/>
        </w:rPr>
        <w:t>交</w:t>
      </w:r>
      <w:r>
        <w:rPr>
          <w:spacing w:val="-2"/>
          <w:sz w:val="21"/>
        </w:rPr>
        <w:t>费</w:t>
      </w:r>
      <w:r>
        <w:rPr>
          <w:spacing w:val="-2"/>
          <w:sz w:val="21"/>
        </w:rPr>
        <w:t>期</w:t>
      </w:r>
      <w:r>
        <w:rPr>
          <w:spacing w:val="-2"/>
          <w:sz w:val="21"/>
        </w:rPr>
        <w:t>间</w:t>
      </w:r>
      <w:r>
        <w:rPr>
          <w:spacing w:val="-2"/>
          <w:sz w:val="21"/>
        </w:rPr>
        <w:t>由</w:t>
      </w:r>
      <w:r>
        <w:rPr>
          <w:spacing w:val="-2"/>
          <w:sz w:val="21"/>
        </w:rPr>
        <w:t>您</w:t>
      </w:r>
      <w:r>
        <w:rPr>
          <w:spacing w:val="-2"/>
          <w:sz w:val="21"/>
        </w:rPr>
        <w:t>在</w:t>
      </w:r>
      <w:r>
        <w:rPr>
          <w:spacing w:val="-2"/>
          <w:sz w:val="21"/>
        </w:rPr>
        <w:t>投</w:t>
      </w:r>
      <w:r>
        <w:rPr>
          <w:spacing w:val="-2"/>
          <w:sz w:val="21"/>
        </w:rPr>
        <w:t>保</w:t>
      </w:r>
      <w:r>
        <w:rPr>
          <w:spacing w:val="-2"/>
          <w:sz w:val="21"/>
        </w:rPr>
        <w:t>时</w:t>
      </w:r>
      <w:r>
        <w:rPr>
          <w:spacing w:val="-2"/>
          <w:sz w:val="21"/>
        </w:rPr>
        <w:t>与</w:t>
      </w:r>
      <w:r>
        <w:rPr>
          <w:spacing w:val="-2"/>
          <w:sz w:val="21"/>
        </w:rPr>
        <w:t>我们约</w:t>
      </w:r>
      <w:r>
        <w:rPr>
          <w:spacing w:val="-2"/>
          <w:sz w:val="21"/>
        </w:rPr>
        <w:t>定</w:t>
      </w:r>
      <w:r>
        <w:rPr>
          <w:spacing w:val="-2"/>
          <w:sz w:val="21"/>
        </w:rPr>
        <w:t>，</w:t>
      </w:r>
      <w:r>
        <w:rPr>
          <w:spacing w:val="-10"/>
          <w:sz w:val="21"/>
        </w:rPr>
        <w:t>并</w:t>
      </w:r>
    </w:p>
    <w:p>
      <w:pPr>
        <w:pStyle w:val="BodyText"/>
        <w:ind w:left="3462"/>
      </w:pPr>
      <w:r>
        <w:rPr>
          <w:spacing w:val="-4"/>
        </w:rPr>
        <w:t>在保险单上载明。</w:t>
      </w:r>
    </w:p>
    <w:p>
      <w:pPr>
        <w:pStyle w:val="BodyText"/>
        <w:spacing w:before="4"/>
        <w:rPr>
          <w:sz w:val="15"/>
        </w:rPr>
      </w:pPr>
    </w:p>
    <w:p>
      <w:pPr>
        <w:pStyle w:val="BodyText"/>
        <w:spacing w:line="278" w:lineRule="auto"/>
        <w:ind w:left="3462" w:right="1597"/>
      </w:pPr>
      <w:r>
        <w:rPr>
          <w:spacing w:val="-2"/>
        </w:rPr>
        <w:t>分期支付保险费的，在交纳首期保险费后，您应当在每个保</w:t>
      </w:r>
      <w:r>
        <w:rPr>
          <w:spacing w:val="-2"/>
        </w:rPr>
        <w:t>险费约定交纳日交纳其余各期的保险费。</w:t>
      </w:r>
    </w:p>
    <w:p>
      <w:pPr>
        <w:spacing w:after="0" w:line="278" w:lineRule="auto"/>
        <w:sectPr>
          <w:pgSz w:w="11910" w:h="16840"/>
          <w:pgMar w:header="0" w:footer="226" w:top="820" w:bottom="420" w:left="980" w:right="400"/>
        </w:sectPr>
      </w:pPr>
    </w:p>
    <w:p>
      <w:pPr>
        <w:pStyle w:val="ListParagraph"/>
        <w:numPr>
          <w:ilvl w:val="2"/>
          <w:numId w:val="2"/>
        </w:numPr>
        <w:tabs>
          <w:tab w:pos="1910" w:val="left" w:leader="none"/>
          <w:tab w:pos="1911" w:val="left" w:leader="none"/>
          <w:tab w:pos="3461" w:val="left" w:leader="none"/>
        </w:tabs>
        <w:spacing w:line="376" w:lineRule="exact" w:before="0" w:after="0"/>
        <w:ind w:left="1910" w:right="0" w:hanging="985"/>
        <w:jc w:val="left"/>
        <w:rPr>
          <w:sz w:val="21"/>
        </w:rPr>
      </w:pPr>
      <w:r>
        <w:rPr>
          <w:rFonts w:ascii="Microsoft JhengHei" w:eastAsia="Microsoft JhengHei"/>
          <w:b/>
          <w:sz w:val="21"/>
        </w:rPr>
        <w:t>宽限</w:t>
      </w:r>
      <w:r>
        <w:rPr>
          <w:rFonts w:ascii="Microsoft JhengHei" w:eastAsia="Microsoft JhengHei"/>
          <w:b/>
          <w:spacing w:val="-10"/>
          <w:sz w:val="21"/>
        </w:rPr>
        <w:t>期</w:t>
      </w:r>
      <w:r>
        <w:rPr>
          <w:rFonts w:ascii="Microsoft JhengHei" w:eastAsia="Microsoft JhengHei"/>
          <w:b/>
          <w:sz w:val="21"/>
        </w:rPr>
        <w:tab/>
      </w:r>
      <w:r>
        <w:rPr>
          <w:spacing w:val="-2"/>
          <w:sz w:val="21"/>
        </w:rPr>
        <w:t>分</w:t>
      </w:r>
      <w:r>
        <w:rPr>
          <w:spacing w:val="-2"/>
          <w:sz w:val="21"/>
        </w:rPr>
        <w:t>期</w:t>
      </w:r>
      <w:r>
        <w:rPr>
          <w:spacing w:val="-2"/>
          <w:sz w:val="21"/>
        </w:rPr>
        <w:t>支</w:t>
      </w:r>
      <w:r>
        <w:rPr>
          <w:spacing w:val="-2"/>
          <w:sz w:val="21"/>
        </w:rPr>
        <w:t>付</w:t>
      </w:r>
      <w:r>
        <w:rPr>
          <w:spacing w:val="-2"/>
          <w:sz w:val="21"/>
        </w:rPr>
        <w:t>保</w:t>
      </w:r>
      <w:r>
        <w:rPr>
          <w:spacing w:val="-2"/>
          <w:sz w:val="21"/>
        </w:rPr>
        <w:t>险</w:t>
      </w:r>
      <w:r>
        <w:rPr>
          <w:spacing w:val="-2"/>
          <w:sz w:val="21"/>
        </w:rPr>
        <w:t>费</w:t>
      </w:r>
      <w:r>
        <w:rPr>
          <w:spacing w:val="-2"/>
          <w:sz w:val="21"/>
        </w:rPr>
        <w:t>的</w:t>
      </w:r>
      <w:r>
        <w:rPr>
          <w:spacing w:val="-2"/>
          <w:sz w:val="21"/>
        </w:rPr>
        <w:t>，</w:t>
      </w:r>
      <w:r>
        <w:rPr>
          <w:spacing w:val="-2"/>
          <w:sz w:val="21"/>
        </w:rPr>
        <w:t>在</w:t>
      </w:r>
      <w:r>
        <w:rPr>
          <w:spacing w:val="-2"/>
          <w:sz w:val="21"/>
        </w:rPr>
        <w:t>交</w:t>
      </w:r>
      <w:r>
        <w:rPr>
          <w:spacing w:val="-2"/>
          <w:sz w:val="21"/>
        </w:rPr>
        <w:t>纳</w:t>
      </w:r>
      <w:r>
        <w:rPr>
          <w:spacing w:val="-2"/>
          <w:sz w:val="21"/>
        </w:rPr>
        <w:t>首</w:t>
      </w:r>
      <w:r>
        <w:rPr>
          <w:spacing w:val="-2"/>
          <w:sz w:val="21"/>
        </w:rPr>
        <w:t>期</w:t>
      </w:r>
      <w:r>
        <w:rPr>
          <w:spacing w:val="-2"/>
          <w:sz w:val="21"/>
        </w:rPr>
        <w:t>保</w:t>
      </w:r>
      <w:r>
        <w:rPr>
          <w:spacing w:val="-2"/>
          <w:sz w:val="21"/>
        </w:rPr>
        <w:t>险</w:t>
      </w:r>
      <w:r>
        <w:rPr>
          <w:spacing w:val="-2"/>
          <w:sz w:val="21"/>
        </w:rPr>
        <w:t>费后，如果您到</w:t>
      </w:r>
      <w:r>
        <w:rPr>
          <w:spacing w:val="-2"/>
          <w:sz w:val="21"/>
        </w:rPr>
        <w:t>期</w:t>
      </w:r>
      <w:r>
        <w:rPr>
          <w:spacing w:val="-2"/>
          <w:sz w:val="21"/>
        </w:rPr>
        <w:t>未</w:t>
      </w:r>
      <w:r>
        <w:rPr>
          <w:spacing w:val="-10"/>
          <w:sz w:val="21"/>
        </w:rPr>
        <w:t>交</w:t>
      </w:r>
    </w:p>
    <w:p>
      <w:pPr>
        <w:pStyle w:val="BodyText"/>
        <w:spacing w:line="278" w:lineRule="auto"/>
        <w:ind w:left="3462" w:right="1597"/>
      </w:pPr>
      <w:r>
        <w:rPr>
          <w:spacing w:val="-1"/>
        </w:rPr>
        <w:t>纳保险费，自保险费约定交纳日的次日零时起 </w:t>
      </w:r>
      <w:r>
        <w:rPr/>
        <w:t>60</w:t>
      </w:r>
      <w:r>
        <w:rPr>
          <w:spacing w:val="-5"/>
        </w:rPr>
        <w:t> 日为保险</w:t>
      </w:r>
      <w:r>
        <w:rPr>
          <w:spacing w:val="-2"/>
        </w:rPr>
        <w:t>费交纳的宽限期。宽限期内发生的保险事故，我们仍承担保</w:t>
      </w:r>
      <w:r>
        <w:rPr>
          <w:spacing w:val="-2"/>
        </w:rPr>
        <w:t>险责任，但在给付保险金时会扣除您欠交的保险费。</w:t>
      </w:r>
    </w:p>
    <w:p>
      <w:pPr>
        <w:pStyle w:val="BodyText"/>
        <w:spacing w:line="278" w:lineRule="auto" w:before="154"/>
        <w:ind w:left="3462" w:right="1597"/>
      </w:pPr>
      <w:r>
        <w:rPr>
          <w:spacing w:val="-2"/>
        </w:rPr>
        <w:t>如果您在宽限期届满时仍未交纳保险费，则本合同自宽限期</w:t>
      </w:r>
      <w:r>
        <w:rPr>
          <w:spacing w:val="-6"/>
        </w:rPr>
        <w:t>满日的 </w:t>
      </w:r>
      <w:r>
        <w:rPr/>
        <w:t>24</w:t>
      </w:r>
      <w:r>
        <w:rPr>
          <w:spacing w:val="-5"/>
        </w:rPr>
        <w:t> 时起效力中止，但本合同另有约定的除外。</w:t>
      </w:r>
    </w:p>
    <w:p>
      <w:pPr>
        <w:pStyle w:val="BodyText"/>
        <w:spacing w:before="5"/>
      </w:pPr>
    </w:p>
    <w:p>
      <w:pPr>
        <w:pStyle w:val="Heading1"/>
        <w:numPr>
          <w:ilvl w:val="1"/>
          <w:numId w:val="2"/>
        </w:numPr>
        <w:tabs>
          <w:tab w:pos="1910" w:val="left" w:leader="none"/>
          <w:tab w:pos="1911" w:val="left" w:leader="none"/>
        </w:tabs>
        <w:spacing w:line="240" w:lineRule="auto" w:before="0" w:after="0"/>
        <w:ind w:left="1910" w:right="0" w:hanging="985"/>
        <w:jc w:val="left"/>
      </w:pPr>
      <w:r>
        <w:rPr>
          <w:spacing w:val="-2"/>
        </w:rPr>
        <w:t>现金价值权益</w:t>
      </w:r>
    </w:p>
    <w:p>
      <w:pPr>
        <w:pStyle w:val="BodyText"/>
        <w:spacing w:line="20" w:lineRule="exact"/>
        <w:ind w:left="820"/>
        <w:rPr>
          <w:rFonts w:ascii="Microsoft JhengHei"/>
          <w:sz w:val="2"/>
        </w:rPr>
      </w:pPr>
      <w:r>
        <w:rPr>
          <w:rFonts w:ascii="Microsoft JhengHei"/>
          <w:sz w:val="2"/>
        </w:rPr>
        <w:drawing>
          <wp:inline distT="0" distB="0" distL="0" distR="0">
            <wp:extent cx="5267727" cy="11049"/>
            <wp:effectExtent l="0" t="0" r="0" b="0"/>
            <wp:docPr id="13" name="image4.png"/>
            <wp:cNvGraphicFramePr>
              <a:graphicFrameLocks noChangeAspect="1"/>
            </wp:cNvGraphicFramePr>
            <a:graphic>
              <a:graphicData uri="http://schemas.openxmlformats.org/drawingml/2006/picture">
                <pic:pic>
                  <pic:nvPicPr>
                    <pic:cNvPr id="14" name="image4.png"/>
                    <pic:cNvPicPr/>
                  </pic:nvPicPr>
                  <pic:blipFill>
                    <a:blip r:embed="rId9" cstate="print"/>
                    <a:stretch>
                      <a:fillRect/>
                    </a:stretch>
                  </pic:blipFill>
                  <pic:spPr>
                    <a:xfrm>
                      <a:off x="0" y="0"/>
                      <a:ext cx="5267727" cy="11049"/>
                    </a:xfrm>
                    <a:prstGeom prst="rect">
                      <a:avLst/>
                    </a:prstGeom>
                  </pic:spPr>
                </pic:pic>
              </a:graphicData>
            </a:graphic>
          </wp:inline>
        </w:drawing>
      </w:r>
      <w:r>
        <w:rPr>
          <w:rFonts w:ascii="Microsoft JhengHei"/>
          <w:sz w:val="2"/>
        </w:rPr>
      </w:r>
    </w:p>
    <w:p>
      <w:pPr>
        <w:pStyle w:val="BodyText"/>
        <w:spacing w:before="17"/>
        <w:rPr>
          <w:rFonts w:ascii="Microsoft JhengHei"/>
          <w:b/>
          <w:sz w:val="13"/>
        </w:rPr>
      </w:pPr>
    </w:p>
    <w:p>
      <w:pPr>
        <w:pStyle w:val="ListParagraph"/>
        <w:numPr>
          <w:ilvl w:val="2"/>
          <w:numId w:val="2"/>
        </w:numPr>
        <w:tabs>
          <w:tab w:pos="1910" w:val="left" w:leader="none"/>
          <w:tab w:pos="1911" w:val="left" w:leader="none"/>
          <w:tab w:pos="3461" w:val="left" w:leader="none"/>
        </w:tabs>
        <w:spacing w:line="240" w:lineRule="auto" w:before="0" w:after="0"/>
        <w:ind w:left="3462" w:right="1597" w:hanging="2536"/>
        <w:jc w:val="left"/>
        <w:rPr>
          <w:sz w:val="21"/>
        </w:rPr>
      </w:pPr>
      <w:r>
        <w:rPr>
          <w:rFonts w:ascii="Microsoft JhengHei" w:eastAsia="Microsoft JhengHei"/>
          <w:b/>
          <w:spacing w:val="-4"/>
          <w:sz w:val="21"/>
        </w:rPr>
        <w:t>现</w:t>
      </w:r>
      <w:r>
        <w:rPr>
          <w:rFonts w:ascii="Microsoft JhengHei" w:eastAsia="Microsoft JhengHei"/>
          <w:b/>
          <w:spacing w:val="-4"/>
          <w:sz w:val="21"/>
        </w:rPr>
        <w:t>金</w:t>
      </w:r>
      <w:r>
        <w:rPr>
          <w:rFonts w:ascii="Microsoft JhengHei" w:eastAsia="Microsoft JhengHei"/>
          <w:b/>
          <w:spacing w:val="-4"/>
          <w:sz w:val="21"/>
        </w:rPr>
        <w:t>价</w:t>
      </w:r>
      <w:r>
        <w:rPr>
          <w:rFonts w:ascii="Microsoft JhengHei" w:eastAsia="Microsoft JhengHei"/>
          <w:b/>
          <w:spacing w:val="-4"/>
          <w:sz w:val="21"/>
        </w:rPr>
        <w:t>值</w:t>
      </w:r>
      <w:r>
        <w:rPr>
          <w:rFonts w:ascii="Microsoft JhengHei" w:eastAsia="Microsoft JhengHei"/>
          <w:b/>
          <w:sz w:val="21"/>
        </w:rPr>
        <w:tab/>
      </w:r>
      <w:r>
        <w:rPr>
          <w:spacing w:val="-2"/>
          <w:sz w:val="21"/>
        </w:rPr>
        <w:t>本</w:t>
      </w:r>
      <w:r>
        <w:rPr>
          <w:spacing w:val="-2"/>
          <w:sz w:val="21"/>
        </w:rPr>
        <w:t>合</w:t>
      </w:r>
      <w:r>
        <w:rPr>
          <w:spacing w:val="-2"/>
          <w:sz w:val="21"/>
        </w:rPr>
        <w:t>同</w:t>
      </w:r>
      <w:r>
        <w:rPr>
          <w:spacing w:val="-2"/>
          <w:sz w:val="21"/>
        </w:rPr>
        <w:t>保</w:t>
      </w:r>
      <w:r>
        <w:rPr>
          <w:spacing w:val="-2"/>
          <w:sz w:val="21"/>
        </w:rPr>
        <w:t>单</w:t>
      </w:r>
      <w:r>
        <w:rPr>
          <w:spacing w:val="-2"/>
          <w:sz w:val="21"/>
        </w:rPr>
        <w:t>年</w:t>
      </w:r>
      <w:r>
        <w:rPr>
          <w:spacing w:val="-2"/>
          <w:sz w:val="21"/>
        </w:rPr>
        <w:t>度</w:t>
      </w:r>
      <w:r>
        <w:rPr>
          <w:spacing w:val="-2"/>
          <w:sz w:val="21"/>
        </w:rPr>
        <w:t>末</w:t>
      </w:r>
      <w:r>
        <w:rPr>
          <w:spacing w:val="-2"/>
          <w:sz w:val="21"/>
        </w:rPr>
        <w:t>的</w:t>
      </w:r>
      <w:r>
        <w:rPr>
          <w:spacing w:val="-2"/>
          <w:sz w:val="21"/>
        </w:rPr>
        <w:t>现</w:t>
      </w:r>
      <w:r>
        <w:rPr>
          <w:spacing w:val="-2"/>
          <w:sz w:val="21"/>
        </w:rPr>
        <w:t>金</w:t>
      </w:r>
      <w:r>
        <w:rPr>
          <w:spacing w:val="-2"/>
          <w:sz w:val="21"/>
        </w:rPr>
        <w:t>价</w:t>
      </w:r>
      <w:r>
        <w:rPr>
          <w:spacing w:val="-2"/>
          <w:sz w:val="21"/>
        </w:rPr>
        <w:t>值</w:t>
      </w:r>
      <w:r>
        <w:rPr>
          <w:spacing w:val="-2"/>
          <w:sz w:val="21"/>
        </w:rPr>
        <w:t>在</w:t>
      </w:r>
      <w:r>
        <w:rPr>
          <w:spacing w:val="-2"/>
          <w:sz w:val="21"/>
        </w:rPr>
        <w:t>保</w:t>
      </w:r>
      <w:r>
        <w:rPr>
          <w:spacing w:val="-2"/>
          <w:sz w:val="21"/>
        </w:rPr>
        <w:t>险</w:t>
      </w:r>
      <w:r>
        <w:rPr>
          <w:spacing w:val="-2"/>
          <w:sz w:val="21"/>
        </w:rPr>
        <w:t>单</w:t>
      </w:r>
      <w:r>
        <w:rPr>
          <w:spacing w:val="-2"/>
          <w:sz w:val="21"/>
        </w:rPr>
        <w:t>上</w:t>
      </w:r>
      <w:r>
        <w:rPr>
          <w:spacing w:val="-2"/>
          <w:sz w:val="21"/>
        </w:rPr>
        <w:t>载</w:t>
      </w:r>
      <w:r>
        <w:rPr>
          <w:spacing w:val="-2"/>
          <w:sz w:val="21"/>
        </w:rPr>
        <w:t>明</w:t>
      </w:r>
      <w:r>
        <w:rPr>
          <w:spacing w:val="-2"/>
          <w:sz w:val="21"/>
        </w:rPr>
        <w:t>，保单</w:t>
      </w:r>
      <w:r>
        <w:rPr>
          <w:spacing w:val="-2"/>
          <w:sz w:val="21"/>
        </w:rPr>
        <w:t>年</w:t>
      </w:r>
      <w:r>
        <w:rPr>
          <w:spacing w:val="-2"/>
          <w:sz w:val="21"/>
        </w:rPr>
        <w:t>度</w:t>
      </w:r>
      <w:r>
        <w:rPr>
          <w:spacing w:val="-2"/>
          <w:sz w:val="21"/>
        </w:rPr>
        <w:t>内</w:t>
      </w:r>
      <w:r>
        <w:rPr>
          <w:spacing w:val="-2"/>
          <w:sz w:val="21"/>
        </w:rPr>
        <w:t>的</w:t>
      </w:r>
      <w:r>
        <w:rPr>
          <w:spacing w:val="-2"/>
          <w:sz w:val="21"/>
        </w:rPr>
        <w:t>现</w:t>
      </w:r>
      <w:r>
        <w:rPr>
          <w:spacing w:val="-2"/>
          <w:sz w:val="21"/>
        </w:rPr>
        <w:t>金</w:t>
      </w:r>
      <w:r>
        <w:rPr>
          <w:spacing w:val="-2"/>
          <w:sz w:val="21"/>
        </w:rPr>
        <w:t>价</w:t>
      </w:r>
      <w:r>
        <w:rPr>
          <w:spacing w:val="-2"/>
          <w:sz w:val="21"/>
        </w:rPr>
        <w:t>值</w:t>
      </w:r>
      <w:r>
        <w:rPr>
          <w:spacing w:val="-2"/>
          <w:sz w:val="21"/>
        </w:rPr>
        <w:t>您</w:t>
      </w:r>
      <w:r>
        <w:rPr>
          <w:spacing w:val="-2"/>
          <w:sz w:val="21"/>
        </w:rPr>
        <w:t>可</w:t>
      </w:r>
      <w:r>
        <w:rPr>
          <w:spacing w:val="-2"/>
          <w:sz w:val="21"/>
        </w:rPr>
        <w:t>以</w:t>
      </w:r>
      <w:r>
        <w:rPr>
          <w:spacing w:val="-2"/>
          <w:sz w:val="21"/>
        </w:rPr>
        <w:t>向</w:t>
      </w:r>
      <w:r>
        <w:rPr>
          <w:spacing w:val="-2"/>
          <w:sz w:val="21"/>
        </w:rPr>
        <w:t>我</w:t>
      </w:r>
      <w:r>
        <w:rPr>
          <w:spacing w:val="-2"/>
          <w:sz w:val="21"/>
        </w:rPr>
        <w:t>们</w:t>
      </w:r>
      <w:r>
        <w:rPr>
          <w:spacing w:val="-2"/>
          <w:sz w:val="21"/>
        </w:rPr>
        <w:t>咨</w:t>
      </w:r>
      <w:r>
        <w:rPr>
          <w:spacing w:val="-2"/>
          <w:sz w:val="21"/>
        </w:rPr>
        <w:t>询。</w:t>
      </w:r>
    </w:p>
    <w:p>
      <w:pPr>
        <w:pStyle w:val="BodyText"/>
        <w:spacing w:before="4"/>
        <w:rPr>
          <w:sz w:val="15"/>
        </w:rPr>
      </w:pPr>
    </w:p>
    <w:p>
      <w:pPr>
        <w:pStyle w:val="BodyText"/>
        <w:spacing w:line="278" w:lineRule="auto"/>
        <w:ind w:left="3462" w:right="1597"/>
      </w:pPr>
      <w:r>
        <w:rPr>
          <w:spacing w:val="-2"/>
        </w:rPr>
        <w:t>自首次重度疾病确诊之日的二十四时起，本合同的现金价值</w:t>
      </w:r>
      <w:r>
        <w:rPr>
          <w:spacing w:val="-2"/>
        </w:rPr>
        <w:t>减少为零。</w:t>
      </w:r>
    </w:p>
    <w:p>
      <w:pPr>
        <w:pStyle w:val="BodyText"/>
        <w:spacing w:before="9"/>
        <w:rPr>
          <w:sz w:val="19"/>
        </w:rPr>
      </w:pPr>
    </w:p>
    <w:p>
      <w:pPr>
        <w:pStyle w:val="ListParagraph"/>
        <w:numPr>
          <w:ilvl w:val="2"/>
          <w:numId w:val="2"/>
        </w:numPr>
        <w:tabs>
          <w:tab w:pos="1910" w:val="left" w:leader="none"/>
          <w:tab w:pos="1911" w:val="left" w:leader="none"/>
          <w:tab w:pos="3461" w:val="left" w:leader="none"/>
        </w:tabs>
        <w:spacing w:line="240" w:lineRule="auto" w:before="0" w:after="0"/>
        <w:ind w:left="1910" w:right="0" w:hanging="985"/>
        <w:jc w:val="both"/>
        <w:rPr>
          <w:sz w:val="21"/>
        </w:rPr>
      </w:pPr>
      <w:r>
        <w:rPr>
          <w:rFonts w:ascii="Microsoft JhengHei" w:eastAsia="Microsoft JhengHei"/>
          <w:b/>
          <w:sz w:val="21"/>
        </w:rPr>
        <w:t>减</w:t>
      </w:r>
      <w:r>
        <w:rPr>
          <w:rFonts w:ascii="Microsoft JhengHei" w:eastAsia="Microsoft JhengHei"/>
          <w:b/>
          <w:spacing w:val="-10"/>
          <w:sz w:val="21"/>
        </w:rPr>
        <w:t>保</w:t>
      </w:r>
      <w:r>
        <w:rPr>
          <w:rFonts w:ascii="Microsoft JhengHei" w:eastAsia="Microsoft JhengHei"/>
          <w:b/>
          <w:sz w:val="21"/>
        </w:rPr>
        <w:tab/>
      </w:r>
      <w:r>
        <w:rPr>
          <w:spacing w:val="-2"/>
          <w:sz w:val="21"/>
        </w:rPr>
        <w:t>如</w:t>
      </w:r>
      <w:r>
        <w:rPr>
          <w:spacing w:val="-2"/>
          <w:sz w:val="21"/>
        </w:rPr>
        <w:t>果</w:t>
      </w:r>
      <w:r>
        <w:rPr>
          <w:spacing w:val="-2"/>
          <w:sz w:val="21"/>
        </w:rPr>
        <w:t>被</w:t>
      </w:r>
      <w:r>
        <w:rPr>
          <w:spacing w:val="-2"/>
          <w:sz w:val="21"/>
        </w:rPr>
        <w:t>保</w:t>
      </w:r>
      <w:r>
        <w:rPr>
          <w:spacing w:val="-2"/>
          <w:sz w:val="21"/>
        </w:rPr>
        <w:t>险</w:t>
      </w:r>
      <w:r>
        <w:rPr>
          <w:spacing w:val="-2"/>
          <w:sz w:val="21"/>
        </w:rPr>
        <w:t>人</w:t>
      </w:r>
      <w:r>
        <w:rPr>
          <w:spacing w:val="-2"/>
          <w:sz w:val="21"/>
        </w:rPr>
        <w:t>未</w:t>
      </w:r>
      <w:r>
        <w:rPr>
          <w:spacing w:val="-2"/>
          <w:sz w:val="21"/>
        </w:rPr>
        <w:t>发</w:t>
      </w:r>
      <w:r>
        <w:rPr>
          <w:spacing w:val="-2"/>
          <w:sz w:val="21"/>
        </w:rPr>
        <w:t>生</w:t>
      </w:r>
      <w:r>
        <w:rPr>
          <w:spacing w:val="-2"/>
          <w:sz w:val="21"/>
        </w:rPr>
        <w:t>保</w:t>
      </w:r>
      <w:r>
        <w:rPr>
          <w:spacing w:val="-2"/>
          <w:sz w:val="21"/>
        </w:rPr>
        <w:t>险</w:t>
      </w:r>
      <w:r>
        <w:rPr>
          <w:spacing w:val="-2"/>
          <w:sz w:val="21"/>
        </w:rPr>
        <w:t>事</w:t>
      </w:r>
      <w:r>
        <w:rPr>
          <w:spacing w:val="-2"/>
          <w:sz w:val="21"/>
        </w:rPr>
        <w:t>故，</w:t>
      </w:r>
      <w:r>
        <w:rPr>
          <w:spacing w:val="-2"/>
          <w:sz w:val="21"/>
        </w:rPr>
        <w:t>您</w:t>
      </w:r>
      <w:r>
        <w:rPr>
          <w:spacing w:val="-2"/>
          <w:sz w:val="21"/>
        </w:rPr>
        <w:t>在</w:t>
      </w:r>
      <w:r>
        <w:rPr>
          <w:spacing w:val="-2"/>
          <w:sz w:val="21"/>
        </w:rPr>
        <w:t>本</w:t>
      </w:r>
      <w:r>
        <w:rPr>
          <w:spacing w:val="-2"/>
          <w:sz w:val="21"/>
        </w:rPr>
        <w:t>合</w:t>
      </w:r>
      <w:r>
        <w:rPr>
          <w:spacing w:val="-2"/>
          <w:sz w:val="21"/>
        </w:rPr>
        <w:t>同</w:t>
      </w:r>
      <w:r>
        <w:rPr>
          <w:spacing w:val="-2"/>
          <w:sz w:val="21"/>
        </w:rPr>
        <w:t>成</w:t>
      </w:r>
      <w:r>
        <w:rPr>
          <w:spacing w:val="-2"/>
          <w:sz w:val="21"/>
        </w:rPr>
        <w:t>立（若</w:t>
      </w:r>
      <w:r>
        <w:rPr>
          <w:spacing w:val="-2"/>
          <w:sz w:val="21"/>
        </w:rPr>
        <w:t>曾</w:t>
      </w:r>
      <w:r>
        <w:rPr>
          <w:spacing w:val="-10"/>
          <w:sz w:val="21"/>
        </w:rPr>
        <w:t>复</w:t>
      </w:r>
    </w:p>
    <w:p>
      <w:pPr>
        <w:spacing w:line="206" w:lineRule="auto" w:before="30"/>
        <w:ind w:left="3462" w:right="1591" w:firstLine="0"/>
        <w:jc w:val="both"/>
        <w:rPr>
          <w:sz w:val="21"/>
        </w:rPr>
      </w:pPr>
      <w:r>
        <w:rPr>
          <w:spacing w:val="-2"/>
          <w:sz w:val="21"/>
        </w:rPr>
        <w:t>效，则自本合同最后复效）一年后，可以申请减保，将基本</w:t>
      </w:r>
      <w:r>
        <w:rPr>
          <w:spacing w:val="-2"/>
          <w:sz w:val="21"/>
        </w:rPr>
        <w:t>保险金额和保险费按比例减少，并领取</w:t>
      </w:r>
      <w:r>
        <w:rPr>
          <w:rFonts w:ascii="微软雅黑" w:eastAsia="微软雅黑"/>
          <w:b/>
          <w:spacing w:val="-2"/>
          <w:sz w:val="21"/>
        </w:rPr>
        <w:t>与基本保险金额减少</w:t>
      </w:r>
      <w:r>
        <w:rPr>
          <w:rFonts w:ascii="微软雅黑" w:eastAsia="微软雅黑"/>
          <w:b/>
          <w:spacing w:val="-2"/>
          <w:sz w:val="21"/>
        </w:rPr>
        <w:t>部分相对应的现金价值</w:t>
      </w:r>
      <w:r>
        <w:rPr>
          <w:spacing w:val="-6"/>
          <w:sz w:val="21"/>
        </w:rPr>
        <w:t>(见释义 </w:t>
      </w:r>
      <w:r>
        <w:rPr>
          <w:spacing w:val="-2"/>
          <w:sz w:val="21"/>
        </w:rPr>
        <w:t>13.30</w:t>
      </w:r>
      <w:r>
        <w:rPr>
          <w:spacing w:val="-3"/>
          <w:sz w:val="21"/>
        </w:rPr>
        <w:t>)。减保后，基本保险</w:t>
      </w:r>
    </w:p>
    <w:p>
      <w:pPr>
        <w:pStyle w:val="BodyText"/>
        <w:spacing w:before="9"/>
        <w:ind w:left="3462"/>
      </w:pPr>
      <w:r>
        <w:rPr>
          <w:spacing w:val="-3"/>
        </w:rPr>
        <w:t>金额和保险费需符合我们的规定。</w:t>
      </w:r>
    </w:p>
    <w:p>
      <w:pPr>
        <w:pStyle w:val="BodyText"/>
        <w:spacing w:before="5"/>
        <w:rPr>
          <w:sz w:val="15"/>
        </w:rPr>
      </w:pPr>
    </w:p>
    <w:p>
      <w:pPr>
        <w:pStyle w:val="BodyText"/>
        <w:spacing w:line="278" w:lineRule="auto"/>
        <w:ind w:left="3462" w:right="1597"/>
      </w:pPr>
      <w:r>
        <w:rPr>
          <w:spacing w:val="-2"/>
        </w:rPr>
        <w:t>本合同约定的保险责任根据减保后的基本保险金额、保险费</w:t>
      </w:r>
      <w:r>
        <w:rPr>
          <w:spacing w:val="-2"/>
        </w:rPr>
        <w:t>和现金价值进行计算。</w:t>
      </w:r>
    </w:p>
    <w:p>
      <w:pPr>
        <w:pStyle w:val="BodyText"/>
        <w:spacing w:before="11"/>
        <w:rPr>
          <w:sz w:val="24"/>
        </w:rPr>
      </w:pPr>
    </w:p>
    <w:p>
      <w:pPr>
        <w:pStyle w:val="ListParagraph"/>
        <w:numPr>
          <w:ilvl w:val="2"/>
          <w:numId w:val="2"/>
        </w:numPr>
        <w:tabs>
          <w:tab w:pos="1910" w:val="left" w:leader="none"/>
          <w:tab w:pos="1911" w:val="left" w:leader="none"/>
          <w:tab w:pos="3461" w:val="left" w:leader="none"/>
        </w:tabs>
        <w:spacing w:line="384" w:lineRule="exact" w:before="1" w:after="0"/>
        <w:ind w:left="1910" w:right="0" w:hanging="985"/>
        <w:jc w:val="both"/>
        <w:rPr>
          <w:sz w:val="21"/>
        </w:rPr>
      </w:pPr>
      <w:r>
        <w:rPr>
          <w:rFonts w:ascii="Microsoft JhengHei" w:eastAsia="Microsoft JhengHei"/>
          <w:b/>
          <w:sz w:val="21"/>
        </w:rPr>
        <w:t>保单贷</w:t>
      </w:r>
      <w:r>
        <w:rPr>
          <w:rFonts w:ascii="Microsoft JhengHei" w:eastAsia="Microsoft JhengHei"/>
          <w:b/>
          <w:spacing w:val="-10"/>
          <w:sz w:val="21"/>
        </w:rPr>
        <w:t>款</w:t>
      </w:r>
      <w:r>
        <w:rPr>
          <w:rFonts w:ascii="Microsoft JhengHei" w:eastAsia="Microsoft JhengHei"/>
          <w:b/>
          <w:sz w:val="21"/>
        </w:rPr>
        <w:tab/>
      </w:r>
      <w:r>
        <w:rPr>
          <w:spacing w:val="-2"/>
          <w:sz w:val="21"/>
        </w:rPr>
        <w:t>在</w:t>
      </w:r>
      <w:r>
        <w:rPr>
          <w:spacing w:val="-2"/>
          <w:sz w:val="21"/>
        </w:rPr>
        <w:t>本</w:t>
      </w:r>
      <w:r>
        <w:rPr>
          <w:spacing w:val="-2"/>
          <w:sz w:val="21"/>
        </w:rPr>
        <w:t>合</w:t>
      </w:r>
      <w:r>
        <w:rPr>
          <w:spacing w:val="-2"/>
          <w:sz w:val="21"/>
        </w:rPr>
        <w:t>同</w:t>
      </w:r>
      <w:r>
        <w:rPr>
          <w:spacing w:val="-2"/>
          <w:sz w:val="21"/>
        </w:rPr>
        <w:t>有</w:t>
      </w:r>
      <w:r>
        <w:rPr>
          <w:spacing w:val="-2"/>
          <w:sz w:val="21"/>
        </w:rPr>
        <w:t>效</w:t>
      </w:r>
      <w:r>
        <w:rPr>
          <w:spacing w:val="-2"/>
          <w:sz w:val="21"/>
        </w:rPr>
        <w:t>期</w:t>
      </w:r>
      <w:r>
        <w:rPr>
          <w:spacing w:val="-2"/>
          <w:sz w:val="21"/>
        </w:rPr>
        <w:t>内</w:t>
      </w:r>
      <w:r>
        <w:rPr>
          <w:spacing w:val="-2"/>
          <w:sz w:val="21"/>
        </w:rPr>
        <w:t>，</w:t>
      </w:r>
      <w:r>
        <w:rPr>
          <w:spacing w:val="-2"/>
          <w:sz w:val="21"/>
        </w:rPr>
        <w:t>您</w:t>
      </w:r>
      <w:r>
        <w:rPr>
          <w:spacing w:val="-2"/>
          <w:sz w:val="21"/>
        </w:rPr>
        <w:t>可</w:t>
      </w:r>
      <w:r>
        <w:rPr>
          <w:spacing w:val="-2"/>
          <w:sz w:val="21"/>
        </w:rPr>
        <w:t>以</w:t>
      </w:r>
      <w:r>
        <w:rPr>
          <w:spacing w:val="-2"/>
          <w:sz w:val="21"/>
        </w:rPr>
        <w:t>申</w:t>
      </w:r>
      <w:r>
        <w:rPr>
          <w:spacing w:val="-2"/>
          <w:sz w:val="21"/>
        </w:rPr>
        <w:t>请</w:t>
      </w:r>
      <w:r>
        <w:rPr>
          <w:spacing w:val="-2"/>
          <w:sz w:val="21"/>
        </w:rPr>
        <w:t>并</w:t>
      </w:r>
      <w:r>
        <w:rPr>
          <w:spacing w:val="-2"/>
          <w:sz w:val="21"/>
        </w:rPr>
        <w:t>经</w:t>
      </w:r>
      <w:r>
        <w:rPr>
          <w:spacing w:val="-2"/>
          <w:sz w:val="21"/>
        </w:rPr>
        <w:t>我</w:t>
      </w:r>
      <w:r>
        <w:rPr>
          <w:spacing w:val="-2"/>
          <w:sz w:val="21"/>
        </w:rPr>
        <w:t>们</w:t>
      </w:r>
      <w:r>
        <w:rPr>
          <w:spacing w:val="-2"/>
          <w:sz w:val="21"/>
        </w:rPr>
        <w:t>审</w:t>
      </w:r>
      <w:r>
        <w:rPr>
          <w:spacing w:val="-2"/>
          <w:sz w:val="21"/>
        </w:rPr>
        <w:t>核</w:t>
      </w:r>
      <w:r>
        <w:rPr>
          <w:spacing w:val="-2"/>
          <w:sz w:val="21"/>
        </w:rPr>
        <w:t>同意后</w:t>
      </w:r>
      <w:r>
        <w:rPr>
          <w:spacing w:val="-2"/>
          <w:sz w:val="21"/>
        </w:rPr>
        <w:t>办</w:t>
      </w:r>
      <w:r>
        <w:rPr>
          <w:spacing w:val="-2"/>
          <w:sz w:val="21"/>
        </w:rPr>
        <w:t>理</w:t>
      </w:r>
      <w:r>
        <w:rPr>
          <w:spacing w:val="-10"/>
          <w:sz w:val="21"/>
        </w:rPr>
        <w:t>保</w:t>
      </w:r>
    </w:p>
    <w:p>
      <w:pPr>
        <w:pStyle w:val="BodyText"/>
        <w:spacing w:line="278" w:lineRule="auto"/>
        <w:ind w:left="3462" w:right="1596"/>
        <w:jc w:val="both"/>
      </w:pPr>
      <w:r>
        <w:rPr>
          <w:spacing w:val="-2"/>
        </w:rPr>
        <w:t>单贷款。本合同的最高贷款金额不得超过您申请时本合同现</w:t>
      </w:r>
      <w:r>
        <w:rPr>
          <w:spacing w:val="-2"/>
        </w:rPr>
        <w:t>金价值扣除各项欠款及应付利息后余额的 </w:t>
      </w:r>
      <w:r>
        <w:rPr/>
        <w:t>80%，且具体的贷</w:t>
      </w:r>
      <w:r>
        <w:rPr>
          <w:spacing w:val="-2"/>
        </w:rPr>
        <w:t>款金额以您与我们签订的贷款协议中的约定为准。每次贷款</w:t>
      </w:r>
      <w:r>
        <w:rPr>
          <w:spacing w:val="-5"/>
        </w:rPr>
        <w:t>期限最长不超过 </w:t>
      </w:r>
      <w:r>
        <w:rPr>
          <w:spacing w:val="-4"/>
        </w:rPr>
        <w:t>180</w:t>
      </w:r>
      <w:r>
        <w:rPr>
          <w:spacing w:val="-8"/>
        </w:rPr>
        <w:t> 日，贷款利率按您与我们签订的贷款协</w:t>
      </w:r>
      <w:r>
        <w:rPr>
          <w:spacing w:val="-2"/>
        </w:rPr>
        <w:t>议中约定的利率执行。贷款本息在贷款到期时一并归还。若</w:t>
      </w:r>
      <w:r>
        <w:rPr>
          <w:spacing w:val="-2"/>
        </w:rPr>
        <w:t>您到期未足额偿还贷款本息，则您所欠的贷款本金及利息将</w:t>
      </w:r>
      <w:r>
        <w:rPr>
          <w:spacing w:val="-2"/>
        </w:rPr>
        <w:t>作为新的贷款本金进行计息。</w:t>
      </w:r>
    </w:p>
    <w:p>
      <w:pPr>
        <w:pStyle w:val="BodyText"/>
        <w:spacing w:line="283" w:lineRule="auto" w:before="151"/>
        <w:ind w:left="3462" w:right="1597"/>
        <w:jc w:val="both"/>
      </w:pPr>
      <w:r>
        <w:rPr>
          <w:spacing w:val="-2"/>
        </w:rPr>
        <w:t>自贷款本金及利息加上其他各项欠款及应付利息达到本合同</w:t>
      </w:r>
      <w:r>
        <w:rPr>
          <w:spacing w:val="-3"/>
        </w:rPr>
        <w:t>现金价值的当日 </w:t>
      </w:r>
      <w:r>
        <w:rPr/>
        <w:t>24</w:t>
      </w:r>
      <w:r>
        <w:rPr>
          <w:spacing w:val="-5"/>
        </w:rPr>
        <w:t> 时起，本合同效力中止。</w:t>
      </w:r>
    </w:p>
    <w:p>
      <w:pPr>
        <w:pStyle w:val="BodyText"/>
        <w:spacing w:line="278" w:lineRule="auto" w:before="148"/>
        <w:ind w:left="3462" w:right="1597"/>
      </w:pPr>
      <w:r>
        <w:rPr>
          <w:spacing w:val="-2"/>
        </w:rPr>
        <w:t>经我们审核不同意您的保单贷款申请的，我们不向您提供贷</w:t>
      </w:r>
      <w:r>
        <w:rPr>
          <w:spacing w:val="-6"/>
        </w:rPr>
        <w:t>款。</w:t>
      </w:r>
    </w:p>
    <w:p>
      <w:pPr>
        <w:pStyle w:val="BodyText"/>
        <w:spacing w:before="5"/>
      </w:pPr>
    </w:p>
    <w:p>
      <w:pPr>
        <w:pStyle w:val="Heading1"/>
        <w:numPr>
          <w:ilvl w:val="1"/>
          <w:numId w:val="2"/>
        </w:numPr>
        <w:tabs>
          <w:tab w:pos="1910" w:val="left" w:leader="none"/>
          <w:tab w:pos="1911" w:val="left" w:leader="none"/>
        </w:tabs>
        <w:spacing w:line="240" w:lineRule="auto" w:before="0" w:after="0"/>
        <w:ind w:left="1910" w:right="0" w:hanging="985"/>
        <w:jc w:val="both"/>
      </w:pPr>
      <w:r>
        <w:rPr>
          <w:spacing w:val="-1"/>
        </w:rPr>
        <w:t>合同效力的中止及恢复</w:t>
      </w:r>
    </w:p>
    <w:p>
      <w:pPr>
        <w:pStyle w:val="BodyText"/>
        <w:spacing w:line="20" w:lineRule="exact"/>
        <w:ind w:left="820"/>
        <w:rPr>
          <w:rFonts w:ascii="Microsoft JhengHei"/>
          <w:sz w:val="2"/>
        </w:rPr>
      </w:pPr>
      <w:r>
        <w:rPr>
          <w:rFonts w:ascii="Microsoft JhengHei"/>
          <w:sz w:val="2"/>
        </w:rPr>
        <w:drawing>
          <wp:inline distT="0" distB="0" distL="0" distR="0">
            <wp:extent cx="5305366" cy="11144"/>
            <wp:effectExtent l="0" t="0" r="0" b="0"/>
            <wp:docPr id="15" name="image3.png"/>
            <wp:cNvGraphicFramePr>
              <a:graphicFrameLocks noChangeAspect="1"/>
            </wp:cNvGraphicFramePr>
            <a:graphic>
              <a:graphicData uri="http://schemas.openxmlformats.org/drawingml/2006/picture">
                <pic:pic>
                  <pic:nvPicPr>
                    <pic:cNvPr id="16" name="image3.png"/>
                    <pic:cNvPicPr/>
                  </pic:nvPicPr>
                  <pic:blipFill>
                    <a:blip r:embed="rId8" cstate="print"/>
                    <a:stretch>
                      <a:fillRect/>
                    </a:stretch>
                  </pic:blipFill>
                  <pic:spPr>
                    <a:xfrm>
                      <a:off x="0" y="0"/>
                      <a:ext cx="5305366" cy="11144"/>
                    </a:xfrm>
                    <a:prstGeom prst="rect">
                      <a:avLst/>
                    </a:prstGeom>
                  </pic:spPr>
                </pic:pic>
              </a:graphicData>
            </a:graphic>
          </wp:inline>
        </w:drawing>
      </w:r>
      <w:r>
        <w:rPr>
          <w:rFonts w:ascii="Microsoft JhengHei"/>
          <w:sz w:val="2"/>
        </w:rPr>
      </w:r>
    </w:p>
    <w:p>
      <w:pPr>
        <w:pStyle w:val="BodyText"/>
        <w:spacing w:before="17"/>
        <w:rPr>
          <w:rFonts w:ascii="Microsoft JhengHei"/>
          <w:b/>
          <w:sz w:val="13"/>
        </w:rPr>
      </w:pPr>
    </w:p>
    <w:p>
      <w:pPr>
        <w:pStyle w:val="ListParagraph"/>
        <w:numPr>
          <w:ilvl w:val="2"/>
          <w:numId w:val="2"/>
        </w:numPr>
        <w:tabs>
          <w:tab w:pos="1910" w:val="left" w:leader="none"/>
          <w:tab w:pos="1911" w:val="left" w:leader="none"/>
          <w:tab w:pos="3461" w:val="left" w:leader="none"/>
        </w:tabs>
        <w:spacing w:line="240" w:lineRule="auto" w:before="0" w:after="0"/>
        <w:ind w:left="1910" w:right="0" w:hanging="985"/>
        <w:jc w:val="both"/>
        <w:rPr>
          <w:sz w:val="21"/>
        </w:rPr>
      </w:pPr>
      <w:r>
        <w:rPr>
          <w:rFonts w:ascii="Microsoft JhengHei" w:eastAsia="Microsoft JhengHei"/>
          <w:b/>
          <w:sz w:val="21"/>
        </w:rPr>
        <w:t>效力中</w:t>
      </w:r>
      <w:r>
        <w:rPr>
          <w:rFonts w:ascii="Microsoft JhengHei" w:eastAsia="Microsoft JhengHei"/>
          <w:b/>
          <w:spacing w:val="-10"/>
          <w:sz w:val="21"/>
        </w:rPr>
        <w:t>止</w:t>
      </w:r>
      <w:r>
        <w:rPr>
          <w:rFonts w:ascii="Microsoft JhengHei" w:eastAsia="Microsoft JhengHei"/>
          <w:b/>
          <w:sz w:val="21"/>
        </w:rPr>
        <w:tab/>
      </w:r>
      <w:r>
        <w:rPr>
          <w:spacing w:val="-2"/>
          <w:sz w:val="21"/>
        </w:rPr>
        <w:t>在</w:t>
      </w:r>
      <w:r>
        <w:rPr>
          <w:spacing w:val="-2"/>
          <w:sz w:val="21"/>
        </w:rPr>
        <w:t>本</w:t>
      </w:r>
      <w:r>
        <w:rPr>
          <w:spacing w:val="-2"/>
          <w:sz w:val="21"/>
        </w:rPr>
        <w:t>合</w:t>
      </w:r>
      <w:r>
        <w:rPr>
          <w:spacing w:val="-2"/>
          <w:sz w:val="21"/>
        </w:rPr>
        <w:t>同</w:t>
      </w:r>
      <w:r>
        <w:rPr>
          <w:spacing w:val="-2"/>
          <w:sz w:val="21"/>
        </w:rPr>
        <w:t>效</w:t>
      </w:r>
      <w:r>
        <w:rPr>
          <w:spacing w:val="-2"/>
          <w:sz w:val="21"/>
        </w:rPr>
        <w:t>力</w:t>
      </w:r>
      <w:r>
        <w:rPr>
          <w:spacing w:val="-2"/>
          <w:sz w:val="21"/>
        </w:rPr>
        <w:t>中</w:t>
      </w:r>
      <w:r>
        <w:rPr>
          <w:spacing w:val="-2"/>
          <w:sz w:val="21"/>
        </w:rPr>
        <w:t>止</w:t>
      </w:r>
      <w:r>
        <w:rPr>
          <w:spacing w:val="-2"/>
          <w:sz w:val="21"/>
        </w:rPr>
        <w:t>期</w:t>
      </w:r>
      <w:r>
        <w:rPr>
          <w:spacing w:val="-2"/>
          <w:sz w:val="21"/>
        </w:rPr>
        <w:t>间</w:t>
      </w:r>
      <w:r>
        <w:rPr>
          <w:spacing w:val="-2"/>
          <w:sz w:val="21"/>
        </w:rPr>
        <w:t>，</w:t>
      </w:r>
      <w:r>
        <w:rPr>
          <w:spacing w:val="-2"/>
          <w:sz w:val="21"/>
        </w:rPr>
        <w:t>我</w:t>
      </w:r>
      <w:r>
        <w:rPr>
          <w:spacing w:val="-2"/>
          <w:sz w:val="21"/>
        </w:rPr>
        <w:t>们</w:t>
      </w:r>
      <w:r>
        <w:rPr>
          <w:spacing w:val="-2"/>
          <w:sz w:val="21"/>
        </w:rPr>
        <w:t>不</w:t>
      </w:r>
      <w:r>
        <w:rPr>
          <w:spacing w:val="-2"/>
          <w:sz w:val="21"/>
        </w:rPr>
        <w:t>承</w:t>
      </w:r>
      <w:r>
        <w:rPr>
          <w:spacing w:val="-2"/>
          <w:sz w:val="21"/>
        </w:rPr>
        <w:t>担</w:t>
      </w:r>
      <w:r>
        <w:rPr>
          <w:spacing w:val="-2"/>
          <w:sz w:val="21"/>
        </w:rPr>
        <w:t>保</w:t>
      </w:r>
      <w:r>
        <w:rPr>
          <w:spacing w:val="-2"/>
          <w:sz w:val="21"/>
        </w:rPr>
        <w:t>险</w:t>
      </w:r>
      <w:r>
        <w:rPr>
          <w:spacing w:val="-2"/>
          <w:sz w:val="21"/>
        </w:rPr>
        <w:t>责</w:t>
      </w:r>
      <w:r>
        <w:rPr>
          <w:spacing w:val="-2"/>
          <w:sz w:val="21"/>
        </w:rPr>
        <w:t>任</w:t>
      </w:r>
      <w:r>
        <w:rPr>
          <w:spacing w:val="-10"/>
          <w:sz w:val="21"/>
        </w:rPr>
        <w:t>。</w:t>
      </w:r>
    </w:p>
    <w:p>
      <w:pPr>
        <w:pStyle w:val="BodyText"/>
        <w:spacing w:before="9"/>
        <w:rPr>
          <w:sz w:val="19"/>
        </w:rPr>
      </w:pPr>
    </w:p>
    <w:p>
      <w:pPr>
        <w:pStyle w:val="ListParagraph"/>
        <w:numPr>
          <w:ilvl w:val="2"/>
          <w:numId w:val="2"/>
        </w:numPr>
        <w:tabs>
          <w:tab w:pos="1910" w:val="left" w:leader="none"/>
          <w:tab w:pos="1911" w:val="left" w:leader="none"/>
          <w:tab w:pos="3461" w:val="left" w:leader="none"/>
        </w:tabs>
        <w:spacing w:line="240" w:lineRule="auto" w:before="0" w:after="0"/>
        <w:ind w:left="1910" w:right="0" w:hanging="985"/>
        <w:jc w:val="left"/>
        <w:rPr>
          <w:sz w:val="21"/>
        </w:rPr>
      </w:pPr>
      <w:r>
        <w:rPr>
          <w:rFonts w:ascii="Microsoft JhengHei" w:eastAsia="Microsoft JhengHei"/>
          <w:b/>
          <w:sz w:val="21"/>
        </w:rPr>
        <w:t>效力恢</w:t>
      </w:r>
      <w:r>
        <w:rPr>
          <w:rFonts w:ascii="Microsoft JhengHei" w:eastAsia="Microsoft JhengHei"/>
          <w:b/>
          <w:spacing w:val="-10"/>
          <w:sz w:val="21"/>
        </w:rPr>
        <w:t>复</w:t>
      </w:r>
      <w:r>
        <w:rPr>
          <w:rFonts w:ascii="Microsoft JhengHei" w:eastAsia="Microsoft JhengHei"/>
          <w:b/>
          <w:sz w:val="21"/>
        </w:rPr>
        <w:tab/>
      </w:r>
      <w:r>
        <w:rPr>
          <w:spacing w:val="-2"/>
          <w:sz w:val="21"/>
        </w:rPr>
        <w:t>本</w:t>
      </w:r>
      <w:r>
        <w:rPr>
          <w:spacing w:val="-2"/>
          <w:sz w:val="21"/>
        </w:rPr>
        <w:t>合</w:t>
      </w:r>
      <w:r>
        <w:rPr>
          <w:spacing w:val="-2"/>
          <w:sz w:val="21"/>
        </w:rPr>
        <w:t>同</w:t>
      </w:r>
      <w:r>
        <w:rPr>
          <w:spacing w:val="-2"/>
          <w:sz w:val="21"/>
        </w:rPr>
        <w:t>效</w:t>
      </w:r>
      <w:r>
        <w:rPr>
          <w:spacing w:val="-2"/>
          <w:sz w:val="21"/>
        </w:rPr>
        <w:t>力</w:t>
      </w:r>
      <w:r>
        <w:rPr>
          <w:spacing w:val="-2"/>
          <w:sz w:val="21"/>
        </w:rPr>
        <w:t>中</w:t>
      </w:r>
      <w:r>
        <w:rPr>
          <w:spacing w:val="-2"/>
          <w:sz w:val="21"/>
        </w:rPr>
        <w:t>止</w:t>
      </w:r>
      <w:r>
        <w:rPr>
          <w:spacing w:val="-2"/>
          <w:sz w:val="21"/>
        </w:rPr>
        <w:t>之</w:t>
      </w:r>
      <w:r>
        <w:rPr>
          <w:spacing w:val="-2"/>
          <w:sz w:val="21"/>
        </w:rPr>
        <w:t>日起</w:t>
      </w:r>
      <w:r>
        <w:rPr>
          <w:spacing w:val="-44"/>
          <w:sz w:val="21"/>
        </w:rPr>
        <w:t> </w:t>
      </w:r>
      <w:r>
        <w:rPr>
          <w:spacing w:val="-2"/>
          <w:sz w:val="21"/>
        </w:rPr>
        <w:t>2</w:t>
      </w:r>
      <w:r>
        <w:rPr>
          <w:spacing w:val="-42"/>
          <w:sz w:val="21"/>
        </w:rPr>
        <w:t> </w:t>
      </w:r>
      <w:r>
        <w:rPr>
          <w:spacing w:val="-2"/>
          <w:sz w:val="21"/>
        </w:rPr>
        <w:t>年内，</w:t>
      </w:r>
      <w:r>
        <w:rPr>
          <w:spacing w:val="-2"/>
          <w:sz w:val="21"/>
        </w:rPr>
        <w:t>您</w:t>
      </w:r>
      <w:r>
        <w:rPr>
          <w:spacing w:val="-2"/>
          <w:sz w:val="21"/>
        </w:rPr>
        <w:t>可</w:t>
      </w:r>
      <w:r>
        <w:rPr>
          <w:spacing w:val="-2"/>
          <w:sz w:val="21"/>
        </w:rPr>
        <w:t>以</w:t>
      </w:r>
      <w:r>
        <w:rPr>
          <w:spacing w:val="-2"/>
          <w:sz w:val="21"/>
        </w:rPr>
        <w:t>申</w:t>
      </w:r>
      <w:r>
        <w:rPr>
          <w:spacing w:val="-2"/>
          <w:sz w:val="21"/>
        </w:rPr>
        <w:t>请</w:t>
      </w:r>
      <w:r>
        <w:rPr>
          <w:spacing w:val="-2"/>
          <w:sz w:val="21"/>
        </w:rPr>
        <w:t>恢</w:t>
      </w:r>
      <w:r>
        <w:rPr>
          <w:spacing w:val="-2"/>
          <w:sz w:val="21"/>
        </w:rPr>
        <w:t>复合同</w:t>
      </w:r>
      <w:r>
        <w:rPr>
          <w:spacing w:val="-2"/>
          <w:sz w:val="21"/>
        </w:rPr>
        <w:t>效</w:t>
      </w:r>
      <w:r>
        <w:rPr>
          <w:spacing w:val="-2"/>
          <w:sz w:val="21"/>
        </w:rPr>
        <w:t>力</w:t>
      </w:r>
      <w:r>
        <w:rPr>
          <w:spacing w:val="-10"/>
          <w:sz w:val="21"/>
        </w:rPr>
        <w:t>。</w:t>
      </w:r>
    </w:p>
    <w:p>
      <w:pPr>
        <w:pStyle w:val="BodyText"/>
        <w:spacing w:line="278" w:lineRule="auto"/>
        <w:ind w:left="3462" w:right="1596"/>
      </w:pPr>
      <w:r>
        <w:rPr>
          <w:spacing w:val="-2"/>
        </w:rPr>
        <w:t>经您与我们协商并达成协议，自您补交保险费及其他未还款</w:t>
      </w:r>
      <w:r>
        <w:rPr>
          <w:spacing w:val="-2"/>
        </w:rPr>
        <w:t>项之日起，本合同效力恢复。</w:t>
      </w:r>
    </w:p>
    <w:p>
      <w:pPr>
        <w:spacing w:after="0" w:line="278" w:lineRule="auto"/>
        <w:sectPr>
          <w:pgSz w:w="11910" w:h="16840"/>
          <w:pgMar w:header="0" w:footer="226" w:top="980" w:bottom="420" w:left="980" w:right="400"/>
        </w:sectPr>
      </w:pPr>
    </w:p>
    <w:tbl>
      <w:tblPr>
        <w:tblW w:w="0" w:type="auto"/>
        <w:jc w:val="left"/>
        <w:tblInd w:w="8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56"/>
        <w:gridCol w:w="1743"/>
        <w:gridCol w:w="5808"/>
      </w:tblGrid>
      <w:tr>
        <w:trPr>
          <w:trHeight w:val="1120" w:hRule="atLeast"/>
        </w:trPr>
        <w:tc>
          <w:tcPr>
            <w:tcW w:w="2499" w:type="dxa"/>
            <w:gridSpan w:val="2"/>
          </w:tcPr>
          <w:p>
            <w:pPr>
              <w:pStyle w:val="TableParagraph"/>
              <w:rPr>
                <w:rFonts w:ascii="Times New Roman"/>
                <w:sz w:val="20"/>
              </w:rPr>
            </w:pPr>
          </w:p>
        </w:tc>
        <w:tc>
          <w:tcPr>
            <w:tcW w:w="5808" w:type="dxa"/>
          </w:tcPr>
          <w:p>
            <w:pPr>
              <w:pStyle w:val="TableParagraph"/>
              <w:spacing w:line="241" w:lineRule="exact"/>
              <w:ind w:left="142"/>
              <w:rPr>
                <w:sz w:val="21"/>
              </w:rPr>
            </w:pPr>
            <w:r>
              <w:rPr>
                <w:spacing w:val="-5"/>
                <w:sz w:val="21"/>
              </w:rPr>
              <w:t>自本合同效力中止之日起满 </w:t>
            </w:r>
            <w:r>
              <w:rPr>
                <w:spacing w:val="-2"/>
                <w:sz w:val="21"/>
              </w:rPr>
              <w:t>2</w:t>
            </w:r>
            <w:r>
              <w:rPr>
                <w:spacing w:val="-10"/>
                <w:sz w:val="21"/>
              </w:rPr>
              <w:t> 年您和我们未达成协议的，我</w:t>
            </w:r>
          </w:p>
          <w:p>
            <w:pPr>
              <w:pStyle w:val="TableParagraph"/>
              <w:spacing w:line="278" w:lineRule="auto" w:before="43"/>
              <w:ind w:left="142" w:right="201"/>
              <w:rPr>
                <w:sz w:val="21"/>
              </w:rPr>
            </w:pPr>
            <w:r>
              <w:rPr>
                <w:spacing w:val="-2"/>
                <w:sz w:val="21"/>
              </w:rPr>
              <w:t>们有权解除本合同，本合同自解除之日起终止。我们解除合</w:t>
            </w:r>
            <w:r>
              <w:rPr>
                <w:spacing w:val="-2"/>
                <w:sz w:val="21"/>
              </w:rPr>
              <w:t>同的，我们向您退还本合同效力中止时的现金价值。</w:t>
            </w:r>
          </w:p>
        </w:tc>
      </w:tr>
      <w:tr>
        <w:trPr>
          <w:trHeight w:val="563" w:hRule="atLeast"/>
        </w:trPr>
        <w:tc>
          <w:tcPr>
            <w:tcW w:w="756" w:type="dxa"/>
            <w:tcBorders>
              <w:bottom w:val="single" w:sz="8" w:space="0" w:color="000000"/>
            </w:tcBorders>
          </w:tcPr>
          <w:p>
            <w:pPr>
              <w:pStyle w:val="TableParagraph"/>
              <w:spacing w:line="371" w:lineRule="exact" w:before="172"/>
              <w:ind w:left="105"/>
              <w:rPr>
                <w:rFonts w:ascii="Microsoft JhengHei"/>
                <w:b/>
                <w:sz w:val="24"/>
              </w:rPr>
            </w:pPr>
            <w:r>
              <w:rPr>
                <w:rFonts w:ascii="Microsoft JhengHei"/>
                <w:b/>
                <w:spacing w:val="-5"/>
                <w:w w:val="115"/>
                <w:sz w:val="24"/>
              </w:rPr>
              <w:t>7.</w:t>
            </w:r>
          </w:p>
        </w:tc>
        <w:tc>
          <w:tcPr>
            <w:tcW w:w="1743" w:type="dxa"/>
            <w:tcBorders>
              <w:bottom w:val="single" w:sz="8" w:space="0" w:color="000000"/>
            </w:tcBorders>
          </w:tcPr>
          <w:p>
            <w:pPr>
              <w:pStyle w:val="TableParagraph"/>
              <w:spacing w:line="371" w:lineRule="exact" w:before="172"/>
              <w:ind w:left="333"/>
              <w:rPr>
                <w:rFonts w:ascii="Microsoft JhengHei" w:eastAsia="Microsoft JhengHei"/>
                <w:b/>
                <w:sz w:val="24"/>
              </w:rPr>
            </w:pPr>
            <w:r>
              <w:rPr>
                <w:rFonts w:ascii="Microsoft JhengHei" w:eastAsia="Microsoft JhengHei"/>
                <w:b/>
                <w:spacing w:val="-3"/>
                <w:sz w:val="24"/>
              </w:rPr>
              <w:t>合同解除</w:t>
            </w:r>
          </w:p>
        </w:tc>
        <w:tc>
          <w:tcPr>
            <w:tcW w:w="5808" w:type="dxa"/>
            <w:tcBorders>
              <w:bottom w:val="single" w:sz="8" w:space="0" w:color="000000"/>
            </w:tcBorders>
          </w:tcPr>
          <w:p>
            <w:pPr>
              <w:pStyle w:val="TableParagraph"/>
              <w:rPr>
                <w:rFonts w:ascii="Times New Roman"/>
                <w:sz w:val="20"/>
              </w:rPr>
            </w:pPr>
          </w:p>
        </w:tc>
      </w:tr>
      <w:tr>
        <w:trPr>
          <w:trHeight w:val="619" w:hRule="atLeast"/>
        </w:trPr>
        <w:tc>
          <w:tcPr>
            <w:tcW w:w="756" w:type="dxa"/>
            <w:tcBorders>
              <w:top w:val="single" w:sz="8" w:space="0" w:color="000000"/>
            </w:tcBorders>
          </w:tcPr>
          <w:p>
            <w:pPr>
              <w:pStyle w:val="TableParagraph"/>
              <w:spacing w:before="1"/>
              <w:rPr>
                <w:sz w:val="20"/>
              </w:rPr>
            </w:pPr>
          </w:p>
          <w:p>
            <w:pPr>
              <w:pStyle w:val="TableParagraph"/>
              <w:spacing w:line="342" w:lineRule="exact"/>
              <w:ind w:left="105"/>
              <w:rPr>
                <w:rFonts w:ascii="Microsoft JhengHei"/>
                <w:b/>
                <w:sz w:val="21"/>
              </w:rPr>
            </w:pPr>
            <w:r>
              <w:rPr>
                <w:rFonts w:ascii="Microsoft JhengHei"/>
                <w:b/>
                <w:spacing w:val="-5"/>
                <w:w w:val="105"/>
                <w:sz w:val="21"/>
              </w:rPr>
              <w:t>7.1</w:t>
            </w:r>
          </w:p>
        </w:tc>
        <w:tc>
          <w:tcPr>
            <w:tcW w:w="1743" w:type="dxa"/>
            <w:tcBorders>
              <w:top w:val="single" w:sz="8" w:space="0" w:color="000000"/>
            </w:tcBorders>
          </w:tcPr>
          <w:p>
            <w:pPr>
              <w:pStyle w:val="TableParagraph"/>
              <w:spacing w:before="1"/>
              <w:rPr>
                <w:sz w:val="20"/>
              </w:rPr>
            </w:pPr>
          </w:p>
          <w:p>
            <w:pPr>
              <w:pStyle w:val="TableParagraph"/>
              <w:spacing w:line="342" w:lineRule="exact"/>
              <w:ind w:left="333"/>
              <w:rPr>
                <w:rFonts w:ascii="Microsoft JhengHei" w:eastAsia="Microsoft JhengHei"/>
                <w:b/>
                <w:sz w:val="21"/>
              </w:rPr>
            </w:pPr>
            <w:r>
              <w:rPr>
                <w:rFonts w:ascii="Microsoft JhengHei" w:eastAsia="Microsoft JhengHei"/>
                <w:b/>
                <w:spacing w:val="-2"/>
                <w:sz w:val="21"/>
              </w:rPr>
              <w:t>您解除合同的</w:t>
            </w:r>
          </w:p>
        </w:tc>
        <w:tc>
          <w:tcPr>
            <w:tcW w:w="5808" w:type="dxa"/>
            <w:tcBorders>
              <w:top w:val="single" w:sz="8" w:space="0" w:color="000000"/>
            </w:tcBorders>
          </w:tcPr>
          <w:p>
            <w:pPr>
              <w:pStyle w:val="TableParagraph"/>
              <w:spacing w:before="6"/>
              <w:rPr>
                <w:sz w:val="25"/>
              </w:rPr>
            </w:pPr>
          </w:p>
          <w:p>
            <w:pPr>
              <w:pStyle w:val="TableParagraph"/>
              <w:spacing w:before="1"/>
              <w:ind w:left="142"/>
              <w:rPr>
                <w:sz w:val="21"/>
              </w:rPr>
            </w:pPr>
            <w:r>
              <w:rPr>
                <w:spacing w:val="-3"/>
                <w:sz w:val="21"/>
              </w:rPr>
              <w:t>如果被保险人未发生保险事故，且您在犹豫期后要求解除本</w:t>
            </w:r>
          </w:p>
        </w:tc>
      </w:tr>
      <w:tr>
        <w:trPr>
          <w:trHeight w:val="703" w:hRule="atLeast"/>
        </w:trPr>
        <w:tc>
          <w:tcPr>
            <w:tcW w:w="756" w:type="dxa"/>
          </w:tcPr>
          <w:p>
            <w:pPr>
              <w:pStyle w:val="TableParagraph"/>
              <w:rPr>
                <w:rFonts w:ascii="Times New Roman"/>
                <w:sz w:val="20"/>
              </w:rPr>
            </w:pPr>
          </w:p>
        </w:tc>
        <w:tc>
          <w:tcPr>
            <w:tcW w:w="1743" w:type="dxa"/>
          </w:tcPr>
          <w:p>
            <w:pPr>
              <w:pStyle w:val="TableParagraph"/>
              <w:spacing w:line="341" w:lineRule="exact"/>
              <w:ind w:left="333"/>
              <w:rPr>
                <w:rFonts w:ascii="Microsoft JhengHei" w:eastAsia="Microsoft JhengHei"/>
                <w:b/>
                <w:sz w:val="21"/>
              </w:rPr>
            </w:pPr>
            <w:r>
              <w:rPr>
                <w:rFonts w:ascii="Microsoft JhengHei" w:eastAsia="Microsoft JhengHei"/>
                <w:b/>
                <w:spacing w:val="-2"/>
                <w:sz w:val="21"/>
              </w:rPr>
              <w:t>手续及风险</w:t>
            </w:r>
          </w:p>
        </w:tc>
        <w:tc>
          <w:tcPr>
            <w:tcW w:w="5808" w:type="dxa"/>
          </w:tcPr>
          <w:p>
            <w:pPr>
              <w:pStyle w:val="TableParagraph"/>
              <w:spacing w:line="278" w:lineRule="auto" w:before="24"/>
              <w:ind w:left="142" w:right="413"/>
              <w:rPr>
                <w:sz w:val="21"/>
              </w:rPr>
            </w:pPr>
            <w:r>
              <w:rPr>
                <w:spacing w:val="-2"/>
                <w:sz w:val="21"/>
              </w:rPr>
              <w:t>合同，请填写解除合同申请书并向我们提供下列资料的原</w:t>
            </w:r>
            <w:r>
              <w:rPr>
                <w:spacing w:val="-6"/>
                <w:sz w:val="21"/>
              </w:rPr>
              <w:t>件：</w:t>
            </w:r>
          </w:p>
        </w:tc>
      </w:tr>
      <w:tr>
        <w:trPr>
          <w:trHeight w:val="777" w:hRule="atLeast"/>
        </w:trPr>
        <w:tc>
          <w:tcPr>
            <w:tcW w:w="2499" w:type="dxa"/>
            <w:gridSpan w:val="2"/>
            <w:vMerge w:val="restart"/>
          </w:tcPr>
          <w:p>
            <w:pPr>
              <w:pStyle w:val="TableParagraph"/>
              <w:rPr>
                <w:rFonts w:ascii="Times New Roman"/>
                <w:sz w:val="20"/>
              </w:rPr>
            </w:pPr>
          </w:p>
        </w:tc>
        <w:tc>
          <w:tcPr>
            <w:tcW w:w="5808" w:type="dxa"/>
          </w:tcPr>
          <w:p>
            <w:pPr>
              <w:pStyle w:val="TableParagraph"/>
              <w:numPr>
                <w:ilvl w:val="0"/>
                <w:numId w:val="12"/>
              </w:numPr>
              <w:tabs>
                <w:tab w:pos="672" w:val="left" w:leader="none"/>
              </w:tabs>
              <w:spacing w:line="240" w:lineRule="auto" w:before="99" w:after="0"/>
              <w:ind w:left="671" w:right="0" w:hanging="530"/>
              <w:jc w:val="left"/>
              <w:rPr>
                <w:sz w:val="21"/>
              </w:rPr>
            </w:pPr>
            <w:r>
              <w:rPr>
                <w:spacing w:val="-4"/>
                <w:sz w:val="21"/>
              </w:rPr>
              <w:t>本合同；</w:t>
            </w:r>
          </w:p>
          <w:p>
            <w:pPr>
              <w:pStyle w:val="TableParagraph"/>
              <w:numPr>
                <w:ilvl w:val="0"/>
                <w:numId w:val="12"/>
              </w:numPr>
              <w:tabs>
                <w:tab w:pos="672" w:val="left" w:leader="none"/>
              </w:tabs>
              <w:spacing w:line="240" w:lineRule="auto" w:before="43" w:after="0"/>
              <w:ind w:left="671" w:right="0" w:hanging="530"/>
              <w:jc w:val="left"/>
              <w:rPr>
                <w:sz w:val="21"/>
              </w:rPr>
            </w:pPr>
            <w:r>
              <w:rPr>
                <w:spacing w:val="-3"/>
                <w:sz w:val="21"/>
              </w:rPr>
              <w:t>您的有效身份证件。</w:t>
            </w:r>
          </w:p>
        </w:tc>
      </w:tr>
      <w:tr>
        <w:trPr>
          <w:trHeight w:val="391" w:hRule="atLeast"/>
        </w:trPr>
        <w:tc>
          <w:tcPr>
            <w:tcW w:w="2499" w:type="dxa"/>
            <w:gridSpan w:val="2"/>
            <w:vMerge/>
            <w:tcBorders>
              <w:top w:val="nil"/>
            </w:tcBorders>
          </w:tcPr>
          <w:p>
            <w:pPr>
              <w:rPr>
                <w:sz w:val="2"/>
                <w:szCs w:val="2"/>
              </w:rPr>
            </w:pPr>
          </w:p>
        </w:tc>
        <w:tc>
          <w:tcPr>
            <w:tcW w:w="5808" w:type="dxa"/>
          </w:tcPr>
          <w:p>
            <w:pPr>
              <w:pStyle w:val="TableParagraph"/>
              <w:spacing w:before="98"/>
              <w:ind w:left="142"/>
              <w:rPr>
                <w:sz w:val="21"/>
              </w:rPr>
            </w:pPr>
            <w:r>
              <w:rPr>
                <w:spacing w:val="-3"/>
                <w:sz w:val="21"/>
              </w:rPr>
              <w:t>自我们收到解除合同申请书时起，本合同终止。我们自收到</w:t>
            </w:r>
          </w:p>
        </w:tc>
      </w:tr>
      <w:tr>
        <w:trPr>
          <w:trHeight w:val="703" w:hRule="atLeast"/>
        </w:trPr>
        <w:tc>
          <w:tcPr>
            <w:tcW w:w="2499" w:type="dxa"/>
            <w:gridSpan w:val="2"/>
            <w:vMerge/>
            <w:tcBorders>
              <w:top w:val="nil"/>
            </w:tcBorders>
          </w:tcPr>
          <w:p>
            <w:pPr>
              <w:rPr>
                <w:sz w:val="2"/>
                <w:szCs w:val="2"/>
              </w:rPr>
            </w:pPr>
          </w:p>
        </w:tc>
        <w:tc>
          <w:tcPr>
            <w:tcW w:w="5808" w:type="dxa"/>
          </w:tcPr>
          <w:p>
            <w:pPr>
              <w:pStyle w:val="TableParagraph"/>
              <w:spacing w:line="278" w:lineRule="auto" w:before="24"/>
              <w:ind w:left="142" w:right="306"/>
              <w:rPr>
                <w:sz w:val="21"/>
              </w:rPr>
            </w:pPr>
            <w:r>
              <w:rPr>
                <w:spacing w:val="-6"/>
                <w:sz w:val="21"/>
              </w:rPr>
              <w:t>解除合同申请书之日起 </w:t>
            </w:r>
            <w:r>
              <w:rPr>
                <w:spacing w:val="-2"/>
                <w:sz w:val="21"/>
              </w:rPr>
              <w:t>30</w:t>
            </w:r>
            <w:r>
              <w:rPr>
                <w:spacing w:val="-9"/>
                <w:sz w:val="21"/>
              </w:rPr>
              <w:t> 日内向您退还本合同终止时的现</w:t>
            </w:r>
            <w:r>
              <w:rPr>
                <w:spacing w:val="-4"/>
                <w:sz w:val="21"/>
              </w:rPr>
              <w:t>金价值。</w:t>
            </w:r>
          </w:p>
        </w:tc>
      </w:tr>
      <w:tr>
        <w:trPr>
          <w:trHeight w:val="338" w:hRule="atLeast"/>
        </w:trPr>
        <w:tc>
          <w:tcPr>
            <w:tcW w:w="2499" w:type="dxa"/>
            <w:gridSpan w:val="2"/>
            <w:vMerge/>
            <w:tcBorders>
              <w:top w:val="nil"/>
            </w:tcBorders>
          </w:tcPr>
          <w:p>
            <w:pPr>
              <w:rPr>
                <w:sz w:val="2"/>
                <w:szCs w:val="2"/>
              </w:rPr>
            </w:pPr>
          </w:p>
        </w:tc>
        <w:tc>
          <w:tcPr>
            <w:tcW w:w="5808" w:type="dxa"/>
          </w:tcPr>
          <w:p>
            <w:pPr>
              <w:pStyle w:val="TableParagraph"/>
              <w:spacing w:line="220" w:lineRule="exact" w:before="98"/>
              <w:ind w:left="142"/>
              <w:rPr>
                <w:sz w:val="21"/>
              </w:rPr>
            </w:pPr>
            <w:r>
              <w:rPr>
                <w:spacing w:val="-3"/>
                <w:sz w:val="21"/>
              </w:rPr>
              <w:t>您在犹豫期后解除合同会遭受一定损失。</w:t>
            </w:r>
          </w:p>
        </w:tc>
      </w:tr>
    </w:tbl>
    <w:p>
      <w:pPr>
        <w:pStyle w:val="BodyText"/>
        <w:spacing w:before="3"/>
        <w:rPr>
          <w:sz w:val="24"/>
        </w:rPr>
      </w:pPr>
    </w:p>
    <w:p>
      <w:pPr>
        <w:pStyle w:val="Heading1"/>
        <w:numPr>
          <w:ilvl w:val="0"/>
          <w:numId w:val="13"/>
        </w:numPr>
        <w:tabs>
          <w:tab w:pos="1910" w:val="left" w:leader="none"/>
          <w:tab w:pos="1911" w:val="left" w:leader="none"/>
        </w:tabs>
        <w:spacing w:line="429" w:lineRule="exact" w:before="0" w:after="0"/>
        <w:ind w:left="1910" w:right="0" w:hanging="985"/>
        <w:jc w:val="left"/>
      </w:pPr>
      <w:r>
        <w:rPr/>
        <w:drawing>
          <wp:anchor distT="0" distB="0" distL="0" distR="0" allowOverlap="1" layoutInCell="1" locked="0" behindDoc="1" simplePos="0" relativeHeight="485345280">
            <wp:simplePos x="0" y="0"/>
            <wp:positionH relativeFrom="page">
              <wp:posOffset>1143609</wp:posOffset>
            </wp:positionH>
            <wp:positionV relativeFrom="paragraph">
              <wp:posOffset>240728</wp:posOffset>
            </wp:positionV>
            <wp:extent cx="5274970" cy="12191"/>
            <wp:effectExtent l="0" t="0" r="0" b="0"/>
            <wp:wrapNone/>
            <wp:docPr id="17" name="image3.png"/>
            <wp:cNvGraphicFramePr>
              <a:graphicFrameLocks noChangeAspect="1"/>
            </wp:cNvGraphicFramePr>
            <a:graphic>
              <a:graphicData uri="http://schemas.openxmlformats.org/drawingml/2006/picture">
                <pic:pic>
                  <pic:nvPicPr>
                    <pic:cNvPr id="18" name="image3.png"/>
                    <pic:cNvPicPr/>
                  </pic:nvPicPr>
                  <pic:blipFill>
                    <a:blip r:embed="rId8" cstate="print"/>
                    <a:stretch>
                      <a:fillRect/>
                    </a:stretch>
                  </pic:blipFill>
                  <pic:spPr>
                    <a:xfrm>
                      <a:off x="0" y="0"/>
                      <a:ext cx="5274970" cy="12191"/>
                    </a:xfrm>
                    <a:prstGeom prst="rect">
                      <a:avLst/>
                    </a:prstGeom>
                  </pic:spPr>
                </pic:pic>
              </a:graphicData>
            </a:graphic>
          </wp:anchor>
        </w:drawing>
      </w:r>
      <w:r>
        <w:rPr>
          <w:spacing w:val="-2"/>
        </w:rPr>
        <w:t>其它需要关注的事项</w:t>
      </w:r>
    </w:p>
    <w:p>
      <w:pPr>
        <w:pStyle w:val="BodyText"/>
        <w:spacing w:before="4"/>
        <w:rPr>
          <w:rFonts w:ascii="Microsoft JhengHei"/>
          <w:b/>
          <w:sz w:val="12"/>
        </w:rPr>
      </w:pPr>
    </w:p>
    <w:p>
      <w:pPr>
        <w:spacing w:after="0"/>
        <w:rPr>
          <w:rFonts w:ascii="Microsoft JhengHei"/>
          <w:sz w:val="12"/>
        </w:rPr>
        <w:sectPr>
          <w:pgSz w:w="11910" w:h="16840"/>
          <w:pgMar w:header="0" w:footer="226" w:top="900" w:bottom="420" w:left="980" w:right="400"/>
        </w:sectPr>
      </w:pPr>
    </w:p>
    <w:p>
      <w:pPr>
        <w:pStyle w:val="Heading2"/>
        <w:numPr>
          <w:ilvl w:val="1"/>
          <w:numId w:val="13"/>
        </w:numPr>
        <w:tabs>
          <w:tab w:pos="1910" w:val="left" w:leader="none"/>
          <w:tab w:pos="1911" w:val="left" w:leader="none"/>
        </w:tabs>
        <w:spacing w:line="196" w:lineRule="auto" w:before="53" w:after="0"/>
        <w:ind w:left="1910" w:right="0" w:hanging="985"/>
        <w:jc w:val="left"/>
      </w:pPr>
      <w:r>
        <w:rPr>
          <w:spacing w:val="-2"/>
        </w:rPr>
        <w:t>明确说明与如</w:t>
      </w:r>
      <w:r>
        <w:rPr>
          <w:spacing w:val="-4"/>
        </w:rPr>
        <w:t>实告知</w:t>
      </w:r>
    </w:p>
    <w:p>
      <w:pPr>
        <w:pStyle w:val="BodyText"/>
        <w:spacing w:line="278" w:lineRule="auto" w:before="72"/>
        <w:ind w:left="244" w:right="1595"/>
        <w:jc w:val="both"/>
      </w:pPr>
      <w:r>
        <w:rPr/>
        <w:br w:type="column"/>
      </w:r>
      <w:r>
        <w:rPr>
          <w:spacing w:val="-2"/>
        </w:rPr>
        <w:t>订立本合同时，我们应当向您说明本合同的内容。对本合同</w:t>
      </w:r>
      <w:r>
        <w:rPr>
          <w:spacing w:val="-2"/>
        </w:rPr>
        <w:t>中免除我们责任的条款，我们在订立合同时应当在投保单、</w:t>
      </w:r>
      <w:r>
        <w:rPr>
          <w:spacing w:val="-2"/>
        </w:rPr>
        <w:t>保险单或者其他保险凭证上作出足以引起您注意的提示，并</w:t>
      </w:r>
      <w:r>
        <w:rPr>
          <w:spacing w:val="-2"/>
        </w:rPr>
        <w:t>对该条款的内容以书面或者口头形式向您作出明确说明，未</w:t>
      </w:r>
      <w:r>
        <w:rPr>
          <w:spacing w:val="-2"/>
        </w:rPr>
        <w:t>作提示或者明确说明的，该条款不产生效力。</w:t>
      </w:r>
    </w:p>
    <w:p>
      <w:pPr>
        <w:pStyle w:val="BodyText"/>
        <w:spacing w:line="278" w:lineRule="auto" w:before="158"/>
        <w:ind w:left="244" w:right="1597"/>
      </w:pPr>
      <w:r>
        <w:rPr>
          <w:spacing w:val="-2"/>
        </w:rPr>
        <w:t>我们会就您和被保险人的有关情况提出书面询问，您应当如</w:t>
      </w:r>
      <w:r>
        <w:rPr>
          <w:spacing w:val="-4"/>
        </w:rPr>
        <w:t>实告知。</w:t>
      </w:r>
    </w:p>
    <w:p>
      <w:pPr>
        <w:pStyle w:val="BodyText"/>
        <w:spacing w:line="280" w:lineRule="auto" w:before="154"/>
        <w:ind w:left="244" w:right="1597"/>
      </w:pPr>
      <w:r>
        <w:rPr>
          <w:spacing w:val="-2"/>
        </w:rPr>
        <w:t>如果您故意或者因重大过失未履行前款约定的如实告知义</w:t>
      </w:r>
      <w:r>
        <w:rPr/>
        <w:t> </w:t>
      </w:r>
      <w:r>
        <w:rPr>
          <w:spacing w:val="-2"/>
        </w:rPr>
        <w:t>务，足以影响我们决定是否同意承保或者提高保险费率的，</w:t>
      </w:r>
      <w:r>
        <w:rPr>
          <w:spacing w:val="-2"/>
        </w:rPr>
        <w:t>我们有权解除本合同。</w:t>
      </w:r>
    </w:p>
    <w:p>
      <w:pPr>
        <w:pStyle w:val="BodyText"/>
        <w:spacing w:line="278" w:lineRule="auto" w:before="150"/>
        <w:ind w:left="244" w:right="1597"/>
      </w:pPr>
      <w:r>
        <w:rPr>
          <w:spacing w:val="-2"/>
        </w:rPr>
        <w:t>如果您故意不履行如实告知义务，对于本合同解除前发生的</w:t>
      </w:r>
      <w:r>
        <w:rPr>
          <w:spacing w:val="-2"/>
        </w:rPr>
        <w:t>保险事故，我们不承担给付保险金的责任，并不退还保险</w:t>
      </w:r>
      <w:r>
        <w:rPr>
          <w:spacing w:val="40"/>
        </w:rPr>
        <w:t> </w:t>
      </w:r>
      <w:r>
        <w:rPr>
          <w:spacing w:val="-6"/>
        </w:rPr>
        <w:t>费。</w:t>
      </w:r>
    </w:p>
    <w:p>
      <w:pPr>
        <w:pStyle w:val="BodyText"/>
        <w:spacing w:line="280" w:lineRule="auto" w:before="154"/>
        <w:ind w:left="244" w:right="1597"/>
        <w:jc w:val="both"/>
      </w:pPr>
      <w:r>
        <w:rPr>
          <w:spacing w:val="-2"/>
        </w:rPr>
        <w:t>如果您因重大过失未履行如实告知义务，对保险事故的发生</w:t>
      </w:r>
      <w:r>
        <w:rPr>
          <w:spacing w:val="-2"/>
        </w:rPr>
        <w:t>有严重影响的，对于本合同解除前发生的保险事故，我们不</w:t>
      </w:r>
      <w:r>
        <w:rPr>
          <w:spacing w:val="-2"/>
        </w:rPr>
        <w:t>承担给付保险金的责任，但应当向您退还保险费。</w:t>
      </w:r>
    </w:p>
    <w:p>
      <w:pPr>
        <w:pStyle w:val="BodyText"/>
        <w:spacing w:line="278" w:lineRule="auto" w:before="150"/>
        <w:ind w:left="244" w:right="1597"/>
      </w:pPr>
      <w:r>
        <w:rPr>
          <w:spacing w:val="-2"/>
        </w:rPr>
        <w:t>您通过我们同意或者认可的网站向我们在线提交的电子信息</w:t>
      </w:r>
      <w:r>
        <w:rPr>
          <w:spacing w:val="-2"/>
        </w:rPr>
        <w:t>与您向我们提交的书面文件具有相同的法律效力。</w:t>
      </w:r>
    </w:p>
    <w:p>
      <w:pPr>
        <w:spacing w:after="0" w:line="278" w:lineRule="auto"/>
        <w:sectPr>
          <w:type w:val="continuous"/>
          <w:pgSz w:w="11910" w:h="16840"/>
          <w:pgMar w:header="0" w:footer="226" w:top="240" w:bottom="420" w:left="980" w:right="400"/>
          <w:cols w:num="2" w:equalWidth="0">
            <w:col w:w="3178" w:space="40"/>
            <w:col w:w="7312"/>
          </w:cols>
        </w:sectPr>
      </w:pPr>
    </w:p>
    <w:p>
      <w:pPr>
        <w:pStyle w:val="BodyText"/>
        <w:spacing w:before="12"/>
        <w:rPr>
          <w:sz w:val="19"/>
        </w:rPr>
      </w:pPr>
    </w:p>
    <w:p>
      <w:pPr>
        <w:spacing w:after="0"/>
        <w:rPr>
          <w:sz w:val="19"/>
        </w:rPr>
        <w:sectPr>
          <w:type w:val="continuous"/>
          <w:pgSz w:w="11910" w:h="16840"/>
          <w:pgMar w:header="0" w:footer="226" w:top="240" w:bottom="420" w:left="980" w:right="400"/>
        </w:sectPr>
      </w:pPr>
    </w:p>
    <w:p>
      <w:pPr>
        <w:pStyle w:val="Heading2"/>
        <w:numPr>
          <w:ilvl w:val="1"/>
          <w:numId w:val="13"/>
        </w:numPr>
        <w:tabs>
          <w:tab w:pos="1910" w:val="left" w:leader="none"/>
          <w:tab w:pos="1911" w:val="left" w:leader="none"/>
        </w:tabs>
        <w:spacing w:line="194" w:lineRule="auto" w:before="55" w:after="0"/>
        <w:ind w:left="1910" w:right="0" w:hanging="985"/>
        <w:jc w:val="left"/>
      </w:pPr>
      <w:r>
        <w:rPr>
          <w:spacing w:val="-2"/>
        </w:rPr>
        <w:t>我们合同解除</w:t>
      </w:r>
      <w:r>
        <w:rPr>
          <w:spacing w:val="-4"/>
        </w:rPr>
        <w:t>权的限制</w:t>
      </w:r>
    </w:p>
    <w:p>
      <w:pPr>
        <w:pStyle w:val="BodyText"/>
        <w:spacing w:line="278" w:lineRule="auto" w:before="71"/>
        <w:ind w:left="244" w:right="1597"/>
      </w:pPr>
      <w:r>
        <w:rPr/>
        <w:br w:type="column"/>
      </w:r>
      <w:r>
        <w:rPr>
          <w:spacing w:val="-2"/>
        </w:rPr>
        <w:t>前条规定的合同解除权，自我们知道有解除事由之日起，超</w:t>
      </w:r>
      <w:r>
        <w:rPr>
          <w:spacing w:val="-17"/>
        </w:rPr>
        <w:t>过 </w:t>
      </w:r>
      <w:r>
        <w:rPr/>
        <w:t>30</w:t>
      </w:r>
      <w:r>
        <w:rPr>
          <w:spacing w:val="-8"/>
        </w:rPr>
        <w:t> 日不行使而消灭。自本合同成立之日起超过 </w:t>
      </w:r>
      <w:r>
        <w:rPr/>
        <w:t>2</w:t>
      </w:r>
      <w:r>
        <w:rPr>
          <w:spacing w:val="-11"/>
        </w:rPr>
        <w:t> 年的，</w:t>
      </w:r>
      <w:r>
        <w:rPr>
          <w:spacing w:val="-2"/>
        </w:rPr>
        <w:t>我们不得解除合同；发生保险事故的，我们承担给付保险金</w:t>
      </w:r>
      <w:r>
        <w:rPr>
          <w:spacing w:val="-4"/>
        </w:rPr>
        <w:t>的责任。</w:t>
      </w:r>
    </w:p>
    <w:p>
      <w:pPr>
        <w:spacing w:after="0" w:line="278" w:lineRule="auto"/>
        <w:sectPr>
          <w:type w:val="continuous"/>
          <w:pgSz w:w="11910" w:h="16840"/>
          <w:pgMar w:header="0" w:footer="226" w:top="240" w:bottom="420" w:left="980" w:right="400"/>
          <w:cols w:num="2" w:equalWidth="0">
            <w:col w:w="3178" w:space="40"/>
            <w:col w:w="7312"/>
          </w:cols>
        </w:sectPr>
      </w:pPr>
    </w:p>
    <w:p>
      <w:pPr>
        <w:pStyle w:val="BodyText"/>
        <w:spacing w:line="278" w:lineRule="auto" w:before="51"/>
        <w:ind w:left="3462" w:right="1596"/>
        <w:jc w:val="both"/>
      </w:pPr>
      <w:r>
        <w:rPr>
          <w:spacing w:val="-2"/>
        </w:rPr>
        <w:t>我们在本合同订立时已经知道您未如实告知的情况的，我们</w:t>
      </w:r>
      <w:r>
        <w:rPr>
          <w:spacing w:val="-2"/>
        </w:rPr>
        <w:t>不得解除合同；发生保险事故的，我们承担给付保险金的责</w:t>
      </w:r>
      <w:r>
        <w:rPr>
          <w:spacing w:val="-6"/>
        </w:rPr>
        <w:t>任。</w:t>
      </w:r>
    </w:p>
    <w:p>
      <w:pPr>
        <w:pStyle w:val="BodyText"/>
        <w:rPr>
          <w:sz w:val="20"/>
        </w:rPr>
      </w:pPr>
    </w:p>
    <w:p>
      <w:pPr>
        <w:pStyle w:val="ListParagraph"/>
        <w:numPr>
          <w:ilvl w:val="1"/>
          <w:numId w:val="13"/>
        </w:numPr>
        <w:tabs>
          <w:tab w:pos="1910" w:val="left" w:leader="none"/>
          <w:tab w:pos="1911" w:val="left" w:leader="none"/>
          <w:tab w:pos="3461" w:val="left" w:leader="none"/>
        </w:tabs>
        <w:spacing w:line="384" w:lineRule="exact" w:before="0" w:after="0"/>
        <w:ind w:left="1910" w:right="0" w:hanging="985"/>
        <w:jc w:val="left"/>
        <w:rPr>
          <w:sz w:val="21"/>
        </w:rPr>
      </w:pPr>
      <w:r>
        <w:rPr>
          <w:rFonts w:ascii="Microsoft JhengHei" w:eastAsia="Microsoft JhengHei"/>
          <w:b/>
          <w:sz w:val="21"/>
        </w:rPr>
        <w:t>年龄性别错</w:t>
      </w:r>
      <w:r>
        <w:rPr>
          <w:rFonts w:ascii="Microsoft JhengHei" w:eastAsia="Microsoft JhengHei"/>
          <w:b/>
          <w:spacing w:val="-10"/>
          <w:sz w:val="21"/>
        </w:rPr>
        <w:t>误</w:t>
      </w:r>
      <w:r>
        <w:rPr>
          <w:rFonts w:ascii="Microsoft JhengHei" w:eastAsia="Microsoft JhengHei"/>
          <w:b/>
          <w:sz w:val="21"/>
        </w:rPr>
        <w:tab/>
      </w:r>
      <w:r>
        <w:rPr>
          <w:spacing w:val="-2"/>
          <w:sz w:val="21"/>
        </w:rPr>
        <w:t>您</w:t>
      </w:r>
      <w:r>
        <w:rPr>
          <w:spacing w:val="-2"/>
          <w:sz w:val="21"/>
        </w:rPr>
        <w:t>在</w:t>
      </w:r>
      <w:r>
        <w:rPr>
          <w:spacing w:val="-2"/>
          <w:sz w:val="21"/>
        </w:rPr>
        <w:t>申</w:t>
      </w:r>
      <w:r>
        <w:rPr>
          <w:spacing w:val="-2"/>
          <w:sz w:val="21"/>
        </w:rPr>
        <w:t>请</w:t>
      </w:r>
      <w:r>
        <w:rPr>
          <w:spacing w:val="-2"/>
          <w:sz w:val="21"/>
        </w:rPr>
        <w:t>投</w:t>
      </w:r>
      <w:r>
        <w:rPr>
          <w:spacing w:val="-2"/>
          <w:sz w:val="21"/>
        </w:rPr>
        <w:t>保</w:t>
      </w:r>
      <w:r>
        <w:rPr>
          <w:spacing w:val="-2"/>
          <w:sz w:val="21"/>
        </w:rPr>
        <w:t>时</w:t>
      </w:r>
      <w:r>
        <w:rPr>
          <w:spacing w:val="-2"/>
          <w:sz w:val="21"/>
        </w:rPr>
        <w:t>，应</w:t>
      </w:r>
      <w:r>
        <w:rPr>
          <w:spacing w:val="-2"/>
          <w:sz w:val="21"/>
        </w:rPr>
        <w:t>将</w:t>
      </w:r>
      <w:r>
        <w:rPr>
          <w:spacing w:val="-2"/>
          <w:sz w:val="21"/>
        </w:rPr>
        <w:t>与</w:t>
      </w:r>
      <w:r>
        <w:rPr>
          <w:spacing w:val="-2"/>
          <w:sz w:val="21"/>
        </w:rPr>
        <w:t>有</w:t>
      </w:r>
      <w:r>
        <w:rPr>
          <w:spacing w:val="-2"/>
          <w:sz w:val="21"/>
        </w:rPr>
        <w:t>效</w:t>
      </w:r>
      <w:r>
        <w:rPr>
          <w:spacing w:val="-2"/>
          <w:sz w:val="21"/>
        </w:rPr>
        <w:t>身</w:t>
      </w:r>
      <w:r>
        <w:rPr>
          <w:spacing w:val="-2"/>
          <w:sz w:val="21"/>
        </w:rPr>
        <w:t>份</w:t>
      </w:r>
      <w:r>
        <w:rPr>
          <w:spacing w:val="-2"/>
          <w:sz w:val="21"/>
        </w:rPr>
        <w:t>证</w:t>
      </w:r>
      <w:r>
        <w:rPr>
          <w:spacing w:val="-2"/>
          <w:sz w:val="21"/>
        </w:rPr>
        <w:t>件</w:t>
      </w:r>
      <w:r>
        <w:rPr>
          <w:spacing w:val="-2"/>
          <w:sz w:val="21"/>
        </w:rPr>
        <w:t>相</w:t>
      </w:r>
      <w:r>
        <w:rPr>
          <w:spacing w:val="-2"/>
          <w:sz w:val="21"/>
        </w:rPr>
        <w:t>符</w:t>
      </w:r>
      <w:r>
        <w:rPr>
          <w:spacing w:val="-2"/>
          <w:sz w:val="21"/>
        </w:rPr>
        <w:t>的</w:t>
      </w:r>
      <w:r>
        <w:rPr>
          <w:spacing w:val="-2"/>
          <w:sz w:val="21"/>
        </w:rPr>
        <w:t>被保险</w:t>
      </w:r>
      <w:r>
        <w:rPr>
          <w:spacing w:val="-2"/>
          <w:sz w:val="21"/>
        </w:rPr>
        <w:t>人</w:t>
      </w:r>
      <w:r>
        <w:rPr>
          <w:spacing w:val="-2"/>
          <w:sz w:val="21"/>
        </w:rPr>
        <w:t>的</w:t>
      </w:r>
      <w:r>
        <w:rPr>
          <w:spacing w:val="-10"/>
          <w:sz w:val="21"/>
        </w:rPr>
        <w:t>出</w:t>
      </w:r>
    </w:p>
    <w:p>
      <w:pPr>
        <w:pStyle w:val="BodyText"/>
        <w:spacing w:line="278" w:lineRule="auto"/>
        <w:ind w:left="3462" w:right="1597"/>
      </w:pPr>
      <w:r>
        <w:rPr>
          <w:spacing w:val="-2"/>
        </w:rPr>
        <w:t>生日期和性别在投保单上填明，如果发生错误按照下列方式</w:t>
      </w:r>
      <w:r>
        <w:rPr>
          <w:spacing w:val="-4"/>
        </w:rPr>
        <w:t>办理：</w:t>
      </w:r>
    </w:p>
    <w:p>
      <w:pPr>
        <w:pStyle w:val="ListParagraph"/>
        <w:numPr>
          <w:ilvl w:val="2"/>
          <w:numId w:val="13"/>
        </w:numPr>
        <w:tabs>
          <w:tab w:pos="3991" w:val="left" w:leader="none"/>
        </w:tabs>
        <w:spacing w:line="278" w:lineRule="auto" w:before="152" w:after="0"/>
        <w:ind w:left="3942" w:right="1538" w:hanging="480"/>
        <w:jc w:val="left"/>
        <w:rPr>
          <w:sz w:val="21"/>
        </w:rPr>
      </w:pPr>
      <w:r>
        <w:rPr>
          <w:spacing w:val="-2"/>
          <w:sz w:val="21"/>
        </w:rPr>
        <w:t>您申报的被保险人年龄不真实，并且其真实年龄不符合</w:t>
      </w:r>
      <w:r>
        <w:rPr>
          <w:spacing w:val="-2"/>
          <w:sz w:val="21"/>
        </w:rPr>
        <w:t>本合同约定投保年龄限制的，我们有权解除本合同。对</w:t>
      </w:r>
      <w:r>
        <w:rPr>
          <w:spacing w:val="-2"/>
          <w:sz w:val="21"/>
        </w:rPr>
        <w:t>于解除本合同的，本合同自解除之日起终止，我们向您</w:t>
      </w:r>
      <w:r>
        <w:rPr>
          <w:spacing w:val="-2"/>
          <w:sz w:val="21"/>
        </w:rPr>
        <w:t>退还本合同终止时的现金价值。对于本合同解除前发生</w:t>
      </w:r>
      <w:r>
        <w:rPr>
          <w:spacing w:val="-2"/>
          <w:sz w:val="21"/>
        </w:rPr>
        <w:t>的保险事故，我们不承担给付保险金的责任。我们行使</w:t>
      </w:r>
      <w:r>
        <w:rPr>
          <w:spacing w:val="-2"/>
          <w:sz w:val="21"/>
        </w:rPr>
        <w:t>合同解除权适用“我们合同解除权的限制”的规定。</w:t>
      </w:r>
    </w:p>
    <w:p>
      <w:pPr>
        <w:pStyle w:val="ListParagraph"/>
        <w:numPr>
          <w:ilvl w:val="2"/>
          <w:numId w:val="13"/>
        </w:numPr>
        <w:tabs>
          <w:tab w:pos="3991" w:val="left" w:leader="none"/>
        </w:tabs>
        <w:spacing w:line="278" w:lineRule="auto" w:before="158" w:after="0"/>
        <w:ind w:left="3942" w:right="1540" w:hanging="480"/>
        <w:jc w:val="left"/>
        <w:rPr>
          <w:sz w:val="21"/>
        </w:rPr>
      </w:pPr>
      <w:r>
        <w:rPr>
          <w:spacing w:val="-2"/>
          <w:sz w:val="21"/>
        </w:rPr>
        <w:t>您申报的被保险人年龄或者性别不真实，致使您实交保</w:t>
      </w:r>
      <w:r>
        <w:rPr>
          <w:spacing w:val="-2"/>
          <w:sz w:val="21"/>
        </w:rPr>
        <w:t>险费少于应交保险费的，我们有权更正并要求您补交保</w:t>
      </w:r>
      <w:r>
        <w:rPr>
          <w:spacing w:val="-2"/>
          <w:sz w:val="21"/>
        </w:rPr>
        <w:t>险费。如果已经发生保险事故，在给付保险金时按实交</w:t>
      </w:r>
      <w:r>
        <w:rPr>
          <w:spacing w:val="-2"/>
          <w:sz w:val="21"/>
        </w:rPr>
        <w:t>保险费和应交保险费的比例给付。</w:t>
      </w:r>
    </w:p>
    <w:p>
      <w:pPr>
        <w:pStyle w:val="ListParagraph"/>
        <w:numPr>
          <w:ilvl w:val="2"/>
          <w:numId w:val="13"/>
        </w:numPr>
        <w:tabs>
          <w:tab w:pos="3991" w:val="left" w:leader="none"/>
        </w:tabs>
        <w:spacing w:line="280" w:lineRule="auto" w:before="154" w:after="0"/>
        <w:ind w:left="3942" w:right="1540" w:hanging="480"/>
        <w:jc w:val="left"/>
        <w:rPr>
          <w:sz w:val="21"/>
        </w:rPr>
      </w:pPr>
      <w:r>
        <w:rPr>
          <w:spacing w:val="-2"/>
          <w:sz w:val="21"/>
        </w:rPr>
        <w:t>您申报的被保险人年龄或者性别不真实，致使您实交保</w:t>
      </w:r>
      <w:r>
        <w:rPr>
          <w:spacing w:val="-2"/>
          <w:sz w:val="21"/>
        </w:rPr>
        <w:t>险费多于应交保险费的，我们向您无息退还多收的保险</w:t>
      </w:r>
      <w:r>
        <w:rPr>
          <w:spacing w:val="-6"/>
          <w:sz w:val="21"/>
        </w:rPr>
        <w:t>费。</w:t>
      </w:r>
    </w:p>
    <w:p>
      <w:pPr>
        <w:pStyle w:val="BodyText"/>
        <w:spacing w:before="5"/>
        <w:rPr>
          <w:sz w:val="19"/>
        </w:rPr>
      </w:pPr>
    </w:p>
    <w:p>
      <w:pPr>
        <w:pStyle w:val="ListParagraph"/>
        <w:numPr>
          <w:ilvl w:val="1"/>
          <w:numId w:val="13"/>
        </w:numPr>
        <w:tabs>
          <w:tab w:pos="1910" w:val="left" w:leader="none"/>
          <w:tab w:pos="1911" w:val="left" w:leader="none"/>
          <w:tab w:pos="3461" w:val="left" w:leader="none"/>
        </w:tabs>
        <w:spacing w:line="240" w:lineRule="auto" w:before="0" w:after="0"/>
        <w:ind w:left="1910" w:right="0" w:hanging="985"/>
        <w:jc w:val="left"/>
        <w:rPr>
          <w:sz w:val="21"/>
        </w:rPr>
      </w:pPr>
      <w:r>
        <w:rPr>
          <w:rFonts w:ascii="Microsoft JhengHei" w:eastAsia="Microsoft JhengHei"/>
          <w:b/>
          <w:sz w:val="21"/>
        </w:rPr>
        <w:t>未还款</w:t>
      </w:r>
      <w:r>
        <w:rPr>
          <w:rFonts w:ascii="Microsoft JhengHei" w:eastAsia="Microsoft JhengHei"/>
          <w:b/>
          <w:spacing w:val="-10"/>
          <w:sz w:val="21"/>
        </w:rPr>
        <w:t>项</w:t>
      </w:r>
      <w:r>
        <w:rPr>
          <w:rFonts w:ascii="Microsoft JhengHei" w:eastAsia="Microsoft JhengHei"/>
          <w:b/>
          <w:sz w:val="21"/>
        </w:rPr>
        <w:tab/>
      </w:r>
      <w:r>
        <w:rPr>
          <w:spacing w:val="-2"/>
          <w:sz w:val="21"/>
        </w:rPr>
        <w:t>我</w:t>
      </w:r>
      <w:r>
        <w:rPr>
          <w:spacing w:val="-2"/>
          <w:sz w:val="21"/>
        </w:rPr>
        <w:t>们</w:t>
      </w:r>
      <w:r>
        <w:rPr>
          <w:spacing w:val="-2"/>
          <w:sz w:val="21"/>
        </w:rPr>
        <w:t>在</w:t>
      </w:r>
      <w:r>
        <w:rPr>
          <w:spacing w:val="-2"/>
          <w:sz w:val="21"/>
        </w:rPr>
        <w:t>给</w:t>
      </w:r>
      <w:r>
        <w:rPr>
          <w:spacing w:val="-2"/>
          <w:sz w:val="21"/>
        </w:rPr>
        <w:t>付</w:t>
      </w:r>
      <w:r>
        <w:rPr>
          <w:spacing w:val="-2"/>
          <w:sz w:val="21"/>
        </w:rPr>
        <w:t>各</w:t>
      </w:r>
      <w:r>
        <w:rPr>
          <w:spacing w:val="-2"/>
          <w:sz w:val="21"/>
        </w:rPr>
        <w:t>项</w:t>
      </w:r>
      <w:r>
        <w:rPr>
          <w:spacing w:val="-2"/>
          <w:sz w:val="21"/>
        </w:rPr>
        <w:t>保</w:t>
      </w:r>
      <w:r>
        <w:rPr>
          <w:spacing w:val="-2"/>
          <w:sz w:val="21"/>
        </w:rPr>
        <w:t>险</w:t>
      </w:r>
      <w:r>
        <w:rPr>
          <w:spacing w:val="-2"/>
          <w:sz w:val="21"/>
        </w:rPr>
        <w:t>金</w:t>
      </w:r>
      <w:r>
        <w:rPr>
          <w:spacing w:val="-2"/>
          <w:sz w:val="21"/>
        </w:rPr>
        <w:t>、</w:t>
      </w:r>
      <w:r>
        <w:rPr>
          <w:spacing w:val="-2"/>
          <w:sz w:val="21"/>
        </w:rPr>
        <w:t>退</w:t>
      </w:r>
      <w:r>
        <w:rPr>
          <w:spacing w:val="-2"/>
          <w:sz w:val="21"/>
        </w:rPr>
        <w:t>还</w:t>
      </w:r>
      <w:r>
        <w:rPr>
          <w:spacing w:val="-2"/>
          <w:sz w:val="21"/>
        </w:rPr>
        <w:t>现</w:t>
      </w:r>
      <w:r>
        <w:rPr>
          <w:spacing w:val="-2"/>
          <w:sz w:val="21"/>
        </w:rPr>
        <w:t>金</w:t>
      </w:r>
      <w:r>
        <w:rPr>
          <w:spacing w:val="-2"/>
          <w:sz w:val="21"/>
        </w:rPr>
        <w:t>价</w:t>
      </w:r>
      <w:r>
        <w:rPr>
          <w:spacing w:val="-2"/>
          <w:sz w:val="21"/>
        </w:rPr>
        <w:t>值</w:t>
      </w:r>
      <w:r>
        <w:rPr>
          <w:spacing w:val="-2"/>
          <w:sz w:val="21"/>
        </w:rPr>
        <w:t>或</w:t>
      </w:r>
      <w:r>
        <w:rPr>
          <w:spacing w:val="-2"/>
          <w:sz w:val="21"/>
        </w:rPr>
        <w:t>者</w:t>
      </w:r>
      <w:r>
        <w:rPr>
          <w:spacing w:val="-2"/>
          <w:sz w:val="21"/>
        </w:rPr>
        <w:t>返</w:t>
      </w:r>
      <w:r>
        <w:rPr>
          <w:spacing w:val="-2"/>
          <w:sz w:val="21"/>
        </w:rPr>
        <w:t>还保险</w:t>
      </w:r>
      <w:r>
        <w:rPr>
          <w:spacing w:val="-2"/>
          <w:sz w:val="21"/>
        </w:rPr>
        <w:t>费</w:t>
      </w:r>
      <w:r>
        <w:rPr>
          <w:spacing w:val="-2"/>
          <w:sz w:val="21"/>
        </w:rPr>
        <w:t>时</w:t>
      </w:r>
      <w:r>
        <w:rPr>
          <w:spacing w:val="-10"/>
          <w:sz w:val="21"/>
        </w:rPr>
        <w:t>，</w:t>
      </w:r>
    </w:p>
    <w:p>
      <w:pPr>
        <w:pStyle w:val="BodyText"/>
        <w:spacing w:line="278" w:lineRule="auto"/>
        <w:ind w:left="3462" w:right="1597"/>
      </w:pPr>
      <w:r>
        <w:rPr>
          <w:spacing w:val="-2"/>
        </w:rPr>
        <w:t>如果您有欠交的保险费、保单贷款或者其他各项欠款，我们</w:t>
      </w:r>
      <w:r>
        <w:rPr>
          <w:spacing w:val="-2"/>
        </w:rPr>
        <w:t>将先行扣除上述各项欠款及应付利息。</w:t>
      </w:r>
    </w:p>
    <w:p>
      <w:pPr>
        <w:pStyle w:val="BodyText"/>
        <w:spacing w:before="9"/>
        <w:rPr>
          <w:sz w:val="19"/>
        </w:rPr>
      </w:pPr>
    </w:p>
    <w:p>
      <w:pPr>
        <w:pStyle w:val="ListParagraph"/>
        <w:numPr>
          <w:ilvl w:val="1"/>
          <w:numId w:val="13"/>
        </w:numPr>
        <w:tabs>
          <w:tab w:pos="1910" w:val="left" w:leader="none"/>
          <w:tab w:pos="1911" w:val="left" w:leader="none"/>
        </w:tabs>
        <w:spacing w:line="384" w:lineRule="exact" w:before="0" w:after="0"/>
        <w:ind w:left="1910" w:right="0" w:hanging="985"/>
        <w:jc w:val="both"/>
        <w:rPr>
          <w:sz w:val="21"/>
        </w:rPr>
      </w:pPr>
      <w:r>
        <w:rPr>
          <w:rFonts w:ascii="Microsoft JhengHei" w:eastAsia="Microsoft JhengHei"/>
          <w:b/>
          <w:spacing w:val="28"/>
          <w:sz w:val="21"/>
        </w:rPr>
        <w:t>合同内容变更 </w:t>
      </w:r>
      <w:r>
        <w:rPr>
          <w:spacing w:val="-1"/>
          <w:sz w:val="21"/>
        </w:rPr>
        <w:t>在本合同有效期内，经您与我们协商一致，可以变更本合同</w:t>
      </w:r>
    </w:p>
    <w:p>
      <w:pPr>
        <w:pStyle w:val="BodyText"/>
        <w:spacing w:line="278" w:lineRule="auto"/>
        <w:ind w:left="3462" w:right="1597"/>
        <w:jc w:val="both"/>
      </w:pPr>
      <w:r>
        <w:rPr>
          <w:spacing w:val="-2"/>
        </w:rPr>
        <w:t>的有关内容。变更本合同的，应当由我们在保险单或者其他</w:t>
      </w:r>
      <w:r>
        <w:rPr>
          <w:spacing w:val="-2"/>
        </w:rPr>
        <w:t>保险凭证上批注或者附贴批单，或者由您与我们订立书面的</w:t>
      </w:r>
      <w:r>
        <w:rPr>
          <w:spacing w:val="-2"/>
        </w:rPr>
        <w:t>变更协议。</w:t>
      </w:r>
    </w:p>
    <w:p>
      <w:pPr>
        <w:pStyle w:val="BodyText"/>
        <w:spacing w:line="283" w:lineRule="auto" w:before="152"/>
        <w:ind w:left="3462" w:right="1597"/>
      </w:pPr>
      <w:r>
        <w:rPr>
          <w:spacing w:val="-2"/>
        </w:rPr>
        <w:t>您通过我们同意或者认可的网站向我们在线提交的电子信息</w:t>
      </w:r>
      <w:r>
        <w:rPr>
          <w:spacing w:val="-2"/>
        </w:rPr>
        <w:t>与您向我们提交的书面文件具有相同的法律效力。</w:t>
      </w:r>
    </w:p>
    <w:p>
      <w:pPr>
        <w:pStyle w:val="BodyText"/>
        <w:spacing w:before="2"/>
        <w:rPr>
          <w:sz w:val="19"/>
        </w:rPr>
      </w:pPr>
    </w:p>
    <w:p>
      <w:pPr>
        <w:pStyle w:val="ListParagraph"/>
        <w:numPr>
          <w:ilvl w:val="1"/>
          <w:numId w:val="13"/>
        </w:numPr>
        <w:tabs>
          <w:tab w:pos="1910" w:val="left" w:leader="none"/>
          <w:tab w:pos="1911" w:val="left" w:leader="none"/>
          <w:tab w:pos="3461" w:val="left" w:leader="none"/>
        </w:tabs>
        <w:spacing w:line="240" w:lineRule="auto" w:before="0" w:after="0"/>
        <w:ind w:left="1910" w:right="0" w:hanging="985"/>
        <w:jc w:val="left"/>
        <w:rPr>
          <w:sz w:val="21"/>
        </w:rPr>
      </w:pPr>
      <w:r>
        <w:rPr>
          <w:rFonts w:ascii="Microsoft JhengHei" w:eastAsia="Microsoft JhengHei"/>
          <w:b/>
          <w:sz w:val="21"/>
        </w:rPr>
        <w:t>联系方式变</w:t>
      </w:r>
      <w:r>
        <w:rPr>
          <w:rFonts w:ascii="Microsoft JhengHei" w:eastAsia="Microsoft JhengHei"/>
          <w:b/>
          <w:spacing w:val="-10"/>
          <w:sz w:val="21"/>
        </w:rPr>
        <w:t>更</w:t>
      </w:r>
      <w:r>
        <w:rPr>
          <w:rFonts w:ascii="Microsoft JhengHei" w:eastAsia="Microsoft JhengHei"/>
          <w:b/>
          <w:sz w:val="21"/>
        </w:rPr>
        <w:tab/>
      </w:r>
      <w:r>
        <w:rPr>
          <w:spacing w:val="-2"/>
          <w:sz w:val="21"/>
        </w:rPr>
        <w:t>为</w:t>
      </w:r>
      <w:r>
        <w:rPr>
          <w:spacing w:val="-2"/>
          <w:sz w:val="21"/>
        </w:rPr>
        <w:t>了</w:t>
      </w:r>
      <w:r>
        <w:rPr>
          <w:spacing w:val="-2"/>
          <w:sz w:val="21"/>
        </w:rPr>
        <w:t>保</w:t>
      </w:r>
      <w:r>
        <w:rPr>
          <w:spacing w:val="-2"/>
          <w:sz w:val="21"/>
        </w:rPr>
        <w:t>障</w:t>
      </w:r>
      <w:r>
        <w:rPr>
          <w:spacing w:val="-2"/>
          <w:sz w:val="21"/>
        </w:rPr>
        <w:t>您</w:t>
      </w:r>
      <w:r>
        <w:rPr>
          <w:spacing w:val="-2"/>
          <w:sz w:val="21"/>
        </w:rPr>
        <w:t>的</w:t>
      </w:r>
      <w:r>
        <w:rPr>
          <w:spacing w:val="-2"/>
          <w:sz w:val="21"/>
        </w:rPr>
        <w:t>合</w:t>
      </w:r>
      <w:r>
        <w:rPr>
          <w:spacing w:val="-2"/>
          <w:sz w:val="21"/>
        </w:rPr>
        <w:t>法</w:t>
      </w:r>
      <w:r>
        <w:rPr>
          <w:spacing w:val="-2"/>
          <w:sz w:val="21"/>
        </w:rPr>
        <w:t>权</w:t>
      </w:r>
      <w:r>
        <w:rPr>
          <w:spacing w:val="-2"/>
          <w:sz w:val="21"/>
        </w:rPr>
        <w:t>益</w:t>
      </w:r>
      <w:r>
        <w:rPr>
          <w:spacing w:val="-2"/>
          <w:sz w:val="21"/>
        </w:rPr>
        <w:t>，</w:t>
      </w:r>
      <w:r>
        <w:rPr>
          <w:spacing w:val="-2"/>
          <w:sz w:val="21"/>
        </w:rPr>
        <w:t>您</w:t>
      </w:r>
      <w:r>
        <w:rPr>
          <w:spacing w:val="-2"/>
          <w:sz w:val="21"/>
        </w:rPr>
        <w:t>的</w:t>
      </w:r>
      <w:r>
        <w:rPr>
          <w:spacing w:val="-2"/>
          <w:sz w:val="21"/>
        </w:rPr>
        <w:t>住</w:t>
      </w:r>
      <w:r>
        <w:rPr>
          <w:spacing w:val="-2"/>
          <w:sz w:val="21"/>
        </w:rPr>
        <w:t>所</w:t>
      </w:r>
      <w:r>
        <w:rPr>
          <w:spacing w:val="-2"/>
          <w:sz w:val="21"/>
        </w:rPr>
        <w:t>、</w:t>
      </w:r>
      <w:r>
        <w:rPr>
          <w:spacing w:val="-2"/>
          <w:sz w:val="21"/>
        </w:rPr>
        <w:t>通</w:t>
      </w:r>
      <w:r>
        <w:rPr>
          <w:spacing w:val="-2"/>
          <w:sz w:val="21"/>
        </w:rPr>
        <w:t>讯</w:t>
      </w:r>
      <w:r>
        <w:rPr>
          <w:spacing w:val="-2"/>
          <w:sz w:val="21"/>
        </w:rPr>
        <w:t>地</w:t>
      </w:r>
      <w:r>
        <w:rPr>
          <w:spacing w:val="-2"/>
          <w:sz w:val="21"/>
        </w:rPr>
        <w:t>址</w:t>
      </w:r>
      <w:r>
        <w:rPr>
          <w:spacing w:val="-2"/>
          <w:sz w:val="21"/>
        </w:rPr>
        <w:t>或者电</w:t>
      </w:r>
      <w:r>
        <w:rPr>
          <w:spacing w:val="-2"/>
          <w:sz w:val="21"/>
        </w:rPr>
        <w:t>话</w:t>
      </w:r>
      <w:r>
        <w:rPr>
          <w:spacing w:val="-2"/>
          <w:sz w:val="21"/>
        </w:rPr>
        <w:t>等</w:t>
      </w:r>
      <w:r>
        <w:rPr>
          <w:spacing w:val="-10"/>
          <w:sz w:val="21"/>
        </w:rPr>
        <w:t>联</w:t>
      </w:r>
    </w:p>
    <w:p>
      <w:pPr>
        <w:pStyle w:val="BodyText"/>
        <w:spacing w:line="278" w:lineRule="auto" w:before="1"/>
        <w:ind w:left="3462" w:right="1597"/>
      </w:pPr>
      <w:r>
        <w:rPr>
          <w:spacing w:val="-2"/>
        </w:rPr>
        <w:t>系方式变更时，请及时以书面形式或者双方认可的其他形式</w:t>
      </w:r>
      <w:r>
        <w:rPr>
          <w:spacing w:val="-2"/>
        </w:rPr>
        <w:t>通知我们。如果您未以书面形式或者双方认可的其他形式通</w:t>
      </w:r>
      <w:r>
        <w:rPr>
          <w:spacing w:val="-2"/>
        </w:rPr>
        <w:t>知我们，我们按本合同载明的最后联系方式发送的有关通</w:t>
      </w:r>
      <w:r>
        <w:rPr/>
        <w:t> </w:t>
      </w:r>
      <w:r>
        <w:rPr>
          <w:spacing w:val="-2"/>
        </w:rPr>
        <w:t>知，均视为已送达给您。</w:t>
      </w:r>
    </w:p>
    <w:p>
      <w:pPr>
        <w:pStyle w:val="BodyText"/>
        <w:spacing w:before="8"/>
        <w:rPr>
          <w:sz w:val="19"/>
        </w:rPr>
      </w:pPr>
    </w:p>
    <w:p>
      <w:pPr>
        <w:pStyle w:val="ListParagraph"/>
        <w:numPr>
          <w:ilvl w:val="1"/>
          <w:numId w:val="13"/>
        </w:numPr>
        <w:tabs>
          <w:tab w:pos="1910" w:val="left" w:leader="none"/>
          <w:tab w:pos="1911" w:val="left" w:leader="none"/>
          <w:tab w:pos="3461" w:val="left" w:leader="none"/>
        </w:tabs>
        <w:spacing w:line="240" w:lineRule="auto" w:before="0" w:after="0"/>
        <w:ind w:left="1910" w:right="0" w:hanging="985"/>
        <w:jc w:val="left"/>
        <w:rPr>
          <w:sz w:val="21"/>
        </w:rPr>
      </w:pPr>
      <w:r>
        <w:rPr>
          <w:rFonts w:ascii="Microsoft JhengHei" w:eastAsia="Microsoft JhengHei"/>
          <w:b/>
          <w:sz w:val="21"/>
        </w:rPr>
        <w:t>争议处</w:t>
      </w:r>
      <w:r>
        <w:rPr>
          <w:rFonts w:ascii="Microsoft JhengHei" w:eastAsia="Microsoft JhengHei"/>
          <w:b/>
          <w:spacing w:val="-10"/>
          <w:sz w:val="21"/>
        </w:rPr>
        <w:t>理</w:t>
      </w:r>
      <w:r>
        <w:rPr>
          <w:rFonts w:ascii="Microsoft JhengHei" w:eastAsia="Microsoft JhengHei"/>
          <w:b/>
          <w:sz w:val="21"/>
        </w:rPr>
        <w:tab/>
      </w:r>
      <w:r>
        <w:rPr>
          <w:spacing w:val="-2"/>
          <w:sz w:val="21"/>
        </w:rPr>
        <w:t>本</w:t>
      </w:r>
      <w:r>
        <w:rPr>
          <w:spacing w:val="-2"/>
          <w:sz w:val="21"/>
        </w:rPr>
        <w:t>合</w:t>
      </w:r>
      <w:r>
        <w:rPr>
          <w:spacing w:val="-2"/>
          <w:sz w:val="21"/>
        </w:rPr>
        <w:t>同</w:t>
      </w:r>
      <w:r>
        <w:rPr>
          <w:spacing w:val="-2"/>
          <w:sz w:val="21"/>
        </w:rPr>
        <w:t>履</w:t>
      </w:r>
      <w:r>
        <w:rPr>
          <w:spacing w:val="-2"/>
          <w:sz w:val="21"/>
        </w:rPr>
        <w:t>行</w:t>
      </w:r>
      <w:r>
        <w:rPr>
          <w:spacing w:val="-2"/>
          <w:sz w:val="21"/>
        </w:rPr>
        <w:t>过</w:t>
      </w:r>
      <w:r>
        <w:rPr>
          <w:spacing w:val="-2"/>
          <w:sz w:val="21"/>
        </w:rPr>
        <w:t>程</w:t>
      </w:r>
      <w:r>
        <w:rPr>
          <w:spacing w:val="-2"/>
          <w:sz w:val="21"/>
        </w:rPr>
        <w:t>中</w:t>
      </w:r>
      <w:r>
        <w:rPr>
          <w:spacing w:val="-2"/>
          <w:sz w:val="21"/>
        </w:rPr>
        <w:t>，</w:t>
      </w:r>
      <w:r>
        <w:rPr>
          <w:spacing w:val="-2"/>
          <w:sz w:val="21"/>
        </w:rPr>
        <w:t>双</w:t>
      </w:r>
      <w:r>
        <w:rPr>
          <w:spacing w:val="-2"/>
          <w:sz w:val="21"/>
        </w:rPr>
        <w:t>方</w:t>
      </w:r>
      <w:r>
        <w:rPr>
          <w:spacing w:val="-2"/>
          <w:sz w:val="21"/>
        </w:rPr>
        <w:t>发</w:t>
      </w:r>
      <w:r>
        <w:rPr>
          <w:spacing w:val="-2"/>
          <w:sz w:val="21"/>
        </w:rPr>
        <w:t>生</w:t>
      </w:r>
      <w:r>
        <w:rPr>
          <w:spacing w:val="-2"/>
          <w:sz w:val="21"/>
        </w:rPr>
        <w:t>争</w:t>
      </w:r>
      <w:r>
        <w:rPr>
          <w:spacing w:val="-2"/>
          <w:sz w:val="21"/>
        </w:rPr>
        <w:t>议</w:t>
      </w:r>
      <w:r>
        <w:rPr>
          <w:spacing w:val="-2"/>
          <w:sz w:val="21"/>
        </w:rPr>
        <w:t>不</w:t>
      </w:r>
      <w:r>
        <w:rPr>
          <w:spacing w:val="-2"/>
          <w:sz w:val="21"/>
        </w:rPr>
        <w:t>能</w:t>
      </w:r>
      <w:r>
        <w:rPr>
          <w:spacing w:val="-2"/>
          <w:sz w:val="21"/>
        </w:rPr>
        <w:t>协</w:t>
      </w:r>
      <w:r>
        <w:rPr>
          <w:spacing w:val="-2"/>
          <w:sz w:val="21"/>
        </w:rPr>
        <w:t>商</w:t>
      </w:r>
      <w:r>
        <w:rPr>
          <w:spacing w:val="-2"/>
          <w:sz w:val="21"/>
        </w:rPr>
        <w:t>解</w:t>
      </w:r>
      <w:r>
        <w:rPr>
          <w:spacing w:val="-2"/>
          <w:sz w:val="21"/>
        </w:rPr>
        <w:t>决的，</w:t>
      </w:r>
      <w:r>
        <w:rPr>
          <w:spacing w:val="-2"/>
          <w:sz w:val="21"/>
        </w:rPr>
        <w:t>可</w:t>
      </w:r>
      <w:r>
        <w:rPr>
          <w:spacing w:val="-2"/>
          <w:sz w:val="21"/>
        </w:rPr>
        <w:t>以</w:t>
      </w:r>
      <w:r>
        <w:rPr>
          <w:spacing w:val="-10"/>
          <w:sz w:val="21"/>
        </w:rPr>
        <w:t>达</w:t>
      </w:r>
    </w:p>
    <w:p>
      <w:pPr>
        <w:pStyle w:val="BodyText"/>
        <w:spacing w:line="278" w:lineRule="auto" w:before="1"/>
        <w:ind w:left="3462" w:right="1809"/>
      </w:pPr>
      <w:r>
        <w:rPr>
          <w:spacing w:val="-2"/>
        </w:rPr>
        <w:t>成仲裁协议通过仲裁解决，也可以依法直接向法院提起诉</w:t>
      </w:r>
      <w:r>
        <w:rPr>
          <w:spacing w:val="-6"/>
        </w:rPr>
        <w:t>讼。</w:t>
      </w:r>
    </w:p>
    <w:p>
      <w:pPr>
        <w:pStyle w:val="BodyText"/>
        <w:spacing w:before="8"/>
        <w:rPr>
          <w:sz w:val="19"/>
        </w:rPr>
      </w:pPr>
    </w:p>
    <w:p>
      <w:pPr>
        <w:pStyle w:val="ListParagraph"/>
        <w:numPr>
          <w:ilvl w:val="1"/>
          <w:numId w:val="13"/>
        </w:numPr>
        <w:tabs>
          <w:tab w:pos="1910" w:val="left" w:leader="none"/>
          <w:tab w:pos="1911" w:val="left" w:leader="none"/>
          <w:tab w:pos="3461" w:val="left" w:leader="none"/>
        </w:tabs>
        <w:spacing w:line="240" w:lineRule="auto" w:before="0" w:after="0"/>
        <w:ind w:left="1910" w:right="0" w:hanging="985"/>
        <w:jc w:val="left"/>
        <w:rPr>
          <w:sz w:val="21"/>
        </w:rPr>
      </w:pPr>
      <w:r>
        <w:rPr>
          <w:rFonts w:ascii="Microsoft JhengHei" w:eastAsia="Microsoft JhengHei"/>
          <w:b/>
          <w:sz w:val="21"/>
        </w:rPr>
        <w:t>保险事故鉴</w:t>
      </w:r>
      <w:r>
        <w:rPr>
          <w:rFonts w:ascii="Microsoft JhengHei" w:eastAsia="Microsoft JhengHei"/>
          <w:b/>
          <w:spacing w:val="-10"/>
          <w:sz w:val="21"/>
        </w:rPr>
        <w:t>定</w:t>
      </w:r>
      <w:r>
        <w:rPr>
          <w:rFonts w:ascii="Microsoft JhengHei" w:eastAsia="Microsoft JhengHei"/>
          <w:b/>
          <w:sz w:val="21"/>
        </w:rPr>
        <w:tab/>
      </w:r>
      <w:r>
        <w:rPr>
          <w:spacing w:val="-2"/>
          <w:sz w:val="21"/>
        </w:rPr>
        <w:t>如</w:t>
      </w:r>
      <w:r>
        <w:rPr>
          <w:spacing w:val="-2"/>
          <w:sz w:val="21"/>
        </w:rPr>
        <w:t>果</w:t>
      </w:r>
      <w:r>
        <w:rPr>
          <w:spacing w:val="-2"/>
          <w:sz w:val="21"/>
        </w:rPr>
        <w:t>被</w:t>
      </w:r>
      <w:r>
        <w:rPr>
          <w:spacing w:val="-2"/>
          <w:sz w:val="21"/>
        </w:rPr>
        <w:t>保</w:t>
      </w:r>
      <w:r>
        <w:rPr>
          <w:spacing w:val="-2"/>
          <w:sz w:val="21"/>
        </w:rPr>
        <w:t>险</w:t>
      </w:r>
      <w:r>
        <w:rPr>
          <w:spacing w:val="-2"/>
          <w:sz w:val="21"/>
        </w:rPr>
        <w:t>人</w:t>
      </w:r>
      <w:r>
        <w:rPr>
          <w:spacing w:val="-2"/>
          <w:sz w:val="21"/>
        </w:rPr>
        <w:t>发</w:t>
      </w:r>
      <w:r>
        <w:rPr>
          <w:spacing w:val="-2"/>
          <w:sz w:val="21"/>
        </w:rPr>
        <w:t>生</w:t>
      </w:r>
      <w:r>
        <w:rPr>
          <w:spacing w:val="-2"/>
          <w:sz w:val="21"/>
        </w:rPr>
        <w:t>保</w:t>
      </w:r>
      <w:r>
        <w:rPr>
          <w:spacing w:val="-2"/>
          <w:sz w:val="21"/>
        </w:rPr>
        <w:t>险</w:t>
      </w:r>
      <w:r>
        <w:rPr>
          <w:spacing w:val="-2"/>
          <w:sz w:val="21"/>
        </w:rPr>
        <w:t>事</w:t>
      </w:r>
      <w:r>
        <w:rPr>
          <w:spacing w:val="-2"/>
          <w:sz w:val="21"/>
        </w:rPr>
        <w:t>故</w:t>
      </w:r>
      <w:r>
        <w:rPr>
          <w:spacing w:val="-2"/>
          <w:sz w:val="21"/>
        </w:rPr>
        <w:t>，</w:t>
      </w:r>
      <w:r>
        <w:rPr>
          <w:spacing w:val="-2"/>
          <w:sz w:val="21"/>
        </w:rPr>
        <w:t>您</w:t>
      </w:r>
      <w:r>
        <w:rPr>
          <w:spacing w:val="-2"/>
          <w:sz w:val="21"/>
        </w:rPr>
        <w:t>和</w:t>
      </w:r>
      <w:r>
        <w:rPr>
          <w:spacing w:val="-2"/>
          <w:sz w:val="21"/>
        </w:rPr>
        <w:t>我</w:t>
      </w:r>
      <w:r>
        <w:rPr>
          <w:spacing w:val="-2"/>
          <w:sz w:val="21"/>
        </w:rPr>
        <w:t>们</w:t>
      </w:r>
      <w:r>
        <w:rPr>
          <w:spacing w:val="-2"/>
          <w:sz w:val="21"/>
        </w:rPr>
        <w:t>均</w:t>
      </w:r>
      <w:r>
        <w:rPr>
          <w:spacing w:val="-2"/>
          <w:sz w:val="21"/>
        </w:rPr>
        <w:t>可</w:t>
      </w:r>
      <w:r>
        <w:rPr>
          <w:spacing w:val="-2"/>
          <w:sz w:val="21"/>
        </w:rPr>
        <w:t>以</w:t>
      </w:r>
      <w:r>
        <w:rPr>
          <w:spacing w:val="-2"/>
          <w:sz w:val="21"/>
        </w:rPr>
        <w:t>委托双</w:t>
      </w:r>
      <w:r>
        <w:rPr>
          <w:spacing w:val="-2"/>
          <w:sz w:val="21"/>
        </w:rPr>
        <w:t>方</w:t>
      </w:r>
      <w:r>
        <w:rPr>
          <w:spacing w:val="-2"/>
          <w:sz w:val="21"/>
        </w:rPr>
        <w:t>认</w:t>
      </w:r>
      <w:r>
        <w:rPr>
          <w:spacing w:val="-10"/>
          <w:sz w:val="21"/>
        </w:rPr>
        <w:t>可</w:t>
      </w:r>
    </w:p>
    <w:p>
      <w:pPr>
        <w:pStyle w:val="BodyText"/>
        <w:spacing w:line="278" w:lineRule="auto"/>
        <w:ind w:left="3462" w:right="1597"/>
      </w:pPr>
      <w:r>
        <w:rPr>
          <w:spacing w:val="-2"/>
        </w:rPr>
        <w:t>的保险公估机构等依法设立的独立评估机构或者具有相关专</w:t>
      </w:r>
      <w:r>
        <w:rPr>
          <w:spacing w:val="-2"/>
        </w:rPr>
        <w:t>业知识的人员，对保险事故进行评估和鉴定。</w:t>
      </w:r>
    </w:p>
    <w:p>
      <w:pPr>
        <w:spacing w:after="0" w:line="278" w:lineRule="auto"/>
        <w:sectPr>
          <w:pgSz w:w="11910" w:h="16840"/>
          <w:pgMar w:header="0" w:footer="226" w:top="820" w:bottom="420" w:left="980" w:right="400"/>
        </w:sectPr>
      </w:pPr>
    </w:p>
    <w:tbl>
      <w:tblPr>
        <w:tblW w:w="0" w:type="auto"/>
        <w:jc w:val="left"/>
        <w:tblInd w:w="8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56"/>
        <w:gridCol w:w="1832"/>
        <w:gridCol w:w="5719"/>
      </w:tblGrid>
      <w:tr>
        <w:trPr>
          <w:trHeight w:val="273" w:hRule="atLeast"/>
        </w:trPr>
        <w:tc>
          <w:tcPr>
            <w:tcW w:w="756" w:type="dxa"/>
            <w:tcBorders>
              <w:bottom w:val="single" w:sz="8" w:space="0" w:color="000000"/>
            </w:tcBorders>
          </w:tcPr>
          <w:p>
            <w:pPr>
              <w:pStyle w:val="TableParagraph"/>
              <w:spacing w:line="253" w:lineRule="exact"/>
              <w:ind w:left="105"/>
              <w:rPr>
                <w:rFonts w:ascii="Microsoft JhengHei"/>
                <w:b/>
                <w:sz w:val="24"/>
              </w:rPr>
            </w:pPr>
            <w:r>
              <w:rPr>
                <w:rFonts w:ascii="Microsoft JhengHei"/>
                <w:b/>
                <w:w w:val="83"/>
                <w:sz w:val="24"/>
              </w:rPr>
              <w:t>9</w:t>
            </w:r>
          </w:p>
        </w:tc>
        <w:tc>
          <w:tcPr>
            <w:tcW w:w="1832" w:type="dxa"/>
            <w:tcBorders>
              <w:bottom w:val="single" w:sz="8" w:space="0" w:color="000000"/>
            </w:tcBorders>
          </w:tcPr>
          <w:p>
            <w:pPr>
              <w:pStyle w:val="TableParagraph"/>
              <w:spacing w:line="253" w:lineRule="exact"/>
              <w:ind w:left="333"/>
              <w:rPr>
                <w:rFonts w:ascii="Microsoft JhengHei" w:eastAsia="Microsoft JhengHei"/>
                <w:b/>
                <w:sz w:val="24"/>
              </w:rPr>
            </w:pPr>
            <w:r>
              <w:rPr>
                <w:rFonts w:ascii="Microsoft JhengHei" w:eastAsia="Microsoft JhengHei"/>
                <w:b/>
                <w:spacing w:val="-2"/>
                <w:sz w:val="24"/>
              </w:rPr>
              <w:t>重度疾病定义</w:t>
            </w:r>
          </w:p>
        </w:tc>
        <w:tc>
          <w:tcPr>
            <w:tcW w:w="5719" w:type="dxa"/>
            <w:tcBorders>
              <w:bottom w:val="single" w:sz="8" w:space="0" w:color="000000"/>
            </w:tcBorders>
          </w:tcPr>
          <w:p>
            <w:pPr>
              <w:pStyle w:val="TableParagraph"/>
              <w:rPr>
                <w:rFonts w:ascii="Times New Roman"/>
                <w:sz w:val="20"/>
              </w:rPr>
            </w:pPr>
          </w:p>
        </w:tc>
      </w:tr>
      <w:tr>
        <w:trPr>
          <w:trHeight w:val="470" w:hRule="atLeast"/>
        </w:trPr>
        <w:tc>
          <w:tcPr>
            <w:tcW w:w="756" w:type="dxa"/>
            <w:tcBorders>
              <w:top w:val="single" w:sz="8" w:space="0" w:color="000000"/>
            </w:tcBorders>
          </w:tcPr>
          <w:p>
            <w:pPr>
              <w:pStyle w:val="TableParagraph"/>
              <w:spacing w:line="342" w:lineRule="exact" w:before="109"/>
              <w:ind w:left="105"/>
              <w:rPr>
                <w:rFonts w:ascii="Microsoft JhengHei"/>
                <w:b/>
                <w:sz w:val="21"/>
              </w:rPr>
            </w:pPr>
            <w:r>
              <w:rPr>
                <w:rFonts w:ascii="Microsoft JhengHei"/>
                <w:b/>
                <w:spacing w:val="-5"/>
                <w:w w:val="105"/>
                <w:sz w:val="21"/>
              </w:rPr>
              <w:t>9.1</w:t>
            </w:r>
          </w:p>
        </w:tc>
        <w:tc>
          <w:tcPr>
            <w:tcW w:w="1832" w:type="dxa"/>
            <w:tcBorders>
              <w:top w:val="single" w:sz="8" w:space="0" w:color="000000"/>
            </w:tcBorders>
          </w:tcPr>
          <w:p>
            <w:pPr>
              <w:pStyle w:val="TableParagraph"/>
              <w:spacing w:line="342" w:lineRule="exact" w:before="109"/>
              <w:ind w:left="333"/>
              <w:rPr>
                <w:rFonts w:ascii="Microsoft JhengHei" w:eastAsia="Microsoft JhengHei"/>
                <w:b/>
                <w:sz w:val="21"/>
              </w:rPr>
            </w:pPr>
            <w:r>
              <w:rPr>
                <w:rFonts w:ascii="Microsoft JhengHei" w:eastAsia="Microsoft JhengHei"/>
                <w:b/>
                <w:spacing w:val="-3"/>
                <w:sz w:val="21"/>
              </w:rPr>
              <w:t>重度疾病</w:t>
            </w:r>
          </w:p>
        </w:tc>
        <w:tc>
          <w:tcPr>
            <w:tcW w:w="5719" w:type="dxa"/>
            <w:tcBorders>
              <w:top w:val="single" w:sz="8" w:space="0" w:color="000000"/>
            </w:tcBorders>
          </w:tcPr>
          <w:p>
            <w:pPr>
              <w:pStyle w:val="TableParagraph"/>
              <w:spacing w:before="178"/>
              <w:ind w:left="53"/>
              <w:rPr>
                <w:sz w:val="21"/>
              </w:rPr>
            </w:pPr>
            <w:r>
              <w:rPr>
                <w:spacing w:val="-2"/>
                <w:sz w:val="21"/>
              </w:rPr>
              <w:t>指被保险人发生符合以下疾病定义所述条件的疾病（</w:t>
            </w:r>
            <w:r>
              <w:rPr>
                <w:spacing w:val="-19"/>
                <w:sz w:val="21"/>
              </w:rPr>
              <w:t>共 </w:t>
            </w:r>
            <w:r>
              <w:rPr>
                <w:spacing w:val="-5"/>
                <w:sz w:val="21"/>
              </w:rPr>
              <w:t>105</w:t>
            </w:r>
          </w:p>
        </w:tc>
      </w:tr>
      <w:tr>
        <w:trPr>
          <w:trHeight w:val="1327" w:hRule="atLeast"/>
        </w:trPr>
        <w:tc>
          <w:tcPr>
            <w:tcW w:w="756" w:type="dxa"/>
          </w:tcPr>
          <w:p>
            <w:pPr>
              <w:pStyle w:val="TableParagraph"/>
              <w:rPr>
                <w:rFonts w:ascii="Times New Roman"/>
                <w:sz w:val="20"/>
              </w:rPr>
            </w:pPr>
          </w:p>
        </w:tc>
        <w:tc>
          <w:tcPr>
            <w:tcW w:w="1832" w:type="dxa"/>
          </w:tcPr>
          <w:p>
            <w:pPr>
              <w:pStyle w:val="TableParagraph"/>
              <w:rPr>
                <w:rFonts w:ascii="Times New Roman"/>
                <w:sz w:val="20"/>
              </w:rPr>
            </w:pPr>
          </w:p>
        </w:tc>
        <w:tc>
          <w:tcPr>
            <w:tcW w:w="5719" w:type="dxa"/>
          </w:tcPr>
          <w:p>
            <w:pPr>
              <w:pStyle w:val="TableParagraph"/>
              <w:spacing w:line="278" w:lineRule="auto" w:before="24"/>
              <w:ind w:left="53" w:right="199"/>
              <w:rPr>
                <w:sz w:val="21"/>
              </w:rPr>
            </w:pPr>
            <w:r>
              <w:rPr>
                <w:spacing w:val="-2"/>
                <w:sz w:val="21"/>
              </w:rPr>
              <w:t>种</w:t>
            </w:r>
            <w:r>
              <w:rPr>
                <w:spacing w:val="-106"/>
                <w:sz w:val="21"/>
              </w:rPr>
              <w:t>）</w:t>
            </w:r>
            <w:r>
              <w:rPr>
                <w:spacing w:val="-18"/>
                <w:sz w:val="21"/>
              </w:rPr>
              <w:t>。第 </w:t>
            </w:r>
            <w:r>
              <w:rPr>
                <w:spacing w:val="-2"/>
                <w:sz w:val="21"/>
              </w:rPr>
              <w:t>1</w:t>
            </w:r>
            <w:r>
              <w:rPr>
                <w:spacing w:val="-26"/>
                <w:sz w:val="21"/>
              </w:rPr>
              <w:t> 至第 </w:t>
            </w:r>
            <w:r>
              <w:rPr>
                <w:spacing w:val="-2"/>
                <w:sz w:val="21"/>
              </w:rPr>
              <w:t>28</w:t>
            </w:r>
            <w:r>
              <w:rPr>
                <w:spacing w:val="-9"/>
                <w:sz w:val="21"/>
              </w:rPr>
              <w:t> 项为中国保险行业协会与中国医师协会发</w:t>
            </w:r>
            <w:r>
              <w:rPr>
                <w:sz w:val="21"/>
              </w:rPr>
              <w:t>布的《重大疾病保险的疾病定义使用规范（2020</w:t>
            </w:r>
            <w:r>
              <w:rPr>
                <w:spacing w:val="-13"/>
                <w:sz w:val="21"/>
              </w:rPr>
              <w:t> 年修订</w:t>
            </w:r>
          </w:p>
          <w:p>
            <w:pPr>
              <w:pStyle w:val="TableParagraph"/>
              <w:spacing w:line="278" w:lineRule="auto"/>
              <w:ind w:left="53" w:right="199"/>
              <w:rPr>
                <w:sz w:val="21"/>
              </w:rPr>
            </w:pPr>
            <w:r>
              <w:rPr>
                <w:sz w:val="21"/>
              </w:rPr>
              <w:t>版</w:t>
            </w:r>
            <w:r>
              <w:rPr>
                <w:spacing w:val="-106"/>
                <w:sz w:val="21"/>
              </w:rPr>
              <w:t>）</w:t>
            </w:r>
            <w:r>
              <w:rPr>
                <w:spacing w:val="-3"/>
                <w:sz w:val="21"/>
              </w:rPr>
              <w:t>》中重度疾病的疾病名称和疾病定义，第 </w:t>
            </w:r>
            <w:r>
              <w:rPr>
                <w:sz w:val="21"/>
              </w:rPr>
              <w:t>29</w:t>
            </w:r>
            <w:r>
              <w:rPr>
                <w:spacing w:val="-30"/>
                <w:sz w:val="21"/>
              </w:rPr>
              <w:t> 至第 </w:t>
            </w:r>
            <w:r>
              <w:rPr>
                <w:sz w:val="21"/>
              </w:rPr>
              <w:t>105</w:t>
            </w:r>
            <w:r>
              <w:rPr>
                <w:spacing w:val="-27"/>
                <w:sz w:val="21"/>
              </w:rPr>
              <w:t> 项</w:t>
            </w:r>
            <w:r>
              <w:rPr>
                <w:spacing w:val="-2"/>
                <w:sz w:val="21"/>
              </w:rPr>
              <w:t>为我们增加的疾病种类并自行制定的疾病定义。</w:t>
            </w:r>
          </w:p>
        </w:tc>
      </w:tr>
      <w:tr>
        <w:trPr>
          <w:trHeight w:val="777" w:hRule="atLeast"/>
        </w:trPr>
        <w:tc>
          <w:tcPr>
            <w:tcW w:w="756" w:type="dxa"/>
          </w:tcPr>
          <w:p>
            <w:pPr>
              <w:pStyle w:val="TableParagraph"/>
              <w:rPr>
                <w:rFonts w:ascii="Times New Roman"/>
                <w:sz w:val="20"/>
              </w:rPr>
            </w:pPr>
          </w:p>
        </w:tc>
        <w:tc>
          <w:tcPr>
            <w:tcW w:w="1832" w:type="dxa"/>
          </w:tcPr>
          <w:p>
            <w:pPr>
              <w:pStyle w:val="TableParagraph"/>
              <w:rPr>
                <w:rFonts w:ascii="Times New Roman"/>
                <w:sz w:val="20"/>
              </w:rPr>
            </w:pPr>
          </w:p>
        </w:tc>
        <w:tc>
          <w:tcPr>
            <w:tcW w:w="5719" w:type="dxa"/>
          </w:tcPr>
          <w:p>
            <w:pPr>
              <w:pStyle w:val="TableParagraph"/>
              <w:spacing w:line="278" w:lineRule="auto" w:before="98"/>
              <w:ind w:left="53" w:right="201"/>
              <w:rPr>
                <w:sz w:val="21"/>
              </w:rPr>
            </w:pPr>
            <w:r>
              <w:rPr>
                <w:spacing w:val="-2"/>
                <w:sz w:val="21"/>
              </w:rPr>
              <w:t>被保险人发生符合以下疾病定义所述条件的疾病，应当由专</w:t>
            </w:r>
            <w:r>
              <w:rPr>
                <w:spacing w:val="-2"/>
                <w:sz w:val="21"/>
              </w:rPr>
              <w:t>科医生明确诊断。</w:t>
            </w:r>
          </w:p>
        </w:tc>
      </w:tr>
      <w:tr>
        <w:trPr>
          <w:trHeight w:val="391" w:hRule="atLeast"/>
        </w:trPr>
        <w:tc>
          <w:tcPr>
            <w:tcW w:w="756" w:type="dxa"/>
          </w:tcPr>
          <w:p>
            <w:pPr>
              <w:pStyle w:val="TableParagraph"/>
              <w:rPr>
                <w:rFonts w:ascii="Times New Roman"/>
                <w:sz w:val="20"/>
              </w:rPr>
            </w:pPr>
          </w:p>
        </w:tc>
        <w:tc>
          <w:tcPr>
            <w:tcW w:w="1832" w:type="dxa"/>
          </w:tcPr>
          <w:p>
            <w:pPr>
              <w:pStyle w:val="TableParagraph"/>
              <w:rPr>
                <w:rFonts w:ascii="Times New Roman"/>
                <w:sz w:val="20"/>
              </w:rPr>
            </w:pPr>
          </w:p>
        </w:tc>
        <w:tc>
          <w:tcPr>
            <w:tcW w:w="5719" w:type="dxa"/>
          </w:tcPr>
          <w:p>
            <w:pPr>
              <w:pStyle w:val="TableParagraph"/>
              <w:spacing w:before="99"/>
              <w:ind w:left="53"/>
              <w:rPr>
                <w:sz w:val="21"/>
              </w:rPr>
            </w:pPr>
            <w:r>
              <w:rPr>
                <w:spacing w:val="-3"/>
                <w:sz w:val="21"/>
              </w:rPr>
              <w:t>以下疾病名称仅供理解使用，具体保障范围以每项疾病具体</w:t>
            </w:r>
          </w:p>
        </w:tc>
      </w:tr>
      <w:tr>
        <w:trPr>
          <w:trHeight w:val="475" w:hRule="atLeast"/>
        </w:trPr>
        <w:tc>
          <w:tcPr>
            <w:tcW w:w="756" w:type="dxa"/>
          </w:tcPr>
          <w:p>
            <w:pPr>
              <w:pStyle w:val="TableParagraph"/>
              <w:rPr>
                <w:rFonts w:ascii="Times New Roman"/>
                <w:sz w:val="20"/>
              </w:rPr>
            </w:pPr>
          </w:p>
        </w:tc>
        <w:tc>
          <w:tcPr>
            <w:tcW w:w="1832" w:type="dxa"/>
          </w:tcPr>
          <w:p>
            <w:pPr>
              <w:pStyle w:val="TableParagraph"/>
              <w:rPr>
                <w:rFonts w:ascii="Times New Roman"/>
                <w:sz w:val="20"/>
              </w:rPr>
            </w:pPr>
          </w:p>
        </w:tc>
        <w:tc>
          <w:tcPr>
            <w:tcW w:w="5719" w:type="dxa"/>
          </w:tcPr>
          <w:p>
            <w:pPr>
              <w:pStyle w:val="TableParagraph"/>
              <w:spacing w:before="24"/>
              <w:ind w:left="53"/>
              <w:rPr>
                <w:sz w:val="21"/>
              </w:rPr>
            </w:pPr>
            <w:r>
              <w:rPr>
                <w:spacing w:val="-2"/>
                <w:sz w:val="21"/>
              </w:rPr>
              <w:t>定义为准。</w:t>
            </w:r>
          </w:p>
        </w:tc>
      </w:tr>
      <w:tr>
        <w:trPr>
          <w:trHeight w:val="475" w:hRule="atLeast"/>
        </w:trPr>
        <w:tc>
          <w:tcPr>
            <w:tcW w:w="756" w:type="dxa"/>
          </w:tcPr>
          <w:p>
            <w:pPr>
              <w:pStyle w:val="TableParagraph"/>
              <w:rPr>
                <w:rFonts w:ascii="Times New Roman"/>
                <w:sz w:val="20"/>
              </w:rPr>
            </w:pPr>
          </w:p>
        </w:tc>
        <w:tc>
          <w:tcPr>
            <w:tcW w:w="1832" w:type="dxa"/>
          </w:tcPr>
          <w:p>
            <w:pPr>
              <w:pStyle w:val="TableParagraph"/>
              <w:spacing w:line="342" w:lineRule="exact" w:before="113"/>
              <w:ind w:left="333"/>
              <w:rPr>
                <w:rFonts w:ascii="Microsoft JhengHei" w:hAnsi="Microsoft JhengHei" w:eastAsia="Microsoft JhengHei"/>
                <w:b/>
                <w:sz w:val="21"/>
              </w:rPr>
            </w:pPr>
            <w:r>
              <w:rPr>
                <w:rFonts w:ascii="Microsoft JhengHei" w:hAnsi="Microsoft JhengHei" w:eastAsia="Microsoft JhengHei"/>
                <w:b/>
                <w:sz w:val="21"/>
              </w:rPr>
              <w:t>1.</w:t>
            </w:r>
            <w:r>
              <w:rPr>
                <w:rFonts w:ascii="Microsoft JhengHei" w:hAnsi="Microsoft JhengHei" w:eastAsia="Microsoft JhengHei"/>
                <w:b/>
                <w:spacing w:val="-2"/>
                <w:sz w:val="21"/>
              </w:rPr>
              <w:t>恶性肿瘤—</w:t>
            </w:r>
          </w:p>
        </w:tc>
        <w:tc>
          <w:tcPr>
            <w:tcW w:w="5719" w:type="dxa"/>
          </w:tcPr>
          <w:p>
            <w:pPr>
              <w:pStyle w:val="TableParagraph"/>
              <w:spacing w:before="3"/>
              <w:rPr>
                <w:sz w:val="14"/>
              </w:rPr>
            </w:pPr>
          </w:p>
          <w:p>
            <w:pPr>
              <w:pStyle w:val="TableParagraph"/>
              <w:ind w:left="53"/>
              <w:rPr>
                <w:sz w:val="21"/>
              </w:rPr>
            </w:pPr>
            <w:r>
              <w:rPr>
                <w:spacing w:val="-3"/>
                <w:sz w:val="21"/>
              </w:rPr>
              <w:t>指恶性细胞不受控制的进行性增长和扩散，浸润和破坏周围</w:t>
            </w:r>
          </w:p>
        </w:tc>
      </w:tr>
      <w:tr>
        <w:trPr>
          <w:trHeight w:val="2576" w:hRule="atLeast"/>
        </w:trPr>
        <w:tc>
          <w:tcPr>
            <w:tcW w:w="756" w:type="dxa"/>
          </w:tcPr>
          <w:p>
            <w:pPr>
              <w:pStyle w:val="TableParagraph"/>
              <w:rPr>
                <w:rFonts w:ascii="Times New Roman"/>
                <w:sz w:val="20"/>
              </w:rPr>
            </w:pPr>
          </w:p>
        </w:tc>
        <w:tc>
          <w:tcPr>
            <w:tcW w:w="1832" w:type="dxa"/>
          </w:tcPr>
          <w:p>
            <w:pPr>
              <w:pStyle w:val="TableParagraph"/>
              <w:spacing w:line="341" w:lineRule="exact"/>
              <w:ind w:left="333"/>
              <w:rPr>
                <w:rFonts w:ascii="Microsoft JhengHei" w:hAnsi="Microsoft JhengHei" w:eastAsia="Microsoft JhengHei"/>
                <w:b/>
                <w:sz w:val="21"/>
              </w:rPr>
            </w:pPr>
            <w:r>
              <w:rPr>
                <w:rFonts w:ascii="Microsoft JhengHei" w:hAnsi="Microsoft JhengHei" w:eastAsia="Microsoft JhengHei"/>
                <w:b/>
                <w:w w:val="95"/>
                <w:sz w:val="21"/>
              </w:rPr>
              <w:t>—</w:t>
            </w:r>
            <w:r>
              <w:rPr>
                <w:rFonts w:ascii="Microsoft JhengHei" w:hAnsi="Microsoft JhengHei" w:eastAsia="Microsoft JhengHei"/>
                <w:b/>
                <w:w w:val="95"/>
                <w:sz w:val="21"/>
              </w:rPr>
              <w:t>重</w:t>
            </w:r>
            <w:r>
              <w:rPr>
                <w:rFonts w:ascii="Microsoft JhengHei" w:hAnsi="Microsoft JhengHei" w:eastAsia="Microsoft JhengHei"/>
                <w:b/>
                <w:spacing w:val="-10"/>
                <w:w w:val="95"/>
                <w:sz w:val="21"/>
              </w:rPr>
              <w:t>度</w:t>
            </w:r>
          </w:p>
        </w:tc>
        <w:tc>
          <w:tcPr>
            <w:tcW w:w="5719" w:type="dxa"/>
          </w:tcPr>
          <w:p>
            <w:pPr>
              <w:pStyle w:val="TableParagraph"/>
              <w:spacing w:line="228" w:lineRule="auto" w:before="35"/>
              <w:ind w:left="53" w:right="201"/>
              <w:jc w:val="both"/>
              <w:rPr>
                <w:sz w:val="21"/>
              </w:rPr>
            </w:pPr>
            <w:r>
              <w:rPr>
                <w:spacing w:val="-2"/>
                <w:sz w:val="21"/>
              </w:rPr>
              <w:t>正常组织，可以经血管、淋巴管和体腔扩散转移到身体其他</w:t>
            </w:r>
            <w:r>
              <w:rPr>
                <w:sz w:val="21"/>
              </w:rPr>
              <w:t>部位，病灶经</w:t>
            </w:r>
            <w:r>
              <w:rPr>
                <w:rFonts w:ascii="微软雅黑" w:eastAsia="微软雅黑"/>
                <w:b/>
                <w:sz w:val="21"/>
              </w:rPr>
              <w:t>组织病理学检查</w:t>
            </w:r>
            <w:r>
              <w:rPr>
                <w:sz w:val="21"/>
              </w:rPr>
              <w:t>（</w:t>
            </w:r>
            <w:r>
              <w:rPr>
                <w:spacing w:val="-7"/>
                <w:sz w:val="21"/>
              </w:rPr>
              <w:t>见释义 </w:t>
            </w:r>
            <w:r>
              <w:rPr>
                <w:sz w:val="21"/>
              </w:rPr>
              <w:t>13.31）（涵盖骨髓</w:t>
            </w:r>
            <w:r>
              <w:rPr>
                <w:spacing w:val="-2"/>
                <w:sz w:val="21"/>
              </w:rPr>
              <w:t>病理学检查）结果明确诊断，临床诊断属于世界卫生组织</w:t>
            </w:r>
          </w:p>
          <w:p>
            <w:pPr>
              <w:pStyle w:val="TableParagraph"/>
              <w:spacing w:line="194" w:lineRule="auto" w:before="32"/>
              <w:ind w:left="53" w:right="176"/>
              <w:jc w:val="both"/>
              <w:rPr>
                <w:sz w:val="21"/>
              </w:rPr>
            </w:pPr>
            <w:r>
              <w:rPr>
                <w:w w:val="100"/>
                <w:sz w:val="21"/>
              </w:rPr>
              <w:t>（WHO，Wor</w:t>
            </w:r>
            <w:r>
              <w:rPr>
                <w:spacing w:val="-5"/>
                <w:w w:val="100"/>
                <w:sz w:val="21"/>
              </w:rPr>
              <w:t>l</w:t>
            </w:r>
            <w:r>
              <w:rPr>
                <w:w w:val="100"/>
                <w:sz w:val="21"/>
              </w:rPr>
              <w:t>d</w:t>
            </w:r>
            <w:r>
              <w:rPr>
                <w:sz w:val="21"/>
              </w:rPr>
              <w:t> </w:t>
            </w:r>
            <w:r>
              <w:rPr>
                <w:w w:val="100"/>
                <w:sz w:val="21"/>
              </w:rPr>
              <w:t>Health</w:t>
            </w:r>
            <w:r>
              <w:rPr>
                <w:spacing w:val="-5"/>
                <w:sz w:val="21"/>
              </w:rPr>
              <w:t> </w:t>
            </w:r>
            <w:r>
              <w:rPr>
                <w:w w:val="100"/>
                <w:sz w:val="21"/>
              </w:rPr>
              <w:t>Organi</w:t>
            </w:r>
            <w:r>
              <w:rPr>
                <w:spacing w:val="-5"/>
                <w:w w:val="100"/>
                <w:sz w:val="21"/>
              </w:rPr>
              <w:t>z</w:t>
            </w:r>
            <w:r>
              <w:rPr>
                <w:w w:val="100"/>
                <w:sz w:val="21"/>
              </w:rPr>
              <w:t>ation</w:t>
            </w:r>
            <w:r>
              <w:rPr>
                <w:spacing w:val="-5"/>
                <w:w w:val="100"/>
                <w:sz w:val="21"/>
              </w:rPr>
              <w:t>）</w:t>
            </w:r>
            <w:r>
              <w:rPr>
                <w:rFonts w:ascii="微软雅黑" w:eastAsia="微软雅黑"/>
                <w:b/>
                <w:spacing w:val="-1"/>
                <w:w w:val="100"/>
                <w:sz w:val="21"/>
              </w:rPr>
              <w:t>《疾病和有关健康问题的国际统计分类》第十次修订版（</w:t>
            </w:r>
            <w:r>
              <w:rPr>
                <w:rFonts w:ascii="微软雅黑" w:eastAsia="微软雅黑"/>
                <w:b/>
                <w:spacing w:val="-1"/>
                <w:w w:val="83"/>
                <w:sz w:val="21"/>
              </w:rPr>
              <w:t>ICD</w:t>
            </w:r>
            <w:r>
              <w:rPr>
                <w:rFonts w:ascii="微软雅黑" w:eastAsia="微软雅黑"/>
                <w:b/>
                <w:spacing w:val="-1"/>
                <w:w w:val="115"/>
                <w:sz w:val="21"/>
              </w:rPr>
              <w:t>-</w:t>
            </w:r>
            <w:r>
              <w:rPr>
                <w:rFonts w:ascii="微软雅黑" w:eastAsia="微软雅黑"/>
                <w:b/>
                <w:spacing w:val="-1"/>
                <w:w w:val="81"/>
                <w:sz w:val="21"/>
              </w:rPr>
              <w:t>10</w:t>
            </w:r>
            <w:r>
              <w:rPr>
                <w:rFonts w:ascii="微软雅黑" w:eastAsia="微软雅黑"/>
                <w:b/>
                <w:spacing w:val="-1"/>
                <w:w w:val="100"/>
                <w:sz w:val="21"/>
              </w:rPr>
              <w:t>）</w:t>
            </w:r>
            <w:r>
              <w:rPr>
                <w:rFonts w:ascii="微软雅黑" w:eastAsia="微软雅黑"/>
                <w:b/>
                <w:spacing w:val="-6"/>
                <w:w w:val="100"/>
                <w:sz w:val="21"/>
              </w:rPr>
              <w:t>的恶性肿瘤类</w:t>
            </w:r>
            <w:r>
              <w:rPr>
                <w:rFonts w:ascii="微软雅黑" w:eastAsia="微软雅黑"/>
                <w:b/>
                <w:spacing w:val="-1"/>
                <w:w w:val="100"/>
                <w:sz w:val="21"/>
              </w:rPr>
              <w:t>别及《国际疾病分类肿瘤学专辑》第三版</w:t>
            </w:r>
            <w:r>
              <w:rPr>
                <w:rFonts w:ascii="微软雅黑" w:eastAsia="微软雅黑"/>
                <w:b/>
                <w:spacing w:val="1"/>
                <w:w w:val="100"/>
                <w:sz w:val="21"/>
              </w:rPr>
              <w:t>（</w:t>
            </w:r>
            <w:r>
              <w:rPr>
                <w:rFonts w:ascii="微软雅黑" w:eastAsia="微软雅黑"/>
                <w:b/>
                <w:w w:val="83"/>
                <w:sz w:val="21"/>
              </w:rPr>
              <w:t>ICD</w:t>
            </w:r>
            <w:r>
              <w:rPr>
                <w:rFonts w:ascii="微软雅黑" w:eastAsia="微软雅黑"/>
                <w:b/>
                <w:w w:val="115"/>
                <w:sz w:val="21"/>
              </w:rPr>
              <w:t>-</w:t>
            </w:r>
            <w:r>
              <w:rPr>
                <w:rFonts w:ascii="微软雅黑" w:eastAsia="微软雅黑"/>
                <w:b/>
                <w:w w:val="61"/>
                <w:sz w:val="21"/>
              </w:rPr>
              <w:t>O</w:t>
            </w:r>
            <w:r>
              <w:rPr>
                <w:rFonts w:ascii="微软雅黑" w:eastAsia="微软雅黑"/>
                <w:b/>
                <w:w w:val="115"/>
                <w:sz w:val="21"/>
              </w:rPr>
              <w:t>-</w:t>
            </w:r>
            <w:r>
              <w:rPr>
                <w:rFonts w:ascii="微软雅黑" w:eastAsia="微软雅黑"/>
                <w:b/>
                <w:w w:val="81"/>
                <w:sz w:val="21"/>
              </w:rPr>
              <w:t>3</w:t>
            </w:r>
            <w:r>
              <w:rPr>
                <w:rFonts w:ascii="微软雅黑" w:eastAsia="微软雅黑"/>
                <w:b/>
                <w:spacing w:val="4"/>
                <w:w w:val="100"/>
                <w:sz w:val="21"/>
              </w:rPr>
              <w:t>）</w:t>
            </w:r>
            <w:r>
              <w:rPr>
                <w:spacing w:val="-5"/>
                <w:w w:val="100"/>
                <w:sz w:val="21"/>
              </w:rPr>
              <w:t>（</w:t>
            </w:r>
            <w:r>
              <w:rPr>
                <w:w w:val="100"/>
                <w:sz w:val="21"/>
              </w:rPr>
              <w:t>见</w:t>
            </w:r>
          </w:p>
          <w:p>
            <w:pPr>
              <w:pStyle w:val="TableParagraph"/>
              <w:spacing w:line="278" w:lineRule="auto" w:before="10"/>
              <w:ind w:left="53" w:right="305"/>
              <w:jc w:val="both"/>
              <w:rPr>
                <w:sz w:val="21"/>
              </w:rPr>
            </w:pPr>
            <w:r>
              <w:rPr>
                <w:w w:val="95"/>
                <w:sz w:val="21"/>
              </w:rPr>
              <w:t>释</w:t>
            </w:r>
            <w:r>
              <w:rPr>
                <w:w w:val="95"/>
                <w:sz w:val="21"/>
              </w:rPr>
              <w:t>义</w:t>
            </w:r>
            <w:r>
              <w:rPr>
                <w:w w:val="95"/>
                <w:sz w:val="21"/>
              </w:rPr>
              <w:t> 13.32）</w:t>
            </w:r>
            <w:r>
              <w:rPr>
                <w:w w:val="95"/>
                <w:sz w:val="21"/>
              </w:rPr>
              <w:t>的</w:t>
            </w:r>
            <w:r>
              <w:rPr>
                <w:w w:val="95"/>
                <w:sz w:val="21"/>
              </w:rPr>
              <w:t>肿</w:t>
            </w:r>
            <w:r>
              <w:rPr>
                <w:w w:val="95"/>
                <w:sz w:val="21"/>
              </w:rPr>
              <w:t>瘤</w:t>
            </w:r>
            <w:r>
              <w:rPr>
                <w:w w:val="95"/>
                <w:sz w:val="21"/>
              </w:rPr>
              <w:t>形</w:t>
            </w:r>
            <w:r>
              <w:rPr>
                <w:w w:val="95"/>
                <w:sz w:val="21"/>
              </w:rPr>
              <w:t>态</w:t>
            </w:r>
            <w:r>
              <w:rPr>
                <w:w w:val="95"/>
                <w:sz w:val="21"/>
              </w:rPr>
              <w:t>学</w:t>
            </w:r>
            <w:r>
              <w:rPr>
                <w:w w:val="95"/>
                <w:sz w:val="21"/>
              </w:rPr>
              <w:t>编</w:t>
            </w:r>
            <w:r>
              <w:rPr>
                <w:w w:val="95"/>
                <w:sz w:val="21"/>
              </w:rPr>
              <w:t>码</w:t>
            </w:r>
            <w:r>
              <w:rPr>
                <w:w w:val="95"/>
                <w:sz w:val="21"/>
              </w:rPr>
              <w:t>属</w:t>
            </w:r>
            <w:r>
              <w:rPr>
                <w:w w:val="95"/>
                <w:sz w:val="21"/>
              </w:rPr>
              <w:t>于</w:t>
            </w:r>
            <w:r>
              <w:rPr>
                <w:w w:val="95"/>
                <w:sz w:val="21"/>
              </w:rPr>
              <w:t> 3、6</w:t>
            </w:r>
            <w:r>
              <w:rPr>
                <w:w w:val="95"/>
                <w:sz w:val="21"/>
              </w:rPr>
              <w:t>、</w:t>
            </w:r>
            <w:r>
              <w:rPr>
                <w:w w:val="95"/>
                <w:sz w:val="21"/>
              </w:rPr>
              <w:t>9（恶性</w:t>
            </w:r>
            <w:r>
              <w:rPr>
                <w:w w:val="95"/>
                <w:sz w:val="21"/>
              </w:rPr>
              <w:t>肿</w:t>
            </w:r>
            <w:r>
              <w:rPr>
                <w:w w:val="95"/>
                <w:sz w:val="21"/>
              </w:rPr>
              <w:t>瘤</w:t>
            </w:r>
            <w:r>
              <w:rPr>
                <w:w w:val="95"/>
                <w:sz w:val="21"/>
              </w:rPr>
              <w:t>）</w:t>
            </w:r>
            <w:r>
              <w:rPr>
                <w:spacing w:val="-2"/>
                <w:sz w:val="21"/>
              </w:rPr>
              <w:t>范畴的疾病。</w:t>
            </w:r>
          </w:p>
        </w:tc>
      </w:tr>
      <w:tr>
        <w:trPr>
          <w:trHeight w:val="465" w:hRule="atLeast"/>
        </w:trPr>
        <w:tc>
          <w:tcPr>
            <w:tcW w:w="756" w:type="dxa"/>
          </w:tcPr>
          <w:p>
            <w:pPr>
              <w:pStyle w:val="TableParagraph"/>
              <w:rPr>
                <w:rFonts w:ascii="Times New Roman"/>
                <w:sz w:val="20"/>
              </w:rPr>
            </w:pPr>
          </w:p>
        </w:tc>
        <w:tc>
          <w:tcPr>
            <w:tcW w:w="1832" w:type="dxa"/>
          </w:tcPr>
          <w:p>
            <w:pPr>
              <w:pStyle w:val="TableParagraph"/>
              <w:rPr>
                <w:rFonts w:ascii="Times New Roman"/>
                <w:sz w:val="20"/>
              </w:rPr>
            </w:pPr>
          </w:p>
        </w:tc>
        <w:tc>
          <w:tcPr>
            <w:tcW w:w="5719" w:type="dxa"/>
          </w:tcPr>
          <w:p>
            <w:pPr>
              <w:pStyle w:val="TableParagraph"/>
              <w:spacing w:before="98"/>
              <w:ind w:left="53"/>
              <w:rPr>
                <w:sz w:val="21"/>
              </w:rPr>
            </w:pPr>
            <w:r>
              <w:rPr>
                <w:spacing w:val="-3"/>
                <w:sz w:val="21"/>
              </w:rPr>
              <w:t>下列疾病不属于“恶性肿瘤——重度”，不在保障范围内：</w:t>
            </w:r>
          </w:p>
        </w:tc>
      </w:tr>
      <w:tr>
        <w:trPr>
          <w:trHeight w:val="391" w:hRule="atLeast"/>
        </w:trPr>
        <w:tc>
          <w:tcPr>
            <w:tcW w:w="756" w:type="dxa"/>
          </w:tcPr>
          <w:p>
            <w:pPr>
              <w:pStyle w:val="TableParagraph"/>
              <w:rPr>
                <w:rFonts w:ascii="Times New Roman"/>
                <w:sz w:val="20"/>
              </w:rPr>
            </w:pPr>
          </w:p>
        </w:tc>
        <w:tc>
          <w:tcPr>
            <w:tcW w:w="1832" w:type="dxa"/>
          </w:tcPr>
          <w:p>
            <w:pPr>
              <w:pStyle w:val="TableParagraph"/>
              <w:rPr>
                <w:rFonts w:ascii="Times New Roman"/>
                <w:sz w:val="20"/>
              </w:rPr>
            </w:pPr>
          </w:p>
        </w:tc>
        <w:tc>
          <w:tcPr>
            <w:tcW w:w="5719" w:type="dxa"/>
          </w:tcPr>
          <w:p>
            <w:pPr>
              <w:pStyle w:val="TableParagraph"/>
              <w:spacing w:before="98"/>
              <w:ind w:left="53"/>
              <w:rPr>
                <w:sz w:val="21"/>
              </w:rPr>
            </w:pPr>
            <w:r>
              <w:rPr>
                <w:spacing w:val="-2"/>
                <w:sz w:val="21"/>
              </w:rPr>
              <w:t>（1）ICD-O-3肿瘤形态学编码属于0（良性肿瘤）、1（</w:t>
            </w:r>
            <w:r>
              <w:rPr>
                <w:spacing w:val="-6"/>
                <w:sz w:val="21"/>
              </w:rPr>
              <w:t>动态</w:t>
            </w:r>
          </w:p>
        </w:tc>
      </w:tr>
      <w:tr>
        <w:trPr>
          <w:trHeight w:val="314" w:hRule="atLeast"/>
        </w:trPr>
        <w:tc>
          <w:tcPr>
            <w:tcW w:w="756" w:type="dxa"/>
          </w:tcPr>
          <w:p>
            <w:pPr>
              <w:pStyle w:val="TableParagraph"/>
              <w:rPr>
                <w:rFonts w:ascii="Times New Roman"/>
                <w:sz w:val="20"/>
              </w:rPr>
            </w:pPr>
          </w:p>
        </w:tc>
        <w:tc>
          <w:tcPr>
            <w:tcW w:w="1832" w:type="dxa"/>
          </w:tcPr>
          <w:p>
            <w:pPr>
              <w:pStyle w:val="TableParagraph"/>
              <w:rPr>
                <w:rFonts w:ascii="Times New Roman"/>
                <w:sz w:val="20"/>
              </w:rPr>
            </w:pPr>
          </w:p>
        </w:tc>
        <w:tc>
          <w:tcPr>
            <w:tcW w:w="5719" w:type="dxa"/>
          </w:tcPr>
          <w:p>
            <w:pPr>
              <w:pStyle w:val="TableParagraph"/>
              <w:spacing w:before="24"/>
              <w:ind w:left="53"/>
              <w:rPr>
                <w:sz w:val="21"/>
              </w:rPr>
            </w:pPr>
            <w:r>
              <w:rPr>
                <w:spacing w:val="-2"/>
                <w:sz w:val="21"/>
              </w:rPr>
              <w:t>未定性肿瘤）、2（原位癌和非侵袭性癌）</w:t>
            </w:r>
            <w:r>
              <w:rPr>
                <w:spacing w:val="-4"/>
                <w:sz w:val="21"/>
              </w:rPr>
              <w:t>范畴的疾病，</w:t>
            </w:r>
          </w:p>
        </w:tc>
      </w:tr>
      <w:tr>
        <w:trPr>
          <w:trHeight w:val="261" w:hRule="atLeast"/>
        </w:trPr>
        <w:tc>
          <w:tcPr>
            <w:tcW w:w="756" w:type="dxa"/>
          </w:tcPr>
          <w:p>
            <w:pPr>
              <w:pStyle w:val="TableParagraph"/>
              <w:rPr>
                <w:rFonts w:ascii="Times New Roman"/>
                <w:sz w:val="18"/>
              </w:rPr>
            </w:pPr>
          </w:p>
        </w:tc>
        <w:tc>
          <w:tcPr>
            <w:tcW w:w="1832" w:type="dxa"/>
          </w:tcPr>
          <w:p>
            <w:pPr>
              <w:pStyle w:val="TableParagraph"/>
              <w:rPr>
                <w:rFonts w:ascii="Times New Roman"/>
                <w:sz w:val="18"/>
              </w:rPr>
            </w:pPr>
          </w:p>
        </w:tc>
        <w:tc>
          <w:tcPr>
            <w:tcW w:w="5719" w:type="dxa"/>
          </w:tcPr>
          <w:p>
            <w:pPr>
              <w:pStyle w:val="TableParagraph"/>
              <w:spacing w:line="220" w:lineRule="exact" w:before="22"/>
              <w:ind w:left="53"/>
              <w:rPr>
                <w:sz w:val="21"/>
              </w:rPr>
            </w:pPr>
            <w:r>
              <w:rPr>
                <w:spacing w:val="-5"/>
                <w:sz w:val="21"/>
              </w:rPr>
              <w:t>如：</w:t>
            </w:r>
          </w:p>
        </w:tc>
      </w:tr>
    </w:tbl>
    <w:p>
      <w:pPr>
        <w:pStyle w:val="ListParagraph"/>
        <w:numPr>
          <w:ilvl w:val="0"/>
          <w:numId w:val="14"/>
        </w:numPr>
        <w:tabs>
          <w:tab w:pos="4097" w:val="left" w:leader="none"/>
        </w:tabs>
        <w:spacing w:line="278" w:lineRule="auto" w:before="82" w:after="0"/>
        <w:ind w:left="3884" w:right="1597" w:firstLine="0"/>
        <w:jc w:val="left"/>
        <w:rPr>
          <w:sz w:val="21"/>
        </w:rPr>
      </w:pPr>
      <w:r>
        <w:rPr>
          <w:spacing w:val="-2"/>
          <w:sz w:val="21"/>
        </w:rPr>
        <w:t>原位癌，癌前病变，非浸润性癌，非侵袭性癌，肿瘤</w:t>
      </w:r>
      <w:r>
        <w:rPr>
          <w:spacing w:val="-2"/>
          <w:sz w:val="21"/>
        </w:rPr>
        <w:t>细胞未侵犯基底层，上皮内瘤变，细胞不典型性增生</w:t>
      </w:r>
      <w:r>
        <w:rPr>
          <w:spacing w:val="-2"/>
          <w:sz w:val="21"/>
        </w:rPr>
        <w:t> </w:t>
      </w:r>
      <w:r>
        <w:rPr>
          <w:spacing w:val="-6"/>
          <w:sz w:val="21"/>
        </w:rPr>
        <w:t>等；</w:t>
      </w:r>
    </w:p>
    <w:p>
      <w:pPr>
        <w:pStyle w:val="ListParagraph"/>
        <w:numPr>
          <w:ilvl w:val="0"/>
          <w:numId w:val="14"/>
        </w:numPr>
        <w:tabs>
          <w:tab w:pos="4097" w:val="left" w:leader="none"/>
        </w:tabs>
        <w:spacing w:line="278" w:lineRule="auto" w:before="0" w:after="0"/>
        <w:ind w:left="3884" w:right="1597" w:firstLine="0"/>
        <w:jc w:val="left"/>
        <w:rPr>
          <w:sz w:val="21"/>
        </w:rPr>
      </w:pPr>
      <w:r>
        <w:rPr>
          <w:spacing w:val="-2"/>
          <w:sz w:val="21"/>
        </w:rPr>
        <w:t>交界性肿瘤，交界恶性肿瘤，肿瘤低度恶性潜能，潜</w:t>
      </w:r>
      <w:r>
        <w:rPr>
          <w:spacing w:val="-2"/>
          <w:sz w:val="21"/>
        </w:rPr>
        <w:t>在低度恶性肿瘤等；</w:t>
      </w:r>
    </w:p>
    <w:p>
      <w:pPr>
        <w:pStyle w:val="ListParagraph"/>
        <w:numPr>
          <w:ilvl w:val="1"/>
          <w:numId w:val="11"/>
        </w:numPr>
        <w:tabs>
          <w:tab w:pos="3991" w:val="left" w:leader="none"/>
        </w:tabs>
        <w:spacing w:line="316" w:lineRule="exact" w:before="0" w:after="0"/>
        <w:ind w:left="3991" w:right="0" w:hanging="529"/>
        <w:jc w:val="left"/>
        <w:rPr>
          <w:sz w:val="21"/>
        </w:rPr>
      </w:pPr>
      <w:r>
        <w:rPr>
          <w:rFonts w:ascii="微软雅黑" w:hAnsi="微软雅黑" w:eastAsia="微软雅黑"/>
          <w:b/>
          <w:w w:val="90"/>
          <w:sz w:val="21"/>
        </w:rPr>
        <w:t>TNM</w:t>
      </w:r>
      <w:r>
        <w:rPr>
          <w:rFonts w:ascii="微软雅黑" w:hAnsi="微软雅黑" w:eastAsia="微软雅黑"/>
          <w:b/>
          <w:w w:val="95"/>
          <w:sz w:val="21"/>
        </w:rPr>
        <w:t>分期</w:t>
      </w:r>
      <w:r>
        <w:rPr>
          <w:w w:val="95"/>
          <w:sz w:val="21"/>
        </w:rPr>
        <w:t>（</w:t>
      </w:r>
      <w:r>
        <w:rPr>
          <w:w w:val="95"/>
          <w:sz w:val="21"/>
        </w:rPr>
        <w:t>见</w:t>
      </w:r>
      <w:r>
        <w:rPr>
          <w:w w:val="95"/>
          <w:sz w:val="21"/>
        </w:rPr>
        <w:t>释</w:t>
      </w:r>
      <w:r>
        <w:rPr>
          <w:w w:val="95"/>
          <w:sz w:val="21"/>
        </w:rPr>
        <w:t>义</w:t>
      </w:r>
      <w:r>
        <w:rPr>
          <w:w w:val="95"/>
          <w:sz w:val="21"/>
        </w:rPr>
        <w:t>13.33）</w:t>
      </w:r>
      <w:r>
        <w:rPr>
          <w:w w:val="95"/>
          <w:sz w:val="21"/>
        </w:rPr>
        <w:t>为</w:t>
      </w:r>
      <w:r>
        <w:rPr>
          <w:w w:val="95"/>
          <w:sz w:val="21"/>
        </w:rPr>
        <w:t>Ⅰ期</w:t>
      </w:r>
      <w:r>
        <w:rPr>
          <w:w w:val="95"/>
          <w:sz w:val="21"/>
        </w:rPr>
        <w:t>或</w:t>
      </w:r>
      <w:r>
        <w:rPr>
          <w:w w:val="95"/>
          <w:sz w:val="21"/>
        </w:rPr>
        <w:t>更</w:t>
      </w:r>
      <w:r>
        <w:rPr>
          <w:w w:val="95"/>
          <w:sz w:val="21"/>
        </w:rPr>
        <w:t>轻</w:t>
      </w:r>
      <w:r>
        <w:rPr>
          <w:w w:val="95"/>
          <w:sz w:val="21"/>
        </w:rPr>
        <w:t>分期的</w:t>
      </w:r>
      <w:r>
        <w:rPr>
          <w:w w:val="95"/>
          <w:sz w:val="21"/>
        </w:rPr>
        <w:t>甲</w:t>
      </w:r>
      <w:r>
        <w:rPr>
          <w:w w:val="95"/>
          <w:sz w:val="21"/>
        </w:rPr>
        <w:t>状</w:t>
      </w:r>
      <w:r>
        <w:rPr>
          <w:spacing w:val="-10"/>
          <w:w w:val="95"/>
          <w:sz w:val="21"/>
        </w:rPr>
        <w:t>腺</w:t>
      </w:r>
    </w:p>
    <w:p>
      <w:pPr>
        <w:pStyle w:val="BodyText"/>
        <w:spacing w:line="265" w:lineRule="exact"/>
        <w:ind w:left="3462"/>
      </w:pPr>
      <w:r>
        <w:rPr>
          <w:spacing w:val="-5"/>
        </w:rPr>
        <w:t>癌；</w:t>
      </w:r>
    </w:p>
    <w:p>
      <w:pPr>
        <w:pStyle w:val="ListParagraph"/>
        <w:numPr>
          <w:ilvl w:val="1"/>
          <w:numId w:val="11"/>
        </w:numPr>
        <w:tabs>
          <w:tab w:pos="3991" w:val="left" w:leader="none"/>
        </w:tabs>
        <w:spacing w:line="240" w:lineRule="auto" w:before="42" w:after="0"/>
        <w:ind w:left="3991" w:right="0" w:hanging="529"/>
        <w:jc w:val="left"/>
        <w:rPr>
          <w:sz w:val="21"/>
        </w:rPr>
      </w:pPr>
      <w:r>
        <w:rPr>
          <w:spacing w:val="-2"/>
          <w:position w:val="1"/>
          <w:sz w:val="21"/>
        </w:rPr>
        <w:t>TNM分期为T</w:t>
      </w:r>
      <w:r>
        <w:rPr>
          <w:spacing w:val="-2"/>
          <w:sz w:val="11"/>
        </w:rPr>
        <w:t>1</w:t>
      </w:r>
      <w:r>
        <w:rPr>
          <w:spacing w:val="-2"/>
          <w:position w:val="1"/>
          <w:sz w:val="21"/>
        </w:rPr>
        <w:t>N</w:t>
      </w:r>
      <w:r>
        <w:rPr>
          <w:spacing w:val="-2"/>
          <w:sz w:val="11"/>
        </w:rPr>
        <w:t>0</w:t>
      </w:r>
      <w:r>
        <w:rPr>
          <w:spacing w:val="-2"/>
          <w:position w:val="1"/>
          <w:sz w:val="21"/>
        </w:rPr>
        <w:t>M</w:t>
      </w:r>
      <w:r>
        <w:rPr>
          <w:spacing w:val="-2"/>
          <w:sz w:val="11"/>
        </w:rPr>
        <w:t>0</w:t>
      </w:r>
      <w:r>
        <w:rPr>
          <w:spacing w:val="-3"/>
          <w:position w:val="1"/>
          <w:sz w:val="21"/>
        </w:rPr>
        <w:t>期或更轻分期的前列腺癌；</w:t>
      </w:r>
    </w:p>
    <w:p>
      <w:pPr>
        <w:pStyle w:val="ListParagraph"/>
        <w:numPr>
          <w:ilvl w:val="1"/>
          <w:numId w:val="11"/>
        </w:numPr>
        <w:tabs>
          <w:tab w:pos="3991" w:val="left" w:leader="none"/>
        </w:tabs>
        <w:spacing w:line="278" w:lineRule="auto" w:before="44" w:after="0"/>
        <w:ind w:left="3462" w:right="1703" w:firstLine="0"/>
        <w:jc w:val="left"/>
        <w:rPr>
          <w:sz w:val="21"/>
        </w:rPr>
      </w:pPr>
      <w:r>
        <w:rPr>
          <w:spacing w:val="-2"/>
          <w:sz w:val="21"/>
        </w:rPr>
        <w:t>黑色素瘤以外的未发生淋巴结和远处转移的皮肤恶性</w:t>
      </w:r>
      <w:r>
        <w:rPr>
          <w:spacing w:val="-4"/>
          <w:sz w:val="21"/>
        </w:rPr>
        <w:t>肿瘤；</w:t>
      </w:r>
    </w:p>
    <w:p>
      <w:pPr>
        <w:pStyle w:val="ListParagraph"/>
        <w:numPr>
          <w:ilvl w:val="1"/>
          <w:numId w:val="11"/>
        </w:numPr>
        <w:tabs>
          <w:tab w:pos="3991" w:val="left" w:leader="none"/>
        </w:tabs>
        <w:spacing w:line="278" w:lineRule="auto" w:before="0" w:after="0"/>
        <w:ind w:left="3462" w:right="1913" w:firstLine="0"/>
        <w:jc w:val="left"/>
        <w:rPr>
          <w:sz w:val="21"/>
        </w:rPr>
      </w:pPr>
      <w:r>
        <w:rPr>
          <w:spacing w:val="-2"/>
          <w:sz w:val="21"/>
        </w:rPr>
        <w:t>相当于Binet分期方案A期程度的慢性淋巴细胞白血</w:t>
      </w:r>
      <w:r>
        <w:rPr>
          <w:spacing w:val="-6"/>
          <w:sz w:val="21"/>
        </w:rPr>
        <w:t>病；</w:t>
      </w:r>
    </w:p>
    <w:p>
      <w:pPr>
        <w:pStyle w:val="ListParagraph"/>
        <w:numPr>
          <w:ilvl w:val="1"/>
          <w:numId w:val="11"/>
        </w:numPr>
        <w:tabs>
          <w:tab w:pos="3991" w:val="left" w:leader="none"/>
        </w:tabs>
        <w:spacing w:line="269" w:lineRule="exact" w:before="0" w:after="0"/>
        <w:ind w:left="3991" w:right="0" w:hanging="529"/>
        <w:jc w:val="left"/>
        <w:rPr>
          <w:sz w:val="21"/>
        </w:rPr>
      </w:pPr>
      <w:r>
        <w:rPr>
          <w:spacing w:val="-2"/>
          <w:sz w:val="21"/>
        </w:rPr>
        <w:t>相当于Ann</w:t>
      </w:r>
      <w:r>
        <w:rPr>
          <w:spacing w:val="18"/>
          <w:sz w:val="21"/>
        </w:rPr>
        <w:t> </w:t>
      </w:r>
      <w:r>
        <w:rPr>
          <w:spacing w:val="-2"/>
          <w:sz w:val="21"/>
        </w:rPr>
        <w:t>Arbor</w:t>
      </w:r>
      <w:r>
        <w:rPr>
          <w:spacing w:val="-3"/>
          <w:sz w:val="21"/>
        </w:rPr>
        <w:t>分期方案Ⅰ期程度的何杰金氏病；</w:t>
      </w:r>
    </w:p>
    <w:p>
      <w:pPr>
        <w:pStyle w:val="ListParagraph"/>
        <w:numPr>
          <w:ilvl w:val="1"/>
          <w:numId w:val="11"/>
        </w:numPr>
        <w:tabs>
          <w:tab w:pos="3991" w:val="left" w:leader="none"/>
        </w:tabs>
        <w:spacing w:line="278" w:lineRule="auto" w:before="43" w:after="0"/>
        <w:ind w:left="3462" w:right="1596" w:firstLine="0"/>
        <w:jc w:val="left"/>
        <w:rPr>
          <w:sz w:val="21"/>
        </w:rPr>
      </w:pPr>
      <w:r>
        <w:rPr>
          <w:spacing w:val="-4"/>
          <w:sz w:val="21"/>
        </w:rPr>
        <w:t>未发生淋巴结和远处转移且 </w:t>
      </w:r>
      <w:r>
        <w:rPr>
          <w:sz w:val="21"/>
        </w:rPr>
        <w:t>WHO</w:t>
      </w:r>
      <w:r>
        <w:rPr>
          <w:spacing w:val="-22"/>
          <w:sz w:val="21"/>
        </w:rPr>
        <w:t> 分级为 </w:t>
      </w:r>
      <w:r>
        <w:rPr>
          <w:sz w:val="21"/>
        </w:rPr>
        <w:t>G1</w:t>
      </w:r>
      <w:r>
        <w:rPr>
          <w:spacing w:val="-20"/>
          <w:sz w:val="21"/>
        </w:rPr>
        <w:t> 级别</w:t>
      </w:r>
      <w:r>
        <w:rPr>
          <w:sz w:val="21"/>
        </w:rPr>
        <w:t>（核分</w:t>
      </w:r>
      <w:r>
        <w:rPr>
          <w:sz w:val="21"/>
        </w:rPr>
        <w:t>裂像&lt;10/50HPF</w:t>
      </w:r>
      <w:r>
        <w:rPr>
          <w:spacing w:val="-14"/>
          <w:sz w:val="21"/>
        </w:rPr>
        <w:t> 和 </w:t>
      </w:r>
      <w:r>
        <w:rPr>
          <w:sz w:val="21"/>
        </w:rPr>
        <w:t>ki-67≤2%）或更轻分级的神经内分泌肿</w:t>
      </w:r>
      <w:r>
        <w:rPr>
          <w:spacing w:val="-6"/>
          <w:sz w:val="21"/>
        </w:rPr>
        <w:t>瘤。</w:t>
      </w:r>
    </w:p>
    <w:p>
      <w:pPr>
        <w:pStyle w:val="BodyText"/>
        <w:spacing w:before="7"/>
        <w:rPr>
          <w:sz w:val="19"/>
        </w:rPr>
      </w:pPr>
    </w:p>
    <w:p>
      <w:pPr>
        <w:spacing w:after="0"/>
        <w:rPr>
          <w:sz w:val="19"/>
        </w:rPr>
        <w:sectPr>
          <w:pgSz w:w="11910" w:h="16840"/>
          <w:pgMar w:header="0" w:footer="226" w:top="880" w:bottom="420" w:left="980" w:right="400"/>
        </w:sectPr>
      </w:pPr>
    </w:p>
    <w:p>
      <w:pPr>
        <w:pStyle w:val="Heading2"/>
        <w:numPr>
          <w:ilvl w:val="0"/>
          <w:numId w:val="15"/>
        </w:numPr>
        <w:tabs>
          <w:tab w:pos="2123" w:val="left" w:leader="none"/>
        </w:tabs>
        <w:spacing w:line="196" w:lineRule="auto" w:before="52" w:after="0"/>
        <w:ind w:left="1910" w:right="0" w:firstLine="0"/>
        <w:jc w:val="left"/>
      </w:pPr>
      <w:r>
        <w:rPr>
          <w:spacing w:val="-2"/>
        </w:rPr>
        <w:t>较重急性心</w:t>
      </w:r>
      <w:r>
        <w:rPr>
          <w:spacing w:val="-4"/>
        </w:rPr>
        <w:t>肌梗死</w:t>
      </w:r>
    </w:p>
    <w:p>
      <w:pPr>
        <w:pStyle w:val="BodyText"/>
        <w:spacing w:line="280" w:lineRule="auto" w:before="71"/>
        <w:ind w:left="243" w:right="1597"/>
        <w:jc w:val="both"/>
      </w:pPr>
      <w:r>
        <w:rPr/>
        <w:br w:type="column"/>
      </w:r>
      <w:r>
        <w:rPr>
          <w:spacing w:val="-2"/>
        </w:rPr>
        <w:t>急性心肌梗死指由于冠状动脉闭塞或梗阻引起部分心肌严重</w:t>
      </w:r>
      <w:r>
        <w:rPr>
          <w:spacing w:val="-2"/>
        </w:rPr>
        <w:t>的持久性缺血造成急性心肌坏死。急性心肌梗死的诊断必须</w:t>
      </w:r>
      <w:r>
        <w:rPr>
          <w:spacing w:val="-2"/>
        </w:rPr>
        <w:t>依据国际国内诊断标准，符合（1）检测到肌酸激酶同工酶</w:t>
      </w:r>
    </w:p>
    <w:p>
      <w:pPr>
        <w:pStyle w:val="BodyText"/>
        <w:spacing w:line="278" w:lineRule="auto"/>
        <w:ind w:left="243" w:right="1701"/>
      </w:pPr>
      <w:r>
        <w:rPr>
          <w:spacing w:val="-2"/>
        </w:rPr>
        <w:t>（CK-MB）或肌钙蛋白（cTn）升高和/或降低的动态变化，</w:t>
      </w:r>
      <w:r>
        <w:rPr>
          <w:spacing w:val="-2"/>
        </w:rPr>
        <w:t>至少一次达到或超过心肌梗死的临床诊断标准；（2）</w:t>
      </w:r>
      <w:r>
        <w:rPr>
          <w:spacing w:val="-7"/>
        </w:rPr>
        <w:t>同时</w:t>
      </w:r>
    </w:p>
    <w:p>
      <w:pPr>
        <w:spacing w:after="0" w:line="278" w:lineRule="auto"/>
        <w:sectPr>
          <w:type w:val="continuous"/>
          <w:pgSz w:w="11910" w:h="16840"/>
          <w:pgMar w:header="0" w:footer="226" w:top="240" w:bottom="420" w:left="980" w:right="400"/>
          <w:cols w:num="2" w:equalWidth="0">
            <w:col w:w="3179" w:space="40"/>
            <w:col w:w="7311"/>
          </w:cols>
        </w:sectPr>
      </w:pPr>
    </w:p>
    <w:p>
      <w:pPr>
        <w:pStyle w:val="BodyText"/>
        <w:spacing w:line="278" w:lineRule="auto" w:before="57"/>
        <w:ind w:left="3462" w:right="1597"/>
      </w:pPr>
      <w:r>
        <w:rPr>
          <w:spacing w:val="-2"/>
        </w:rPr>
        <w:t>存在下列之一的证据，包括：缺血性胸痛症状、新发生的缺</w:t>
      </w:r>
      <w:r>
        <w:rPr>
          <w:spacing w:val="-2"/>
        </w:rPr>
        <w:t>血性心电图改变、新生成的病理性Q波、影像学证据显示有</w:t>
      </w:r>
      <w:r>
        <w:rPr>
          <w:spacing w:val="-2"/>
        </w:rPr>
        <w:t>新出现的心肌活性丧失或新出现局部室壁运动异常、冠脉造</w:t>
      </w:r>
      <w:r>
        <w:rPr>
          <w:spacing w:val="-2"/>
        </w:rPr>
        <w:t>影证实存在冠状动脉血栓。</w:t>
      </w:r>
    </w:p>
    <w:p>
      <w:pPr>
        <w:pStyle w:val="BodyText"/>
        <w:spacing w:line="278" w:lineRule="auto" w:before="153"/>
        <w:ind w:left="3462" w:right="1597"/>
      </w:pPr>
      <w:r>
        <w:rPr>
          <w:spacing w:val="-2"/>
        </w:rPr>
        <w:t>较重急性心肌梗死指依照上述标准被明确诊断为急性心肌梗</w:t>
      </w:r>
      <w:r>
        <w:rPr>
          <w:spacing w:val="-2"/>
        </w:rPr>
        <w:t>死，并且必须同时满足下列至少一项条件：</w:t>
      </w:r>
    </w:p>
    <w:p>
      <w:pPr>
        <w:pStyle w:val="ListParagraph"/>
        <w:numPr>
          <w:ilvl w:val="1"/>
          <w:numId w:val="15"/>
        </w:numPr>
        <w:tabs>
          <w:tab w:pos="3991" w:val="left" w:leader="none"/>
        </w:tabs>
        <w:spacing w:line="283" w:lineRule="auto" w:before="154" w:after="0"/>
        <w:ind w:left="3462" w:right="1596" w:firstLine="0"/>
        <w:jc w:val="left"/>
        <w:rPr>
          <w:sz w:val="21"/>
        </w:rPr>
      </w:pPr>
      <w:r>
        <w:rPr>
          <w:spacing w:val="-2"/>
          <w:sz w:val="21"/>
        </w:rPr>
        <w:t>心肌损伤标志物肌钙蛋白（cTn）升高，至少一次检测</w:t>
      </w:r>
      <w:r>
        <w:rPr>
          <w:spacing w:val="-2"/>
          <w:sz w:val="21"/>
        </w:rPr>
        <w:t>结果达到该检验正常参考值上限的15倍（含）以上；</w:t>
      </w:r>
    </w:p>
    <w:p>
      <w:pPr>
        <w:pStyle w:val="ListParagraph"/>
        <w:numPr>
          <w:ilvl w:val="1"/>
          <w:numId w:val="15"/>
        </w:numPr>
        <w:tabs>
          <w:tab w:pos="3991" w:val="left" w:leader="none"/>
        </w:tabs>
        <w:spacing w:line="278" w:lineRule="auto" w:before="0" w:after="0"/>
        <w:ind w:left="3462" w:right="1596" w:firstLine="0"/>
        <w:jc w:val="left"/>
        <w:rPr>
          <w:sz w:val="21"/>
        </w:rPr>
      </w:pPr>
      <w:r>
        <w:rPr>
          <w:spacing w:val="-2"/>
          <w:sz w:val="21"/>
        </w:rPr>
        <w:t>肌酸激酶同工酶（CK-MB）升高，至少一次检测结果达</w:t>
      </w:r>
      <w:r>
        <w:rPr>
          <w:spacing w:val="-2"/>
          <w:sz w:val="21"/>
        </w:rPr>
        <w:t>到该检验正常参考值上限的2倍（含）以上；</w:t>
      </w:r>
    </w:p>
    <w:p>
      <w:pPr>
        <w:pStyle w:val="ListParagraph"/>
        <w:numPr>
          <w:ilvl w:val="1"/>
          <w:numId w:val="15"/>
        </w:numPr>
        <w:tabs>
          <w:tab w:pos="3991" w:val="left" w:leader="none"/>
        </w:tabs>
        <w:spacing w:line="278" w:lineRule="auto" w:before="0" w:after="0"/>
        <w:ind w:left="3462" w:right="1596" w:firstLine="0"/>
        <w:jc w:val="left"/>
        <w:rPr>
          <w:sz w:val="21"/>
        </w:rPr>
      </w:pPr>
      <w:r>
        <w:rPr>
          <w:spacing w:val="-2"/>
          <w:sz w:val="21"/>
        </w:rPr>
        <w:t>出现左心室收缩功能下降，在确诊6周以后，检测左室</w:t>
      </w:r>
      <w:r>
        <w:rPr>
          <w:spacing w:val="-2"/>
          <w:sz w:val="21"/>
        </w:rPr>
        <w:t>射血分数（LVEF）低于50%（不含）；</w:t>
      </w:r>
    </w:p>
    <w:p>
      <w:pPr>
        <w:pStyle w:val="ListParagraph"/>
        <w:numPr>
          <w:ilvl w:val="1"/>
          <w:numId w:val="15"/>
        </w:numPr>
        <w:tabs>
          <w:tab w:pos="3991" w:val="left" w:leader="none"/>
        </w:tabs>
        <w:spacing w:line="278" w:lineRule="auto" w:before="0" w:after="0"/>
        <w:ind w:left="3462" w:right="1703" w:firstLine="0"/>
        <w:jc w:val="left"/>
        <w:rPr>
          <w:sz w:val="21"/>
        </w:rPr>
      </w:pPr>
      <w:r>
        <w:rPr>
          <w:spacing w:val="-2"/>
          <w:sz w:val="21"/>
        </w:rPr>
        <w:t>影像学检查证实存在新发的乳头肌功能失调或断裂引</w:t>
      </w:r>
      <w:r>
        <w:rPr>
          <w:spacing w:val="-2"/>
          <w:sz w:val="21"/>
        </w:rPr>
        <w:t>起的中度（含）以上的二尖瓣反流；</w:t>
      </w:r>
    </w:p>
    <w:p>
      <w:pPr>
        <w:pStyle w:val="ListParagraph"/>
        <w:numPr>
          <w:ilvl w:val="1"/>
          <w:numId w:val="15"/>
        </w:numPr>
        <w:tabs>
          <w:tab w:pos="3991" w:val="left" w:leader="none"/>
        </w:tabs>
        <w:spacing w:line="240" w:lineRule="auto" w:before="0" w:after="0"/>
        <w:ind w:left="3991" w:right="0" w:hanging="529"/>
        <w:jc w:val="left"/>
        <w:rPr>
          <w:sz w:val="21"/>
        </w:rPr>
      </w:pPr>
      <w:r>
        <w:rPr>
          <w:spacing w:val="-3"/>
          <w:sz w:val="21"/>
        </w:rPr>
        <w:t>影像学检查证实存在新出现的室壁瘤；</w:t>
      </w:r>
    </w:p>
    <w:p>
      <w:pPr>
        <w:pStyle w:val="ListParagraph"/>
        <w:numPr>
          <w:ilvl w:val="1"/>
          <w:numId w:val="15"/>
        </w:numPr>
        <w:tabs>
          <w:tab w:pos="3991" w:val="left" w:leader="none"/>
        </w:tabs>
        <w:spacing w:line="240" w:lineRule="auto" w:before="37" w:after="0"/>
        <w:ind w:left="3991" w:right="0" w:hanging="529"/>
        <w:jc w:val="left"/>
        <w:rPr>
          <w:sz w:val="21"/>
        </w:rPr>
      </w:pPr>
      <w:r>
        <w:rPr>
          <w:spacing w:val="-3"/>
          <w:sz w:val="21"/>
        </w:rPr>
        <w:t>出现室性心动过速、心室颤动或心源性休克。</w:t>
      </w:r>
    </w:p>
    <w:p>
      <w:pPr>
        <w:pStyle w:val="BodyText"/>
        <w:spacing w:before="5"/>
        <w:rPr>
          <w:sz w:val="15"/>
        </w:rPr>
      </w:pPr>
    </w:p>
    <w:p>
      <w:pPr>
        <w:pStyle w:val="BodyText"/>
        <w:spacing w:line="278" w:lineRule="auto"/>
        <w:ind w:left="3462" w:right="1701"/>
      </w:pPr>
      <w:r>
        <w:rPr>
          <w:spacing w:val="-2"/>
        </w:rPr>
        <w:t>其他非冠状动脉阻塞性疾病所引起的肌钙蛋白（cTn）升高</w:t>
      </w:r>
      <w:r>
        <w:rPr>
          <w:spacing w:val="-2"/>
        </w:rPr>
        <w:t>不在保障范围内。</w:t>
      </w:r>
    </w:p>
    <w:p>
      <w:pPr>
        <w:pStyle w:val="BodyText"/>
        <w:spacing w:before="11"/>
        <w:rPr>
          <w:sz w:val="19"/>
        </w:rPr>
      </w:pPr>
    </w:p>
    <w:p>
      <w:pPr>
        <w:spacing w:after="0"/>
        <w:rPr>
          <w:sz w:val="19"/>
        </w:rPr>
        <w:sectPr>
          <w:pgSz w:w="11910" w:h="16840"/>
          <w:pgMar w:header="0" w:footer="226" w:top="660" w:bottom="420" w:left="980" w:right="400"/>
        </w:sectPr>
      </w:pPr>
    </w:p>
    <w:p>
      <w:pPr>
        <w:pStyle w:val="Heading2"/>
        <w:numPr>
          <w:ilvl w:val="0"/>
          <w:numId w:val="15"/>
        </w:numPr>
        <w:tabs>
          <w:tab w:pos="2123" w:val="left" w:leader="none"/>
        </w:tabs>
        <w:spacing w:line="194" w:lineRule="auto" w:before="56" w:after="0"/>
        <w:ind w:left="1910" w:right="0" w:firstLine="0"/>
        <w:jc w:val="left"/>
      </w:pPr>
      <w:r>
        <w:rPr>
          <w:spacing w:val="-2"/>
        </w:rPr>
        <w:t>严重脑中风</w:t>
      </w:r>
      <w:r>
        <w:rPr>
          <w:spacing w:val="-4"/>
        </w:rPr>
        <w:t>后遗症</w:t>
      </w:r>
    </w:p>
    <w:p>
      <w:pPr>
        <w:pStyle w:val="BodyText"/>
        <w:spacing w:line="278" w:lineRule="auto" w:before="72"/>
        <w:ind w:left="243" w:right="1596"/>
      </w:pPr>
      <w:r>
        <w:rPr/>
        <w:br w:type="column"/>
      </w:r>
      <w:r>
        <w:rPr>
          <w:spacing w:val="-2"/>
        </w:rPr>
        <w:t>指因脑血管的突发病变引起脑血管出血、栓塞或梗塞，须由</w:t>
      </w:r>
      <w:r>
        <w:rPr>
          <w:spacing w:val="-4"/>
        </w:rPr>
        <w:t>头颅断层扫描</w:t>
      </w:r>
      <w:r>
        <w:rPr>
          <w:spacing w:val="22"/>
        </w:rPr>
        <w:t>（CT</w:t>
      </w:r>
      <w:r>
        <w:rPr>
          <w:spacing w:val="-84"/>
        </w:rPr>
        <w:t>）</w:t>
      </w:r>
      <w:r>
        <w:rPr>
          <w:spacing w:val="-4"/>
        </w:rPr>
        <w:t>、核磁共振检查（MRI）等影像学检查证</w:t>
      </w:r>
      <w:r>
        <w:rPr>
          <w:spacing w:val="-2"/>
        </w:rPr>
        <w:t>实，并导致神经系统永久性的功能障碍。神经系统永久性的</w:t>
      </w:r>
      <w:r>
        <w:rPr>
          <w:spacing w:val="-2"/>
        </w:rPr>
        <w:t>功能障碍，指疾病确诊 </w:t>
      </w:r>
      <w:r>
        <w:rPr/>
        <w:t>180</w:t>
      </w:r>
      <w:r>
        <w:rPr>
          <w:spacing w:val="-5"/>
        </w:rPr>
        <w:t> 天后，仍遗留下列至少一种障</w:t>
      </w:r>
      <w:r>
        <w:rPr/>
        <w:t> </w:t>
      </w:r>
      <w:r>
        <w:rPr>
          <w:spacing w:val="-6"/>
        </w:rPr>
        <w:t>碍：</w:t>
      </w:r>
    </w:p>
    <w:p>
      <w:pPr>
        <w:pStyle w:val="ListParagraph"/>
        <w:numPr>
          <w:ilvl w:val="0"/>
          <w:numId w:val="16"/>
        </w:numPr>
        <w:tabs>
          <w:tab w:pos="773" w:val="left" w:leader="none"/>
        </w:tabs>
        <w:spacing w:line="237" w:lineRule="auto" w:before="89" w:after="0"/>
        <w:ind w:left="243" w:right="1749" w:firstLine="0"/>
        <w:jc w:val="left"/>
        <w:rPr>
          <w:sz w:val="21"/>
        </w:rPr>
      </w:pPr>
      <w:r>
        <w:rPr>
          <w:sz w:val="21"/>
        </w:rPr>
        <w:t>一肢（含）以上</w:t>
      </w:r>
      <w:r>
        <w:rPr>
          <w:rFonts w:ascii="微软雅黑" w:eastAsia="微软雅黑"/>
          <w:b/>
          <w:sz w:val="21"/>
        </w:rPr>
        <w:t>肢体</w:t>
      </w:r>
      <w:r>
        <w:rPr>
          <w:sz w:val="21"/>
        </w:rPr>
        <w:t>（</w:t>
      </w:r>
      <w:r>
        <w:rPr>
          <w:spacing w:val="-14"/>
          <w:sz w:val="21"/>
        </w:rPr>
        <w:t>见释义 </w:t>
      </w:r>
      <w:r>
        <w:rPr>
          <w:sz w:val="21"/>
        </w:rPr>
        <w:t>13.34）</w:t>
      </w:r>
      <w:r>
        <w:rPr>
          <w:rFonts w:ascii="微软雅黑" w:eastAsia="微软雅黑"/>
          <w:b/>
          <w:sz w:val="21"/>
        </w:rPr>
        <w:t>肌力</w:t>
      </w:r>
      <w:r>
        <w:rPr>
          <w:sz w:val="21"/>
        </w:rPr>
        <w:t>（见释义</w:t>
      </w:r>
      <w:r>
        <w:rPr>
          <w:sz w:val="21"/>
        </w:rPr>
        <w:t> 13.35）2</w:t>
      </w:r>
      <w:r>
        <w:rPr>
          <w:spacing w:val="-21"/>
          <w:sz w:val="21"/>
        </w:rPr>
        <w:t> 级</w:t>
      </w:r>
      <w:r>
        <w:rPr>
          <w:sz w:val="21"/>
        </w:rPr>
        <w:t>（含）以下；</w:t>
      </w:r>
    </w:p>
    <w:p>
      <w:pPr>
        <w:pStyle w:val="ListParagraph"/>
        <w:numPr>
          <w:ilvl w:val="0"/>
          <w:numId w:val="16"/>
        </w:numPr>
        <w:tabs>
          <w:tab w:pos="773" w:val="left" w:leader="none"/>
        </w:tabs>
        <w:spacing w:line="312" w:lineRule="exact" w:before="4" w:after="0"/>
        <w:ind w:left="243" w:right="1682" w:firstLine="0"/>
        <w:jc w:val="left"/>
        <w:rPr>
          <w:sz w:val="21"/>
        </w:rPr>
      </w:pPr>
      <w:r>
        <w:rPr>
          <w:rFonts w:ascii="微软雅黑" w:eastAsia="微软雅黑"/>
          <w:b/>
          <w:spacing w:val="-2"/>
          <w:sz w:val="21"/>
        </w:rPr>
        <w:t>语言能力完全丧失，或严重咀嚼吞咽功能障碍</w:t>
      </w:r>
      <w:r>
        <w:rPr>
          <w:spacing w:val="-2"/>
          <w:sz w:val="21"/>
        </w:rPr>
        <w:t>（见释</w:t>
      </w:r>
      <w:r>
        <w:rPr>
          <w:spacing w:val="-21"/>
          <w:sz w:val="21"/>
        </w:rPr>
        <w:t>义 </w:t>
      </w:r>
      <w:r>
        <w:rPr>
          <w:spacing w:val="15"/>
          <w:sz w:val="21"/>
        </w:rPr>
        <w:t>13.36</w:t>
      </w:r>
      <w:r>
        <w:rPr>
          <w:spacing w:val="-91"/>
          <w:sz w:val="21"/>
        </w:rPr>
        <w:t>）</w:t>
      </w:r>
      <w:r>
        <w:rPr>
          <w:spacing w:val="15"/>
          <w:sz w:val="21"/>
        </w:rPr>
        <w:t>；</w:t>
      </w:r>
    </w:p>
    <w:p>
      <w:pPr>
        <w:pStyle w:val="ListParagraph"/>
        <w:numPr>
          <w:ilvl w:val="0"/>
          <w:numId w:val="16"/>
        </w:numPr>
        <w:tabs>
          <w:tab w:pos="773" w:val="left" w:leader="none"/>
        </w:tabs>
        <w:spacing w:line="194" w:lineRule="auto" w:before="25" w:after="0"/>
        <w:ind w:left="243" w:right="1697" w:firstLine="0"/>
        <w:jc w:val="left"/>
        <w:rPr>
          <w:sz w:val="21"/>
        </w:rPr>
      </w:pPr>
      <w:r>
        <w:rPr>
          <w:spacing w:val="-2"/>
          <w:sz w:val="21"/>
        </w:rPr>
        <w:t>自主生活能力完全丧失，无法独立完成</w:t>
      </w:r>
      <w:r>
        <w:rPr>
          <w:rFonts w:ascii="微软雅黑" w:eastAsia="微软雅黑"/>
          <w:b/>
          <w:spacing w:val="-2"/>
          <w:sz w:val="21"/>
        </w:rPr>
        <w:t>六项基本日常</w:t>
      </w:r>
      <w:r>
        <w:rPr>
          <w:rFonts w:ascii="微软雅黑" w:eastAsia="微软雅黑"/>
          <w:b/>
          <w:sz w:val="21"/>
        </w:rPr>
        <w:t>生活活动</w:t>
      </w:r>
      <w:r>
        <w:rPr>
          <w:sz w:val="21"/>
        </w:rPr>
        <w:t>（</w:t>
      </w:r>
      <w:r>
        <w:rPr>
          <w:spacing w:val="-13"/>
          <w:sz w:val="21"/>
        </w:rPr>
        <w:t>见释义 </w:t>
      </w:r>
      <w:r>
        <w:rPr>
          <w:sz w:val="21"/>
        </w:rPr>
        <w:t>13.37）中的三项或三项以上。</w:t>
      </w:r>
    </w:p>
    <w:p>
      <w:pPr>
        <w:spacing w:after="0" w:line="194" w:lineRule="auto"/>
        <w:jc w:val="left"/>
        <w:rPr>
          <w:sz w:val="21"/>
        </w:rPr>
        <w:sectPr>
          <w:type w:val="continuous"/>
          <w:pgSz w:w="11910" w:h="16840"/>
          <w:pgMar w:header="0" w:footer="226" w:top="240" w:bottom="420" w:left="980" w:right="400"/>
          <w:cols w:num="2" w:equalWidth="0">
            <w:col w:w="3179" w:space="40"/>
            <w:col w:w="7311"/>
          </w:cols>
        </w:sectPr>
      </w:pPr>
    </w:p>
    <w:p>
      <w:pPr>
        <w:pStyle w:val="BodyText"/>
        <w:spacing w:before="6"/>
        <w:rPr>
          <w:sz w:val="20"/>
        </w:rPr>
      </w:pPr>
    </w:p>
    <w:p>
      <w:pPr>
        <w:spacing w:after="0"/>
        <w:rPr>
          <w:sz w:val="20"/>
        </w:rPr>
        <w:sectPr>
          <w:type w:val="continuous"/>
          <w:pgSz w:w="11910" w:h="16840"/>
          <w:pgMar w:header="0" w:footer="226" w:top="240" w:bottom="420" w:left="980" w:right="400"/>
        </w:sectPr>
      </w:pPr>
    </w:p>
    <w:p>
      <w:pPr>
        <w:pStyle w:val="Heading2"/>
        <w:numPr>
          <w:ilvl w:val="0"/>
          <w:numId w:val="15"/>
        </w:numPr>
        <w:tabs>
          <w:tab w:pos="2123" w:val="left" w:leader="none"/>
        </w:tabs>
        <w:spacing w:line="194" w:lineRule="auto" w:before="55" w:after="0"/>
        <w:ind w:left="1910" w:right="0" w:firstLine="0"/>
        <w:jc w:val="both"/>
      </w:pPr>
      <w:r>
        <w:rPr>
          <w:spacing w:val="-2"/>
        </w:rPr>
        <w:t>重大器官移</w:t>
      </w:r>
      <w:r>
        <w:rPr>
          <w:spacing w:val="-2"/>
        </w:rPr>
        <w:t>植术或造血干</w:t>
      </w:r>
      <w:r>
        <w:rPr>
          <w:spacing w:val="-2"/>
        </w:rPr>
        <w:t>细胞移植术</w:t>
      </w:r>
    </w:p>
    <w:p>
      <w:pPr>
        <w:pStyle w:val="BodyText"/>
        <w:spacing w:line="283" w:lineRule="auto" w:before="72"/>
        <w:ind w:left="243" w:right="1809"/>
      </w:pPr>
      <w:r>
        <w:rPr/>
        <w:br w:type="column"/>
      </w:r>
      <w:r>
        <w:rPr>
          <w:spacing w:val="-2"/>
        </w:rPr>
        <w:t>重大器官移植术，指因相应器官功能衰竭，已经实施了肾</w:t>
      </w:r>
      <w:r>
        <w:rPr>
          <w:spacing w:val="-2"/>
        </w:rPr>
        <w:t>脏、肝脏、心脏、肺脏或小肠的异体移植手术。</w:t>
      </w:r>
    </w:p>
    <w:p>
      <w:pPr>
        <w:pStyle w:val="BodyText"/>
        <w:spacing w:line="278" w:lineRule="auto" w:before="147"/>
        <w:ind w:left="243" w:right="1597"/>
      </w:pPr>
      <w:r>
        <w:rPr>
          <w:spacing w:val="-2"/>
        </w:rPr>
        <w:t>造血干细胞移植术，指因造血功能损害或造血系统恶性肿</w:t>
      </w:r>
      <w:r>
        <w:rPr/>
        <w:t> </w:t>
      </w:r>
      <w:r>
        <w:rPr>
          <w:spacing w:val="-2"/>
        </w:rPr>
        <w:t>瘤，已经实施了造血干细胞（包括骨髓造血干细胞、外周血</w:t>
      </w:r>
      <w:r>
        <w:rPr>
          <w:spacing w:val="-2"/>
        </w:rPr>
        <w:t>造血干细胞和脐血造血干细胞）的移植手术。</w:t>
      </w:r>
    </w:p>
    <w:p>
      <w:pPr>
        <w:spacing w:after="0" w:line="278" w:lineRule="auto"/>
        <w:sectPr>
          <w:type w:val="continuous"/>
          <w:pgSz w:w="11910" w:h="16840"/>
          <w:pgMar w:header="0" w:footer="226" w:top="240" w:bottom="420" w:left="980" w:right="400"/>
          <w:cols w:num="2" w:equalWidth="0">
            <w:col w:w="3179" w:space="40"/>
            <w:col w:w="7311"/>
          </w:cols>
        </w:sectPr>
      </w:pPr>
    </w:p>
    <w:p>
      <w:pPr>
        <w:pStyle w:val="BodyText"/>
        <w:spacing w:before="6"/>
        <w:rPr>
          <w:sz w:val="19"/>
        </w:rPr>
      </w:pPr>
    </w:p>
    <w:p>
      <w:pPr>
        <w:spacing w:after="0"/>
        <w:rPr>
          <w:sz w:val="19"/>
        </w:rPr>
        <w:sectPr>
          <w:type w:val="continuous"/>
          <w:pgSz w:w="11910" w:h="16840"/>
          <w:pgMar w:header="0" w:footer="226" w:top="240" w:bottom="420" w:left="980" w:right="400"/>
        </w:sectPr>
      </w:pPr>
    </w:p>
    <w:p>
      <w:pPr>
        <w:pStyle w:val="Heading2"/>
        <w:numPr>
          <w:ilvl w:val="0"/>
          <w:numId w:val="15"/>
        </w:numPr>
        <w:tabs>
          <w:tab w:pos="2123" w:val="left" w:leader="none"/>
        </w:tabs>
        <w:spacing w:line="194" w:lineRule="auto" w:before="56" w:after="0"/>
        <w:ind w:left="1910" w:right="0" w:firstLine="0"/>
        <w:jc w:val="both"/>
      </w:pPr>
      <w:r>
        <w:rPr>
          <w:spacing w:val="-2"/>
        </w:rPr>
        <w:t>冠状动脉搭</w:t>
      </w:r>
      <w:r>
        <w:rPr>
          <w:spacing w:val="-2"/>
        </w:rPr>
        <w:t>桥术（或称冠</w:t>
      </w:r>
      <w:r>
        <w:rPr>
          <w:spacing w:val="-2"/>
        </w:rPr>
        <w:t>状动脉旁路移</w:t>
      </w:r>
      <w:r>
        <w:rPr>
          <w:spacing w:val="-4"/>
        </w:rPr>
        <w:t>植术）</w:t>
      </w:r>
    </w:p>
    <w:p>
      <w:pPr>
        <w:pStyle w:val="BodyText"/>
        <w:spacing w:line="283" w:lineRule="auto" w:before="72"/>
        <w:ind w:left="243" w:right="1597"/>
      </w:pPr>
      <w:r>
        <w:rPr/>
        <w:br w:type="column"/>
      </w:r>
      <w:r>
        <w:rPr>
          <w:spacing w:val="-2"/>
        </w:rPr>
        <w:t>指为治疗严重的冠心病，已经实施了切开心包进行的冠状动</w:t>
      </w:r>
      <w:r>
        <w:rPr>
          <w:spacing w:val="-2"/>
        </w:rPr>
        <w:t>脉血管旁路移植的手术。</w:t>
      </w:r>
    </w:p>
    <w:p>
      <w:pPr>
        <w:pStyle w:val="BodyText"/>
        <w:spacing w:before="148"/>
        <w:ind w:left="243"/>
      </w:pPr>
      <w:r>
        <w:rPr>
          <w:spacing w:val="-3"/>
        </w:rPr>
        <w:t>所有未切开心包的冠状动脉介入治疗不在保障范围内。</w:t>
      </w:r>
    </w:p>
    <w:p>
      <w:pPr>
        <w:spacing w:after="0"/>
        <w:sectPr>
          <w:type w:val="continuous"/>
          <w:pgSz w:w="11910" w:h="16840"/>
          <w:pgMar w:header="0" w:footer="226" w:top="240" w:bottom="420" w:left="980" w:right="400"/>
          <w:cols w:num="2" w:equalWidth="0">
            <w:col w:w="3179" w:space="40"/>
            <w:col w:w="7311"/>
          </w:cols>
        </w:sectPr>
      </w:pPr>
    </w:p>
    <w:p>
      <w:pPr>
        <w:pStyle w:val="BodyText"/>
        <w:spacing w:before="12"/>
        <w:rPr>
          <w:sz w:val="20"/>
        </w:rPr>
      </w:pPr>
    </w:p>
    <w:p>
      <w:pPr>
        <w:spacing w:after="0"/>
        <w:rPr>
          <w:sz w:val="20"/>
        </w:rPr>
        <w:sectPr>
          <w:type w:val="continuous"/>
          <w:pgSz w:w="11910" w:h="16840"/>
          <w:pgMar w:header="0" w:footer="226" w:top="240" w:bottom="420" w:left="980" w:right="400"/>
        </w:sectPr>
      </w:pPr>
    </w:p>
    <w:p>
      <w:pPr>
        <w:pStyle w:val="Heading2"/>
        <w:numPr>
          <w:ilvl w:val="0"/>
          <w:numId w:val="15"/>
        </w:numPr>
        <w:tabs>
          <w:tab w:pos="2123" w:val="left" w:leader="none"/>
        </w:tabs>
        <w:spacing w:line="196" w:lineRule="auto" w:before="53" w:after="0"/>
        <w:ind w:left="1910" w:right="0" w:firstLine="0"/>
        <w:jc w:val="left"/>
      </w:pPr>
      <w:r>
        <w:rPr>
          <w:spacing w:val="-2"/>
        </w:rPr>
        <w:t>严重慢性肾</w:t>
      </w:r>
      <w:r>
        <w:rPr>
          <w:spacing w:val="-6"/>
        </w:rPr>
        <w:t>衰竭</w:t>
      </w:r>
    </w:p>
    <w:p>
      <w:pPr>
        <w:pStyle w:val="BodyText"/>
        <w:spacing w:before="72"/>
        <w:ind w:left="243"/>
      </w:pPr>
      <w:r>
        <w:rPr/>
        <w:br w:type="column"/>
      </w:r>
      <w:r>
        <w:rPr>
          <w:spacing w:val="-3"/>
        </w:rPr>
        <w:t>指双肾功能慢性不可逆性衰竭，依据肾脏病预后质量倡议</w:t>
      </w:r>
    </w:p>
    <w:p>
      <w:pPr>
        <w:pStyle w:val="BodyText"/>
        <w:spacing w:before="47"/>
        <w:ind w:left="243"/>
      </w:pPr>
      <w:r>
        <w:rPr>
          <w:spacing w:val="-2"/>
        </w:rPr>
        <w:t>（K/DOQI）</w:t>
      </w:r>
      <w:r>
        <w:rPr>
          <w:spacing w:val="-5"/>
        </w:rPr>
        <w:t>制定的指南，分期达到慢性肾脏病 </w:t>
      </w:r>
      <w:r>
        <w:rPr>
          <w:spacing w:val="-2"/>
        </w:rPr>
        <w:t>5</w:t>
      </w:r>
      <w:r>
        <w:rPr>
          <w:spacing w:val="-11"/>
        </w:rPr>
        <w:t> 期，且经诊</w:t>
      </w:r>
    </w:p>
    <w:p>
      <w:pPr>
        <w:pStyle w:val="BodyText"/>
        <w:spacing w:line="278" w:lineRule="auto" w:before="44"/>
        <w:ind w:left="243" w:right="1703"/>
      </w:pPr>
      <w:r>
        <w:rPr>
          <w:spacing w:val="-6"/>
        </w:rPr>
        <w:t>断后已经进行了至少 </w:t>
      </w:r>
      <w:r>
        <w:rPr/>
        <w:t>90</w:t>
      </w:r>
      <w:r>
        <w:rPr>
          <w:spacing w:val="-8"/>
        </w:rPr>
        <w:t> 天的规律性透析治疗。规律性透析</w:t>
      </w:r>
      <w:r>
        <w:rPr>
          <w:spacing w:val="-2"/>
        </w:rPr>
        <w:t>是指每周进行血液透析或每天进行腹膜透析。</w:t>
      </w:r>
    </w:p>
    <w:p>
      <w:pPr>
        <w:spacing w:after="0" w:line="278" w:lineRule="auto"/>
        <w:sectPr>
          <w:type w:val="continuous"/>
          <w:pgSz w:w="11910" w:h="16840"/>
          <w:pgMar w:header="0" w:footer="226" w:top="240" w:bottom="420" w:left="980" w:right="400"/>
          <w:cols w:num="2" w:equalWidth="0">
            <w:col w:w="3179" w:space="40"/>
            <w:col w:w="7311"/>
          </w:cols>
        </w:sectPr>
      </w:pPr>
    </w:p>
    <w:p>
      <w:pPr>
        <w:pStyle w:val="Heading2"/>
        <w:numPr>
          <w:ilvl w:val="0"/>
          <w:numId w:val="15"/>
        </w:numPr>
        <w:tabs>
          <w:tab w:pos="2123" w:val="left" w:leader="none"/>
        </w:tabs>
        <w:spacing w:line="194" w:lineRule="auto" w:before="35" w:after="0"/>
        <w:ind w:left="1910" w:right="0" w:firstLine="0"/>
        <w:jc w:val="left"/>
      </w:pPr>
      <w:r>
        <w:rPr>
          <w:spacing w:val="-2"/>
        </w:rPr>
        <w:t>多个肢体缺</w:t>
      </w:r>
      <w:r>
        <w:rPr>
          <w:spacing w:val="-10"/>
        </w:rPr>
        <w:t>失</w:t>
      </w:r>
    </w:p>
    <w:p>
      <w:pPr>
        <w:pStyle w:val="BodyText"/>
        <w:spacing w:line="278" w:lineRule="auto" w:before="51"/>
        <w:ind w:left="243" w:right="1597"/>
      </w:pPr>
      <w:r>
        <w:rPr/>
        <w:br w:type="column"/>
      </w:r>
      <w:r>
        <w:rPr>
          <w:spacing w:val="-2"/>
        </w:rPr>
        <w:t>指因疾病或意外伤害导致两个或两个以上肢体自腕关节或踝</w:t>
      </w:r>
      <w:r>
        <w:rPr>
          <w:spacing w:val="-2"/>
        </w:rPr>
        <w:t>关节近端（靠近躯干端）以上完全性断离。</w:t>
      </w:r>
    </w:p>
    <w:p>
      <w:pPr>
        <w:spacing w:after="0" w:line="278" w:lineRule="auto"/>
        <w:sectPr>
          <w:pgSz w:w="11910" w:h="16840"/>
          <w:pgMar w:header="0" w:footer="226" w:top="820" w:bottom="420" w:left="980" w:right="400"/>
          <w:cols w:num="2" w:equalWidth="0">
            <w:col w:w="3179" w:space="40"/>
            <w:col w:w="7311"/>
          </w:cols>
        </w:sectPr>
      </w:pPr>
    </w:p>
    <w:p>
      <w:pPr>
        <w:pStyle w:val="BodyText"/>
        <w:spacing w:before="11"/>
        <w:rPr>
          <w:sz w:val="19"/>
        </w:rPr>
      </w:pPr>
    </w:p>
    <w:p>
      <w:pPr>
        <w:spacing w:after="0"/>
        <w:rPr>
          <w:sz w:val="19"/>
        </w:rPr>
        <w:sectPr>
          <w:type w:val="continuous"/>
          <w:pgSz w:w="11910" w:h="16840"/>
          <w:pgMar w:header="0" w:footer="226" w:top="240" w:bottom="420" w:left="980" w:right="400"/>
        </w:sectPr>
      </w:pPr>
    </w:p>
    <w:p>
      <w:pPr>
        <w:pStyle w:val="Heading2"/>
        <w:numPr>
          <w:ilvl w:val="0"/>
          <w:numId w:val="15"/>
        </w:numPr>
        <w:tabs>
          <w:tab w:pos="2123" w:val="left" w:leader="none"/>
        </w:tabs>
        <w:spacing w:line="194" w:lineRule="auto" w:before="55" w:after="0"/>
        <w:ind w:left="1910" w:right="0" w:firstLine="0"/>
        <w:jc w:val="both"/>
      </w:pPr>
      <w:r>
        <w:rPr>
          <w:spacing w:val="-2"/>
        </w:rPr>
        <w:t>急性重症肝</w:t>
      </w:r>
      <w:r>
        <w:rPr>
          <w:spacing w:val="-2"/>
        </w:rPr>
        <w:t>炎或亚急性重</w:t>
      </w:r>
      <w:r>
        <w:rPr>
          <w:spacing w:val="-4"/>
        </w:rPr>
        <w:t>症肝炎</w:t>
      </w:r>
    </w:p>
    <w:p>
      <w:pPr>
        <w:pStyle w:val="BodyText"/>
        <w:spacing w:line="278" w:lineRule="auto" w:before="72"/>
        <w:ind w:left="243" w:right="1597"/>
        <w:jc w:val="both"/>
      </w:pPr>
      <w:r>
        <w:rPr/>
        <w:br w:type="column"/>
      </w:r>
      <w:r>
        <w:rPr>
          <w:spacing w:val="-2"/>
        </w:rPr>
        <w:t>指因肝炎病毒感染引起肝脏组织弥漫性坏死，导致急性肝功</w:t>
      </w:r>
      <w:r>
        <w:rPr>
          <w:spacing w:val="-2"/>
        </w:rPr>
        <w:t>能衰竭，且经血清学或病毒学检查证实，并须满足下列全部</w:t>
      </w:r>
      <w:r>
        <w:rPr>
          <w:spacing w:val="-4"/>
        </w:rPr>
        <w:t>条件：</w:t>
      </w:r>
    </w:p>
    <w:p>
      <w:pPr>
        <w:pStyle w:val="ListParagraph"/>
        <w:numPr>
          <w:ilvl w:val="0"/>
          <w:numId w:val="17"/>
        </w:numPr>
        <w:tabs>
          <w:tab w:pos="773" w:val="left" w:leader="none"/>
        </w:tabs>
        <w:spacing w:line="240" w:lineRule="auto" w:before="154" w:after="0"/>
        <w:ind w:left="772" w:right="0" w:hanging="530"/>
        <w:jc w:val="left"/>
        <w:rPr>
          <w:sz w:val="21"/>
        </w:rPr>
      </w:pPr>
      <w:r>
        <w:rPr>
          <w:spacing w:val="-3"/>
          <w:sz w:val="21"/>
        </w:rPr>
        <w:t>重度黄疸或黄疸迅速加重；</w:t>
      </w:r>
    </w:p>
    <w:p>
      <w:pPr>
        <w:pStyle w:val="ListParagraph"/>
        <w:numPr>
          <w:ilvl w:val="0"/>
          <w:numId w:val="17"/>
        </w:numPr>
        <w:tabs>
          <w:tab w:pos="773" w:val="left" w:leader="none"/>
        </w:tabs>
        <w:spacing w:line="240" w:lineRule="auto" w:before="47" w:after="0"/>
        <w:ind w:left="772" w:right="0" w:hanging="530"/>
        <w:jc w:val="left"/>
        <w:rPr>
          <w:sz w:val="21"/>
        </w:rPr>
      </w:pPr>
      <w:r>
        <w:rPr>
          <w:spacing w:val="-4"/>
          <w:sz w:val="21"/>
        </w:rPr>
        <w:t>肝性脑病；</w:t>
      </w:r>
    </w:p>
    <w:p>
      <w:pPr>
        <w:pStyle w:val="BodyText"/>
        <w:spacing w:before="43"/>
        <w:ind w:left="243"/>
      </w:pPr>
      <w:r>
        <w:rPr>
          <w:spacing w:val="-2"/>
        </w:rPr>
        <w:t>（3）B</w:t>
      </w:r>
      <w:r>
        <w:rPr>
          <w:spacing w:val="-9"/>
        </w:rPr>
        <w:t> 超或其他影像学检查显示肝脏体积急速萎缩；</w:t>
      </w:r>
    </w:p>
    <w:p>
      <w:pPr>
        <w:pStyle w:val="BodyText"/>
        <w:spacing w:before="44"/>
        <w:ind w:left="243"/>
      </w:pPr>
      <w:r>
        <w:rPr>
          <w:spacing w:val="-2"/>
        </w:rPr>
        <w:t>（4）</w:t>
      </w:r>
      <w:r>
        <w:rPr>
          <w:spacing w:val="-3"/>
        </w:rPr>
        <w:t>肝功能指标进行性恶化。</w:t>
      </w:r>
    </w:p>
    <w:p>
      <w:pPr>
        <w:spacing w:after="0"/>
        <w:sectPr>
          <w:type w:val="continuous"/>
          <w:pgSz w:w="11910" w:h="16840"/>
          <w:pgMar w:header="0" w:footer="226" w:top="240" w:bottom="420" w:left="980" w:right="400"/>
          <w:cols w:num="2" w:equalWidth="0">
            <w:col w:w="3179" w:space="40"/>
            <w:col w:w="7311"/>
          </w:cols>
        </w:sectPr>
      </w:pPr>
    </w:p>
    <w:p>
      <w:pPr>
        <w:pStyle w:val="BodyText"/>
        <w:spacing w:before="10"/>
        <w:rPr>
          <w:sz w:val="22"/>
        </w:rPr>
      </w:pPr>
    </w:p>
    <w:p>
      <w:pPr>
        <w:spacing w:after="0"/>
        <w:rPr>
          <w:sz w:val="22"/>
        </w:rPr>
        <w:sectPr>
          <w:type w:val="continuous"/>
          <w:pgSz w:w="11910" w:h="16840"/>
          <w:pgMar w:header="0" w:footer="226" w:top="240" w:bottom="420" w:left="980" w:right="400"/>
        </w:sectPr>
      </w:pPr>
    </w:p>
    <w:p>
      <w:pPr>
        <w:pStyle w:val="Heading2"/>
        <w:numPr>
          <w:ilvl w:val="0"/>
          <w:numId w:val="15"/>
        </w:numPr>
        <w:tabs>
          <w:tab w:pos="2123" w:val="left" w:leader="none"/>
        </w:tabs>
        <w:spacing w:line="196" w:lineRule="auto" w:before="53" w:after="0"/>
        <w:ind w:left="1910" w:right="0" w:firstLine="0"/>
        <w:jc w:val="left"/>
      </w:pPr>
      <w:r>
        <w:rPr>
          <w:spacing w:val="-2"/>
        </w:rPr>
        <w:t>严重非恶性</w:t>
      </w:r>
      <w:r>
        <w:rPr>
          <w:spacing w:val="-4"/>
        </w:rPr>
        <w:t>颅内肿瘤</w:t>
      </w:r>
    </w:p>
    <w:p>
      <w:pPr>
        <w:pStyle w:val="BodyText"/>
        <w:spacing w:line="278" w:lineRule="auto" w:before="72"/>
        <w:ind w:left="243" w:right="1596"/>
      </w:pPr>
      <w:r>
        <w:rPr/>
        <w:br w:type="column"/>
      </w:r>
      <w:r>
        <w:rPr/>
        <w:t>指起源于脑、脑神经、脑被膜的非恶性肿瘤，ICD-O-3</w:t>
      </w:r>
      <w:r>
        <w:rPr>
          <w:spacing w:val="-15"/>
        </w:rPr>
        <w:t> 肿瘤</w:t>
      </w:r>
      <w:r>
        <w:rPr>
          <w:spacing w:val="-5"/>
        </w:rPr>
        <w:t>形态学编码属于 </w:t>
      </w:r>
      <w:r>
        <w:rPr/>
        <w:t>0（良性肿瘤</w:t>
      </w:r>
      <w:r>
        <w:rPr>
          <w:spacing w:val="-111"/>
        </w:rPr>
        <w:t>）</w:t>
      </w:r>
      <w:r>
        <w:rPr/>
        <w:t>、1（动态未定性肿瘤）范</w:t>
      </w:r>
      <w:r>
        <w:rPr/>
        <w:t> </w:t>
      </w:r>
      <w:r>
        <w:rPr>
          <w:spacing w:val="-2"/>
        </w:rPr>
        <w:t>畴，并已经引起颅内压升高或神经系统功能损害，出现视乳</w:t>
      </w:r>
      <w:r>
        <w:rPr>
          <w:spacing w:val="-2"/>
        </w:rPr>
        <w:t>头水肿或视觉受损、听觉受损、面部或肢体瘫痪、癫痫等，</w:t>
      </w:r>
      <w:r>
        <w:rPr>
          <w:spacing w:val="-4"/>
        </w:rPr>
        <w:t>须由头颅断层扫描</w:t>
      </w:r>
      <w:r>
        <w:rPr>
          <w:spacing w:val="23"/>
        </w:rPr>
        <w:t>（</w:t>
      </w:r>
      <w:r>
        <w:rPr>
          <w:spacing w:val="18"/>
        </w:rPr>
        <w:t>C</w:t>
      </w:r>
      <w:r>
        <w:rPr>
          <w:spacing w:val="23"/>
        </w:rPr>
        <w:t>T</w:t>
      </w:r>
      <w:r>
        <w:rPr>
          <w:spacing w:val="-83"/>
        </w:rPr>
        <w:t>）</w:t>
      </w:r>
      <w:r>
        <w:rPr>
          <w:spacing w:val="-4"/>
        </w:rPr>
        <w:t>、核磁共振检查（MRI）或正电子发</w:t>
      </w:r>
      <w:r>
        <w:rPr>
          <w:spacing w:val="-2"/>
        </w:rPr>
        <w:t>射断层扫描（PET）等影像学检查证实，且须满足下列至少</w:t>
      </w:r>
      <w:r>
        <w:rPr>
          <w:spacing w:val="-2"/>
        </w:rPr>
        <w:t>一项条件：</w:t>
      </w:r>
    </w:p>
    <w:p>
      <w:pPr>
        <w:pStyle w:val="ListParagraph"/>
        <w:numPr>
          <w:ilvl w:val="0"/>
          <w:numId w:val="18"/>
        </w:numPr>
        <w:tabs>
          <w:tab w:pos="773" w:val="left" w:leader="none"/>
        </w:tabs>
        <w:spacing w:line="278" w:lineRule="auto" w:before="158" w:after="0"/>
        <w:ind w:left="243" w:right="1914" w:firstLine="0"/>
        <w:jc w:val="left"/>
        <w:rPr>
          <w:sz w:val="21"/>
        </w:rPr>
      </w:pPr>
      <w:r>
        <w:rPr>
          <w:spacing w:val="-2"/>
          <w:sz w:val="21"/>
        </w:rPr>
        <w:t>已经实施了开颅进行的颅内肿瘤完全或部分切除手</w:t>
      </w:r>
      <w:r>
        <w:rPr>
          <w:spacing w:val="-6"/>
          <w:sz w:val="21"/>
        </w:rPr>
        <w:t>术；</w:t>
      </w:r>
    </w:p>
    <w:p>
      <w:pPr>
        <w:pStyle w:val="ListParagraph"/>
        <w:numPr>
          <w:ilvl w:val="0"/>
          <w:numId w:val="18"/>
        </w:numPr>
        <w:tabs>
          <w:tab w:pos="773" w:val="left" w:leader="none"/>
        </w:tabs>
        <w:spacing w:line="278" w:lineRule="auto" w:before="1" w:after="0"/>
        <w:ind w:left="243" w:right="1596" w:firstLine="0"/>
        <w:jc w:val="left"/>
        <w:rPr>
          <w:sz w:val="21"/>
        </w:rPr>
      </w:pPr>
      <w:r>
        <w:rPr>
          <w:spacing w:val="2"/>
          <w:sz w:val="21"/>
        </w:rPr>
        <w:t>已经实施了针对颅内肿瘤的放射治疗，如</w:t>
      </w:r>
      <w:r>
        <w:rPr>
          <w:sz w:val="21"/>
        </w:rPr>
        <w:t>γ</w:t>
      </w:r>
      <w:r>
        <w:rPr>
          <w:spacing w:val="-12"/>
          <w:sz w:val="21"/>
        </w:rPr>
        <w:t> 刀、质子</w:t>
      </w:r>
      <w:r>
        <w:rPr>
          <w:spacing w:val="-2"/>
          <w:sz w:val="21"/>
        </w:rPr>
        <w:t>重离子治疗等。</w:t>
      </w:r>
    </w:p>
    <w:p>
      <w:pPr>
        <w:pStyle w:val="BodyText"/>
        <w:spacing w:before="153"/>
        <w:ind w:left="243"/>
      </w:pPr>
      <w:r>
        <w:rPr>
          <w:spacing w:val="-3"/>
        </w:rPr>
        <w:t>下列疾病不在保障范围内：</w:t>
      </w:r>
    </w:p>
    <w:p>
      <w:pPr>
        <w:pStyle w:val="BodyText"/>
        <w:spacing w:before="9"/>
        <w:rPr>
          <w:sz w:val="15"/>
        </w:rPr>
      </w:pPr>
    </w:p>
    <w:p>
      <w:pPr>
        <w:pStyle w:val="ListParagraph"/>
        <w:numPr>
          <w:ilvl w:val="0"/>
          <w:numId w:val="19"/>
        </w:numPr>
        <w:tabs>
          <w:tab w:pos="773" w:val="left" w:leader="none"/>
        </w:tabs>
        <w:spacing w:line="240" w:lineRule="auto" w:before="0" w:after="0"/>
        <w:ind w:left="772" w:right="0" w:hanging="530"/>
        <w:jc w:val="left"/>
        <w:rPr>
          <w:sz w:val="21"/>
        </w:rPr>
      </w:pPr>
      <w:r>
        <w:rPr>
          <w:spacing w:val="-4"/>
          <w:sz w:val="21"/>
        </w:rPr>
        <w:t>脑垂体瘤；</w:t>
      </w:r>
    </w:p>
    <w:p>
      <w:pPr>
        <w:pStyle w:val="ListParagraph"/>
        <w:numPr>
          <w:ilvl w:val="0"/>
          <w:numId w:val="19"/>
        </w:numPr>
        <w:tabs>
          <w:tab w:pos="773" w:val="left" w:leader="none"/>
        </w:tabs>
        <w:spacing w:line="240" w:lineRule="auto" w:before="43" w:after="0"/>
        <w:ind w:left="772" w:right="0" w:hanging="530"/>
        <w:jc w:val="left"/>
        <w:rPr>
          <w:sz w:val="21"/>
        </w:rPr>
      </w:pPr>
      <w:r>
        <w:rPr>
          <w:spacing w:val="-4"/>
          <w:sz w:val="21"/>
        </w:rPr>
        <w:t>脑囊肿；</w:t>
      </w:r>
    </w:p>
    <w:p>
      <w:pPr>
        <w:pStyle w:val="ListParagraph"/>
        <w:numPr>
          <w:ilvl w:val="0"/>
          <w:numId w:val="19"/>
        </w:numPr>
        <w:tabs>
          <w:tab w:pos="773" w:val="left" w:leader="none"/>
        </w:tabs>
        <w:spacing w:line="278" w:lineRule="auto" w:before="43" w:after="0"/>
        <w:ind w:left="243" w:right="1703" w:firstLine="0"/>
        <w:jc w:val="left"/>
        <w:rPr>
          <w:sz w:val="21"/>
        </w:rPr>
      </w:pPr>
      <w:r>
        <w:rPr>
          <w:spacing w:val="-2"/>
          <w:sz w:val="21"/>
        </w:rPr>
        <w:t>颅内血管性疾病（如脑动脉瘤、脑动静脉畸形、海绵</w:t>
      </w:r>
      <w:r>
        <w:rPr>
          <w:spacing w:val="-2"/>
          <w:sz w:val="21"/>
        </w:rPr>
        <w:t>状血管瘤、毛细血管扩张症等</w:t>
      </w:r>
      <w:r>
        <w:rPr>
          <w:spacing w:val="-111"/>
          <w:sz w:val="21"/>
        </w:rPr>
        <w:t>）</w:t>
      </w:r>
      <w:r>
        <w:rPr>
          <w:spacing w:val="-2"/>
          <w:sz w:val="21"/>
        </w:rPr>
        <w:t>。</w:t>
      </w:r>
    </w:p>
    <w:p>
      <w:pPr>
        <w:spacing w:after="0" w:line="278" w:lineRule="auto"/>
        <w:jc w:val="left"/>
        <w:rPr>
          <w:sz w:val="21"/>
        </w:rPr>
        <w:sectPr>
          <w:type w:val="continuous"/>
          <w:pgSz w:w="11910" w:h="16840"/>
          <w:pgMar w:header="0" w:footer="226" w:top="240" w:bottom="420" w:left="980" w:right="400"/>
          <w:cols w:num="2" w:equalWidth="0">
            <w:col w:w="3179" w:space="40"/>
            <w:col w:w="7311"/>
          </w:cols>
        </w:sectPr>
      </w:pPr>
    </w:p>
    <w:p>
      <w:pPr>
        <w:pStyle w:val="BodyText"/>
        <w:spacing w:before="7"/>
        <w:rPr>
          <w:sz w:val="19"/>
        </w:rPr>
      </w:pPr>
    </w:p>
    <w:p>
      <w:pPr>
        <w:spacing w:after="0"/>
        <w:rPr>
          <w:sz w:val="19"/>
        </w:rPr>
        <w:sectPr>
          <w:type w:val="continuous"/>
          <w:pgSz w:w="11910" w:h="16840"/>
          <w:pgMar w:header="0" w:footer="226" w:top="240" w:bottom="420" w:left="980" w:right="400"/>
        </w:sectPr>
      </w:pPr>
    </w:p>
    <w:p>
      <w:pPr>
        <w:pStyle w:val="Heading2"/>
        <w:numPr>
          <w:ilvl w:val="0"/>
          <w:numId w:val="15"/>
        </w:numPr>
        <w:tabs>
          <w:tab w:pos="2229" w:val="left" w:leader="none"/>
        </w:tabs>
        <w:spacing w:line="196" w:lineRule="auto" w:before="53" w:after="0"/>
        <w:ind w:left="1910" w:right="0" w:firstLine="0"/>
        <w:jc w:val="left"/>
      </w:pPr>
      <w:r>
        <w:rPr>
          <w:spacing w:val="-4"/>
        </w:rPr>
        <w:t>严重慢性</w:t>
      </w:r>
      <w:r>
        <w:rPr>
          <w:spacing w:val="-4"/>
        </w:rPr>
        <w:t>肝衰竭</w:t>
      </w:r>
    </w:p>
    <w:p>
      <w:pPr>
        <w:pStyle w:val="BodyText"/>
        <w:spacing w:before="72"/>
        <w:ind w:left="349"/>
      </w:pPr>
      <w:r>
        <w:rPr/>
        <w:br w:type="column"/>
      </w:r>
      <w:r>
        <w:rPr>
          <w:spacing w:val="-3"/>
        </w:rPr>
        <w:t>指因慢性肝脏疾病导致的肝衰竭，且须满足下列全部条件：</w:t>
      </w:r>
    </w:p>
    <w:p>
      <w:pPr>
        <w:pStyle w:val="BodyText"/>
        <w:spacing w:before="9"/>
        <w:rPr>
          <w:sz w:val="15"/>
        </w:rPr>
      </w:pPr>
    </w:p>
    <w:p>
      <w:pPr>
        <w:pStyle w:val="ListParagraph"/>
        <w:numPr>
          <w:ilvl w:val="1"/>
          <w:numId w:val="19"/>
        </w:numPr>
        <w:tabs>
          <w:tab w:pos="879" w:val="left" w:leader="none"/>
        </w:tabs>
        <w:spacing w:line="240" w:lineRule="auto" w:before="0" w:after="0"/>
        <w:ind w:left="878" w:right="0" w:hanging="530"/>
        <w:jc w:val="left"/>
        <w:rPr>
          <w:sz w:val="21"/>
        </w:rPr>
      </w:pPr>
      <w:r>
        <w:rPr>
          <w:spacing w:val="-4"/>
          <w:sz w:val="21"/>
        </w:rPr>
        <w:t>持续性黄疸；</w:t>
      </w:r>
    </w:p>
    <w:p>
      <w:pPr>
        <w:pStyle w:val="ListParagraph"/>
        <w:numPr>
          <w:ilvl w:val="1"/>
          <w:numId w:val="19"/>
        </w:numPr>
        <w:tabs>
          <w:tab w:pos="879" w:val="left" w:leader="none"/>
        </w:tabs>
        <w:spacing w:line="240" w:lineRule="auto" w:before="43" w:after="0"/>
        <w:ind w:left="878" w:right="0" w:hanging="530"/>
        <w:jc w:val="left"/>
        <w:rPr>
          <w:sz w:val="21"/>
        </w:rPr>
      </w:pPr>
      <w:r>
        <w:rPr>
          <w:spacing w:val="-4"/>
          <w:sz w:val="21"/>
        </w:rPr>
        <w:t>腹水；</w:t>
      </w:r>
    </w:p>
    <w:p>
      <w:pPr>
        <w:pStyle w:val="ListParagraph"/>
        <w:numPr>
          <w:ilvl w:val="1"/>
          <w:numId w:val="19"/>
        </w:numPr>
        <w:tabs>
          <w:tab w:pos="879" w:val="left" w:leader="none"/>
        </w:tabs>
        <w:spacing w:line="240" w:lineRule="auto" w:before="43" w:after="0"/>
        <w:ind w:left="878" w:right="0" w:hanging="530"/>
        <w:jc w:val="left"/>
        <w:rPr>
          <w:sz w:val="21"/>
        </w:rPr>
      </w:pPr>
      <w:r>
        <w:rPr>
          <w:spacing w:val="-4"/>
          <w:sz w:val="21"/>
        </w:rPr>
        <w:t>肝性脑病；</w:t>
      </w:r>
    </w:p>
    <w:p>
      <w:pPr>
        <w:pStyle w:val="ListParagraph"/>
        <w:numPr>
          <w:ilvl w:val="1"/>
          <w:numId w:val="19"/>
        </w:numPr>
        <w:tabs>
          <w:tab w:pos="879" w:val="left" w:leader="none"/>
        </w:tabs>
        <w:spacing w:line="240" w:lineRule="auto" w:before="43" w:after="0"/>
        <w:ind w:left="878" w:right="0" w:hanging="530"/>
        <w:jc w:val="left"/>
        <w:rPr>
          <w:sz w:val="21"/>
        </w:rPr>
      </w:pPr>
      <w:r>
        <w:rPr>
          <w:spacing w:val="-3"/>
          <w:sz w:val="21"/>
        </w:rPr>
        <w:t>充血性脾肿大伴脾功能亢进或食管胃底静脉曲张。</w:t>
      </w:r>
    </w:p>
    <w:p>
      <w:pPr>
        <w:pStyle w:val="BodyText"/>
        <w:spacing w:before="4"/>
        <w:rPr>
          <w:sz w:val="15"/>
        </w:rPr>
      </w:pPr>
    </w:p>
    <w:p>
      <w:pPr>
        <w:pStyle w:val="BodyText"/>
        <w:spacing w:before="1"/>
        <w:ind w:left="349"/>
      </w:pPr>
      <w:r>
        <w:rPr>
          <w:spacing w:val="-3"/>
        </w:rPr>
        <w:t>因酗酒或药物滥用导致的肝衰竭不在保障范围内。</w:t>
      </w:r>
    </w:p>
    <w:p>
      <w:pPr>
        <w:spacing w:after="0"/>
        <w:sectPr>
          <w:type w:val="continuous"/>
          <w:pgSz w:w="11910" w:h="16840"/>
          <w:pgMar w:header="0" w:footer="226" w:top="240" w:bottom="420" w:left="980" w:right="400"/>
          <w:cols w:num="2" w:equalWidth="0">
            <w:col w:w="3073" w:space="40"/>
            <w:col w:w="7417"/>
          </w:cols>
        </w:sectPr>
      </w:pPr>
    </w:p>
    <w:p>
      <w:pPr>
        <w:pStyle w:val="BodyText"/>
        <w:spacing w:before="3"/>
        <w:rPr>
          <w:sz w:val="23"/>
        </w:rPr>
      </w:pPr>
    </w:p>
    <w:p>
      <w:pPr>
        <w:spacing w:after="0"/>
        <w:rPr>
          <w:sz w:val="23"/>
        </w:rPr>
        <w:sectPr>
          <w:type w:val="continuous"/>
          <w:pgSz w:w="11910" w:h="16840"/>
          <w:pgMar w:header="0" w:footer="226" w:top="240" w:bottom="420" w:left="980" w:right="400"/>
        </w:sectPr>
      </w:pPr>
    </w:p>
    <w:p>
      <w:pPr>
        <w:pStyle w:val="Heading2"/>
        <w:numPr>
          <w:ilvl w:val="0"/>
          <w:numId w:val="15"/>
        </w:numPr>
        <w:tabs>
          <w:tab w:pos="2229" w:val="left" w:leader="none"/>
        </w:tabs>
        <w:spacing w:line="194" w:lineRule="auto" w:before="55" w:after="0"/>
        <w:ind w:left="1910" w:right="0" w:firstLine="0"/>
        <w:jc w:val="left"/>
      </w:pPr>
      <w:r>
        <w:rPr>
          <w:spacing w:val="-4"/>
        </w:rPr>
        <w:t>严重脑炎</w:t>
      </w:r>
      <w:r>
        <w:rPr>
          <w:spacing w:val="-2"/>
        </w:rPr>
        <w:t>后遗症或严重</w:t>
      </w:r>
      <w:r>
        <w:rPr>
          <w:spacing w:val="-2"/>
        </w:rPr>
        <w:t>脑膜炎后遗症</w:t>
      </w:r>
    </w:p>
    <w:p>
      <w:pPr>
        <w:pStyle w:val="BodyText"/>
        <w:spacing w:line="280" w:lineRule="auto" w:before="71"/>
        <w:ind w:left="243" w:right="1597"/>
        <w:jc w:val="both"/>
      </w:pPr>
      <w:r>
        <w:rPr/>
        <w:br w:type="column"/>
      </w:r>
      <w:r>
        <w:rPr>
          <w:spacing w:val="-2"/>
        </w:rPr>
        <w:t>指因患脑炎或脑膜炎导致的神经系统永久性的功能障碍。神</w:t>
      </w:r>
      <w:r>
        <w:rPr>
          <w:spacing w:val="-2"/>
        </w:rPr>
        <w:t>经系统永久性的功能障碍，指经相关专科医生确诊疾病 </w:t>
      </w:r>
      <w:r>
        <w:rPr/>
        <w:t>180</w:t>
      </w:r>
      <w:r>
        <w:rPr>
          <w:spacing w:val="-2"/>
        </w:rPr>
        <w:t>天后，仍遗留下列至少一种障碍：</w:t>
      </w:r>
    </w:p>
    <w:p>
      <w:pPr>
        <w:pStyle w:val="ListParagraph"/>
        <w:numPr>
          <w:ilvl w:val="0"/>
          <w:numId w:val="20"/>
        </w:numPr>
        <w:tabs>
          <w:tab w:pos="773" w:val="left" w:leader="none"/>
        </w:tabs>
        <w:spacing w:line="240" w:lineRule="auto" w:before="151" w:after="0"/>
        <w:ind w:left="772" w:right="0" w:hanging="530"/>
        <w:jc w:val="left"/>
        <w:rPr>
          <w:sz w:val="21"/>
        </w:rPr>
      </w:pPr>
      <w:r>
        <w:rPr>
          <w:spacing w:val="-2"/>
          <w:sz w:val="21"/>
        </w:rPr>
        <w:t>一肢（含）</w:t>
      </w:r>
      <w:r>
        <w:rPr>
          <w:spacing w:val="-9"/>
          <w:sz w:val="21"/>
        </w:rPr>
        <w:t>以上肢体肌力 </w:t>
      </w:r>
      <w:r>
        <w:rPr>
          <w:spacing w:val="-2"/>
          <w:sz w:val="21"/>
        </w:rPr>
        <w:t>2</w:t>
      </w:r>
      <w:r>
        <w:rPr>
          <w:spacing w:val="-25"/>
          <w:sz w:val="21"/>
        </w:rPr>
        <w:t> 级</w:t>
      </w:r>
      <w:r>
        <w:rPr>
          <w:spacing w:val="-2"/>
          <w:sz w:val="21"/>
        </w:rPr>
        <w:t>（含）</w:t>
      </w:r>
      <w:r>
        <w:rPr>
          <w:spacing w:val="-5"/>
          <w:sz w:val="21"/>
        </w:rPr>
        <w:t>以下；</w:t>
      </w:r>
    </w:p>
    <w:p>
      <w:pPr>
        <w:pStyle w:val="ListParagraph"/>
        <w:numPr>
          <w:ilvl w:val="0"/>
          <w:numId w:val="20"/>
        </w:numPr>
        <w:tabs>
          <w:tab w:pos="773" w:val="left" w:leader="none"/>
        </w:tabs>
        <w:spacing w:line="240" w:lineRule="auto" w:before="43" w:after="0"/>
        <w:ind w:left="772" w:right="0" w:hanging="530"/>
        <w:jc w:val="left"/>
        <w:rPr>
          <w:sz w:val="21"/>
        </w:rPr>
      </w:pPr>
      <w:r>
        <w:rPr>
          <w:spacing w:val="-3"/>
          <w:sz w:val="21"/>
        </w:rPr>
        <w:t>语言能力完全丧失，或严重咀嚼吞咽功能障碍；</w:t>
      </w:r>
    </w:p>
    <w:p>
      <w:pPr>
        <w:pStyle w:val="ListParagraph"/>
        <w:numPr>
          <w:ilvl w:val="0"/>
          <w:numId w:val="20"/>
        </w:numPr>
        <w:tabs>
          <w:tab w:pos="773" w:val="left" w:leader="none"/>
        </w:tabs>
        <w:spacing w:line="240" w:lineRule="auto" w:before="43" w:after="0"/>
        <w:ind w:left="772" w:right="0" w:hanging="530"/>
        <w:jc w:val="left"/>
        <w:rPr>
          <w:sz w:val="21"/>
        </w:rPr>
      </w:pPr>
      <w:r>
        <w:rPr>
          <w:spacing w:val="-3"/>
          <w:sz w:val="21"/>
        </w:rPr>
        <w:t>由具有评估资格的专科医生根据临床痴呆评定量表</w:t>
      </w:r>
    </w:p>
    <w:p>
      <w:pPr>
        <w:pStyle w:val="BodyText"/>
        <w:spacing w:before="43"/>
        <w:ind w:left="243"/>
      </w:pPr>
      <w:r>
        <w:rPr/>
        <w:t>（CDR，Clinical</w:t>
      </w:r>
      <w:r>
        <w:rPr>
          <w:spacing w:val="-17"/>
        </w:rPr>
        <w:t> </w:t>
      </w:r>
      <w:r>
        <w:rPr/>
        <w:t>Dementia</w:t>
      </w:r>
      <w:r>
        <w:rPr>
          <w:spacing w:val="-8"/>
        </w:rPr>
        <w:t> </w:t>
      </w:r>
      <w:r>
        <w:rPr/>
        <w:t>Rating）</w:t>
      </w:r>
      <w:r>
        <w:rPr>
          <w:spacing w:val="-9"/>
        </w:rPr>
        <w:t>评估结果为 </w:t>
      </w:r>
      <w:r>
        <w:rPr/>
        <w:t>3</w:t>
      </w:r>
      <w:r>
        <w:rPr>
          <w:spacing w:val="-23"/>
        </w:rPr>
        <w:t> 分；</w:t>
      </w:r>
    </w:p>
    <w:p>
      <w:pPr>
        <w:pStyle w:val="ListParagraph"/>
        <w:numPr>
          <w:ilvl w:val="0"/>
          <w:numId w:val="20"/>
        </w:numPr>
        <w:tabs>
          <w:tab w:pos="773" w:val="left" w:leader="none"/>
        </w:tabs>
        <w:spacing w:line="278" w:lineRule="auto" w:before="43" w:after="0"/>
        <w:ind w:left="243" w:right="1703" w:firstLine="0"/>
        <w:jc w:val="left"/>
        <w:rPr>
          <w:sz w:val="21"/>
        </w:rPr>
      </w:pPr>
      <w:r>
        <w:rPr>
          <w:spacing w:val="-2"/>
          <w:sz w:val="21"/>
        </w:rPr>
        <w:t>自主生活能力完全丧失，无法独立完成六项基本日常</w:t>
      </w:r>
      <w:r>
        <w:rPr>
          <w:spacing w:val="-2"/>
          <w:sz w:val="21"/>
        </w:rPr>
        <w:t>生活活动中的三项或三项以上。</w:t>
      </w:r>
    </w:p>
    <w:p>
      <w:pPr>
        <w:spacing w:after="0" w:line="278" w:lineRule="auto"/>
        <w:jc w:val="left"/>
        <w:rPr>
          <w:sz w:val="21"/>
        </w:rPr>
        <w:sectPr>
          <w:type w:val="continuous"/>
          <w:pgSz w:w="11910" w:h="16840"/>
          <w:pgMar w:header="0" w:footer="226" w:top="240" w:bottom="420" w:left="980" w:right="400"/>
          <w:cols w:num="2" w:equalWidth="0">
            <w:col w:w="3179" w:space="40"/>
            <w:col w:w="7311"/>
          </w:cols>
        </w:sectPr>
      </w:pPr>
    </w:p>
    <w:p>
      <w:pPr>
        <w:pStyle w:val="ListParagraph"/>
        <w:numPr>
          <w:ilvl w:val="0"/>
          <w:numId w:val="15"/>
        </w:numPr>
        <w:tabs>
          <w:tab w:pos="2229" w:val="left" w:leader="none"/>
        </w:tabs>
        <w:spacing w:line="312" w:lineRule="exact" w:before="11" w:after="0"/>
        <w:ind w:left="3462" w:right="1595" w:hanging="1552"/>
        <w:jc w:val="both"/>
        <w:rPr>
          <w:sz w:val="21"/>
        </w:rPr>
      </w:pPr>
      <w:r>
        <w:rPr>
          <w:rFonts w:ascii="Microsoft JhengHei" w:eastAsia="Microsoft JhengHei"/>
          <w:b/>
          <w:spacing w:val="62"/>
          <w:sz w:val="21"/>
        </w:rPr>
        <w:t>深度昏迷 </w:t>
      </w:r>
      <w:r>
        <w:rPr>
          <w:sz w:val="21"/>
        </w:rPr>
        <w:t>指因疾病或意外伤害导致意识丧失，对外界刺激和体内需求</w:t>
      </w:r>
      <w:r>
        <w:rPr>
          <w:spacing w:val="-2"/>
          <w:sz w:val="21"/>
        </w:rPr>
        <w:t>均无反应，昏迷程度按照格拉斯哥昏迷分级（GCS，Glasgow</w:t>
      </w:r>
      <w:r>
        <w:rPr>
          <w:spacing w:val="-2"/>
          <w:sz w:val="21"/>
        </w:rPr>
        <w:t> </w:t>
      </w:r>
      <w:r>
        <w:rPr>
          <w:sz w:val="21"/>
        </w:rPr>
        <w:t>Coma</w:t>
      </w:r>
      <w:r>
        <w:rPr>
          <w:spacing w:val="-19"/>
          <w:sz w:val="21"/>
        </w:rPr>
        <w:t> </w:t>
      </w:r>
      <w:r>
        <w:rPr>
          <w:sz w:val="21"/>
        </w:rPr>
        <w:t>Scale）</w:t>
      </w:r>
      <w:r>
        <w:rPr>
          <w:spacing w:val="-15"/>
          <w:sz w:val="21"/>
        </w:rPr>
        <w:t>结果为 </w:t>
      </w:r>
      <w:r>
        <w:rPr>
          <w:sz w:val="21"/>
        </w:rPr>
        <w:t>5</w:t>
      </w:r>
      <w:r>
        <w:rPr>
          <w:spacing w:val="-27"/>
          <w:sz w:val="21"/>
        </w:rPr>
        <w:t> 分或 </w:t>
      </w:r>
      <w:r>
        <w:rPr>
          <w:sz w:val="21"/>
        </w:rPr>
        <w:t>5</w:t>
      </w:r>
      <w:r>
        <w:rPr>
          <w:spacing w:val="-8"/>
          <w:sz w:val="21"/>
        </w:rPr>
        <w:t> 分以下，且已经持续使用呼吸</w:t>
      </w:r>
    </w:p>
    <w:p>
      <w:pPr>
        <w:pStyle w:val="BodyText"/>
        <w:spacing w:before="40"/>
        <w:ind w:left="3462"/>
        <w:jc w:val="both"/>
      </w:pPr>
      <w:r>
        <w:rPr>
          <w:spacing w:val="-6"/>
        </w:rPr>
        <w:t>机及其他生命维持系统 </w:t>
      </w:r>
      <w:r>
        <w:rPr>
          <w:spacing w:val="-2"/>
        </w:rPr>
        <w:t>96</w:t>
      </w:r>
      <w:r>
        <w:rPr>
          <w:spacing w:val="-11"/>
        </w:rPr>
        <w:t> 小时以上。</w:t>
      </w:r>
    </w:p>
    <w:p>
      <w:pPr>
        <w:pStyle w:val="BodyText"/>
        <w:spacing w:before="5"/>
        <w:rPr>
          <w:sz w:val="15"/>
        </w:rPr>
      </w:pPr>
    </w:p>
    <w:p>
      <w:pPr>
        <w:pStyle w:val="BodyText"/>
        <w:ind w:left="3462"/>
      </w:pPr>
      <w:r>
        <w:rPr>
          <w:spacing w:val="-3"/>
        </w:rPr>
        <w:t>因酗酒或药物滥用导致的深度昏迷不在保障范围内。</w:t>
      </w:r>
    </w:p>
    <w:p>
      <w:pPr>
        <w:pStyle w:val="BodyText"/>
        <w:spacing w:before="3"/>
        <w:rPr>
          <w:sz w:val="23"/>
        </w:rPr>
      </w:pPr>
    </w:p>
    <w:p>
      <w:pPr>
        <w:spacing w:after="0"/>
        <w:rPr>
          <w:sz w:val="23"/>
        </w:rPr>
        <w:sectPr>
          <w:pgSz w:w="11910" w:h="16840"/>
          <w:pgMar w:header="0" w:footer="226" w:top="820" w:bottom="420" w:left="980" w:right="400"/>
        </w:sectPr>
      </w:pPr>
    </w:p>
    <w:p>
      <w:pPr>
        <w:pStyle w:val="Heading2"/>
        <w:numPr>
          <w:ilvl w:val="0"/>
          <w:numId w:val="15"/>
        </w:numPr>
        <w:tabs>
          <w:tab w:pos="2229" w:val="left" w:leader="none"/>
        </w:tabs>
        <w:spacing w:line="351" w:lineRule="exact" w:before="2" w:after="0"/>
        <w:ind w:left="2228" w:right="0" w:hanging="319"/>
        <w:jc w:val="left"/>
      </w:pPr>
      <w:r>
        <w:rPr>
          <w:spacing w:val="-3"/>
        </w:rPr>
        <w:t>双耳失聪</w:t>
      </w:r>
    </w:p>
    <w:p>
      <w:pPr>
        <w:spacing w:line="194" w:lineRule="auto" w:before="19"/>
        <w:ind w:left="1910" w:right="0" w:firstLine="0"/>
        <w:jc w:val="left"/>
        <w:rPr>
          <w:rFonts w:ascii="Microsoft JhengHei" w:hAnsi="Microsoft JhengHei" w:eastAsia="Microsoft JhengHei"/>
          <w:b/>
          <w:sz w:val="21"/>
        </w:rPr>
      </w:pPr>
      <w:r>
        <w:rPr>
          <w:rFonts w:ascii="Microsoft JhengHei" w:hAnsi="Microsoft JhengHei" w:eastAsia="Microsoft JhengHei"/>
          <w:b/>
          <w:spacing w:val="-2"/>
          <w:w w:val="95"/>
          <w:sz w:val="21"/>
        </w:rPr>
        <w:t>——</w:t>
      </w:r>
      <w:r>
        <w:rPr>
          <w:rFonts w:ascii="Microsoft JhengHei" w:hAnsi="Microsoft JhengHei" w:eastAsia="Microsoft JhengHei"/>
          <w:b/>
          <w:spacing w:val="-2"/>
          <w:w w:val="95"/>
          <w:sz w:val="21"/>
        </w:rPr>
        <w:t>三</w:t>
      </w:r>
      <w:r>
        <w:rPr>
          <w:rFonts w:ascii="Microsoft JhengHei" w:hAnsi="Microsoft JhengHei" w:eastAsia="Microsoft JhengHei"/>
          <w:b/>
          <w:spacing w:val="-2"/>
          <w:w w:val="95"/>
          <w:sz w:val="21"/>
        </w:rPr>
        <w:t>周</w:t>
      </w:r>
      <w:r>
        <w:rPr>
          <w:rFonts w:ascii="Microsoft JhengHei" w:hAnsi="Microsoft JhengHei" w:eastAsia="Microsoft JhengHei"/>
          <w:b/>
          <w:spacing w:val="-2"/>
          <w:w w:val="95"/>
          <w:sz w:val="21"/>
        </w:rPr>
        <w:t>岁</w:t>
      </w:r>
      <w:r>
        <w:rPr>
          <w:rFonts w:ascii="Microsoft JhengHei" w:hAnsi="Microsoft JhengHei" w:eastAsia="Microsoft JhengHei"/>
          <w:b/>
          <w:spacing w:val="-2"/>
          <w:w w:val="95"/>
          <w:sz w:val="21"/>
        </w:rPr>
        <w:t>始</w:t>
      </w:r>
      <w:r>
        <w:rPr>
          <w:rFonts w:ascii="Microsoft JhengHei" w:hAnsi="Microsoft JhengHei" w:eastAsia="Microsoft JhengHei"/>
          <w:b/>
          <w:spacing w:val="-6"/>
          <w:sz w:val="21"/>
        </w:rPr>
        <w:t>理赔</w:t>
      </w:r>
    </w:p>
    <w:p>
      <w:pPr>
        <w:pStyle w:val="BodyText"/>
        <w:spacing w:line="237" w:lineRule="auto" w:before="7"/>
        <w:ind w:left="243" w:right="1543"/>
      </w:pPr>
      <w:r>
        <w:rPr/>
        <w:br w:type="column"/>
      </w:r>
      <w:r>
        <w:rPr>
          <w:spacing w:val="-2"/>
        </w:rPr>
        <w:t>指因疾病或意外伤害导致双耳听力</w:t>
      </w:r>
      <w:r>
        <w:rPr>
          <w:rFonts w:ascii="微软雅黑" w:eastAsia="微软雅黑"/>
          <w:b/>
          <w:spacing w:val="-2"/>
        </w:rPr>
        <w:t>永久不可逆</w:t>
      </w:r>
      <w:r>
        <w:rPr>
          <w:spacing w:val="-2"/>
        </w:rPr>
        <w:t>（见释义</w:t>
      </w:r>
      <w:r>
        <w:rPr>
          <w:spacing w:val="-2"/>
        </w:rPr>
        <w:t> </w:t>
      </w:r>
      <w:r>
        <w:rPr/>
        <w:t>13.38）</w:t>
      </w:r>
      <w:r>
        <w:rPr>
          <w:spacing w:val="-9"/>
        </w:rPr>
        <w:t>性丧失，在 </w:t>
      </w:r>
      <w:r>
        <w:rPr/>
        <w:t>500</w:t>
      </w:r>
      <w:r>
        <w:rPr>
          <w:spacing w:val="-14"/>
        </w:rPr>
        <w:t> 赫兹、</w:t>
      </w:r>
      <w:r>
        <w:rPr/>
        <w:t>1000</w:t>
      </w:r>
      <w:r>
        <w:rPr>
          <w:spacing w:val="-22"/>
        </w:rPr>
        <w:t> 赫兹和 </w:t>
      </w:r>
      <w:r>
        <w:rPr/>
        <w:t>2000</w:t>
      </w:r>
      <w:r>
        <w:rPr>
          <w:spacing w:val="-10"/>
        </w:rPr>
        <w:t> 赫兹语音频</w:t>
      </w:r>
    </w:p>
    <w:p>
      <w:pPr>
        <w:pStyle w:val="BodyText"/>
        <w:spacing w:line="278" w:lineRule="auto" w:before="44"/>
        <w:ind w:left="243" w:right="1702"/>
      </w:pPr>
      <w:r>
        <w:rPr>
          <w:spacing w:val="-5"/>
        </w:rPr>
        <w:t>率下，平均听阈大于等于 </w:t>
      </w:r>
      <w:r>
        <w:rPr/>
        <w:t>91</w:t>
      </w:r>
      <w:r>
        <w:rPr>
          <w:spacing w:val="-8"/>
        </w:rPr>
        <w:t> 分贝，且经纯音听力测试、声</w:t>
      </w:r>
      <w:r>
        <w:rPr>
          <w:spacing w:val="-2"/>
        </w:rPr>
        <w:t>导抗检测或听觉诱发电位检测等证实。</w:t>
      </w:r>
    </w:p>
    <w:p>
      <w:pPr>
        <w:pStyle w:val="BodyText"/>
        <w:spacing w:line="278" w:lineRule="auto" w:before="153"/>
        <w:ind w:left="243" w:right="1597"/>
      </w:pPr>
      <w:r>
        <w:rPr>
          <w:spacing w:val="-10"/>
        </w:rPr>
        <w:t>被保险人在 </w:t>
      </w:r>
      <w:r>
        <w:rPr/>
        <w:t>3</w:t>
      </w:r>
      <w:r>
        <w:rPr>
          <w:spacing w:val="-8"/>
        </w:rPr>
        <w:t> 周岁之前因疾病或意外导致的双耳失聪不在保</w:t>
      </w:r>
      <w:r>
        <w:rPr>
          <w:spacing w:val="-2"/>
        </w:rPr>
        <w:t>障范围内。</w:t>
      </w:r>
    </w:p>
    <w:p>
      <w:pPr>
        <w:spacing w:after="0" w:line="278" w:lineRule="auto"/>
        <w:sectPr>
          <w:type w:val="continuous"/>
          <w:pgSz w:w="11910" w:h="16840"/>
          <w:pgMar w:header="0" w:footer="226" w:top="240" w:bottom="420" w:left="980" w:right="400"/>
          <w:cols w:num="2" w:equalWidth="0">
            <w:col w:w="3179" w:space="40"/>
            <w:col w:w="7311"/>
          </w:cols>
        </w:sectPr>
      </w:pPr>
    </w:p>
    <w:p>
      <w:pPr>
        <w:pStyle w:val="BodyText"/>
        <w:spacing w:before="12"/>
        <w:rPr>
          <w:sz w:val="19"/>
        </w:rPr>
      </w:pPr>
    </w:p>
    <w:p>
      <w:pPr>
        <w:spacing w:after="0"/>
        <w:rPr>
          <w:sz w:val="19"/>
        </w:rPr>
        <w:sectPr>
          <w:type w:val="continuous"/>
          <w:pgSz w:w="11910" w:h="16840"/>
          <w:pgMar w:header="0" w:footer="226" w:top="240" w:bottom="420" w:left="980" w:right="400"/>
        </w:sectPr>
      </w:pPr>
    </w:p>
    <w:p>
      <w:pPr>
        <w:pStyle w:val="Heading2"/>
        <w:numPr>
          <w:ilvl w:val="0"/>
          <w:numId w:val="15"/>
        </w:numPr>
        <w:tabs>
          <w:tab w:pos="2229" w:val="left" w:leader="none"/>
        </w:tabs>
        <w:spacing w:line="349" w:lineRule="exact" w:before="2" w:after="0"/>
        <w:ind w:left="2228" w:right="0" w:hanging="319"/>
        <w:jc w:val="left"/>
      </w:pPr>
      <w:r>
        <w:rPr>
          <w:spacing w:val="-3"/>
        </w:rPr>
        <w:t>双目失明</w:t>
      </w:r>
    </w:p>
    <w:p>
      <w:pPr>
        <w:spacing w:line="194" w:lineRule="auto" w:before="16"/>
        <w:ind w:left="1910" w:right="0" w:firstLine="0"/>
        <w:jc w:val="left"/>
        <w:rPr>
          <w:rFonts w:ascii="Microsoft JhengHei" w:hAnsi="Microsoft JhengHei" w:eastAsia="Microsoft JhengHei"/>
          <w:b/>
          <w:sz w:val="21"/>
        </w:rPr>
      </w:pPr>
      <w:r>
        <w:rPr>
          <w:rFonts w:ascii="Microsoft JhengHei" w:hAnsi="Microsoft JhengHei" w:eastAsia="Microsoft JhengHei"/>
          <w:b/>
          <w:spacing w:val="-2"/>
          <w:w w:val="95"/>
          <w:sz w:val="21"/>
        </w:rPr>
        <w:t>——</w:t>
      </w:r>
      <w:r>
        <w:rPr>
          <w:rFonts w:ascii="Microsoft JhengHei" w:hAnsi="Microsoft JhengHei" w:eastAsia="Microsoft JhengHei"/>
          <w:b/>
          <w:spacing w:val="-2"/>
          <w:w w:val="95"/>
          <w:sz w:val="21"/>
        </w:rPr>
        <w:t>三</w:t>
      </w:r>
      <w:r>
        <w:rPr>
          <w:rFonts w:ascii="Microsoft JhengHei" w:hAnsi="Microsoft JhengHei" w:eastAsia="Microsoft JhengHei"/>
          <w:b/>
          <w:spacing w:val="-2"/>
          <w:w w:val="95"/>
          <w:sz w:val="21"/>
        </w:rPr>
        <w:t>周</w:t>
      </w:r>
      <w:r>
        <w:rPr>
          <w:rFonts w:ascii="Microsoft JhengHei" w:hAnsi="Microsoft JhengHei" w:eastAsia="Microsoft JhengHei"/>
          <w:b/>
          <w:spacing w:val="-2"/>
          <w:w w:val="95"/>
          <w:sz w:val="21"/>
        </w:rPr>
        <w:t>岁</w:t>
      </w:r>
      <w:r>
        <w:rPr>
          <w:rFonts w:ascii="Microsoft JhengHei" w:hAnsi="Microsoft JhengHei" w:eastAsia="Microsoft JhengHei"/>
          <w:b/>
          <w:spacing w:val="-2"/>
          <w:w w:val="95"/>
          <w:sz w:val="21"/>
        </w:rPr>
        <w:t>始</w:t>
      </w:r>
      <w:r>
        <w:rPr>
          <w:rFonts w:ascii="Microsoft JhengHei" w:hAnsi="Microsoft JhengHei" w:eastAsia="Microsoft JhengHei"/>
          <w:b/>
          <w:spacing w:val="-6"/>
          <w:sz w:val="21"/>
        </w:rPr>
        <w:t>理赔</w:t>
      </w:r>
    </w:p>
    <w:p>
      <w:pPr>
        <w:pStyle w:val="BodyText"/>
        <w:spacing w:line="278" w:lineRule="auto" w:before="71"/>
        <w:ind w:left="243" w:right="1597"/>
      </w:pPr>
      <w:r>
        <w:rPr/>
        <w:br w:type="column"/>
      </w:r>
      <w:r>
        <w:rPr>
          <w:spacing w:val="-2"/>
        </w:rPr>
        <w:t>指因疾病或意外伤害导致双眼视力永久不可逆性丧失，双眼</w:t>
      </w:r>
      <w:r>
        <w:rPr>
          <w:spacing w:val="-2"/>
        </w:rPr>
        <w:t>中较好眼须满足下列至少一项条件：</w:t>
      </w:r>
    </w:p>
    <w:p>
      <w:pPr>
        <w:pStyle w:val="ListParagraph"/>
        <w:numPr>
          <w:ilvl w:val="0"/>
          <w:numId w:val="21"/>
        </w:numPr>
        <w:tabs>
          <w:tab w:pos="773" w:val="left" w:leader="none"/>
        </w:tabs>
        <w:spacing w:line="240" w:lineRule="auto" w:before="154" w:after="0"/>
        <w:ind w:left="772" w:right="0" w:hanging="530"/>
        <w:jc w:val="left"/>
        <w:rPr>
          <w:sz w:val="21"/>
        </w:rPr>
      </w:pPr>
      <w:r>
        <w:rPr>
          <w:spacing w:val="-4"/>
          <w:sz w:val="21"/>
        </w:rPr>
        <w:t>眼球缺失或摘除；</w:t>
      </w:r>
    </w:p>
    <w:p>
      <w:pPr>
        <w:pStyle w:val="ListParagraph"/>
        <w:numPr>
          <w:ilvl w:val="0"/>
          <w:numId w:val="21"/>
        </w:numPr>
        <w:tabs>
          <w:tab w:pos="773" w:val="left" w:leader="none"/>
        </w:tabs>
        <w:spacing w:line="278" w:lineRule="auto" w:before="48" w:after="0"/>
        <w:ind w:left="243" w:right="1649" w:firstLine="0"/>
        <w:jc w:val="left"/>
        <w:rPr>
          <w:sz w:val="21"/>
        </w:rPr>
      </w:pPr>
      <w:r>
        <w:rPr>
          <w:spacing w:val="-8"/>
          <w:sz w:val="21"/>
        </w:rPr>
        <w:t>矫正视力低于 </w:t>
      </w:r>
      <w:r>
        <w:rPr>
          <w:spacing w:val="-2"/>
          <w:sz w:val="21"/>
        </w:rPr>
        <w:t>0.02（采用国际标准视力表，如果使用</w:t>
      </w:r>
      <w:r>
        <w:rPr>
          <w:spacing w:val="-2"/>
          <w:sz w:val="21"/>
        </w:rPr>
        <w:t>其他视力表应进行换算</w:t>
      </w:r>
      <w:r>
        <w:rPr>
          <w:spacing w:val="-106"/>
          <w:sz w:val="21"/>
        </w:rPr>
        <w:t>）</w:t>
      </w:r>
      <w:r>
        <w:rPr>
          <w:sz w:val="21"/>
        </w:rPr>
        <w:t>；</w:t>
      </w:r>
    </w:p>
    <w:p>
      <w:pPr>
        <w:pStyle w:val="ListParagraph"/>
        <w:numPr>
          <w:ilvl w:val="0"/>
          <w:numId w:val="21"/>
        </w:numPr>
        <w:tabs>
          <w:tab w:pos="773" w:val="left" w:leader="none"/>
        </w:tabs>
        <w:spacing w:line="240" w:lineRule="auto" w:before="0" w:after="0"/>
        <w:ind w:left="772" w:right="0" w:hanging="530"/>
        <w:jc w:val="left"/>
        <w:rPr>
          <w:sz w:val="21"/>
        </w:rPr>
      </w:pPr>
      <w:r>
        <w:rPr>
          <w:spacing w:val="-9"/>
          <w:sz w:val="21"/>
        </w:rPr>
        <w:t>视野半径小于 </w:t>
      </w:r>
      <w:r>
        <w:rPr>
          <w:spacing w:val="-2"/>
          <w:sz w:val="21"/>
        </w:rPr>
        <w:t>5</w:t>
      </w:r>
      <w:r>
        <w:rPr>
          <w:spacing w:val="-22"/>
          <w:sz w:val="21"/>
        </w:rPr>
        <w:t> 度。</w:t>
      </w:r>
    </w:p>
    <w:p>
      <w:pPr>
        <w:pStyle w:val="BodyText"/>
        <w:spacing w:before="4"/>
        <w:rPr>
          <w:sz w:val="15"/>
        </w:rPr>
      </w:pPr>
    </w:p>
    <w:p>
      <w:pPr>
        <w:pStyle w:val="BodyText"/>
        <w:spacing w:line="278" w:lineRule="auto"/>
        <w:ind w:left="243" w:right="1597"/>
      </w:pPr>
      <w:r>
        <w:rPr>
          <w:spacing w:val="-10"/>
        </w:rPr>
        <w:t>被保险人在 </w:t>
      </w:r>
      <w:r>
        <w:rPr/>
        <w:t>3</w:t>
      </w:r>
      <w:r>
        <w:rPr>
          <w:spacing w:val="-8"/>
        </w:rPr>
        <w:t> 周岁之前因疾病或意外导致的双目失明不在保</w:t>
      </w:r>
      <w:r>
        <w:rPr>
          <w:spacing w:val="-2"/>
        </w:rPr>
        <w:t>障范围内。</w:t>
      </w:r>
    </w:p>
    <w:p>
      <w:pPr>
        <w:spacing w:after="0" w:line="278" w:lineRule="auto"/>
        <w:sectPr>
          <w:type w:val="continuous"/>
          <w:pgSz w:w="11910" w:h="16840"/>
          <w:pgMar w:header="0" w:footer="226" w:top="240" w:bottom="420" w:left="980" w:right="400"/>
          <w:cols w:num="2" w:equalWidth="0">
            <w:col w:w="3179" w:space="40"/>
            <w:col w:w="7311"/>
          </w:cols>
        </w:sectPr>
      </w:pPr>
    </w:p>
    <w:p>
      <w:pPr>
        <w:pStyle w:val="BodyText"/>
        <w:spacing w:before="7"/>
        <w:rPr>
          <w:sz w:val="19"/>
        </w:rPr>
      </w:pPr>
    </w:p>
    <w:p>
      <w:pPr>
        <w:pStyle w:val="ListParagraph"/>
        <w:numPr>
          <w:ilvl w:val="0"/>
          <w:numId w:val="15"/>
        </w:numPr>
        <w:tabs>
          <w:tab w:pos="2229" w:val="left" w:leader="none"/>
          <w:tab w:pos="3461" w:val="left" w:leader="none"/>
        </w:tabs>
        <w:spacing w:line="259" w:lineRule="auto" w:before="2" w:after="0"/>
        <w:ind w:left="3462" w:right="1596" w:hanging="1552"/>
        <w:jc w:val="both"/>
        <w:rPr>
          <w:sz w:val="21"/>
        </w:rPr>
      </w:pPr>
      <w:r>
        <w:rPr>
          <w:rFonts w:ascii="Microsoft JhengHei" w:eastAsia="Microsoft JhengHei"/>
          <w:b/>
          <w:spacing w:val="-6"/>
          <w:sz w:val="21"/>
        </w:rPr>
        <w:t>瘫</w:t>
      </w:r>
      <w:r>
        <w:rPr>
          <w:rFonts w:ascii="Microsoft JhengHei" w:eastAsia="Microsoft JhengHei"/>
          <w:b/>
          <w:spacing w:val="-6"/>
          <w:sz w:val="21"/>
        </w:rPr>
        <w:t>痪</w:t>
      </w:r>
      <w:r>
        <w:rPr>
          <w:rFonts w:ascii="Microsoft JhengHei" w:eastAsia="Microsoft JhengHei"/>
          <w:b/>
          <w:sz w:val="21"/>
        </w:rPr>
        <w:tab/>
      </w:r>
      <w:r>
        <w:rPr>
          <w:spacing w:val="-2"/>
          <w:sz w:val="21"/>
        </w:rPr>
        <w:t>指</w:t>
      </w:r>
      <w:r>
        <w:rPr>
          <w:spacing w:val="-2"/>
          <w:sz w:val="21"/>
        </w:rPr>
        <w:t>因</w:t>
      </w:r>
      <w:r>
        <w:rPr>
          <w:spacing w:val="-2"/>
          <w:sz w:val="21"/>
        </w:rPr>
        <w:t>疾</w:t>
      </w:r>
      <w:r>
        <w:rPr>
          <w:spacing w:val="-2"/>
          <w:sz w:val="21"/>
        </w:rPr>
        <w:t>病</w:t>
      </w:r>
      <w:r>
        <w:rPr>
          <w:spacing w:val="-2"/>
          <w:sz w:val="21"/>
        </w:rPr>
        <w:t>或</w:t>
      </w:r>
      <w:r>
        <w:rPr>
          <w:spacing w:val="-2"/>
          <w:sz w:val="21"/>
        </w:rPr>
        <w:t>意</w:t>
      </w:r>
      <w:r>
        <w:rPr>
          <w:spacing w:val="-2"/>
          <w:sz w:val="21"/>
        </w:rPr>
        <w:t>外</w:t>
      </w:r>
      <w:r>
        <w:rPr>
          <w:spacing w:val="-2"/>
          <w:sz w:val="21"/>
        </w:rPr>
        <w:t>伤</w:t>
      </w:r>
      <w:r>
        <w:rPr>
          <w:spacing w:val="-2"/>
          <w:sz w:val="21"/>
        </w:rPr>
        <w:t>害</w:t>
      </w:r>
      <w:r>
        <w:rPr>
          <w:spacing w:val="-2"/>
          <w:sz w:val="21"/>
        </w:rPr>
        <w:t>导</w:t>
      </w:r>
      <w:r>
        <w:rPr>
          <w:spacing w:val="-2"/>
          <w:sz w:val="21"/>
        </w:rPr>
        <w:t>致</w:t>
      </w:r>
      <w:r>
        <w:rPr>
          <w:spacing w:val="-2"/>
          <w:sz w:val="21"/>
        </w:rPr>
        <w:t>两</w:t>
      </w:r>
      <w:r>
        <w:rPr>
          <w:spacing w:val="-2"/>
          <w:sz w:val="21"/>
        </w:rPr>
        <w:t>肢</w:t>
      </w:r>
      <w:r>
        <w:rPr>
          <w:spacing w:val="-2"/>
          <w:sz w:val="21"/>
        </w:rPr>
        <w:t>或</w:t>
      </w:r>
      <w:r>
        <w:rPr>
          <w:spacing w:val="-2"/>
          <w:sz w:val="21"/>
        </w:rPr>
        <w:t>两</w:t>
      </w:r>
      <w:r>
        <w:rPr>
          <w:spacing w:val="-2"/>
          <w:sz w:val="21"/>
        </w:rPr>
        <w:t>肢</w:t>
      </w:r>
      <w:r>
        <w:rPr>
          <w:spacing w:val="-2"/>
          <w:sz w:val="21"/>
        </w:rPr>
        <w:t>以</w:t>
      </w:r>
      <w:r>
        <w:rPr>
          <w:spacing w:val="-2"/>
          <w:sz w:val="21"/>
        </w:rPr>
        <w:t>上</w:t>
      </w:r>
      <w:r>
        <w:rPr>
          <w:spacing w:val="-2"/>
          <w:sz w:val="21"/>
        </w:rPr>
        <w:t>肢</w:t>
      </w:r>
      <w:r>
        <w:rPr>
          <w:spacing w:val="-2"/>
          <w:sz w:val="21"/>
        </w:rPr>
        <w:t>体</w:t>
      </w:r>
      <w:r>
        <w:rPr>
          <w:spacing w:val="-2"/>
          <w:sz w:val="21"/>
        </w:rPr>
        <w:t>随意运</w:t>
      </w:r>
      <w:r>
        <w:rPr>
          <w:spacing w:val="-2"/>
          <w:sz w:val="21"/>
        </w:rPr>
        <w:t>动</w:t>
      </w:r>
      <w:r>
        <w:rPr>
          <w:spacing w:val="-2"/>
          <w:sz w:val="21"/>
        </w:rPr>
        <w:t>功</w:t>
      </w:r>
      <w:r>
        <w:rPr>
          <w:spacing w:val="-2"/>
          <w:sz w:val="21"/>
        </w:rPr>
        <w:t>能</w:t>
      </w:r>
      <w:r>
        <w:rPr>
          <w:spacing w:val="-2"/>
          <w:sz w:val="21"/>
        </w:rPr>
        <w:t>永</w:t>
      </w:r>
      <w:r>
        <w:rPr>
          <w:spacing w:val="-2"/>
          <w:sz w:val="21"/>
        </w:rPr>
        <w:t>久</w:t>
      </w:r>
      <w:r>
        <w:rPr>
          <w:spacing w:val="-2"/>
          <w:sz w:val="21"/>
        </w:rPr>
        <w:t>完</w:t>
      </w:r>
      <w:r>
        <w:rPr>
          <w:spacing w:val="-2"/>
          <w:sz w:val="21"/>
        </w:rPr>
        <w:t>全</w:t>
      </w:r>
      <w:r>
        <w:rPr>
          <w:spacing w:val="-2"/>
          <w:sz w:val="21"/>
        </w:rPr>
        <w:t>丧</w:t>
      </w:r>
      <w:r>
        <w:rPr>
          <w:spacing w:val="-2"/>
          <w:sz w:val="21"/>
        </w:rPr>
        <w:t>失</w:t>
      </w:r>
      <w:r>
        <w:rPr>
          <w:spacing w:val="-2"/>
          <w:sz w:val="21"/>
        </w:rPr>
        <w:t>。</w:t>
      </w:r>
      <w:r>
        <w:rPr>
          <w:spacing w:val="-2"/>
          <w:sz w:val="21"/>
        </w:rPr>
        <w:t>肢</w:t>
      </w:r>
      <w:r>
        <w:rPr>
          <w:spacing w:val="-2"/>
          <w:sz w:val="21"/>
        </w:rPr>
        <w:t>体</w:t>
      </w:r>
      <w:r>
        <w:rPr>
          <w:spacing w:val="-2"/>
          <w:sz w:val="21"/>
        </w:rPr>
        <w:t>随</w:t>
      </w:r>
      <w:r>
        <w:rPr>
          <w:spacing w:val="-2"/>
          <w:sz w:val="21"/>
        </w:rPr>
        <w:t>意</w:t>
      </w:r>
      <w:r>
        <w:rPr>
          <w:spacing w:val="-2"/>
          <w:sz w:val="21"/>
        </w:rPr>
        <w:t>运</w:t>
      </w:r>
      <w:r>
        <w:rPr>
          <w:spacing w:val="-2"/>
          <w:sz w:val="21"/>
        </w:rPr>
        <w:t>动</w:t>
      </w:r>
      <w:r>
        <w:rPr>
          <w:spacing w:val="-2"/>
          <w:sz w:val="21"/>
        </w:rPr>
        <w:t>功</w:t>
      </w:r>
      <w:r>
        <w:rPr>
          <w:spacing w:val="-2"/>
          <w:sz w:val="21"/>
        </w:rPr>
        <w:t>能</w:t>
      </w:r>
      <w:r>
        <w:rPr>
          <w:spacing w:val="-2"/>
          <w:sz w:val="21"/>
        </w:rPr>
        <w:t>永</w:t>
      </w:r>
      <w:r>
        <w:rPr>
          <w:spacing w:val="-2"/>
          <w:sz w:val="21"/>
        </w:rPr>
        <w:t>久</w:t>
      </w:r>
      <w:r>
        <w:rPr>
          <w:spacing w:val="-2"/>
          <w:sz w:val="21"/>
        </w:rPr>
        <w:t>完</w:t>
      </w:r>
      <w:r>
        <w:rPr>
          <w:spacing w:val="-2"/>
          <w:sz w:val="21"/>
        </w:rPr>
        <w:t>全</w:t>
      </w:r>
      <w:r>
        <w:rPr>
          <w:spacing w:val="-2"/>
          <w:sz w:val="21"/>
        </w:rPr>
        <w:t>丧</w:t>
      </w:r>
      <w:r>
        <w:rPr>
          <w:spacing w:val="-2"/>
          <w:sz w:val="21"/>
        </w:rPr>
        <w:t>失，指</w:t>
      </w:r>
      <w:r>
        <w:rPr>
          <w:spacing w:val="-2"/>
          <w:sz w:val="21"/>
        </w:rPr>
        <w:t>疾</w:t>
      </w:r>
      <w:r>
        <w:rPr>
          <w:spacing w:val="-2"/>
          <w:sz w:val="21"/>
        </w:rPr>
        <w:t>病</w:t>
      </w:r>
      <w:r>
        <w:rPr>
          <w:spacing w:val="-2"/>
          <w:sz w:val="21"/>
        </w:rPr>
        <w:t>确</w:t>
      </w:r>
      <w:r>
        <w:rPr>
          <w:sz w:val="21"/>
        </w:rPr>
        <w:t>诊</w:t>
      </w:r>
      <w:r>
        <w:rPr>
          <w:spacing w:val="-53"/>
          <w:sz w:val="21"/>
        </w:rPr>
        <w:t> </w:t>
      </w:r>
      <w:r>
        <w:rPr>
          <w:sz w:val="21"/>
        </w:rPr>
        <w:t>180</w:t>
      </w:r>
      <w:r>
        <w:rPr>
          <w:spacing w:val="-53"/>
          <w:sz w:val="21"/>
        </w:rPr>
        <w:t> </w:t>
      </w:r>
      <w:r>
        <w:rPr>
          <w:sz w:val="21"/>
        </w:rPr>
        <w:t>天后</w:t>
      </w:r>
      <w:r>
        <w:rPr>
          <w:sz w:val="21"/>
        </w:rPr>
        <w:t>或意外伤</w:t>
      </w:r>
      <w:r>
        <w:rPr>
          <w:sz w:val="21"/>
        </w:rPr>
        <w:t>害发生</w:t>
      </w:r>
      <w:r>
        <w:rPr>
          <w:spacing w:val="-52"/>
          <w:sz w:val="21"/>
        </w:rPr>
        <w:t> </w:t>
      </w:r>
      <w:r>
        <w:rPr>
          <w:sz w:val="21"/>
        </w:rPr>
        <w:t>180</w:t>
      </w:r>
      <w:r>
        <w:rPr>
          <w:spacing w:val="-53"/>
          <w:sz w:val="21"/>
        </w:rPr>
        <w:t> </w:t>
      </w:r>
      <w:r>
        <w:rPr>
          <w:sz w:val="21"/>
        </w:rPr>
        <w:t>天后，</w:t>
      </w:r>
      <w:r>
        <w:rPr>
          <w:sz w:val="21"/>
        </w:rPr>
        <w:t>每肢三大关节</w:t>
      </w:r>
      <w:r>
        <w:rPr>
          <w:sz w:val="21"/>
        </w:rPr>
        <w:t>中的两</w:t>
      </w:r>
    </w:p>
    <w:p>
      <w:pPr>
        <w:pStyle w:val="BodyText"/>
        <w:spacing w:before="12"/>
        <w:ind w:left="3462"/>
        <w:jc w:val="both"/>
      </w:pPr>
      <w:r>
        <w:rPr>
          <w:spacing w:val="-5"/>
        </w:rPr>
        <w:t>大关节仍然完全僵硬，或肢体肌力在 </w:t>
      </w:r>
      <w:r>
        <w:rPr>
          <w:spacing w:val="-2"/>
        </w:rPr>
        <w:t>2</w:t>
      </w:r>
      <w:r>
        <w:rPr>
          <w:spacing w:val="-25"/>
        </w:rPr>
        <w:t> 级</w:t>
      </w:r>
      <w:r>
        <w:rPr>
          <w:spacing w:val="-2"/>
        </w:rPr>
        <w:t>（含）</w:t>
      </w:r>
      <w:r>
        <w:rPr>
          <w:spacing w:val="-5"/>
        </w:rPr>
        <w:t>以下。</w:t>
      </w:r>
    </w:p>
    <w:p>
      <w:pPr>
        <w:pStyle w:val="BodyText"/>
        <w:spacing w:before="11"/>
        <w:rPr>
          <w:sz w:val="22"/>
        </w:rPr>
      </w:pPr>
    </w:p>
    <w:p>
      <w:pPr>
        <w:spacing w:after="0"/>
        <w:rPr>
          <w:sz w:val="22"/>
        </w:rPr>
        <w:sectPr>
          <w:type w:val="continuous"/>
          <w:pgSz w:w="11910" w:h="16840"/>
          <w:pgMar w:header="0" w:footer="226" w:top="240" w:bottom="420" w:left="980" w:right="400"/>
        </w:sectPr>
      </w:pPr>
    </w:p>
    <w:p>
      <w:pPr>
        <w:pStyle w:val="Heading2"/>
        <w:numPr>
          <w:ilvl w:val="0"/>
          <w:numId w:val="15"/>
        </w:numPr>
        <w:tabs>
          <w:tab w:pos="2229" w:val="left" w:leader="none"/>
        </w:tabs>
        <w:spacing w:line="196" w:lineRule="auto" w:before="53" w:after="0"/>
        <w:ind w:left="1910" w:right="0" w:firstLine="0"/>
        <w:jc w:val="left"/>
      </w:pPr>
      <w:r>
        <w:rPr>
          <w:spacing w:val="-4"/>
        </w:rPr>
        <w:t>心脏瓣膜</w:t>
      </w:r>
      <w:r>
        <w:rPr>
          <w:spacing w:val="-6"/>
        </w:rPr>
        <w:t>手术</w:t>
      </w:r>
    </w:p>
    <w:p>
      <w:pPr>
        <w:pStyle w:val="BodyText"/>
        <w:spacing w:line="283" w:lineRule="auto" w:before="72"/>
        <w:ind w:left="349" w:right="1597"/>
      </w:pPr>
      <w:r>
        <w:rPr/>
        <w:br w:type="column"/>
      </w:r>
      <w:r>
        <w:rPr>
          <w:spacing w:val="-2"/>
        </w:rPr>
        <w:t>指为治疗心脏瓣膜疾病，已经实施了切开心脏进行的心脏瓣</w:t>
      </w:r>
      <w:r>
        <w:rPr>
          <w:spacing w:val="-2"/>
        </w:rPr>
        <w:t>膜置换或修复的手术。</w:t>
      </w:r>
    </w:p>
    <w:p>
      <w:pPr>
        <w:pStyle w:val="BodyText"/>
        <w:spacing w:before="148"/>
        <w:ind w:left="349"/>
      </w:pPr>
      <w:r>
        <w:rPr>
          <w:spacing w:val="-3"/>
        </w:rPr>
        <w:t>所有未切开心脏的心脏瓣膜介入手术不在保障范围内。</w:t>
      </w:r>
    </w:p>
    <w:p>
      <w:pPr>
        <w:spacing w:after="0"/>
        <w:sectPr>
          <w:type w:val="continuous"/>
          <w:pgSz w:w="11910" w:h="16840"/>
          <w:pgMar w:header="0" w:footer="226" w:top="240" w:bottom="420" w:left="980" w:right="400"/>
          <w:cols w:num="2" w:equalWidth="0">
            <w:col w:w="3073" w:space="40"/>
            <w:col w:w="7417"/>
          </w:cols>
        </w:sectPr>
      </w:pPr>
    </w:p>
    <w:p>
      <w:pPr>
        <w:pStyle w:val="BodyText"/>
        <w:spacing w:before="3"/>
        <w:rPr>
          <w:sz w:val="23"/>
        </w:rPr>
      </w:pPr>
    </w:p>
    <w:p>
      <w:pPr>
        <w:spacing w:after="0"/>
        <w:rPr>
          <w:sz w:val="23"/>
        </w:rPr>
        <w:sectPr>
          <w:type w:val="continuous"/>
          <w:pgSz w:w="11910" w:h="16840"/>
          <w:pgMar w:header="0" w:footer="226" w:top="240" w:bottom="420" w:left="980" w:right="400"/>
        </w:sectPr>
      </w:pPr>
    </w:p>
    <w:p>
      <w:pPr>
        <w:pStyle w:val="Heading2"/>
        <w:numPr>
          <w:ilvl w:val="0"/>
          <w:numId w:val="15"/>
        </w:numPr>
        <w:tabs>
          <w:tab w:pos="2229" w:val="left" w:leader="none"/>
        </w:tabs>
        <w:spacing w:line="194" w:lineRule="auto" w:before="55" w:after="0"/>
        <w:ind w:left="1910" w:right="0" w:firstLine="0"/>
        <w:jc w:val="left"/>
      </w:pPr>
      <w:r>
        <w:rPr>
          <w:spacing w:val="-4"/>
        </w:rPr>
        <w:t>严重阿尔</w:t>
      </w:r>
      <w:r>
        <w:rPr>
          <w:spacing w:val="-4"/>
        </w:rPr>
        <w:t>茨海默病</w:t>
      </w:r>
    </w:p>
    <w:p>
      <w:pPr>
        <w:pStyle w:val="BodyText"/>
        <w:spacing w:line="278" w:lineRule="auto" w:before="72"/>
        <w:ind w:left="349" w:right="1597"/>
        <w:jc w:val="both"/>
      </w:pPr>
      <w:r>
        <w:rPr/>
        <w:br w:type="column"/>
      </w:r>
      <w:r>
        <w:rPr>
          <w:spacing w:val="-2"/>
        </w:rPr>
        <w:t>指因大脑进行性、不可逆性改变导致智能严重衰退或丧失，</w:t>
      </w:r>
      <w:r>
        <w:rPr>
          <w:spacing w:val="-2"/>
        </w:rPr>
        <w:t>临床表现为严重的认知功能障碍、精神行为异常和社交能力</w:t>
      </w:r>
      <w:r>
        <w:rPr>
          <w:spacing w:val="-2"/>
        </w:rPr>
        <w:t>减退等，其日常生活必须持续受到他人监护。须由头颅断层</w:t>
      </w:r>
      <w:r>
        <w:rPr>
          <w:spacing w:val="-2"/>
        </w:rPr>
        <w:t>扫描</w:t>
      </w:r>
      <w:r>
        <w:rPr>
          <w:spacing w:val="24"/>
        </w:rPr>
        <w:t>（CT</w:t>
      </w:r>
      <w:r>
        <w:rPr>
          <w:spacing w:val="-82"/>
        </w:rPr>
        <w:t>）</w:t>
      </w:r>
      <w:r>
        <w:rPr>
          <w:spacing w:val="-2"/>
        </w:rPr>
        <w:t>、核磁共振检查（MRI）或正电子发射断层扫描</w:t>
      </w:r>
    </w:p>
    <w:p>
      <w:pPr>
        <w:pStyle w:val="BodyText"/>
        <w:spacing w:line="278" w:lineRule="auto"/>
        <w:ind w:left="349" w:right="1703"/>
      </w:pPr>
      <w:r>
        <w:rPr>
          <w:spacing w:val="-2"/>
        </w:rPr>
        <w:t>（PET）等影像学检查证实，并经相关专科医生确诊，且须</w:t>
      </w:r>
      <w:r>
        <w:rPr>
          <w:spacing w:val="-2"/>
        </w:rPr>
        <w:t>满足下列至少一项条件：</w:t>
      </w:r>
    </w:p>
    <w:p>
      <w:pPr>
        <w:pStyle w:val="ListParagraph"/>
        <w:numPr>
          <w:ilvl w:val="1"/>
          <w:numId w:val="21"/>
        </w:numPr>
        <w:tabs>
          <w:tab w:pos="879" w:val="left" w:leader="none"/>
        </w:tabs>
        <w:spacing w:line="240" w:lineRule="auto" w:before="153" w:after="0"/>
        <w:ind w:left="878" w:right="0" w:hanging="530"/>
        <w:jc w:val="left"/>
        <w:rPr>
          <w:sz w:val="21"/>
        </w:rPr>
      </w:pPr>
      <w:r>
        <w:rPr>
          <w:spacing w:val="-3"/>
          <w:sz w:val="21"/>
        </w:rPr>
        <w:t>由具有评估资格的专科医生根据临床痴呆评定量表</w:t>
      </w:r>
    </w:p>
    <w:p>
      <w:pPr>
        <w:pStyle w:val="BodyText"/>
        <w:spacing w:before="48"/>
        <w:ind w:left="349"/>
      </w:pPr>
      <w:r>
        <w:rPr/>
        <w:t>（CDR，Clinical</w:t>
      </w:r>
      <w:r>
        <w:rPr>
          <w:spacing w:val="-17"/>
        </w:rPr>
        <w:t> </w:t>
      </w:r>
      <w:r>
        <w:rPr/>
        <w:t>Dementia</w:t>
      </w:r>
      <w:r>
        <w:rPr>
          <w:spacing w:val="-8"/>
        </w:rPr>
        <w:t> </w:t>
      </w:r>
      <w:r>
        <w:rPr/>
        <w:t>Rating）</w:t>
      </w:r>
      <w:r>
        <w:rPr>
          <w:spacing w:val="-9"/>
        </w:rPr>
        <w:t>评估结果为 </w:t>
      </w:r>
      <w:r>
        <w:rPr/>
        <w:t>3</w:t>
      </w:r>
      <w:r>
        <w:rPr>
          <w:spacing w:val="-23"/>
        </w:rPr>
        <w:t> 分；</w:t>
      </w:r>
    </w:p>
    <w:p>
      <w:pPr>
        <w:pStyle w:val="ListParagraph"/>
        <w:numPr>
          <w:ilvl w:val="1"/>
          <w:numId w:val="21"/>
        </w:numPr>
        <w:tabs>
          <w:tab w:pos="879" w:val="left" w:leader="none"/>
        </w:tabs>
        <w:spacing w:line="278" w:lineRule="auto" w:before="43" w:after="0"/>
        <w:ind w:left="349" w:right="1703" w:firstLine="0"/>
        <w:jc w:val="left"/>
        <w:rPr>
          <w:sz w:val="21"/>
        </w:rPr>
      </w:pPr>
      <w:r>
        <w:rPr>
          <w:spacing w:val="-2"/>
          <w:sz w:val="21"/>
        </w:rPr>
        <w:t>自主生活能力完全丧失，无法独立完成六项基本日常</w:t>
      </w:r>
      <w:r>
        <w:rPr>
          <w:spacing w:val="-2"/>
          <w:sz w:val="21"/>
        </w:rPr>
        <w:t>生活活动中的三项或三项以上。</w:t>
      </w:r>
    </w:p>
    <w:p>
      <w:pPr>
        <w:pStyle w:val="BodyText"/>
        <w:spacing w:before="154"/>
        <w:ind w:left="349"/>
      </w:pPr>
      <w:r>
        <w:rPr>
          <w:spacing w:val="-3"/>
        </w:rPr>
        <w:t>阿尔茨海默病之外的其他类型痴呆不在保障范围内。</w:t>
      </w:r>
    </w:p>
    <w:p>
      <w:pPr>
        <w:spacing w:after="0"/>
        <w:sectPr>
          <w:type w:val="continuous"/>
          <w:pgSz w:w="11910" w:h="16840"/>
          <w:pgMar w:header="0" w:footer="226" w:top="240" w:bottom="420" w:left="980" w:right="400"/>
          <w:cols w:num="2" w:equalWidth="0">
            <w:col w:w="3073" w:space="40"/>
            <w:col w:w="7417"/>
          </w:cols>
        </w:sectPr>
      </w:pPr>
    </w:p>
    <w:p>
      <w:pPr>
        <w:pStyle w:val="BodyText"/>
        <w:spacing w:before="3"/>
        <w:rPr>
          <w:sz w:val="23"/>
        </w:rPr>
      </w:pPr>
    </w:p>
    <w:p>
      <w:pPr>
        <w:spacing w:after="0"/>
        <w:rPr>
          <w:sz w:val="23"/>
        </w:rPr>
        <w:sectPr>
          <w:type w:val="continuous"/>
          <w:pgSz w:w="11910" w:h="16840"/>
          <w:pgMar w:header="0" w:footer="226" w:top="240" w:bottom="420" w:left="980" w:right="400"/>
        </w:sectPr>
      </w:pPr>
    </w:p>
    <w:p>
      <w:pPr>
        <w:pStyle w:val="Heading2"/>
        <w:numPr>
          <w:ilvl w:val="0"/>
          <w:numId w:val="15"/>
        </w:numPr>
        <w:tabs>
          <w:tab w:pos="2229" w:val="left" w:leader="none"/>
        </w:tabs>
        <w:spacing w:line="194" w:lineRule="auto" w:before="55" w:after="0"/>
        <w:ind w:left="1910" w:right="0" w:firstLine="0"/>
        <w:jc w:val="left"/>
      </w:pPr>
      <w:r>
        <w:rPr>
          <w:spacing w:val="-4"/>
        </w:rPr>
        <w:t>严重脑损</w:t>
      </w:r>
      <w:r>
        <w:rPr>
          <w:spacing w:val="-10"/>
        </w:rPr>
        <w:t>伤</w:t>
      </w:r>
    </w:p>
    <w:p>
      <w:pPr>
        <w:pStyle w:val="BodyText"/>
        <w:spacing w:line="278" w:lineRule="auto" w:before="72"/>
        <w:ind w:left="349" w:right="1597"/>
      </w:pPr>
      <w:r>
        <w:rPr/>
        <w:br w:type="column"/>
      </w:r>
      <w:r>
        <w:rPr>
          <w:spacing w:val="-2"/>
        </w:rPr>
        <w:t>指因头部遭受机械性外力，引起脑重要部位损伤，导致神经</w:t>
      </w:r>
      <w:r>
        <w:rPr>
          <w:spacing w:val="-2"/>
        </w:rPr>
        <w:t>系统永久性的功能障碍。须由头颅断层扫描</w:t>
      </w:r>
      <w:r>
        <w:rPr>
          <w:spacing w:val="26"/>
        </w:rPr>
        <w:t>（</w:t>
      </w:r>
      <w:r>
        <w:rPr>
          <w:spacing w:val="25"/>
        </w:rPr>
        <w:t>C</w:t>
      </w:r>
      <w:r>
        <w:rPr>
          <w:spacing w:val="20"/>
        </w:rPr>
        <w:t>T</w:t>
      </w:r>
      <w:r>
        <w:rPr>
          <w:spacing w:val="-81"/>
        </w:rPr>
        <w:t>）</w:t>
      </w:r>
      <w:r>
        <w:rPr>
          <w:spacing w:val="-2"/>
        </w:rPr>
        <w:t>、核磁共</w:t>
      </w:r>
    </w:p>
    <w:p>
      <w:pPr>
        <w:spacing w:after="0" w:line="278" w:lineRule="auto"/>
        <w:sectPr>
          <w:type w:val="continuous"/>
          <w:pgSz w:w="11910" w:h="16840"/>
          <w:pgMar w:header="0" w:footer="226" w:top="240" w:bottom="420" w:left="980" w:right="400"/>
          <w:cols w:num="2" w:equalWidth="0">
            <w:col w:w="3073" w:space="40"/>
            <w:col w:w="7417"/>
          </w:cols>
        </w:sectPr>
      </w:pPr>
    </w:p>
    <w:p>
      <w:pPr>
        <w:pStyle w:val="BodyText"/>
        <w:spacing w:line="278" w:lineRule="auto" w:before="57"/>
        <w:ind w:left="3462" w:right="1596"/>
        <w:jc w:val="both"/>
      </w:pPr>
      <w:r>
        <w:rPr>
          <w:spacing w:val="-2"/>
        </w:rPr>
        <w:t>振检查（MRI）或正电子发射断层扫描（PET）等影像学检查</w:t>
      </w:r>
      <w:r>
        <w:rPr>
          <w:spacing w:val="-5"/>
        </w:rPr>
        <w:t>证实。神经系统永久性的功能障碍，指脑损伤 </w:t>
      </w:r>
      <w:r>
        <w:rPr>
          <w:spacing w:val="-4"/>
        </w:rPr>
        <w:t>180</w:t>
      </w:r>
      <w:r>
        <w:rPr>
          <w:spacing w:val="-7"/>
        </w:rPr>
        <w:t> 天后，仍</w:t>
      </w:r>
      <w:r>
        <w:rPr>
          <w:spacing w:val="-2"/>
        </w:rPr>
        <w:t>遗留下列至少一种障碍：</w:t>
      </w:r>
    </w:p>
    <w:p>
      <w:pPr>
        <w:pStyle w:val="ListParagraph"/>
        <w:numPr>
          <w:ilvl w:val="0"/>
          <w:numId w:val="22"/>
        </w:numPr>
        <w:tabs>
          <w:tab w:pos="3991" w:val="left" w:leader="none"/>
        </w:tabs>
        <w:spacing w:line="240" w:lineRule="auto" w:before="154" w:after="0"/>
        <w:ind w:left="3991" w:right="0" w:hanging="529"/>
        <w:jc w:val="left"/>
        <w:rPr>
          <w:sz w:val="21"/>
        </w:rPr>
      </w:pPr>
      <w:r>
        <w:rPr>
          <w:spacing w:val="-2"/>
          <w:sz w:val="21"/>
        </w:rPr>
        <w:t>一肢（含）</w:t>
      </w:r>
      <w:r>
        <w:rPr>
          <w:spacing w:val="-9"/>
          <w:sz w:val="21"/>
        </w:rPr>
        <w:t>以上肢体肌力 </w:t>
      </w:r>
      <w:r>
        <w:rPr>
          <w:spacing w:val="-2"/>
          <w:sz w:val="21"/>
        </w:rPr>
        <w:t>2</w:t>
      </w:r>
      <w:r>
        <w:rPr>
          <w:spacing w:val="-25"/>
          <w:sz w:val="21"/>
        </w:rPr>
        <w:t> 级</w:t>
      </w:r>
      <w:r>
        <w:rPr>
          <w:spacing w:val="-2"/>
          <w:sz w:val="21"/>
        </w:rPr>
        <w:t>（含）</w:t>
      </w:r>
      <w:r>
        <w:rPr>
          <w:spacing w:val="-5"/>
          <w:sz w:val="21"/>
        </w:rPr>
        <w:t>以下；</w:t>
      </w:r>
    </w:p>
    <w:p>
      <w:pPr>
        <w:pStyle w:val="ListParagraph"/>
        <w:numPr>
          <w:ilvl w:val="0"/>
          <w:numId w:val="22"/>
        </w:numPr>
        <w:tabs>
          <w:tab w:pos="3991" w:val="left" w:leader="none"/>
        </w:tabs>
        <w:spacing w:line="240" w:lineRule="auto" w:before="43" w:after="0"/>
        <w:ind w:left="3991" w:right="0" w:hanging="529"/>
        <w:jc w:val="left"/>
        <w:rPr>
          <w:sz w:val="21"/>
        </w:rPr>
      </w:pPr>
      <w:r>
        <w:rPr>
          <w:spacing w:val="-3"/>
          <w:sz w:val="21"/>
        </w:rPr>
        <w:t>语言能力完全丧失，或严重咀嚼吞咽功能障碍；</w:t>
      </w:r>
    </w:p>
    <w:p>
      <w:pPr>
        <w:pStyle w:val="ListParagraph"/>
        <w:numPr>
          <w:ilvl w:val="0"/>
          <w:numId w:val="22"/>
        </w:numPr>
        <w:tabs>
          <w:tab w:pos="3991" w:val="left" w:leader="none"/>
        </w:tabs>
        <w:spacing w:line="278" w:lineRule="auto" w:before="43" w:after="0"/>
        <w:ind w:left="3462" w:right="1703" w:firstLine="0"/>
        <w:jc w:val="left"/>
        <w:rPr>
          <w:sz w:val="21"/>
        </w:rPr>
      </w:pPr>
      <w:r>
        <w:rPr>
          <w:spacing w:val="-2"/>
          <w:sz w:val="21"/>
        </w:rPr>
        <w:t>自主生活能力完全丧失，无法独立完成六项基本日常</w:t>
      </w:r>
      <w:r>
        <w:rPr>
          <w:spacing w:val="-2"/>
          <w:sz w:val="21"/>
        </w:rPr>
        <w:t>生活活动中的三项或三项以上。</w:t>
      </w:r>
    </w:p>
    <w:p>
      <w:pPr>
        <w:pStyle w:val="BodyText"/>
        <w:spacing w:before="11"/>
        <w:rPr>
          <w:sz w:val="19"/>
        </w:rPr>
      </w:pPr>
    </w:p>
    <w:p>
      <w:pPr>
        <w:spacing w:after="0"/>
        <w:rPr>
          <w:sz w:val="19"/>
        </w:rPr>
        <w:sectPr>
          <w:pgSz w:w="11910" w:h="16840"/>
          <w:pgMar w:header="0" w:footer="226" w:top="660" w:bottom="420" w:left="980" w:right="400"/>
        </w:sectPr>
      </w:pPr>
    </w:p>
    <w:p>
      <w:pPr>
        <w:pStyle w:val="Heading2"/>
        <w:numPr>
          <w:ilvl w:val="0"/>
          <w:numId w:val="15"/>
        </w:numPr>
        <w:tabs>
          <w:tab w:pos="2229" w:val="left" w:leader="none"/>
        </w:tabs>
        <w:spacing w:line="194" w:lineRule="auto" w:before="56" w:after="0"/>
        <w:ind w:left="1910" w:right="0" w:firstLine="0"/>
        <w:jc w:val="left"/>
      </w:pPr>
      <w:r>
        <w:rPr>
          <w:spacing w:val="-4"/>
        </w:rPr>
        <w:t>严重原发</w:t>
      </w:r>
      <w:r>
        <w:rPr>
          <w:spacing w:val="-2"/>
        </w:rPr>
        <w:t>性帕金森病</w:t>
      </w:r>
    </w:p>
    <w:p>
      <w:pPr>
        <w:pStyle w:val="BodyText"/>
        <w:spacing w:line="278" w:lineRule="auto" w:before="72"/>
        <w:ind w:left="349" w:right="1597"/>
        <w:jc w:val="both"/>
      </w:pPr>
      <w:r>
        <w:rPr/>
        <w:br w:type="column"/>
      </w:r>
      <w:r>
        <w:rPr>
          <w:spacing w:val="-2"/>
        </w:rPr>
        <w:t>是一种中枢神经系统的退行性疾病，临床表现为运动迟缓、</w:t>
      </w:r>
      <w:r>
        <w:rPr>
          <w:spacing w:val="-2"/>
        </w:rPr>
        <w:t>静止性震颤或肌强直等，经相关专科医生确诊，且须满足自</w:t>
      </w:r>
      <w:r>
        <w:rPr>
          <w:spacing w:val="-2"/>
        </w:rPr>
        <w:t>主生活能力完全丧失，无法独立完成六项基本日常生活活动</w:t>
      </w:r>
      <w:r>
        <w:rPr>
          <w:spacing w:val="-2"/>
        </w:rPr>
        <w:t>中的三项或三项以上。</w:t>
      </w:r>
    </w:p>
    <w:p>
      <w:pPr>
        <w:pStyle w:val="BodyText"/>
        <w:spacing w:before="153"/>
        <w:ind w:left="349"/>
      </w:pPr>
      <w:r>
        <w:rPr>
          <w:spacing w:val="-3"/>
        </w:rPr>
        <w:t>继发性帕金森综合征、帕金森叠加综合征不在保障范围内。</w:t>
      </w:r>
    </w:p>
    <w:p>
      <w:pPr>
        <w:spacing w:after="0"/>
        <w:sectPr>
          <w:type w:val="continuous"/>
          <w:pgSz w:w="11910" w:h="16840"/>
          <w:pgMar w:header="0" w:footer="226" w:top="240" w:bottom="420" w:left="980" w:right="400"/>
          <w:cols w:num="2" w:equalWidth="0">
            <w:col w:w="3073" w:space="40"/>
            <w:col w:w="7417"/>
          </w:cols>
        </w:sectPr>
      </w:pPr>
    </w:p>
    <w:p>
      <w:pPr>
        <w:pStyle w:val="BodyText"/>
        <w:spacing w:before="4"/>
        <w:rPr>
          <w:sz w:val="23"/>
        </w:rPr>
      </w:pPr>
    </w:p>
    <w:p>
      <w:pPr>
        <w:spacing w:after="0"/>
        <w:rPr>
          <w:sz w:val="23"/>
        </w:rPr>
        <w:sectPr>
          <w:type w:val="continuous"/>
          <w:pgSz w:w="11910" w:h="16840"/>
          <w:pgMar w:header="0" w:footer="226" w:top="240" w:bottom="420" w:left="980" w:right="400"/>
        </w:sectPr>
      </w:pPr>
    </w:p>
    <w:p>
      <w:pPr>
        <w:pStyle w:val="Heading2"/>
        <w:numPr>
          <w:ilvl w:val="0"/>
          <w:numId w:val="15"/>
        </w:numPr>
        <w:tabs>
          <w:tab w:pos="2229" w:val="left" w:leader="none"/>
        </w:tabs>
        <w:spacing w:line="196" w:lineRule="auto" w:before="53" w:after="0"/>
        <w:ind w:left="1910" w:right="0" w:firstLine="0"/>
        <w:jc w:val="left"/>
      </w:pPr>
      <w:r>
        <w:rPr>
          <w:spacing w:val="-4"/>
        </w:rPr>
        <w:t>严重Ⅲ度</w:t>
      </w:r>
      <w:r>
        <w:rPr>
          <w:spacing w:val="-6"/>
        </w:rPr>
        <w:t>烧伤</w:t>
      </w:r>
    </w:p>
    <w:p>
      <w:pPr>
        <w:pStyle w:val="BodyText"/>
        <w:spacing w:line="283" w:lineRule="auto" w:before="72"/>
        <w:ind w:left="349" w:right="1596"/>
      </w:pPr>
      <w:r>
        <w:rPr/>
        <w:br w:type="column"/>
      </w:r>
      <w:r>
        <w:rPr>
          <w:spacing w:val="-2"/>
        </w:rPr>
        <w:t>指烧伤程度为Ⅲ度，且Ⅲ度烧伤的面积达到全身体表面积的 </w:t>
      </w:r>
      <w:r>
        <w:rPr/>
        <w:t>20%</w:t>
      </w:r>
      <w:r>
        <w:rPr>
          <w:spacing w:val="-21"/>
        </w:rPr>
        <w:t>或 </w:t>
      </w:r>
      <w:r>
        <w:rPr/>
        <w:t>20%以上。体表面积根据《中国新九分法》计算。</w:t>
      </w:r>
    </w:p>
    <w:p>
      <w:pPr>
        <w:spacing w:after="0" w:line="283" w:lineRule="auto"/>
        <w:sectPr>
          <w:type w:val="continuous"/>
          <w:pgSz w:w="11910" w:h="16840"/>
          <w:pgMar w:header="0" w:footer="226" w:top="240" w:bottom="420" w:left="980" w:right="400"/>
          <w:cols w:num="2" w:equalWidth="0">
            <w:col w:w="3073" w:space="40"/>
            <w:col w:w="7417"/>
          </w:cols>
        </w:sectPr>
      </w:pPr>
    </w:p>
    <w:p>
      <w:pPr>
        <w:pStyle w:val="BodyText"/>
        <w:rPr>
          <w:sz w:val="19"/>
        </w:rPr>
      </w:pPr>
    </w:p>
    <w:p>
      <w:pPr>
        <w:spacing w:after="0"/>
        <w:rPr>
          <w:sz w:val="19"/>
        </w:rPr>
        <w:sectPr>
          <w:type w:val="continuous"/>
          <w:pgSz w:w="11910" w:h="16840"/>
          <w:pgMar w:header="0" w:footer="226" w:top="240" w:bottom="420" w:left="980" w:right="400"/>
        </w:sectPr>
      </w:pPr>
    </w:p>
    <w:p>
      <w:pPr>
        <w:pStyle w:val="Heading2"/>
        <w:numPr>
          <w:ilvl w:val="0"/>
          <w:numId w:val="15"/>
        </w:numPr>
        <w:tabs>
          <w:tab w:pos="2229" w:val="left" w:leader="none"/>
        </w:tabs>
        <w:spacing w:line="194" w:lineRule="auto" w:before="55" w:after="0"/>
        <w:ind w:left="1910" w:right="0" w:firstLine="0"/>
        <w:jc w:val="left"/>
      </w:pPr>
      <w:r>
        <w:rPr>
          <w:spacing w:val="-4"/>
        </w:rPr>
        <w:t>严重特发</w:t>
      </w:r>
      <w:r>
        <w:rPr>
          <w:spacing w:val="-2"/>
        </w:rPr>
        <w:t>性肺动脉高压</w:t>
      </w:r>
    </w:p>
    <w:p>
      <w:pPr>
        <w:spacing w:line="312" w:lineRule="exact" w:before="32"/>
        <w:ind w:left="244" w:right="1595" w:firstLine="0"/>
        <w:jc w:val="both"/>
        <w:rPr>
          <w:rFonts w:ascii="微软雅黑" w:eastAsia="微软雅黑"/>
          <w:b/>
          <w:sz w:val="21"/>
        </w:rPr>
      </w:pPr>
      <w:r>
        <w:rPr/>
        <w:br w:type="column"/>
      </w:r>
      <w:r>
        <w:rPr>
          <w:spacing w:val="-2"/>
          <w:sz w:val="21"/>
        </w:rPr>
        <w:t>指不明原因的肺动脉压力持续性增高，进行性发展而导致的</w:t>
      </w:r>
      <w:r>
        <w:rPr>
          <w:spacing w:val="-2"/>
          <w:sz w:val="21"/>
        </w:rPr>
        <w:t>慢性疾病，已经造成永久不可逆性的体力活动能力受限，达</w:t>
      </w:r>
      <w:r>
        <w:rPr>
          <w:w w:val="95"/>
          <w:sz w:val="21"/>
        </w:rPr>
        <w:t>到</w:t>
      </w:r>
      <w:r>
        <w:rPr>
          <w:rFonts w:ascii="微软雅黑" w:eastAsia="微软雅黑"/>
          <w:b/>
          <w:w w:val="95"/>
          <w:sz w:val="21"/>
        </w:rPr>
        <w:t>美</w:t>
      </w:r>
      <w:r>
        <w:rPr>
          <w:rFonts w:ascii="微软雅黑" w:eastAsia="微软雅黑"/>
          <w:b/>
          <w:w w:val="95"/>
          <w:sz w:val="21"/>
        </w:rPr>
        <w:t>国</w:t>
      </w:r>
      <w:r>
        <w:rPr>
          <w:rFonts w:ascii="微软雅黑" w:eastAsia="微软雅黑"/>
          <w:b/>
          <w:w w:val="95"/>
          <w:sz w:val="21"/>
        </w:rPr>
        <w:t>纽</w:t>
      </w:r>
      <w:r>
        <w:rPr>
          <w:rFonts w:ascii="微软雅黑" w:eastAsia="微软雅黑"/>
          <w:b/>
          <w:w w:val="95"/>
          <w:sz w:val="21"/>
        </w:rPr>
        <w:t>约</w:t>
      </w:r>
      <w:r>
        <w:rPr>
          <w:rFonts w:ascii="微软雅黑" w:eastAsia="微软雅黑"/>
          <w:b/>
          <w:w w:val="95"/>
          <w:sz w:val="21"/>
        </w:rPr>
        <w:t>心</w:t>
      </w:r>
      <w:r>
        <w:rPr>
          <w:rFonts w:ascii="微软雅黑" w:eastAsia="微软雅黑"/>
          <w:b/>
          <w:w w:val="95"/>
          <w:sz w:val="21"/>
        </w:rPr>
        <w:t>脏</w:t>
      </w:r>
      <w:r>
        <w:rPr>
          <w:rFonts w:ascii="微软雅黑" w:eastAsia="微软雅黑"/>
          <w:b/>
          <w:w w:val="95"/>
          <w:sz w:val="21"/>
        </w:rPr>
        <w:t>病</w:t>
      </w:r>
      <w:r>
        <w:rPr>
          <w:rFonts w:ascii="微软雅黑" w:eastAsia="微软雅黑"/>
          <w:b/>
          <w:w w:val="95"/>
          <w:sz w:val="21"/>
        </w:rPr>
        <w:t>学</w:t>
      </w:r>
      <w:r>
        <w:rPr>
          <w:rFonts w:ascii="微软雅黑" w:eastAsia="微软雅黑"/>
          <w:b/>
          <w:w w:val="95"/>
          <w:sz w:val="21"/>
        </w:rPr>
        <w:t>会</w:t>
      </w:r>
      <w:r>
        <w:rPr>
          <w:rFonts w:ascii="微软雅黑" w:eastAsia="微软雅黑"/>
          <w:b/>
          <w:w w:val="95"/>
          <w:sz w:val="21"/>
        </w:rPr>
        <w:t>（New</w:t>
      </w:r>
      <w:r>
        <w:rPr>
          <w:rFonts w:ascii="微软雅黑" w:eastAsia="微软雅黑"/>
          <w:b/>
          <w:spacing w:val="40"/>
          <w:sz w:val="21"/>
        </w:rPr>
        <w:t> </w:t>
      </w:r>
      <w:r>
        <w:rPr>
          <w:rFonts w:ascii="微软雅黑" w:eastAsia="微软雅黑"/>
          <w:b/>
          <w:w w:val="95"/>
          <w:sz w:val="21"/>
        </w:rPr>
        <w:t>York</w:t>
      </w:r>
      <w:r>
        <w:rPr>
          <w:rFonts w:ascii="微软雅黑" w:eastAsia="微软雅黑"/>
          <w:b/>
          <w:spacing w:val="40"/>
          <w:sz w:val="21"/>
        </w:rPr>
        <w:t> </w:t>
      </w:r>
      <w:r>
        <w:rPr>
          <w:rFonts w:ascii="微软雅黑" w:eastAsia="微软雅黑"/>
          <w:b/>
          <w:w w:val="95"/>
          <w:sz w:val="21"/>
        </w:rPr>
        <w:t>Heart</w:t>
      </w:r>
      <w:r>
        <w:rPr>
          <w:rFonts w:ascii="微软雅黑" w:eastAsia="微软雅黑"/>
          <w:b/>
          <w:spacing w:val="40"/>
          <w:sz w:val="21"/>
        </w:rPr>
        <w:t> </w:t>
      </w:r>
      <w:r>
        <w:rPr>
          <w:rFonts w:ascii="微软雅黑" w:eastAsia="微软雅黑"/>
          <w:b/>
          <w:w w:val="95"/>
          <w:sz w:val="21"/>
        </w:rPr>
        <w:t>Association，</w:t>
      </w:r>
    </w:p>
    <w:p>
      <w:pPr>
        <w:spacing w:line="312" w:lineRule="exact" w:before="0"/>
        <w:ind w:left="244" w:right="1586" w:firstLine="0"/>
        <w:jc w:val="both"/>
        <w:rPr>
          <w:sz w:val="21"/>
        </w:rPr>
      </w:pPr>
      <w:r>
        <w:rPr>
          <w:rFonts w:ascii="微软雅黑" w:eastAsia="微软雅黑"/>
          <w:b/>
          <w:w w:val="95"/>
          <w:sz w:val="21"/>
        </w:rPr>
        <w:t>NYHA）</w:t>
      </w:r>
      <w:r>
        <w:rPr>
          <w:rFonts w:ascii="微软雅黑" w:eastAsia="微软雅黑"/>
          <w:b/>
          <w:w w:val="95"/>
          <w:sz w:val="21"/>
        </w:rPr>
        <w:t>心</w:t>
      </w:r>
      <w:r>
        <w:rPr>
          <w:rFonts w:ascii="微软雅黑" w:eastAsia="微软雅黑"/>
          <w:b/>
          <w:w w:val="95"/>
          <w:sz w:val="21"/>
        </w:rPr>
        <w:t>功</w:t>
      </w:r>
      <w:r>
        <w:rPr>
          <w:rFonts w:ascii="微软雅黑" w:eastAsia="微软雅黑"/>
          <w:b/>
          <w:w w:val="95"/>
          <w:sz w:val="21"/>
        </w:rPr>
        <w:t>能</w:t>
      </w:r>
      <w:r>
        <w:rPr>
          <w:rFonts w:ascii="微软雅黑" w:eastAsia="微软雅黑"/>
          <w:b/>
          <w:w w:val="95"/>
          <w:sz w:val="21"/>
        </w:rPr>
        <w:t>状</w:t>
      </w:r>
      <w:r>
        <w:rPr>
          <w:rFonts w:ascii="微软雅黑" w:eastAsia="微软雅黑"/>
          <w:b/>
          <w:w w:val="95"/>
          <w:sz w:val="21"/>
        </w:rPr>
        <w:t>态</w:t>
      </w:r>
      <w:r>
        <w:rPr>
          <w:rFonts w:ascii="微软雅黑" w:eastAsia="微软雅黑"/>
          <w:b/>
          <w:w w:val="95"/>
          <w:sz w:val="21"/>
        </w:rPr>
        <w:t>分</w:t>
      </w:r>
      <w:r>
        <w:rPr>
          <w:rFonts w:ascii="微软雅黑" w:eastAsia="微软雅黑"/>
          <w:b/>
          <w:w w:val="95"/>
          <w:sz w:val="21"/>
        </w:rPr>
        <w:t>级</w:t>
      </w:r>
      <w:r>
        <w:rPr>
          <w:w w:val="95"/>
          <w:sz w:val="21"/>
        </w:rPr>
        <w:t>（</w:t>
      </w:r>
      <w:r>
        <w:rPr>
          <w:w w:val="95"/>
          <w:sz w:val="21"/>
        </w:rPr>
        <w:t>见</w:t>
      </w:r>
      <w:r>
        <w:rPr>
          <w:spacing w:val="-8"/>
          <w:w w:val="95"/>
          <w:sz w:val="21"/>
        </w:rPr>
        <w:t>释义 </w:t>
      </w:r>
      <w:r>
        <w:rPr>
          <w:w w:val="95"/>
          <w:sz w:val="21"/>
        </w:rPr>
        <w:t>13.39）IV</w:t>
      </w:r>
      <w:r>
        <w:rPr>
          <w:spacing w:val="-5"/>
          <w:w w:val="95"/>
          <w:sz w:val="21"/>
        </w:rPr>
        <w:t> 级，且静</w:t>
      </w:r>
      <w:r>
        <w:rPr>
          <w:w w:val="95"/>
          <w:sz w:val="21"/>
        </w:rPr>
        <w:t>息</w:t>
      </w:r>
      <w:r>
        <w:rPr>
          <w:w w:val="95"/>
          <w:sz w:val="21"/>
        </w:rPr>
        <w:t>状</w:t>
      </w:r>
      <w:r>
        <w:rPr>
          <w:w w:val="95"/>
          <w:sz w:val="21"/>
        </w:rPr>
        <w:t>态</w:t>
      </w:r>
      <w:r>
        <w:rPr>
          <w:spacing w:val="-5"/>
          <w:sz w:val="21"/>
        </w:rPr>
        <w:t>下肺动脉平均压在 </w:t>
      </w:r>
      <w:r>
        <w:rPr>
          <w:sz w:val="21"/>
        </w:rPr>
        <w:t>36mmHg（含）以上。</w:t>
      </w:r>
    </w:p>
    <w:p>
      <w:pPr>
        <w:spacing w:after="0" w:line="312" w:lineRule="exact"/>
        <w:jc w:val="both"/>
        <w:rPr>
          <w:sz w:val="21"/>
        </w:rPr>
        <w:sectPr>
          <w:type w:val="continuous"/>
          <w:pgSz w:w="11910" w:h="16840"/>
          <w:pgMar w:header="0" w:footer="226" w:top="240" w:bottom="420" w:left="980" w:right="400"/>
          <w:cols w:num="2" w:equalWidth="0">
            <w:col w:w="3178" w:space="40"/>
            <w:col w:w="7312"/>
          </w:cols>
        </w:sectPr>
      </w:pPr>
    </w:p>
    <w:p>
      <w:pPr>
        <w:pStyle w:val="BodyText"/>
        <w:rPr>
          <w:sz w:val="23"/>
        </w:rPr>
      </w:pPr>
    </w:p>
    <w:p>
      <w:pPr>
        <w:spacing w:after="0"/>
        <w:rPr>
          <w:sz w:val="23"/>
        </w:rPr>
        <w:sectPr>
          <w:type w:val="continuous"/>
          <w:pgSz w:w="11910" w:h="16840"/>
          <w:pgMar w:header="0" w:footer="226" w:top="240" w:bottom="420" w:left="980" w:right="400"/>
        </w:sectPr>
      </w:pPr>
    </w:p>
    <w:p>
      <w:pPr>
        <w:pStyle w:val="Heading2"/>
        <w:numPr>
          <w:ilvl w:val="0"/>
          <w:numId w:val="15"/>
        </w:numPr>
        <w:tabs>
          <w:tab w:pos="2229" w:val="left" w:leader="none"/>
        </w:tabs>
        <w:spacing w:line="194" w:lineRule="auto" w:before="55" w:after="0"/>
        <w:ind w:left="1910" w:right="0" w:firstLine="0"/>
        <w:jc w:val="left"/>
      </w:pPr>
      <w:r>
        <w:rPr>
          <w:spacing w:val="-4"/>
        </w:rPr>
        <w:t>严重运动</w:t>
      </w:r>
      <w:r>
        <w:rPr>
          <w:spacing w:val="-4"/>
        </w:rPr>
        <w:t>神经元病</w:t>
      </w:r>
    </w:p>
    <w:p>
      <w:pPr>
        <w:pStyle w:val="BodyText"/>
        <w:spacing w:line="278" w:lineRule="auto" w:before="72"/>
        <w:ind w:left="349" w:right="1597"/>
        <w:jc w:val="both"/>
      </w:pPr>
      <w:r>
        <w:rPr/>
        <w:br w:type="column"/>
      </w:r>
      <w:r>
        <w:rPr>
          <w:spacing w:val="-2"/>
        </w:rPr>
        <w:t>是一组中枢神经系统运动神经元的进行性变性疾病，包括进</w:t>
      </w:r>
      <w:r>
        <w:rPr>
          <w:spacing w:val="-2"/>
        </w:rPr>
        <w:t>行性脊肌萎缩症、进行性延髓麻痹症、原发性侧索硬化症、</w:t>
      </w:r>
      <w:r>
        <w:rPr>
          <w:spacing w:val="-2"/>
        </w:rPr>
        <w:t>肌萎缩性侧索硬化症，经相关专科医生确诊，且须满足下列</w:t>
      </w:r>
      <w:r>
        <w:rPr>
          <w:spacing w:val="-2"/>
        </w:rPr>
        <w:t>至少一项条件：</w:t>
      </w:r>
    </w:p>
    <w:p>
      <w:pPr>
        <w:pStyle w:val="ListParagraph"/>
        <w:numPr>
          <w:ilvl w:val="0"/>
          <w:numId w:val="23"/>
        </w:numPr>
        <w:tabs>
          <w:tab w:pos="879" w:val="left" w:leader="none"/>
        </w:tabs>
        <w:spacing w:line="240" w:lineRule="auto" w:before="153" w:after="0"/>
        <w:ind w:left="878" w:right="0" w:hanging="530"/>
        <w:jc w:val="left"/>
        <w:rPr>
          <w:sz w:val="21"/>
        </w:rPr>
      </w:pPr>
      <w:r>
        <w:rPr>
          <w:spacing w:val="-3"/>
          <w:sz w:val="21"/>
        </w:rPr>
        <w:t>严重咀嚼吞咽功能障碍；</w:t>
      </w:r>
    </w:p>
    <w:p>
      <w:pPr>
        <w:pStyle w:val="ListParagraph"/>
        <w:numPr>
          <w:ilvl w:val="0"/>
          <w:numId w:val="23"/>
        </w:numPr>
        <w:tabs>
          <w:tab w:pos="879" w:val="left" w:leader="none"/>
        </w:tabs>
        <w:spacing w:line="278" w:lineRule="auto" w:before="48" w:after="0"/>
        <w:ind w:left="349" w:right="1703" w:firstLine="0"/>
        <w:jc w:val="left"/>
        <w:rPr>
          <w:sz w:val="21"/>
        </w:rPr>
      </w:pPr>
      <w:r>
        <w:rPr>
          <w:spacing w:val="-2"/>
          <w:sz w:val="21"/>
        </w:rPr>
        <w:t>呼吸肌麻痹导致严重呼吸困难，且已经持续使用呼吸</w:t>
      </w:r>
      <w:r>
        <w:rPr>
          <w:spacing w:val="-11"/>
          <w:sz w:val="21"/>
        </w:rPr>
        <w:t>机 </w:t>
      </w:r>
      <w:r>
        <w:rPr>
          <w:sz w:val="21"/>
        </w:rPr>
        <w:t>7</w:t>
      </w:r>
      <w:r>
        <w:rPr>
          <w:spacing w:val="-11"/>
          <w:sz w:val="21"/>
        </w:rPr>
        <w:t> 天</w:t>
      </w:r>
      <w:r>
        <w:rPr>
          <w:sz w:val="21"/>
        </w:rPr>
        <w:t>（含）以上；</w:t>
      </w:r>
    </w:p>
    <w:p>
      <w:pPr>
        <w:pStyle w:val="ListParagraph"/>
        <w:numPr>
          <w:ilvl w:val="0"/>
          <w:numId w:val="23"/>
        </w:numPr>
        <w:tabs>
          <w:tab w:pos="879" w:val="left" w:leader="none"/>
        </w:tabs>
        <w:spacing w:line="278" w:lineRule="auto" w:before="0" w:after="0"/>
        <w:ind w:left="349" w:right="1703" w:firstLine="0"/>
        <w:jc w:val="left"/>
        <w:rPr>
          <w:sz w:val="21"/>
        </w:rPr>
      </w:pPr>
      <w:r>
        <w:rPr>
          <w:spacing w:val="-2"/>
          <w:sz w:val="21"/>
        </w:rPr>
        <w:t>自主生活能力完全丧失，无法独立完成六项基本日常</w:t>
      </w:r>
      <w:r>
        <w:rPr>
          <w:spacing w:val="-2"/>
          <w:sz w:val="21"/>
        </w:rPr>
        <w:t>生活活动中的三项或三项以上。</w:t>
      </w:r>
    </w:p>
    <w:p>
      <w:pPr>
        <w:spacing w:after="0" w:line="278" w:lineRule="auto"/>
        <w:jc w:val="left"/>
        <w:rPr>
          <w:sz w:val="21"/>
        </w:rPr>
        <w:sectPr>
          <w:type w:val="continuous"/>
          <w:pgSz w:w="11910" w:h="16840"/>
          <w:pgMar w:header="0" w:footer="226" w:top="240" w:bottom="420" w:left="980" w:right="400"/>
          <w:cols w:num="2" w:equalWidth="0">
            <w:col w:w="3073" w:space="40"/>
            <w:col w:w="7417"/>
          </w:cols>
        </w:sectPr>
      </w:pPr>
    </w:p>
    <w:p>
      <w:pPr>
        <w:pStyle w:val="BodyText"/>
        <w:spacing w:before="7"/>
        <w:rPr>
          <w:sz w:val="19"/>
        </w:rPr>
      </w:pPr>
    </w:p>
    <w:p>
      <w:pPr>
        <w:spacing w:after="0"/>
        <w:rPr>
          <w:sz w:val="19"/>
        </w:rPr>
        <w:sectPr>
          <w:type w:val="continuous"/>
          <w:pgSz w:w="11910" w:h="16840"/>
          <w:pgMar w:header="0" w:footer="226" w:top="240" w:bottom="420" w:left="980" w:right="400"/>
        </w:sectPr>
      </w:pPr>
    </w:p>
    <w:p>
      <w:pPr>
        <w:pStyle w:val="Heading2"/>
        <w:numPr>
          <w:ilvl w:val="0"/>
          <w:numId w:val="15"/>
        </w:numPr>
        <w:tabs>
          <w:tab w:pos="2229" w:val="left" w:leader="none"/>
        </w:tabs>
        <w:spacing w:line="194" w:lineRule="auto" w:before="55" w:after="0"/>
        <w:ind w:left="1910" w:right="0" w:firstLine="0"/>
        <w:jc w:val="left"/>
      </w:pPr>
      <w:r>
        <w:rPr>
          <w:spacing w:val="-4"/>
        </w:rPr>
        <w:t>语言能力</w:t>
      </w:r>
      <w:r>
        <w:rPr>
          <w:spacing w:val="-2"/>
          <w:w w:val="95"/>
        </w:rPr>
        <w:t>丧</w:t>
      </w:r>
      <w:r>
        <w:rPr>
          <w:spacing w:val="-2"/>
          <w:w w:val="95"/>
        </w:rPr>
        <w:t>失</w:t>
      </w:r>
      <w:r>
        <w:rPr>
          <w:spacing w:val="-2"/>
          <w:w w:val="95"/>
        </w:rPr>
        <w:t>——三</w:t>
      </w:r>
      <w:r>
        <w:rPr>
          <w:spacing w:val="-2"/>
          <w:w w:val="95"/>
        </w:rPr>
        <w:t>周</w:t>
      </w:r>
      <w:r>
        <w:rPr>
          <w:spacing w:val="-4"/>
        </w:rPr>
        <w:t>岁始理赔</w:t>
      </w:r>
    </w:p>
    <w:p>
      <w:pPr>
        <w:pStyle w:val="BodyText"/>
        <w:spacing w:line="280" w:lineRule="auto" w:before="71"/>
        <w:ind w:left="243" w:right="1596"/>
        <w:jc w:val="both"/>
      </w:pPr>
      <w:r>
        <w:rPr/>
        <w:br w:type="column"/>
      </w:r>
      <w:r>
        <w:rPr>
          <w:spacing w:val="-2"/>
        </w:rPr>
        <w:t>指因疾病或意外伤害导致语言能力完全丧失，经过积极治疗</w:t>
      </w:r>
      <w:r>
        <w:rPr>
          <w:spacing w:val="-10"/>
        </w:rPr>
        <w:t>至少 </w:t>
      </w:r>
      <w:r>
        <w:rPr>
          <w:spacing w:val="-2"/>
        </w:rPr>
        <w:t>12</w:t>
      </w:r>
      <w:r>
        <w:rPr>
          <w:spacing w:val="-10"/>
        </w:rPr>
        <w:t> 个月</w:t>
      </w:r>
      <w:r>
        <w:rPr>
          <w:spacing w:val="-2"/>
        </w:rPr>
        <w:t>（声带完全切除不受此时间限制</w:t>
      </w:r>
      <w:r>
        <w:rPr>
          <w:spacing w:val="-106"/>
        </w:rPr>
        <w:t>）</w:t>
      </w:r>
      <w:r>
        <w:rPr>
          <w:spacing w:val="-4"/>
        </w:rPr>
        <w:t>，仍无法通过</w:t>
      </w:r>
      <w:r>
        <w:rPr>
          <w:spacing w:val="-2"/>
        </w:rPr>
        <w:t>现有医疗手段恢复。</w:t>
      </w:r>
    </w:p>
    <w:p>
      <w:pPr>
        <w:pStyle w:val="BodyText"/>
        <w:spacing w:before="151"/>
        <w:ind w:left="243"/>
      </w:pPr>
      <w:r>
        <w:rPr>
          <w:spacing w:val="-3"/>
        </w:rPr>
        <w:t>精神心理因素所致的语言能力丧失不在保障范围内。</w:t>
      </w:r>
    </w:p>
    <w:p>
      <w:pPr>
        <w:pStyle w:val="BodyText"/>
        <w:spacing w:before="4"/>
        <w:rPr>
          <w:sz w:val="15"/>
        </w:rPr>
      </w:pPr>
    </w:p>
    <w:p>
      <w:pPr>
        <w:pStyle w:val="BodyText"/>
        <w:spacing w:line="283" w:lineRule="auto"/>
        <w:ind w:left="243" w:right="1597"/>
        <w:jc w:val="both"/>
      </w:pPr>
      <w:r>
        <w:rPr>
          <w:w w:val="95"/>
        </w:rPr>
        <w:t>被</w:t>
      </w:r>
      <w:r>
        <w:rPr>
          <w:w w:val="95"/>
        </w:rPr>
        <w:t>保</w:t>
      </w:r>
      <w:r>
        <w:rPr>
          <w:w w:val="95"/>
        </w:rPr>
        <w:t>险</w:t>
      </w:r>
      <w:r>
        <w:rPr>
          <w:w w:val="95"/>
        </w:rPr>
        <w:t>人</w:t>
      </w:r>
      <w:r>
        <w:rPr>
          <w:w w:val="95"/>
        </w:rPr>
        <w:t>在</w:t>
      </w:r>
      <w:r>
        <w:rPr>
          <w:w w:val="95"/>
        </w:rPr>
        <w:t> 3 </w:t>
      </w:r>
      <w:r>
        <w:rPr>
          <w:w w:val="95"/>
        </w:rPr>
        <w:t>周</w:t>
      </w:r>
      <w:r>
        <w:rPr>
          <w:w w:val="95"/>
        </w:rPr>
        <w:t>岁</w:t>
      </w:r>
      <w:r>
        <w:rPr>
          <w:w w:val="95"/>
        </w:rPr>
        <w:t>之</w:t>
      </w:r>
      <w:r>
        <w:rPr>
          <w:w w:val="95"/>
        </w:rPr>
        <w:t>前</w:t>
      </w:r>
      <w:r>
        <w:rPr>
          <w:w w:val="95"/>
        </w:rPr>
        <w:t>因</w:t>
      </w:r>
      <w:r>
        <w:rPr>
          <w:w w:val="95"/>
        </w:rPr>
        <w:t>疾</w:t>
      </w:r>
      <w:r>
        <w:rPr>
          <w:w w:val="95"/>
        </w:rPr>
        <w:t>病</w:t>
      </w:r>
      <w:r>
        <w:rPr>
          <w:w w:val="95"/>
        </w:rPr>
        <w:t>或</w:t>
      </w:r>
      <w:r>
        <w:rPr>
          <w:w w:val="95"/>
        </w:rPr>
        <w:t>意</w:t>
      </w:r>
      <w:r>
        <w:rPr>
          <w:w w:val="95"/>
        </w:rPr>
        <w:t>外</w:t>
      </w:r>
      <w:r>
        <w:rPr>
          <w:w w:val="95"/>
        </w:rPr>
        <w:t>伤</w:t>
      </w:r>
      <w:r>
        <w:rPr>
          <w:w w:val="95"/>
        </w:rPr>
        <w:t>害</w:t>
      </w:r>
      <w:r>
        <w:rPr>
          <w:w w:val="95"/>
        </w:rPr>
        <w:t>导</w:t>
      </w:r>
      <w:r>
        <w:rPr>
          <w:w w:val="95"/>
        </w:rPr>
        <w:t>致</w:t>
      </w:r>
      <w:r>
        <w:rPr>
          <w:w w:val="95"/>
        </w:rPr>
        <w:t>的语言</w:t>
      </w:r>
      <w:r>
        <w:rPr>
          <w:w w:val="95"/>
        </w:rPr>
        <w:t>能</w:t>
      </w:r>
      <w:r>
        <w:rPr>
          <w:w w:val="95"/>
        </w:rPr>
        <w:t>力</w:t>
      </w:r>
      <w:r>
        <w:rPr>
          <w:w w:val="95"/>
        </w:rPr>
        <w:t>丧</w:t>
      </w:r>
      <w:r>
        <w:rPr>
          <w:spacing w:val="-2"/>
        </w:rPr>
        <w:t>失不在保障范围内。</w:t>
      </w:r>
    </w:p>
    <w:p>
      <w:pPr>
        <w:spacing w:after="0" w:line="283" w:lineRule="auto"/>
        <w:jc w:val="both"/>
        <w:sectPr>
          <w:type w:val="continuous"/>
          <w:pgSz w:w="11910" w:h="16840"/>
          <w:pgMar w:header="0" w:footer="226" w:top="240" w:bottom="420" w:left="980" w:right="400"/>
          <w:cols w:num="2" w:equalWidth="0">
            <w:col w:w="3179" w:space="40"/>
            <w:col w:w="7311"/>
          </w:cols>
        </w:sectPr>
      </w:pPr>
    </w:p>
    <w:p>
      <w:pPr>
        <w:pStyle w:val="BodyText"/>
        <w:spacing w:before="1"/>
        <w:rPr>
          <w:sz w:val="19"/>
        </w:rPr>
      </w:pPr>
    </w:p>
    <w:p>
      <w:pPr>
        <w:spacing w:after="0"/>
        <w:rPr>
          <w:sz w:val="19"/>
        </w:rPr>
        <w:sectPr>
          <w:type w:val="continuous"/>
          <w:pgSz w:w="11910" w:h="16840"/>
          <w:pgMar w:header="0" w:footer="226" w:top="240" w:bottom="420" w:left="980" w:right="400"/>
        </w:sectPr>
      </w:pPr>
    </w:p>
    <w:p>
      <w:pPr>
        <w:pStyle w:val="Heading2"/>
        <w:numPr>
          <w:ilvl w:val="0"/>
          <w:numId w:val="15"/>
        </w:numPr>
        <w:tabs>
          <w:tab w:pos="2229" w:val="left" w:leader="none"/>
        </w:tabs>
        <w:spacing w:line="196" w:lineRule="auto" w:before="53" w:after="0"/>
        <w:ind w:left="1910" w:right="0" w:firstLine="0"/>
        <w:jc w:val="left"/>
      </w:pPr>
      <w:r>
        <w:rPr>
          <w:spacing w:val="-4"/>
        </w:rPr>
        <w:t>重型再生</w:t>
      </w:r>
      <w:r>
        <w:rPr>
          <w:spacing w:val="-2"/>
        </w:rPr>
        <w:t>障碍性贫血</w:t>
      </w:r>
    </w:p>
    <w:p>
      <w:pPr>
        <w:pStyle w:val="BodyText"/>
        <w:spacing w:line="283" w:lineRule="auto" w:before="72"/>
        <w:ind w:left="349" w:right="1597"/>
      </w:pPr>
      <w:r>
        <w:rPr/>
        <w:br w:type="column"/>
      </w:r>
      <w:r>
        <w:rPr>
          <w:spacing w:val="-2"/>
        </w:rPr>
        <w:t>指因骨髓造血功能慢性持续性衰竭导致的贫血、中性粒细胞</w:t>
      </w:r>
      <w:r>
        <w:rPr>
          <w:spacing w:val="-2"/>
        </w:rPr>
        <w:t>减少及血小板减少，且须满足下列全部条件：</w:t>
      </w:r>
    </w:p>
    <w:p>
      <w:pPr>
        <w:pStyle w:val="ListParagraph"/>
        <w:numPr>
          <w:ilvl w:val="0"/>
          <w:numId w:val="24"/>
        </w:numPr>
        <w:tabs>
          <w:tab w:pos="879" w:val="left" w:leader="none"/>
        </w:tabs>
        <w:spacing w:line="278" w:lineRule="auto" w:before="147" w:after="0"/>
        <w:ind w:left="349" w:right="1596" w:firstLine="0"/>
        <w:jc w:val="left"/>
        <w:rPr>
          <w:sz w:val="21"/>
        </w:rPr>
      </w:pPr>
      <w:r>
        <w:rPr>
          <w:spacing w:val="-2"/>
          <w:sz w:val="21"/>
        </w:rPr>
        <w:t>骨髓穿刺检查或骨髓活检结果支持诊断：骨髓细胞增</w:t>
      </w:r>
      <w:r>
        <w:rPr>
          <w:spacing w:val="-7"/>
          <w:sz w:val="21"/>
        </w:rPr>
        <w:t>生程度&lt;正常的 </w:t>
      </w:r>
      <w:r>
        <w:rPr>
          <w:sz w:val="21"/>
        </w:rPr>
        <w:t>25%</w:t>
      </w:r>
      <w:r>
        <w:rPr>
          <w:spacing w:val="-8"/>
          <w:sz w:val="21"/>
        </w:rPr>
        <w:t>；如≥正常的 </w:t>
      </w:r>
      <w:r>
        <w:rPr>
          <w:sz w:val="21"/>
        </w:rPr>
        <w:t>25%但&lt;50%，则残存的造血</w:t>
      </w:r>
      <w:r>
        <w:rPr>
          <w:spacing w:val="-2"/>
          <w:sz w:val="21"/>
        </w:rPr>
        <w:t>细胞应&lt;30%；</w:t>
      </w:r>
    </w:p>
    <w:p>
      <w:pPr>
        <w:pStyle w:val="ListParagraph"/>
        <w:numPr>
          <w:ilvl w:val="0"/>
          <w:numId w:val="24"/>
        </w:numPr>
        <w:tabs>
          <w:tab w:pos="879" w:val="left" w:leader="none"/>
        </w:tabs>
        <w:spacing w:line="240" w:lineRule="auto" w:before="0" w:after="0"/>
        <w:ind w:left="878" w:right="0" w:hanging="530"/>
        <w:jc w:val="left"/>
        <w:rPr>
          <w:sz w:val="21"/>
        </w:rPr>
      </w:pPr>
      <w:r>
        <w:rPr>
          <w:spacing w:val="-3"/>
          <w:sz w:val="21"/>
        </w:rPr>
        <w:t>外周血象须具备以下三项条件中的两项：</w:t>
      </w:r>
    </w:p>
    <w:p>
      <w:pPr>
        <w:spacing w:after="0" w:line="240" w:lineRule="auto"/>
        <w:jc w:val="left"/>
        <w:rPr>
          <w:sz w:val="21"/>
        </w:rPr>
        <w:sectPr>
          <w:type w:val="continuous"/>
          <w:pgSz w:w="11910" w:h="16840"/>
          <w:pgMar w:header="0" w:footer="226" w:top="240" w:bottom="420" w:left="980" w:right="400"/>
          <w:cols w:num="2" w:equalWidth="0">
            <w:col w:w="3073" w:space="40"/>
            <w:col w:w="7417"/>
          </w:cols>
        </w:sectPr>
      </w:pPr>
    </w:p>
    <w:p>
      <w:pPr>
        <w:pStyle w:val="BodyText"/>
        <w:spacing w:before="67"/>
        <w:ind w:left="3980"/>
      </w:pPr>
      <w:r>
        <w:rPr>
          <w:spacing w:val="-2"/>
        </w:rPr>
        <w:t>①中性粒细胞绝对值&lt;0.5×10</w:t>
      </w:r>
      <w:r>
        <w:rPr>
          <w:spacing w:val="-2"/>
          <w:position w:val="11"/>
          <w:sz w:val="11"/>
        </w:rPr>
        <w:t>9</w:t>
      </w:r>
      <w:r>
        <w:rPr>
          <w:spacing w:val="-2"/>
        </w:rPr>
        <w:t>/L；</w:t>
      </w:r>
    </w:p>
    <w:p>
      <w:pPr>
        <w:pStyle w:val="BodyText"/>
        <w:spacing w:before="33"/>
        <w:ind w:left="3980"/>
      </w:pPr>
      <w:r>
        <w:rPr>
          <w:spacing w:val="-2"/>
        </w:rPr>
        <w:t>②网织红细胞计数&lt;20×10</w:t>
      </w:r>
      <w:r>
        <w:rPr>
          <w:spacing w:val="-2"/>
          <w:position w:val="11"/>
          <w:sz w:val="11"/>
        </w:rPr>
        <w:t>9</w:t>
      </w:r>
      <w:r>
        <w:rPr>
          <w:spacing w:val="-2"/>
        </w:rPr>
        <w:t>/L；</w:t>
      </w:r>
    </w:p>
    <w:p>
      <w:pPr>
        <w:pStyle w:val="BodyText"/>
        <w:spacing w:before="43"/>
        <w:ind w:left="3980"/>
      </w:pPr>
      <w:r>
        <w:rPr>
          <w:w w:val="95"/>
        </w:rPr>
        <w:t>③</w:t>
      </w:r>
      <w:r>
        <w:rPr>
          <w:w w:val="95"/>
        </w:rPr>
        <w:t>血</w:t>
      </w:r>
      <w:r>
        <w:rPr>
          <w:w w:val="95"/>
        </w:rPr>
        <w:t>小</w:t>
      </w:r>
      <w:r>
        <w:rPr>
          <w:w w:val="95"/>
        </w:rPr>
        <w:t>板</w:t>
      </w:r>
      <w:r>
        <w:rPr>
          <w:w w:val="95"/>
        </w:rPr>
        <w:t>绝</w:t>
      </w:r>
      <w:r>
        <w:rPr>
          <w:w w:val="95"/>
        </w:rPr>
        <w:t>对</w:t>
      </w:r>
      <w:r>
        <w:rPr>
          <w:w w:val="95"/>
        </w:rPr>
        <w:t>值</w:t>
      </w:r>
      <w:r>
        <w:rPr>
          <w:rFonts w:ascii="Times New Roman" w:hAnsi="Times New Roman" w:eastAsia="Times New Roman"/>
          <w:w w:val="95"/>
        </w:rPr>
        <w:t>&lt;20</w:t>
      </w:r>
      <w:r>
        <w:rPr>
          <w:w w:val="95"/>
        </w:rPr>
        <w:t>×</w:t>
      </w:r>
      <w:r>
        <w:rPr>
          <w:rFonts w:ascii="Times New Roman" w:hAnsi="Times New Roman" w:eastAsia="Times New Roman"/>
          <w:w w:val="95"/>
        </w:rPr>
        <w:t>10</w:t>
      </w:r>
      <w:r>
        <w:rPr>
          <w:rFonts w:ascii="Times New Roman" w:hAnsi="Times New Roman" w:eastAsia="Times New Roman"/>
          <w:w w:val="95"/>
          <w:vertAlign w:val="superscript"/>
        </w:rPr>
        <w:t>9</w:t>
      </w:r>
      <w:r>
        <w:rPr>
          <w:rFonts w:ascii="Times New Roman" w:hAnsi="Times New Roman" w:eastAsia="Times New Roman"/>
          <w:w w:val="95"/>
          <w:vertAlign w:val="baseline"/>
        </w:rPr>
        <w:t>/L</w:t>
      </w:r>
      <w:r>
        <w:rPr>
          <w:spacing w:val="-10"/>
          <w:w w:val="95"/>
          <w:vertAlign w:val="baseline"/>
        </w:rPr>
        <w:t>。</w:t>
      </w:r>
    </w:p>
    <w:p>
      <w:pPr>
        <w:pStyle w:val="BodyText"/>
        <w:spacing w:before="11"/>
        <w:rPr>
          <w:sz w:val="22"/>
        </w:rPr>
      </w:pPr>
    </w:p>
    <w:p>
      <w:pPr>
        <w:spacing w:after="0"/>
        <w:rPr>
          <w:sz w:val="22"/>
        </w:rPr>
        <w:sectPr>
          <w:pgSz w:w="11910" w:h="16840"/>
          <w:pgMar w:header="0" w:footer="226" w:top="640" w:bottom="420" w:left="980" w:right="400"/>
        </w:sectPr>
      </w:pPr>
    </w:p>
    <w:p>
      <w:pPr>
        <w:pStyle w:val="Heading2"/>
        <w:numPr>
          <w:ilvl w:val="0"/>
          <w:numId w:val="15"/>
        </w:numPr>
        <w:tabs>
          <w:tab w:pos="2229" w:val="left" w:leader="none"/>
        </w:tabs>
        <w:spacing w:line="196" w:lineRule="auto" w:before="53" w:after="0"/>
        <w:ind w:left="1910" w:right="0" w:firstLine="0"/>
        <w:jc w:val="left"/>
      </w:pPr>
      <w:r>
        <w:rPr>
          <w:spacing w:val="-4"/>
        </w:rPr>
        <w:t>主动脉手</w:t>
      </w:r>
      <w:r>
        <w:rPr>
          <w:spacing w:val="-10"/>
        </w:rPr>
        <w:t>术</w:t>
      </w:r>
    </w:p>
    <w:p>
      <w:pPr>
        <w:pStyle w:val="BodyText"/>
        <w:spacing w:line="278" w:lineRule="auto" w:before="72"/>
        <w:ind w:left="349" w:right="1597"/>
      </w:pPr>
      <w:r>
        <w:rPr/>
        <w:br w:type="column"/>
      </w:r>
      <w:r>
        <w:rPr>
          <w:spacing w:val="-2"/>
        </w:rPr>
        <w:t>指为治疗主动脉疾病或主动脉创伤，已经实施了开胸（含胸</w:t>
      </w:r>
      <w:r>
        <w:rPr>
          <w:spacing w:val="-2"/>
        </w:rPr>
        <w:t>腔镜下）或开腹（含腹腔镜下）进行的切除、置换、修补病</w:t>
      </w:r>
      <w:r>
        <w:rPr>
          <w:spacing w:val="-2"/>
        </w:rPr>
        <w:t>损主动脉血管、主动脉创伤后修复的手术。主动脉指升主动</w:t>
      </w:r>
      <w:r>
        <w:rPr>
          <w:spacing w:val="-2"/>
        </w:rPr>
        <w:t>脉、主动脉弓和降主动脉（含胸主动脉和腹主动脉</w:t>
      </w:r>
      <w:r>
        <w:rPr>
          <w:spacing w:val="-111"/>
        </w:rPr>
        <w:t>）</w:t>
      </w:r>
      <w:r>
        <w:rPr>
          <w:spacing w:val="-2"/>
        </w:rPr>
        <w:t>，不包</w:t>
      </w:r>
      <w:r>
        <w:rPr>
          <w:spacing w:val="-2"/>
        </w:rPr>
        <w:t>括升主动脉、主动脉弓和降主动脉的分支血管。</w:t>
      </w:r>
    </w:p>
    <w:p>
      <w:pPr>
        <w:pStyle w:val="BodyText"/>
        <w:spacing w:before="158"/>
        <w:ind w:left="349"/>
      </w:pPr>
      <w:r>
        <w:rPr>
          <w:spacing w:val="-3"/>
        </w:rPr>
        <w:t>所有未实施开胸或开腹的动脉内介入治疗不在保障范围内。</w:t>
      </w:r>
    </w:p>
    <w:p>
      <w:pPr>
        <w:spacing w:after="0"/>
        <w:sectPr>
          <w:type w:val="continuous"/>
          <w:pgSz w:w="11910" w:h="16840"/>
          <w:pgMar w:header="0" w:footer="226" w:top="240" w:bottom="420" w:left="980" w:right="400"/>
          <w:cols w:num="2" w:equalWidth="0">
            <w:col w:w="3073" w:space="40"/>
            <w:col w:w="7417"/>
          </w:cols>
        </w:sectPr>
      </w:pPr>
    </w:p>
    <w:p>
      <w:pPr>
        <w:pStyle w:val="BodyText"/>
        <w:spacing w:before="4"/>
        <w:rPr>
          <w:sz w:val="23"/>
        </w:rPr>
      </w:pPr>
    </w:p>
    <w:p>
      <w:pPr>
        <w:spacing w:after="0"/>
        <w:rPr>
          <w:sz w:val="23"/>
        </w:rPr>
        <w:sectPr>
          <w:type w:val="continuous"/>
          <w:pgSz w:w="11910" w:h="16840"/>
          <w:pgMar w:header="0" w:footer="226" w:top="240" w:bottom="420" w:left="980" w:right="400"/>
        </w:sectPr>
      </w:pPr>
    </w:p>
    <w:p>
      <w:pPr>
        <w:pStyle w:val="Heading2"/>
        <w:numPr>
          <w:ilvl w:val="0"/>
          <w:numId w:val="15"/>
        </w:numPr>
        <w:tabs>
          <w:tab w:pos="2229" w:val="left" w:leader="none"/>
        </w:tabs>
        <w:spacing w:line="194" w:lineRule="auto" w:before="55" w:after="0"/>
        <w:ind w:left="1910" w:right="0" w:firstLine="0"/>
        <w:jc w:val="left"/>
      </w:pPr>
      <w:r>
        <w:rPr>
          <w:spacing w:val="-4"/>
        </w:rPr>
        <w:t>严重慢性</w:t>
      </w:r>
      <w:r>
        <w:rPr>
          <w:spacing w:val="-4"/>
        </w:rPr>
        <w:t>呼吸衰竭</w:t>
      </w:r>
    </w:p>
    <w:p>
      <w:pPr>
        <w:pStyle w:val="BodyText"/>
        <w:spacing w:line="278" w:lineRule="auto" w:before="71"/>
        <w:ind w:left="349" w:right="1596"/>
      </w:pPr>
      <w:r>
        <w:rPr/>
        <w:br w:type="column"/>
      </w:r>
      <w:r>
        <w:rPr>
          <w:spacing w:val="-2"/>
        </w:rPr>
        <w:t>指因慢性呼吸系统疾病导致永久不可逆性的呼吸衰竭，经过</w:t>
      </w:r>
      <w:r>
        <w:rPr>
          <w:spacing w:val="-2"/>
        </w:rPr>
        <w:t>积极治疗180天后满足以下所有条件：</w:t>
      </w:r>
    </w:p>
    <w:p>
      <w:pPr>
        <w:pStyle w:val="ListParagraph"/>
        <w:numPr>
          <w:ilvl w:val="0"/>
          <w:numId w:val="25"/>
        </w:numPr>
        <w:tabs>
          <w:tab w:pos="879" w:val="left" w:leader="none"/>
        </w:tabs>
        <w:spacing w:line="240" w:lineRule="auto" w:before="154" w:after="0"/>
        <w:ind w:left="878" w:right="0" w:hanging="530"/>
        <w:jc w:val="left"/>
        <w:rPr>
          <w:sz w:val="21"/>
        </w:rPr>
      </w:pPr>
      <w:r>
        <w:rPr>
          <w:spacing w:val="-3"/>
          <w:sz w:val="21"/>
        </w:rPr>
        <w:t>静息时出现呼吸困难；</w:t>
      </w:r>
    </w:p>
    <w:p>
      <w:pPr>
        <w:pStyle w:val="ListParagraph"/>
        <w:numPr>
          <w:ilvl w:val="0"/>
          <w:numId w:val="25"/>
        </w:numPr>
        <w:tabs>
          <w:tab w:pos="879" w:val="left" w:leader="none"/>
        </w:tabs>
        <w:spacing w:line="240" w:lineRule="auto" w:before="48" w:after="0"/>
        <w:ind w:left="878" w:right="0" w:hanging="530"/>
        <w:jc w:val="left"/>
        <w:rPr>
          <w:sz w:val="21"/>
        </w:rPr>
      </w:pPr>
      <w:r>
        <w:rPr>
          <w:spacing w:val="-2"/>
          <w:position w:val="1"/>
          <w:sz w:val="21"/>
        </w:rPr>
        <w:t>肺功能第一秒用力呼气容积（FEV</w:t>
      </w:r>
      <w:r>
        <w:rPr>
          <w:spacing w:val="-2"/>
          <w:sz w:val="11"/>
        </w:rPr>
        <w:t>1</w:t>
      </w:r>
      <w:r>
        <w:rPr>
          <w:spacing w:val="-2"/>
          <w:position w:val="1"/>
          <w:sz w:val="21"/>
        </w:rPr>
        <w:t>）</w:t>
      </w:r>
      <w:r>
        <w:rPr>
          <w:spacing w:val="-4"/>
          <w:position w:val="1"/>
          <w:sz w:val="21"/>
        </w:rPr>
        <w:t>占预计值的百分比</w:t>
      </w:r>
    </w:p>
    <w:p>
      <w:pPr>
        <w:pStyle w:val="BodyText"/>
        <w:spacing w:before="43"/>
        <w:ind w:left="349"/>
      </w:pPr>
      <w:r>
        <w:rPr>
          <w:spacing w:val="-2"/>
        </w:rPr>
        <w:t>＜30%；</w:t>
      </w:r>
    </w:p>
    <w:p>
      <w:pPr>
        <w:pStyle w:val="ListParagraph"/>
        <w:numPr>
          <w:ilvl w:val="0"/>
          <w:numId w:val="25"/>
        </w:numPr>
        <w:tabs>
          <w:tab w:pos="879" w:val="left" w:leader="none"/>
        </w:tabs>
        <w:spacing w:line="240" w:lineRule="auto" w:before="43" w:after="0"/>
        <w:ind w:left="878" w:right="0" w:hanging="530"/>
        <w:jc w:val="left"/>
        <w:rPr>
          <w:sz w:val="21"/>
        </w:rPr>
      </w:pPr>
      <w:r>
        <w:rPr>
          <w:spacing w:val="-3"/>
          <w:sz w:val="21"/>
        </w:rPr>
        <w:t>在静息状态、呼吸空气条件下，动脉血氧分压</w:t>
      </w:r>
    </w:p>
    <w:p>
      <w:pPr>
        <w:pStyle w:val="BodyText"/>
        <w:spacing w:before="43"/>
        <w:ind w:left="349"/>
      </w:pPr>
      <w:r>
        <w:rPr>
          <w:spacing w:val="-2"/>
        </w:rPr>
        <w:t>（PaO2）＜50mmHg</w:t>
      </w:r>
      <w:r>
        <w:rPr>
          <w:spacing w:val="-10"/>
        </w:rPr>
        <w:t>。</w:t>
      </w:r>
    </w:p>
    <w:p>
      <w:pPr>
        <w:spacing w:after="0"/>
        <w:sectPr>
          <w:type w:val="continuous"/>
          <w:pgSz w:w="11910" w:h="16840"/>
          <w:pgMar w:header="0" w:footer="226" w:top="240" w:bottom="420" w:left="980" w:right="400"/>
          <w:cols w:num="2" w:equalWidth="0">
            <w:col w:w="3073" w:space="40"/>
            <w:col w:w="7417"/>
          </w:cols>
        </w:sectPr>
      </w:pPr>
    </w:p>
    <w:p>
      <w:pPr>
        <w:pStyle w:val="BodyText"/>
        <w:spacing w:before="11"/>
        <w:rPr>
          <w:sz w:val="22"/>
        </w:rPr>
      </w:pPr>
    </w:p>
    <w:p>
      <w:pPr>
        <w:spacing w:after="0"/>
        <w:rPr>
          <w:sz w:val="22"/>
        </w:rPr>
        <w:sectPr>
          <w:type w:val="continuous"/>
          <w:pgSz w:w="11910" w:h="16840"/>
          <w:pgMar w:header="0" w:footer="226" w:top="240" w:bottom="420" w:left="980" w:right="400"/>
        </w:sectPr>
      </w:pPr>
    </w:p>
    <w:p>
      <w:pPr>
        <w:pStyle w:val="Heading2"/>
        <w:numPr>
          <w:ilvl w:val="0"/>
          <w:numId w:val="15"/>
        </w:numPr>
        <w:tabs>
          <w:tab w:pos="2229" w:val="left" w:leader="none"/>
        </w:tabs>
        <w:spacing w:line="194" w:lineRule="auto" w:before="56" w:after="0"/>
        <w:ind w:left="1910" w:right="0" w:firstLine="0"/>
        <w:jc w:val="left"/>
      </w:pPr>
      <w:r>
        <w:rPr>
          <w:spacing w:val="-4"/>
        </w:rPr>
        <w:t>严重克罗</w:t>
      </w:r>
      <w:r>
        <w:rPr>
          <w:spacing w:val="-6"/>
        </w:rPr>
        <w:t>恩病</w:t>
      </w:r>
    </w:p>
    <w:p>
      <w:pPr>
        <w:pStyle w:val="BodyText"/>
        <w:spacing w:line="278" w:lineRule="auto" w:before="72"/>
        <w:ind w:left="349" w:right="1597"/>
      </w:pPr>
      <w:r>
        <w:rPr/>
        <w:br w:type="column"/>
      </w:r>
      <w:r>
        <w:rPr>
          <w:spacing w:val="-2"/>
        </w:rPr>
        <w:t>指一种慢性肉芽肿性肠炎，具有特征性的克罗恩病（Crohn</w:t>
      </w:r>
      <w:r>
        <w:rPr>
          <w:spacing w:val="-2"/>
        </w:rPr>
        <w:t>病）病理组织学变化，须根据组织病理学特点诊断，且已经</w:t>
      </w:r>
      <w:r>
        <w:rPr>
          <w:spacing w:val="-2"/>
        </w:rPr>
        <w:t>造成瘘管形成并伴有肠梗阻或肠穿孔。</w:t>
      </w:r>
    </w:p>
    <w:p>
      <w:pPr>
        <w:spacing w:after="0" w:line="278" w:lineRule="auto"/>
        <w:sectPr>
          <w:type w:val="continuous"/>
          <w:pgSz w:w="11910" w:h="16840"/>
          <w:pgMar w:header="0" w:footer="226" w:top="240" w:bottom="420" w:left="980" w:right="400"/>
          <w:cols w:num="2" w:equalWidth="0">
            <w:col w:w="3073" w:space="40"/>
            <w:col w:w="7417"/>
          </w:cols>
        </w:sectPr>
      </w:pPr>
    </w:p>
    <w:p>
      <w:pPr>
        <w:pStyle w:val="BodyText"/>
        <w:spacing w:before="11"/>
        <w:rPr>
          <w:sz w:val="19"/>
        </w:rPr>
      </w:pPr>
    </w:p>
    <w:p>
      <w:pPr>
        <w:spacing w:after="0"/>
        <w:rPr>
          <w:sz w:val="19"/>
        </w:rPr>
        <w:sectPr>
          <w:type w:val="continuous"/>
          <w:pgSz w:w="11910" w:h="16840"/>
          <w:pgMar w:header="0" w:footer="226" w:top="240" w:bottom="420" w:left="980" w:right="400"/>
        </w:sectPr>
      </w:pPr>
    </w:p>
    <w:p>
      <w:pPr>
        <w:pStyle w:val="Heading2"/>
        <w:numPr>
          <w:ilvl w:val="0"/>
          <w:numId w:val="15"/>
        </w:numPr>
        <w:tabs>
          <w:tab w:pos="2229" w:val="left" w:leader="none"/>
        </w:tabs>
        <w:spacing w:line="194" w:lineRule="auto" w:before="55" w:after="0"/>
        <w:ind w:left="1910" w:right="0" w:firstLine="0"/>
        <w:jc w:val="left"/>
      </w:pPr>
      <w:r>
        <w:rPr>
          <w:spacing w:val="-4"/>
        </w:rPr>
        <w:t>严重溃疡</w:t>
      </w:r>
      <w:r>
        <w:rPr>
          <w:spacing w:val="-4"/>
        </w:rPr>
        <w:t>性结肠炎</w:t>
      </w:r>
    </w:p>
    <w:p>
      <w:pPr>
        <w:pStyle w:val="BodyText"/>
        <w:spacing w:line="278" w:lineRule="auto" w:before="72"/>
        <w:ind w:left="349" w:right="1597"/>
        <w:jc w:val="both"/>
      </w:pPr>
      <w:r>
        <w:rPr/>
        <w:br w:type="column"/>
      </w:r>
      <w:r>
        <w:rPr>
          <w:spacing w:val="-2"/>
        </w:rPr>
        <w:t>指伴有致命性电解质紊乱的急性暴发性溃疡性结肠炎，病变</w:t>
      </w:r>
      <w:r>
        <w:rPr>
          <w:spacing w:val="-2"/>
        </w:rPr>
        <w:t>已经累及全结肠，表现为严重的血便和系统性症状体征，须</w:t>
      </w:r>
      <w:r>
        <w:rPr>
          <w:spacing w:val="-2"/>
        </w:rPr>
        <w:t>根据组织病理学特点诊断，且已经实施了结肠切除或回肠造</w:t>
      </w:r>
      <w:r>
        <w:rPr>
          <w:spacing w:val="-4"/>
        </w:rPr>
        <w:t>瘘术。</w:t>
      </w:r>
    </w:p>
    <w:p>
      <w:pPr>
        <w:spacing w:after="0" w:line="278" w:lineRule="auto"/>
        <w:jc w:val="both"/>
        <w:sectPr>
          <w:type w:val="continuous"/>
          <w:pgSz w:w="11910" w:h="16840"/>
          <w:pgMar w:header="0" w:footer="226" w:top="240" w:bottom="420" w:left="980" w:right="400"/>
          <w:cols w:num="2" w:equalWidth="0">
            <w:col w:w="3073" w:space="40"/>
            <w:col w:w="7417"/>
          </w:cols>
        </w:sectPr>
      </w:pPr>
    </w:p>
    <w:p>
      <w:pPr>
        <w:pStyle w:val="BodyText"/>
        <w:spacing w:before="11"/>
        <w:rPr>
          <w:sz w:val="19"/>
        </w:rPr>
      </w:pPr>
    </w:p>
    <w:p>
      <w:pPr>
        <w:pStyle w:val="ListParagraph"/>
        <w:numPr>
          <w:ilvl w:val="0"/>
          <w:numId w:val="15"/>
        </w:numPr>
        <w:tabs>
          <w:tab w:pos="2229" w:val="left" w:leader="none"/>
          <w:tab w:pos="3461" w:val="left" w:leader="none"/>
        </w:tabs>
        <w:spacing w:line="235" w:lineRule="auto" w:before="8" w:after="0"/>
        <w:ind w:left="3462" w:right="1597" w:hanging="1552"/>
        <w:jc w:val="left"/>
        <w:rPr>
          <w:sz w:val="21"/>
        </w:rPr>
      </w:pPr>
      <w:r>
        <w:rPr>
          <w:rFonts w:ascii="Microsoft JhengHei" w:eastAsia="Microsoft JhengHei"/>
          <w:b/>
          <w:spacing w:val="-4"/>
          <w:sz w:val="21"/>
        </w:rPr>
        <w:t>胰</w:t>
      </w:r>
      <w:r>
        <w:rPr>
          <w:rFonts w:ascii="Microsoft JhengHei" w:eastAsia="Microsoft JhengHei"/>
          <w:b/>
          <w:spacing w:val="-4"/>
          <w:sz w:val="21"/>
        </w:rPr>
        <w:t>腺</w:t>
      </w:r>
      <w:r>
        <w:rPr>
          <w:rFonts w:ascii="Microsoft JhengHei" w:eastAsia="Microsoft JhengHei"/>
          <w:b/>
          <w:spacing w:val="-4"/>
          <w:sz w:val="21"/>
        </w:rPr>
        <w:t>移</w:t>
      </w:r>
      <w:r>
        <w:rPr>
          <w:rFonts w:ascii="Microsoft JhengHei" w:eastAsia="Microsoft JhengHei"/>
          <w:b/>
          <w:spacing w:val="-4"/>
          <w:sz w:val="21"/>
        </w:rPr>
        <w:t>植</w:t>
      </w:r>
      <w:r>
        <w:rPr>
          <w:rFonts w:ascii="Microsoft JhengHei" w:eastAsia="Microsoft JhengHei"/>
          <w:b/>
          <w:sz w:val="21"/>
        </w:rPr>
        <w:tab/>
      </w:r>
      <w:r>
        <w:rPr>
          <w:spacing w:val="-2"/>
          <w:sz w:val="21"/>
        </w:rPr>
        <w:t>指</w:t>
      </w:r>
      <w:r>
        <w:rPr>
          <w:spacing w:val="-2"/>
          <w:sz w:val="21"/>
        </w:rPr>
        <w:t>胰</w:t>
      </w:r>
      <w:r>
        <w:rPr>
          <w:spacing w:val="-2"/>
          <w:sz w:val="21"/>
        </w:rPr>
        <w:t>腺</w:t>
      </w:r>
      <w:r>
        <w:rPr>
          <w:spacing w:val="-2"/>
          <w:sz w:val="21"/>
        </w:rPr>
        <w:t>功</w:t>
      </w:r>
      <w:r>
        <w:rPr>
          <w:spacing w:val="-2"/>
          <w:sz w:val="21"/>
        </w:rPr>
        <w:t>能</w:t>
      </w:r>
      <w:r>
        <w:rPr>
          <w:spacing w:val="-2"/>
          <w:sz w:val="21"/>
        </w:rPr>
        <w:t>衰</w:t>
      </w:r>
      <w:r>
        <w:rPr>
          <w:spacing w:val="-2"/>
          <w:sz w:val="21"/>
        </w:rPr>
        <w:t>竭</w:t>
      </w:r>
      <w:r>
        <w:rPr>
          <w:spacing w:val="-2"/>
          <w:sz w:val="21"/>
        </w:rPr>
        <w:t>，已</w:t>
      </w:r>
      <w:r>
        <w:rPr>
          <w:spacing w:val="-2"/>
          <w:sz w:val="21"/>
        </w:rPr>
        <w:t>经</w:t>
      </w:r>
      <w:r>
        <w:rPr>
          <w:spacing w:val="-2"/>
          <w:sz w:val="21"/>
        </w:rPr>
        <w:t>实</w:t>
      </w:r>
      <w:r>
        <w:rPr>
          <w:spacing w:val="-2"/>
          <w:sz w:val="21"/>
        </w:rPr>
        <w:t>施</w:t>
      </w:r>
      <w:r>
        <w:rPr>
          <w:spacing w:val="-2"/>
          <w:sz w:val="21"/>
        </w:rPr>
        <w:t>了</w:t>
      </w:r>
      <w:r>
        <w:rPr>
          <w:spacing w:val="-2"/>
          <w:sz w:val="21"/>
        </w:rPr>
        <w:t>在</w:t>
      </w:r>
      <w:r>
        <w:rPr>
          <w:spacing w:val="-2"/>
          <w:sz w:val="21"/>
        </w:rPr>
        <w:t>全</w:t>
      </w:r>
      <w:r>
        <w:rPr>
          <w:spacing w:val="-2"/>
          <w:sz w:val="21"/>
        </w:rPr>
        <w:t>身</w:t>
      </w:r>
      <w:r>
        <w:rPr>
          <w:spacing w:val="-2"/>
          <w:sz w:val="21"/>
        </w:rPr>
        <w:t>麻</w:t>
      </w:r>
      <w:r>
        <w:rPr>
          <w:spacing w:val="-2"/>
          <w:sz w:val="21"/>
        </w:rPr>
        <w:t>醉</w:t>
      </w:r>
      <w:r>
        <w:rPr>
          <w:spacing w:val="-2"/>
          <w:sz w:val="21"/>
        </w:rPr>
        <w:t>下</w:t>
      </w:r>
      <w:r>
        <w:rPr>
          <w:spacing w:val="-2"/>
          <w:sz w:val="21"/>
        </w:rPr>
        <w:t>进</w:t>
      </w:r>
      <w:r>
        <w:rPr>
          <w:spacing w:val="-2"/>
          <w:sz w:val="21"/>
        </w:rPr>
        <w:t>行的胰</w:t>
      </w:r>
      <w:r>
        <w:rPr>
          <w:spacing w:val="-2"/>
          <w:sz w:val="21"/>
        </w:rPr>
        <w:t>腺</w:t>
      </w:r>
      <w:r>
        <w:rPr>
          <w:spacing w:val="-2"/>
          <w:sz w:val="21"/>
        </w:rPr>
        <w:t>的</w:t>
      </w:r>
      <w:r>
        <w:rPr>
          <w:spacing w:val="-2"/>
          <w:sz w:val="21"/>
        </w:rPr>
        <w:t>异</w:t>
      </w:r>
      <w:r>
        <w:rPr>
          <w:spacing w:val="-2"/>
          <w:sz w:val="21"/>
        </w:rPr>
        <w:t>体</w:t>
      </w:r>
      <w:r>
        <w:rPr>
          <w:spacing w:val="-2"/>
          <w:sz w:val="21"/>
        </w:rPr>
        <w:t>器</w:t>
      </w:r>
      <w:r>
        <w:rPr>
          <w:spacing w:val="-2"/>
          <w:sz w:val="21"/>
        </w:rPr>
        <w:t>官</w:t>
      </w:r>
      <w:r>
        <w:rPr>
          <w:spacing w:val="-2"/>
          <w:sz w:val="21"/>
        </w:rPr>
        <w:t>移</w:t>
      </w:r>
      <w:r>
        <w:rPr>
          <w:spacing w:val="-2"/>
          <w:sz w:val="21"/>
        </w:rPr>
        <w:t>植</w:t>
      </w:r>
      <w:r>
        <w:rPr>
          <w:spacing w:val="-2"/>
          <w:sz w:val="21"/>
        </w:rPr>
        <w:t>手</w:t>
      </w:r>
      <w:r>
        <w:rPr>
          <w:spacing w:val="-2"/>
          <w:sz w:val="21"/>
        </w:rPr>
        <w:t>术</w:t>
      </w:r>
      <w:r>
        <w:rPr>
          <w:spacing w:val="-2"/>
          <w:sz w:val="21"/>
        </w:rPr>
        <w:t>。</w:t>
      </w:r>
    </w:p>
    <w:p>
      <w:pPr>
        <w:pStyle w:val="BodyText"/>
        <w:spacing w:before="7"/>
        <w:rPr>
          <w:sz w:val="15"/>
        </w:rPr>
      </w:pPr>
    </w:p>
    <w:p>
      <w:pPr>
        <w:pStyle w:val="BodyText"/>
        <w:spacing w:line="283" w:lineRule="auto"/>
        <w:ind w:left="3462" w:right="1597"/>
      </w:pPr>
      <w:r>
        <w:rPr>
          <w:spacing w:val="-2"/>
        </w:rPr>
        <w:t>单纯胰岛移植、部分胰腺组织或细胞的移植不在本保障范围</w:t>
      </w:r>
      <w:r>
        <w:rPr>
          <w:spacing w:val="-6"/>
        </w:rPr>
        <w:t>内。</w:t>
      </w:r>
    </w:p>
    <w:p>
      <w:pPr>
        <w:pStyle w:val="BodyText"/>
        <w:spacing w:before="1"/>
        <w:rPr>
          <w:sz w:val="19"/>
        </w:rPr>
      </w:pPr>
    </w:p>
    <w:p>
      <w:pPr>
        <w:spacing w:after="0"/>
        <w:rPr>
          <w:sz w:val="19"/>
        </w:rPr>
        <w:sectPr>
          <w:type w:val="continuous"/>
          <w:pgSz w:w="11910" w:h="16840"/>
          <w:pgMar w:header="0" w:footer="226" w:top="240" w:bottom="420" w:left="980" w:right="400"/>
        </w:sectPr>
      </w:pPr>
    </w:p>
    <w:p>
      <w:pPr>
        <w:pStyle w:val="Heading2"/>
        <w:numPr>
          <w:ilvl w:val="0"/>
          <w:numId w:val="15"/>
        </w:numPr>
        <w:tabs>
          <w:tab w:pos="2229" w:val="left" w:leader="none"/>
        </w:tabs>
        <w:spacing w:line="196" w:lineRule="auto" w:before="52" w:after="0"/>
        <w:ind w:left="1910" w:right="0" w:firstLine="0"/>
        <w:jc w:val="left"/>
      </w:pPr>
      <w:r>
        <w:rPr>
          <w:spacing w:val="-4"/>
        </w:rPr>
        <w:t>埃博拉病</w:t>
      </w:r>
      <w:r>
        <w:rPr>
          <w:spacing w:val="-4"/>
        </w:rPr>
        <w:t>毒感染</w:t>
      </w:r>
    </w:p>
    <w:p>
      <w:pPr>
        <w:pStyle w:val="BodyText"/>
        <w:spacing w:line="283" w:lineRule="auto" w:before="71"/>
        <w:ind w:left="349" w:right="1597"/>
      </w:pPr>
      <w:r>
        <w:rPr/>
        <w:br w:type="column"/>
      </w:r>
      <w:r>
        <w:rPr>
          <w:spacing w:val="-2"/>
        </w:rPr>
        <w:t>指埃博拉病毒感染导致的烈性传染病，并须满足下列全部条</w:t>
      </w:r>
      <w:r>
        <w:rPr>
          <w:spacing w:val="-6"/>
        </w:rPr>
        <w:t>件：</w:t>
      </w:r>
    </w:p>
    <w:p>
      <w:pPr>
        <w:pStyle w:val="ListParagraph"/>
        <w:numPr>
          <w:ilvl w:val="0"/>
          <w:numId w:val="26"/>
        </w:numPr>
        <w:tabs>
          <w:tab w:pos="879" w:val="left" w:leader="none"/>
        </w:tabs>
        <w:spacing w:line="240" w:lineRule="auto" w:before="148" w:after="0"/>
        <w:ind w:left="878" w:right="0" w:hanging="530"/>
        <w:jc w:val="left"/>
        <w:rPr>
          <w:sz w:val="21"/>
        </w:rPr>
      </w:pPr>
      <w:r>
        <w:rPr>
          <w:spacing w:val="-3"/>
          <w:sz w:val="21"/>
        </w:rPr>
        <w:t>实验室检查证实埃博拉病毒的存在；</w:t>
      </w:r>
    </w:p>
    <w:p>
      <w:pPr>
        <w:pStyle w:val="ListParagraph"/>
        <w:numPr>
          <w:ilvl w:val="0"/>
          <w:numId w:val="26"/>
        </w:numPr>
        <w:tabs>
          <w:tab w:pos="879" w:val="left" w:leader="none"/>
        </w:tabs>
        <w:spacing w:line="240" w:lineRule="auto" w:before="43" w:after="0"/>
        <w:ind w:left="878" w:right="0" w:hanging="530"/>
        <w:jc w:val="left"/>
        <w:rPr>
          <w:sz w:val="21"/>
        </w:rPr>
      </w:pPr>
      <w:r>
        <w:rPr>
          <w:spacing w:val="-8"/>
          <w:sz w:val="21"/>
        </w:rPr>
        <w:t>从发病开始有超过 </w:t>
      </w:r>
      <w:r>
        <w:rPr>
          <w:spacing w:val="-2"/>
          <w:sz w:val="21"/>
        </w:rPr>
        <w:t>30</w:t>
      </w:r>
      <w:r>
        <w:rPr>
          <w:spacing w:val="-10"/>
          <w:sz w:val="21"/>
        </w:rPr>
        <w:t> 天的进行性感染症状。</w:t>
      </w:r>
    </w:p>
    <w:p>
      <w:pPr>
        <w:spacing w:after="0" w:line="240" w:lineRule="auto"/>
        <w:jc w:val="left"/>
        <w:rPr>
          <w:sz w:val="21"/>
        </w:rPr>
        <w:sectPr>
          <w:type w:val="continuous"/>
          <w:pgSz w:w="11910" w:h="16840"/>
          <w:pgMar w:header="0" w:footer="226" w:top="240" w:bottom="420" w:left="980" w:right="400"/>
          <w:cols w:num="2" w:equalWidth="0">
            <w:col w:w="3073" w:space="40"/>
            <w:col w:w="7417"/>
          </w:cols>
        </w:sectPr>
      </w:pPr>
    </w:p>
    <w:p>
      <w:pPr>
        <w:pStyle w:val="BodyText"/>
        <w:spacing w:before="3"/>
        <w:rPr>
          <w:sz w:val="23"/>
        </w:rPr>
      </w:pPr>
    </w:p>
    <w:p>
      <w:pPr>
        <w:spacing w:after="0"/>
        <w:rPr>
          <w:sz w:val="23"/>
        </w:rPr>
        <w:sectPr>
          <w:type w:val="continuous"/>
          <w:pgSz w:w="11910" w:h="16840"/>
          <w:pgMar w:header="0" w:footer="226" w:top="240" w:bottom="420" w:left="980" w:right="400"/>
        </w:sectPr>
      </w:pPr>
    </w:p>
    <w:p>
      <w:pPr>
        <w:pStyle w:val="Heading2"/>
        <w:numPr>
          <w:ilvl w:val="0"/>
          <w:numId w:val="15"/>
        </w:numPr>
        <w:tabs>
          <w:tab w:pos="2229" w:val="left" w:leader="none"/>
        </w:tabs>
        <w:spacing w:line="194" w:lineRule="auto" w:before="55" w:after="0"/>
        <w:ind w:left="1910" w:right="0" w:firstLine="0"/>
        <w:jc w:val="left"/>
      </w:pPr>
      <w:r>
        <w:rPr>
          <w:spacing w:val="-4"/>
        </w:rPr>
        <w:t>丝虫病所</w:t>
      </w:r>
      <w:r>
        <w:rPr>
          <w:spacing w:val="-4"/>
        </w:rPr>
        <w:t>致象皮肿</w:t>
      </w:r>
    </w:p>
    <w:p>
      <w:pPr>
        <w:pStyle w:val="BodyText"/>
        <w:spacing w:line="278" w:lineRule="auto" w:before="72"/>
        <w:ind w:left="349" w:right="1597"/>
      </w:pPr>
      <w:r>
        <w:rPr/>
        <w:br w:type="column"/>
      </w:r>
      <w:r>
        <w:rPr>
          <w:spacing w:val="-2"/>
        </w:rPr>
        <w:t>指末期丝虫病，按国际淋巴学会分级为三度淋巴液肿，其临</w:t>
      </w:r>
      <w:r>
        <w:rPr>
          <w:spacing w:val="-2"/>
        </w:rPr>
        <w:t>床表现为肢体非凹陷性水肿伴畸形增大、硬皮症和疣状增</w:t>
      </w:r>
      <w:r>
        <w:rPr/>
        <w:t> </w:t>
      </w:r>
      <w:r>
        <w:rPr>
          <w:spacing w:val="-2"/>
        </w:rPr>
        <w:t>生。此病症须经本公司认可的专科医生根据临床表现和微丝</w:t>
      </w:r>
      <w:r>
        <w:rPr>
          <w:spacing w:val="-2"/>
        </w:rPr>
        <w:t>蚴的化验结果确诊。</w:t>
      </w:r>
    </w:p>
    <w:p>
      <w:pPr>
        <w:spacing w:after="0" w:line="278" w:lineRule="auto"/>
        <w:sectPr>
          <w:type w:val="continuous"/>
          <w:pgSz w:w="11910" w:h="16840"/>
          <w:pgMar w:header="0" w:footer="226" w:top="240" w:bottom="420" w:left="980" w:right="400"/>
          <w:cols w:num="2" w:equalWidth="0">
            <w:col w:w="3073" w:space="40"/>
            <w:col w:w="7417"/>
          </w:cols>
        </w:sectPr>
      </w:pPr>
    </w:p>
    <w:p>
      <w:pPr>
        <w:pStyle w:val="Heading2"/>
        <w:numPr>
          <w:ilvl w:val="0"/>
          <w:numId w:val="15"/>
        </w:numPr>
        <w:tabs>
          <w:tab w:pos="2229" w:val="left" w:leader="none"/>
        </w:tabs>
        <w:spacing w:line="194" w:lineRule="auto" w:before="35" w:after="0"/>
        <w:ind w:left="1910" w:right="0" w:firstLine="0"/>
        <w:jc w:val="left"/>
      </w:pPr>
      <w:r>
        <w:rPr>
          <w:spacing w:val="-4"/>
        </w:rPr>
        <w:t>主动脉夹</w:t>
      </w:r>
      <w:r>
        <w:rPr>
          <w:spacing w:val="-4"/>
        </w:rPr>
        <w:t>层血肿</w:t>
      </w:r>
    </w:p>
    <w:p>
      <w:pPr>
        <w:pStyle w:val="BodyText"/>
        <w:spacing w:line="278" w:lineRule="auto" w:before="51"/>
        <w:ind w:left="349" w:right="1597"/>
      </w:pPr>
      <w:r>
        <w:rPr/>
        <w:br w:type="column"/>
      </w:r>
      <w:r>
        <w:rPr>
          <w:spacing w:val="-2"/>
        </w:rPr>
        <w:t>是指主动脉壁在受到某些病理因素的破坏后，高速、高压的</w:t>
      </w:r>
      <w:r>
        <w:rPr>
          <w:spacing w:val="-2"/>
        </w:rPr>
        <w:t>主动脉血流将其内膜撕裂，以致主动脉腔内的血流通过主动</w:t>
      </w:r>
      <w:r>
        <w:rPr>
          <w:spacing w:val="-2"/>
        </w:rPr>
        <w:t>脉内膜的破裂口进入主动脉内壁而形成血肿。被保险人需通</w:t>
      </w:r>
      <w:r>
        <w:rPr>
          <w:spacing w:val="-29"/>
        </w:rPr>
        <w:t>过 </w:t>
      </w:r>
      <w:r>
        <w:rPr>
          <w:spacing w:val="-4"/>
        </w:rPr>
        <w:t>X</w:t>
      </w:r>
      <w:r>
        <w:rPr>
          <w:spacing w:val="-14"/>
        </w:rPr>
        <w:t> 线断层扫描</w:t>
      </w:r>
      <w:r>
        <w:rPr>
          <w:spacing w:val="23"/>
        </w:rPr>
        <w:t>（CT</w:t>
      </w:r>
      <w:r>
        <w:rPr>
          <w:spacing w:val="-88"/>
        </w:rPr>
        <w:t>）</w:t>
      </w:r>
      <w:r>
        <w:rPr>
          <w:spacing w:val="-4"/>
        </w:rPr>
        <w:t>、磁共振扫描</w:t>
      </w:r>
      <w:r>
        <w:rPr>
          <w:spacing w:val="18"/>
        </w:rPr>
        <w:t>（M</w:t>
      </w:r>
      <w:r>
        <w:rPr>
          <w:spacing w:val="13"/>
        </w:rPr>
        <w:t>R</w:t>
      </w:r>
      <w:r>
        <w:rPr>
          <w:spacing w:val="18"/>
        </w:rPr>
        <w:t>I</w:t>
      </w:r>
      <w:r>
        <w:rPr>
          <w:spacing w:val="-88"/>
        </w:rPr>
        <w:t>）</w:t>
      </w:r>
      <w:r>
        <w:rPr>
          <w:spacing w:val="-4"/>
        </w:rPr>
        <w:t>、磁共振血管检</w:t>
      </w:r>
      <w:r>
        <w:rPr>
          <w:spacing w:val="-2"/>
        </w:rPr>
        <w:t>验法（MRA）或血管扫描等检查，并且实施了胸腹切开的直</w:t>
      </w:r>
      <w:r>
        <w:rPr>
          <w:spacing w:val="-2"/>
        </w:rPr>
        <w:t>视主动脉手术。</w:t>
      </w:r>
    </w:p>
    <w:p>
      <w:pPr>
        <w:spacing w:after="0" w:line="278" w:lineRule="auto"/>
        <w:sectPr>
          <w:pgSz w:w="11910" w:h="16840"/>
          <w:pgMar w:header="0" w:footer="226" w:top="820" w:bottom="420" w:left="980" w:right="400"/>
          <w:cols w:num="2" w:equalWidth="0">
            <w:col w:w="3073" w:space="40"/>
            <w:col w:w="7417"/>
          </w:cols>
        </w:sectPr>
      </w:pPr>
    </w:p>
    <w:p>
      <w:pPr>
        <w:pStyle w:val="BodyText"/>
        <w:spacing w:before="11"/>
        <w:rPr>
          <w:sz w:val="19"/>
        </w:rPr>
      </w:pPr>
    </w:p>
    <w:p>
      <w:pPr>
        <w:pStyle w:val="ListParagraph"/>
        <w:numPr>
          <w:ilvl w:val="0"/>
          <w:numId w:val="15"/>
        </w:numPr>
        <w:tabs>
          <w:tab w:pos="2229" w:val="left" w:leader="none"/>
          <w:tab w:pos="3461" w:val="left" w:leader="none"/>
        </w:tabs>
        <w:spacing w:line="240" w:lineRule="auto" w:before="2" w:after="0"/>
        <w:ind w:left="2228" w:right="0" w:hanging="319"/>
        <w:jc w:val="left"/>
        <w:rPr>
          <w:sz w:val="21"/>
        </w:rPr>
      </w:pPr>
      <w:r>
        <w:rPr>
          <w:rFonts w:ascii="Microsoft JhengHei" w:eastAsia="Microsoft JhengHei"/>
          <w:b/>
          <w:sz w:val="21"/>
        </w:rPr>
        <w:t>克雅氏</w:t>
      </w:r>
      <w:r>
        <w:rPr>
          <w:rFonts w:ascii="Microsoft JhengHei" w:eastAsia="Microsoft JhengHei"/>
          <w:b/>
          <w:spacing w:val="-10"/>
          <w:sz w:val="21"/>
        </w:rPr>
        <w:t>病</w:t>
      </w:r>
      <w:r>
        <w:rPr>
          <w:rFonts w:ascii="Microsoft JhengHei" w:eastAsia="Microsoft JhengHei"/>
          <w:b/>
          <w:sz w:val="21"/>
        </w:rPr>
        <w:tab/>
      </w:r>
      <w:r>
        <w:rPr>
          <w:spacing w:val="-2"/>
          <w:sz w:val="21"/>
        </w:rPr>
        <w:t>神</w:t>
      </w:r>
      <w:r>
        <w:rPr>
          <w:spacing w:val="-2"/>
          <w:sz w:val="21"/>
        </w:rPr>
        <w:t>经</w:t>
      </w:r>
      <w:r>
        <w:rPr>
          <w:spacing w:val="-2"/>
          <w:sz w:val="21"/>
        </w:rPr>
        <w:t>系</w:t>
      </w:r>
      <w:r>
        <w:rPr>
          <w:spacing w:val="-2"/>
          <w:sz w:val="21"/>
        </w:rPr>
        <w:t>统</w:t>
      </w:r>
      <w:r>
        <w:rPr>
          <w:spacing w:val="-2"/>
          <w:sz w:val="21"/>
        </w:rPr>
        <w:t>疾</w:t>
      </w:r>
      <w:r>
        <w:rPr>
          <w:spacing w:val="-2"/>
          <w:sz w:val="21"/>
        </w:rPr>
        <w:t>病</w:t>
      </w:r>
      <w:r>
        <w:rPr>
          <w:spacing w:val="-2"/>
          <w:sz w:val="21"/>
        </w:rPr>
        <w:t>及</w:t>
      </w:r>
      <w:r>
        <w:rPr>
          <w:spacing w:val="-2"/>
          <w:sz w:val="21"/>
        </w:rPr>
        <w:t>致</w:t>
      </w:r>
      <w:r>
        <w:rPr>
          <w:spacing w:val="-2"/>
          <w:sz w:val="21"/>
        </w:rPr>
        <w:t>命</w:t>
      </w:r>
      <w:r>
        <w:rPr>
          <w:spacing w:val="-2"/>
          <w:sz w:val="21"/>
        </w:rPr>
        <w:t>的</w:t>
      </w:r>
      <w:r>
        <w:rPr>
          <w:spacing w:val="-2"/>
          <w:sz w:val="21"/>
        </w:rPr>
        <w:t>成</w:t>
      </w:r>
      <w:r>
        <w:rPr>
          <w:spacing w:val="-2"/>
          <w:sz w:val="21"/>
        </w:rPr>
        <w:t>胶</w:t>
      </w:r>
      <w:r>
        <w:rPr>
          <w:spacing w:val="-2"/>
          <w:sz w:val="21"/>
        </w:rPr>
        <w:t>质</w:t>
      </w:r>
      <w:r>
        <w:rPr>
          <w:spacing w:val="-2"/>
          <w:sz w:val="21"/>
        </w:rPr>
        <w:t>状</w:t>
      </w:r>
      <w:r>
        <w:rPr>
          <w:spacing w:val="-2"/>
          <w:sz w:val="21"/>
        </w:rPr>
        <w:t>脑</w:t>
      </w:r>
      <w:r>
        <w:rPr>
          <w:spacing w:val="-2"/>
          <w:sz w:val="21"/>
        </w:rPr>
        <w:t>病</w:t>
      </w:r>
      <w:r>
        <w:rPr>
          <w:spacing w:val="-2"/>
          <w:sz w:val="21"/>
        </w:rPr>
        <w:t>，</w:t>
      </w:r>
      <w:r>
        <w:rPr>
          <w:spacing w:val="-2"/>
          <w:sz w:val="21"/>
        </w:rPr>
        <w:t>并</w:t>
      </w:r>
      <w:r>
        <w:rPr>
          <w:spacing w:val="-2"/>
          <w:sz w:val="21"/>
        </w:rPr>
        <w:t>有</w:t>
      </w:r>
      <w:r>
        <w:rPr>
          <w:spacing w:val="-2"/>
          <w:sz w:val="21"/>
        </w:rPr>
        <w:t>以</w:t>
      </w:r>
      <w:r>
        <w:rPr>
          <w:spacing w:val="-2"/>
          <w:sz w:val="21"/>
        </w:rPr>
        <w:t>下症状</w:t>
      </w:r>
      <w:r>
        <w:rPr>
          <w:spacing w:val="-10"/>
          <w:sz w:val="21"/>
        </w:rPr>
        <w:t>：</w:t>
      </w:r>
    </w:p>
    <w:p>
      <w:pPr>
        <w:pStyle w:val="ListParagraph"/>
        <w:numPr>
          <w:ilvl w:val="0"/>
          <w:numId w:val="27"/>
        </w:numPr>
        <w:tabs>
          <w:tab w:pos="3991" w:val="left" w:leader="none"/>
        </w:tabs>
        <w:spacing w:line="240" w:lineRule="auto" w:before="149" w:after="0"/>
        <w:ind w:left="3991" w:right="0" w:hanging="529"/>
        <w:jc w:val="left"/>
        <w:rPr>
          <w:sz w:val="21"/>
        </w:rPr>
      </w:pPr>
      <w:r>
        <w:rPr>
          <w:spacing w:val="-3"/>
          <w:sz w:val="21"/>
        </w:rPr>
        <w:t>不能控制的肌肉痉挛及震颤；</w:t>
      </w:r>
    </w:p>
    <w:p>
      <w:pPr>
        <w:pStyle w:val="ListParagraph"/>
        <w:numPr>
          <w:ilvl w:val="0"/>
          <w:numId w:val="27"/>
        </w:numPr>
        <w:tabs>
          <w:tab w:pos="3991" w:val="left" w:leader="none"/>
        </w:tabs>
        <w:spacing w:line="240" w:lineRule="auto" w:before="48" w:after="0"/>
        <w:ind w:left="3991" w:right="0" w:hanging="529"/>
        <w:jc w:val="left"/>
        <w:rPr>
          <w:sz w:val="21"/>
        </w:rPr>
      </w:pPr>
      <w:r>
        <w:rPr>
          <w:spacing w:val="-4"/>
          <w:sz w:val="21"/>
        </w:rPr>
        <w:t>逐渐痴呆；</w:t>
      </w:r>
    </w:p>
    <w:p>
      <w:pPr>
        <w:pStyle w:val="ListParagraph"/>
        <w:numPr>
          <w:ilvl w:val="0"/>
          <w:numId w:val="27"/>
        </w:numPr>
        <w:tabs>
          <w:tab w:pos="3991" w:val="left" w:leader="none"/>
        </w:tabs>
        <w:spacing w:line="240" w:lineRule="auto" w:before="43" w:after="0"/>
        <w:ind w:left="3991" w:right="0" w:hanging="529"/>
        <w:jc w:val="left"/>
        <w:rPr>
          <w:sz w:val="21"/>
        </w:rPr>
      </w:pPr>
      <w:r>
        <w:rPr>
          <w:spacing w:val="-3"/>
          <w:sz w:val="21"/>
        </w:rPr>
        <w:t>小脑功能不良，共济失调；</w:t>
      </w:r>
    </w:p>
    <w:p>
      <w:pPr>
        <w:pStyle w:val="ListParagraph"/>
        <w:numPr>
          <w:ilvl w:val="0"/>
          <w:numId w:val="27"/>
        </w:numPr>
        <w:tabs>
          <w:tab w:pos="3991" w:val="left" w:leader="none"/>
        </w:tabs>
        <w:spacing w:line="240" w:lineRule="auto" w:before="43" w:after="0"/>
        <w:ind w:left="3991" w:right="0" w:hanging="529"/>
        <w:jc w:val="left"/>
        <w:rPr>
          <w:sz w:val="21"/>
        </w:rPr>
      </w:pPr>
      <w:r>
        <w:rPr>
          <w:spacing w:val="-4"/>
          <w:sz w:val="21"/>
        </w:rPr>
        <w:t>手足徐动症；</w:t>
      </w:r>
    </w:p>
    <w:p>
      <w:pPr>
        <w:pStyle w:val="BodyText"/>
        <w:spacing w:before="4"/>
        <w:rPr>
          <w:sz w:val="15"/>
        </w:rPr>
      </w:pPr>
    </w:p>
    <w:p>
      <w:pPr>
        <w:pStyle w:val="BodyText"/>
        <w:spacing w:line="278" w:lineRule="auto" w:before="1"/>
        <w:ind w:left="3462" w:right="1809"/>
      </w:pPr>
      <w:r>
        <w:rPr>
          <w:spacing w:val="-2"/>
        </w:rPr>
        <w:t>诊断必须由神经科专科医生基于以下检查报告作出：脑电</w:t>
      </w:r>
      <w:r>
        <w:rPr>
          <w:spacing w:val="-2"/>
        </w:rPr>
        <w:t>图、脑脊液报告、电脑断层扫描(CT)及核磁共振(MRI)。</w:t>
      </w:r>
    </w:p>
    <w:p>
      <w:pPr>
        <w:pStyle w:val="BodyText"/>
        <w:spacing w:before="11"/>
        <w:rPr>
          <w:sz w:val="19"/>
        </w:rPr>
      </w:pPr>
    </w:p>
    <w:p>
      <w:pPr>
        <w:spacing w:after="0"/>
        <w:rPr>
          <w:sz w:val="19"/>
        </w:rPr>
        <w:sectPr>
          <w:type w:val="continuous"/>
          <w:pgSz w:w="11910" w:h="16840"/>
          <w:pgMar w:header="0" w:footer="226" w:top="240" w:bottom="420" w:left="980" w:right="400"/>
        </w:sectPr>
      </w:pPr>
    </w:p>
    <w:p>
      <w:pPr>
        <w:pStyle w:val="Heading2"/>
        <w:numPr>
          <w:ilvl w:val="0"/>
          <w:numId w:val="15"/>
        </w:numPr>
        <w:tabs>
          <w:tab w:pos="2229" w:val="left" w:leader="none"/>
        </w:tabs>
        <w:spacing w:line="194" w:lineRule="auto" w:before="56" w:after="0"/>
        <w:ind w:left="1910" w:right="0" w:firstLine="0"/>
        <w:jc w:val="left"/>
      </w:pPr>
      <w:r>
        <w:rPr>
          <w:spacing w:val="-4"/>
        </w:rPr>
        <w:t>破裂脑动</w:t>
      </w:r>
      <w:r>
        <w:rPr>
          <w:spacing w:val="-2"/>
        </w:rPr>
        <w:t>脉瘤夹闭手术</w:t>
      </w:r>
    </w:p>
    <w:p>
      <w:pPr>
        <w:pStyle w:val="BodyText"/>
        <w:spacing w:line="278" w:lineRule="auto" w:before="72"/>
        <w:ind w:left="244" w:right="1597"/>
      </w:pPr>
      <w:r>
        <w:rPr/>
        <w:br w:type="column"/>
      </w:r>
      <w:r>
        <w:rPr>
          <w:spacing w:val="-2"/>
        </w:rPr>
        <w:t>指因脑动脉瘤破裂造成蛛网膜下腔出血，被保险人实际接受</w:t>
      </w:r>
      <w:r>
        <w:rPr>
          <w:spacing w:val="-2"/>
        </w:rPr>
        <w:t>了在全麻下进行的开颅动脉夹闭手术。</w:t>
      </w:r>
    </w:p>
    <w:p>
      <w:pPr>
        <w:pStyle w:val="BodyText"/>
        <w:spacing w:line="283" w:lineRule="auto" w:before="153"/>
        <w:ind w:left="244" w:right="1597"/>
      </w:pPr>
      <w:r>
        <w:rPr>
          <w:spacing w:val="-2"/>
        </w:rPr>
        <w:t>脑动脉瘤（未破裂）预防性手术、颅骨打孔手术、动脉瘤栓</w:t>
      </w:r>
      <w:r>
        <w:rPr>
          <w:spacing w:val="-2"/>
        </w:rPr>
        <w:t>塞手术、血管内手术及其他颅脑手术不在本保障范围内。</w:t>
      </w:r>
    </w:p>
    <w:p>
      <w:pPr>
        <w:spacing w:after="0" w:line="283" w:lineRule="auto"/>
        <w:sectPr>
          <w:type w:val="continuous"/>
          <w:pgSz w:w="11910" w:h="16840"/>
          <w:pgMar w:header="0" w:footer="226" w:top="240" w:bottom="420" w:left="980" w:right="400"/>
          <w:cols w:num="2" w:equalWidth="0">
            <w:col w:w="3178" w:space="40"/>
            <w:col w:w="7312"/>
          </w:cols>
        </w:sectPr>
      </w:pPr>
    </w:p>
    <w:p>
      <w:pPr>
        <w:pStyle w:val="BodyText"/>
        <w:spacing w:before="1"/>
        <w:rPr>
          <w:sz w:val="19"/>
        </w:rPr>
      </w:pPr>
    </w:p>
    <w:p>
      <w:pPr>
        <w:spacing w:after="0"/>
        <w:rPr>
          <w:sz w:val="19"/>
        </w:rPr>
        <w:sectPr>
          <w:type w:val="continuous"/>
          <w:pgSz w:w="11910" w:h="16840"/>
          <w:pgMar w:header="0" w:footer="226" w:top="240" w:bottom="420" w:left="980" w:right="400"/>
        </w:sectPr>
      </w:pPr>
    </w:p>
    <w:p>
      <w:pPr>
        <w:pStyle w:val="Heading2"/>
        <w:numPr>
          <w:ilvl w:val="0"/>
          <w:numId w:val="15"/>
        </w:numPr>
        <w:tabs>
          <w:tab w:pos="2229" w:val="left" w:leader="none"/>
        </w:tabs>
        <w:spacing w:line="194" w:lineRule="auto" w:before="55" w:after="0"/>
        <w:ind w:left="1910" w:right="0" w:firstLine="0"/>
        <w:jc w:val="left"/>
      </w:pPr>
      <w:r>
        <w:rPr>
          <w:spacing w:val="-4"/>
        </w:rPr>
        <w:t>经输血导</w:t>
      </w:r>
      <w:r>
        <w:rPr>
          <w:w w:val="95"/>
        </w:rPr>
        <w:t>致</w:t>
      </w:r>
      <w:r>
        <w:rPr>
          <w:w w:val="95"/>
        </w:rPr>
        <w:t>的</w:t>
      </w:r>
      <w:r>
        <w:rPr>
          <w:spacing w:val="-11"/>
          <w:w w:val="95"/>
        </w:rPr>
        <w:t> </w:t>
      </w:r>
      <w:r>
        <w:rPr>
          <w:w w:val="95"/>
        </w:rPr>
        <w:t>HIV</w:t>
      </w:r>
      <w:r>
        <w:rPr>
          <w:spacing w:val="-5"/>
          <w:w w:val="95"/>
        </w:rPr>
        <w:t> 感</w:t>
      </w:r>
      <w:r>
        <w:rPr>
          <w:w w:val="95"/>
        </w:rPr>
        <w:t>染</w:t>
      </w:r>
    </w:p>
    <w:p>
      <w:pPr>
        <w:pStyle w:val="BodyText"/>
        <w:spacing w:line="278" w:lineRule="auto" w:before="72"/>
        <w:ind w:left="243" w:right="1701"/>
      </w:pPr>
      <w:r>
        <w:rPr/>
        <w:br w:type="column"/>
      </w:r>
      <w:r>
        <w:rPr>
          <w:spacing w:val="-2"/>
        </w:rPr>
        <w:t>是指被保险人感染上人类免疫缺陷病毒（HIV）并且符合下</w:t>
      </w:r>
      <w:r>
        <w:rPr>
          <w:spacing w:val="-2"/>
        </w:rPr>
        <w:t>列所有条件：</w:t>
      </w:r>
    </w:p>
    <w:p>
      <w:pPr>
        <w:pStyle w:val="ListParagraph"/>
        <w:numPr>
          <w:ilvl w:val="0"/>
          <w:numId w:val="28"/>
        </w:numPr>
        <w:tabs>
          <w:tab w:pos="773" w:val="left" w:leader="none"/>
        </w:tabs>
        <w:spacing w:line="283" w:lineRule="auto" w:before="153" w:after="0"/>
        <w:ind w:left="243" w:right="1703" w:firstLine="0"/>
        <w:jc w:val="left"/>
        <w:rPr>
          <w:sz w:val="21"/>
        </w:rPr>
      </w:pPr>
      <w:r>
        <w:rPr>
          <w:spacing w:val="-2"/>
          <w:sz w:val="21"/>
        </w:rPr>
        <w:t>被保险人因治疗必需而接受输血，并且因输血而感染</w:t>
      </w:r>
      <w:r>
        <w:rPr>
          <w:spacing w:val="-2"/>
          <w:sz w:val="21"/>
        </w:rPr>
        <w:t>人类免疫缺陷病毒</w:t>
      </w:r>
      <w:r>
        <w:rPr>
          <w:spacing w:val="34"/>
          <w:sz w:val="21"/>
        </w:rPr>
        <w:t>（</w:t>
      </w:r>
      <w:r>
        <w:rPr>
          <w:spacing w:val="29"/>
          <w:sz w:val="21"/>
        </w:rPr>
        <w:t>H</w:t>
      </w:r>
      <w:r>
        <w:rPr>
          <w:spacing w:val="34"/>
          <w:sz w:val="21"/>
        </w:rPr>
        <w:t>IV</w:t>
      </w:r>
      <w:r>
        <w:rPr>
          <w:spacing w:val="-72"/>
          <w:sz w:val="21"/>
        </w:rPr>
        <w:t>）；</w:t>
      </w:r>
    </w:p>
    <w:p>
      <w:pPr>
        <w:pStyle w:val="ListParagraph"/>
        <w:numPr>
          <w:ilvl w:val="0"/>
          <w:numId w:val="28"/>
        </w:numPr>
        <w:tabs>
          <w:tab w:pos="773" w:val="left" w:leader="none"/>
        </w:tabs>
        <w:spacing w:line="278" w:lineRule="auto" w:before="0" w:after="0"/>
        <w:ind w:left="243" w:right="1597" w:firstLine="0"/>
        <w:jc w:val="left"/>
        <w:rPr>
          <w:sz w:val="21"/>
        </w:rPr>
      </w:pPr>
      <w:r>
        <w:rPr>
          <w:spacing w:val="-2"/>
          <w:sz w:val="21"/>
        </w:rPr>
        <w:t>提供输血治疗的输血中心或医院出具该项输血感染属</w:t>
      </w:r>
      <w:r>
        <w:rPr>
          <w:spacing w:val="-2"/>
          <w:sz w:val="21"/>
        </w:rPr>
        <w:t>医疗责任事故的报告，或者法院终审裁定为医疗责任并且不</w:t>
      </w:r>
      <w:r>
        <w:rPr>
          <w:spacing w:val="-4"/>
          <w:sz w:val="21"/>
        </w:rPr>
        <w:t>准上诉；</w:t>
      </w:r>
    </w:p>
    <w:p>
      <w:pPr>
        <w:pStyle w:val="ListParagraph"/>
        <w:numPr>
          <w:ilvl w:val="0"/>
          <w:numId w:val="28"/>
        </w:numPr>
        <w:tabs>
          <w:tab w:pos="773" w:val="left" w:leader="none"/>
        </w:tabs>
        <w:spacing w:line="278" w:lineRule="auto" w:before="0" w:after="0"/>
        <w:ind w:left="243" w:right="1703" w:firstLine="0"/>
        <w:jc w:val="left"/>
        <w:rPr>
          <w:sz w:val="21"/>
        </w:rPr>
      </w:pPr>
      <w:r>
        <w:rPr>
          <w:spacing w:val="-2"/>
          <w:sz w:val="21"/>
        </w:rPr>
        <w:t>提供输血治疗的输血中心或医院必须拥有合法经营执</w:t>
      </w:r>
      <w:r>
        <w:rPr>
          <w:spacing w:val="-6"/>
          <w:sz w:val="21"/>
        </w:rPr>
        <w:t>照；</w:t>
      </w:r>
    </w:p>
    <w:p>
      <w:pPr>
        <w:pStyle w:val="ListParagraph"/>
        <w:numPr>
          <w:ilvl w:val="0"/>
          <w:numId w:val="28"/>
        </w:numPr>
        <w:tabs>
          <w:tab w:pos="773" w:val="left" w:leader="none"/>
        </w:tabs>
        <w:spacing w:line="240" w:lineRule="auto" w:before="0" w:after="0"/>
        <w:ind w:left="772" w:right="0" w:hanging="530"/>
        <w:jc w:val="left"/>
        <w:rPr>
          <w:sz w:val="21"/>
        </w:rPr>
      </w:pPr>
      <w:r>
        <w:rPr>
          <w:spacing w:val="-3"/>
          <w:sz w:val="21"/>
        </w:rPr>
        <w:t>受感染的被保险人不是血友病患者。</w:t>
      </w:r>
    </w:p>
    <w:p>
      <w:pPr>
        <w:pStyle w:val="BodyText"/>
        <w:spacing w:before="11"/>
        <w:rPr>
          <w:sz w:val="14"/>
        </w:rPr>
      </w:pPr>
    </w:p>
    <w:p>
      <w:pPr>
        <w:pStyle w:val="BodyText"/>
        <w:spacing w:line="278" w:lineRule="auto"/>
        <w:ind w:left="243" w:right="1597"/>
      </w:pPr>
      <w:r>
        <w:rPr>
          <w:spacing w:val="-2"/>
        </w:rPr>
        <w:t>在任何治愈艾滋病或阻止人类免疫缺陷病毒（HIV）病毒作</w:t>
      </w:r>
      <w:r>
        <w:rPr>
          <w:spacing w:val="-2"/>
        </w:rPr>
        <w:t>用的疗法被发现以后，或能防止艾滋病发生的医疗方法被研</w:t>
      </w:r>
      <w:r>
        <w:rPr>
          <w:spacing w:val="-2"/>
        </w:rPr>
        <w:t>究出来以后，本保障将不再予以赔付。</w:t>
      </w:r>
    </w:p>
    <w:p>
      <w:pPr>
        <w:pStyle w:val="BodyText"/>
        <w:spacing w:line="283" w:lineRule="auto" w:before="154"/>
        <w:ind w:left="243" w:right="1597"/>
      </w:pPr>
      <w:r>
        <w:rPr>
          <w:spacing w:val="-2"/>
        </w:rPr>
        <w:t>保险公司必须拥有获得使用被保险人的所有血液样本的权利</w:t>
      </w:r>
      <w:r>
        <w:rPr>
          <w:spacing w:val="-2"/>
        </w:rPr>
        <w:t>和能够对这些样本进行独立检验的权利。</w:t>
      </w:r>
    </w:p>
    <w:p>
      <w:pPr>
        <w:pStyle w:val="BodyText"/>
        <w:spacing w:line="278" w:lineRule="auto" w:before="148"/>
        <w:ind w:left="243" w:right="1597"/>
      </w:pPr>
      <w:r>
        <w:rPr>
          <w:spacing w:val="-2"/>
        </w:rPr>
        <w:t>本公司承担本项疾病责任不受本合同责任免除中“被保险人</w:t>
      </w:r>
      <w:r>
        <w:rPr>
          <w:spacing w:val="-2"/>
        </w:rPr>
        <w:t>感染艾滋病病毒或患艾滋病”的限制。</w:t>
      </w:r>
    </w:p>
    <w:p>
      <w:pPr>
        <w:spacing w:after="0" w:line="278" w:lineRule="auto"/>
        <w:sectPr>
          <w:type w:val="continuous"/>
          <w:pgSz w:w="11910" w:h="16840"/>
          <w:pgMar w:header="0" w:footer="226" w:top="240" w:bottom="420" w:left="980" w:right="400"/>
          <w:cols w:num="2" w:equalWidth="0">
            <w:col w:w="3179" w:space="40"/>
            <w:col w:w="7311"/>
          </w:cols>
        </w:sectPr>
      </w:pPr>
    </w:p>
    <w:p>
      <w:pPr>
        <w:pStyle w:val="BodyText"/>
        <w:spacing w:before="11"/>
        <w:rPr>
          <w:sz w:val="19"/>
        </w:rPr>
      </w:pPr>
    </w:p>
    <w:p>
      <w:pPr>
        <w:spacing w:after="0"/>
        <w:rPr>
          <w:sz w:val="19"/>
        </w:rPr>
        <w:sectPr>
          <w:type w:val="continuous"/>
          <w:pgSz w:w="11910" w:h="16840"/>
          <w:pgMar w:header="0" w:footer="226" w:top="240" w:bottom="420" w:left="980" w:right="400"/>
        </w:sectPr>
      </w:pPr>
    </w:p>
    <w:p>
      <w:pPr>
        <w:pStyle w:val="Heading2"/>
        <w:numPr>
          <w:ilvl w:val="0"/>
          <w:numId w:val="15"/>
        </w:numPr>
        <w:tabs>
          <w:tab w:pos="2229" w:val="left" w:leader="none"/>
        </w:tabs>
        <w:spacing w:line="194" w:lineRule="auto" w:before="56" w:after="0"/>
        <w:ind w:left="1910" w:right="0" w:firstLine="0"/>
        <w:jc w:val="left"/>
      </w:pPr>
      <w:r>
        <w:rPr>
          <w:spacing w:val="-4"/>
        </w:rPr>
        <w:t>原发性硬</w:t>
      </w:r>
      <w:r>
        <w:rPr>
          <w:spacing w:val="-2"/>
        </w:rPr>
        <w:t>化性胆管炎</w:t>
      </w:r>
    </w:p>
    <w:p>
      <w:pPr>
        <w:pStyle w:val="BodyText"/>
        <w:spacing w:line="278" w:lineRule="auto" w:before="72"/>
        <w:ind w:left="349" w:right="1597"/>
        <w:jc w:val="both"/>
      </w:pPr>
      <w:r>
        <w:rPr/>
        <w:br w:type="column"/>
      </w:r>
      <w:r>
        <w:rPr>
          <w:spacing w:val="-2"/>
        </w:rPr>
        <w:t>指一种胆汁淤积综合征，其特征是肝内、肝外胆道因纤维化</w:t>
      </w:r>
      <w:r>
        <w:rPr>
          <w:spacing w:val="-2"/>
        </w:rPr>
        <w:t>性炎症逐渐狭窄，并最终导致完全阻塞而发展为肝硬化。本</w:t>
      </w:r>
      <w:r>
        <w:rPr>
          <w:spacing w:val="-2"/>
        </w:rPr>
        <w:t>病须经内镜逆行胰胆管造影等影像学检查证实，并须满足下</w:t>
      </w:r>
      <w:r>
        <w:rPr>
          <w:spacing w:val="-2"/>
        </w:rPr>
        <w:t>列全部条件：</w:t>
      </w:r>
    </w:p>
    <w:p>
      <w:pPr>
        <w:pStyle w:val="ListParagraph"/>
        <w:numPr>
          <w:ilvl w:val="1"/>
          <w:numId w:val="28"/>
        </w:numPr>
        <w:tabs>
          <w:tab w:pos="879" w:val="left" w:leader="none"/>
        </w:tabs>
        <w:spacing w:line="240" w:lineRule="auto" w:before="153" w:after="0"/>
        <w:ind w:left="878" w:right="0" w:hanging="530"/>
        <w:jc w:val="left"/>
        <w:rPr>
          <w:sz w:val="21"/>
        </w:rPr>
      </w:pPr>
      <w:r>
        <w:rPr>
          <w:spacing w:val="-5"/>
          <w:sz w:val="21"/>
        </w:rPr>
        <w:t>总胆红素和直接胆红素同时升高，血清 </w:t>
      </w:r>
      <w:r>
        <w:rPr>
          <w:spacing w:val="-2"/>
          <w:sz w:val="21"/>
        </w:rPr>
        <w:t>ALP&gt;200U/L；</w:t>
      </w:r>
    </w:p>
    <w:p>
      <w:pPr>
        <w:pStyle w:val="ListParagraph"/>
        <w:numPr>
          <w:ilvl w:val="1"/>
          <w:numId w:val="28"/>
        </w:numPr>
        <w:tabs>
          <w:tab w:pos="879" w:val="left" w:leader="none"/>
        </w:tabs>
        <w:spacing w:line="240" w:lineRule="auto" w:before="48" w:after="0"/>
        <w:ind w:left="878" w:right="0" w:hanging="530"/>
        <w:jc w:val="left"/>
        <w:rPr>
          <w:sz w:val="21"/>
        </w:rPr>
      </w:pPr>
      <w:r>
        <w:rPr>
          <w:spacing w:val="-4"/>
          <w:sz w:val="21"/>
        </w:rPr>
        <w:t>持续性黄疸病史；</w:t>
      </w:r>
    </w:p>
    <w:p>
      <w:pPr>
        <w:spacing w:after="0" w:line="240" w:lineRule="auto"/>
        <w:jc w:val="left"/>
        <w:rPr>
          <w:sz w:val="21"/>
        </w:rPr>
        <w:sectPr>
          <w:type w:val="continuous"/>
          <w:pgSz w:w="11910" w:h="16840"/>
          <w:pgMar w:header="0" w:footer="226" w:top="240" w:bottom="420" w:left="980" w:right="400"/>
          <w:cols w:num="2" w:equalWidth="0">
            <w:col w:w="3073" w:space="40"/>
            <w:col w:w="7417"/>
          </w:cols>
        </w:sectPr>
      </w:pPr>
    </w:p>
    <w:p>
      <w:pPr>
        <w:pStyle w:val="ListParagraph"/>
        <w:numPr>
          <w:ilvl w:val="1"/>
          <w:numId w:val="28"/>
        </w:numPr>
        <w:tabs>
          <w:tab w:pos="3991" w:val="left" w:leader="none"/>
        </w:tabs>
        <w:spacing w:line="240" w:lineRule="auto" w:before="57" w:after="0"/>
        <w:ind w:left="3991" w:right="0" w:hanging="529"/>
        <w:jc w:val="left"/>
        <w:rPr>
          <w:sz w:val="21"/>
        </w:rPr>
      </w:pPr>
      <w:r>
        <w:rPr>
          <w:spacing w:val="-3"/>
          <w:sz w:val="21"/>
        </w:rPr>
        <w:t>出现胆汁性肝硬化或门脉高压。</w:t>
      </w:r>
    </w:p>
    <w:p>
      <w:pPr>
        <w:pStyle w:val="BodyText"/>
        <w:spacing w:before="4"/>
        <w:rPr>
          <w:sz w:val="15"/>
        </w:rPr>
      </w:pPr>
    </w:p>
    <w:p>
      <w:pPr>
        <w:pStyle w:val="BodyText"/>
        <w:spacing w:line="278" w:lineRule="auto" w:before="1"/>
        <w:ind w:left="3462" w:right="1809"/>
      </w:pPr>
      <w:r>
        <w:rPr>
          <w:spacing w:val="-2"/>
        </w:rPr>
        <w:t>因肿瘤或胆管损伤等继发性的硬化性胆管炎不在保障范围</w:t>
      </w:r>
      <w:r>
        <w:rPr>
          <w:spacing w:val="-6"/>
        </w:rPr>
        <w:t>内。</w:t>
      </w:r>
    </w:p>
    <w:p>
      <w:pPr>
        <w:pStyle w:val="BodyText"/>
        <w:spacing w:before="11"/>
        <w:rPr>
          <w:sz w:val="19"/>
        </w:rPr>
      </w:pPr>
    </w:p>
    <w:p>
      <w:pPr>
        <w:spacing w:after="0"/>
        <w:rPr>
          <w:sz w:val="19"/>
        </w:rPr>
        <w:sectPr>
          <w:pgSz w:w="11910" w:h="16840"/>
          <w:pgMar w:header="0" w:footer="226" w:top="660" w:bottom="420" w:left="980" w:right="400"/>
        </w:sectPr>
      </w:pPr>
    </w:p>
    <w:p>
      <w:pPr>
        <w:pStyle w:val="Heading2"/>
        <w:numPr>
          <w:ilvl w:val="0"/>
          <w:numId w:val="15"/>
        </w:numPr>
        <w:tabs>
          <w:tab w:pos="2229" w:val="left" w:leader="none"/>
        </w:tabs>
        <w:spacing w:line="194" w:lineRule="auto" w:before="55" w:after="0"/>
        <w:ind w:left="1910" w:right="0" w:firstLine="0"/>
        <w:jc w:val="left"/>
      </w:pPr>
      <w:r>
        <w:rPr>
          <w:spacing w:val="-4"/>
        </w:rPr>
        <w:t>特发性慢</w:t>
      </w:r>
      <w:r>
        <w:rPr>
          <w:spacing w:val="-2"/>
        </w:rPr>
        <w:t>性肾上腺皮质</w:t>
      </w:r>
      <w:r>
        <w:rPr>
          <w:spacing w:val="-4"/>
        </w:rPr>
        <w:t>功能减退</w:t>
      </w:r>
    </w:p>
    <w:p>
      <w:pPr>
        <w:pStyle w:val="BodyText"/>
        <w:spacing w:line="278" w:lineRule="auto" w:before="71"/>
        <w:ind w:left="244" w:right="1597"/>
        <w:jc w:val="both"/>
      </w:pPr>
      <w:r>
        <w:rPr/>
        <w:br w:type="column"/>
      </w:r>
      <w:r>
        <w:rPr>
          <w:spacing w:val="-2"/>
        </w:rPr>
        <w:t>因为自身免疫功能紊乱，使肾上腺组织逐渐受损，而需要长</w:t>
      </w:r>
      <w:r>
        <w:rPr>
          <w:spacing w:val="-2"/>
        </w:rPr>
        <w:t>期接受糖皮质激素及肾上腺皮质激素替代疗法。该病必须经</w:t>
      </w:r>
      <w:r>
        <w:rPr>
          <w:spacing w:val="-2"/>
        </w:rPr>
        <w:t>内分泌专科医生确诊，并有以下报告作为证据：</w:t>
      </w:r>
    </w:p>
    <w:p>
      <w:pPr>
        <w:pStyle w:val="ListParagraph"/>
        <w:numPr>
          <w:ilvl w:val="0"/>
          <w:numId w:val="29"/>
        </w:numPr>
        <w:tabs>
          <w:tab w:pos="774" w:val="left" w:leader="none"/>
        </w:tabs>
        <w:spacing w:line="240" w:lineRule="auto" w:before="154" w:after="0"/>
        <w:ind w:left="773" w:right="0" w:hanging="530"/>
        <w:jc w:val="left"/>
        <w:rPr>
          <w:sz w:val="21"/>
        </w:rPr>
      </w:pPr>
      <w:r>
        <w:rPr>
          <w:spacing w:val="-2"/>
          <w:sz w:val="21"/>
        </w:rPr>
        <w:t>促肾上腺皮质激素(ACTH</w:t>
      </w:r>
      <w:r>
        <w:rPr>
          <w:spacing w:val="-4"/>
          <w:sz w:val="21"/>
        </w:rPr>
        <w:t>)刺激试验；</w:t>
      </w:r>
    </w:p>
    <w:p>
      <w:pPr>
        <w:pStyle w:val="ListParagraph"/>
        <w:numPr>
          <w:ilvl w:val="0"/>
          <w:numId w:val="29"/>
        </w:numPr>
        <w:tabs>
          <w:tab w:pos="774" w:val="left" w:leader="none"/>
        </w:tabs>
        <w:spacing w:line="240" w:lineRule="auto" w:before="48" w:after="0"/>
        <w:ind w:left="773" w:right="0" w:hanging="530"/>
        <w:jc w:val="left"/>
        <w:rPr>
          <w:sz w:val="21"/>
        </w:rPr>
      </w:pPr>
      <w:r>
        <w:rPr>
          <w:spacing w:val="-3"/>
          <w:sz w:val="21"/>
        </w:rPr>
        <w:t>胰岛素血糖减少测试；</w:t>
      </w:r>
    </w:p>
    <w:p>
      <w:pPr>
        <w:pStyle w:val="ListParagraph"/>
        <w:numPr>
          <w:ilvl w:val="0"/>
          <w:numId w:val="29"/>
        </w:numPr>
        <w:tabs>
          <w:tab w:pos="774" w:val="left" w:leader="none"/>
        </w:tabs>
        <w:spacing w:line="240" w:lineRule="auto" w:before="43" w:after="0"/>
        <w:ind w:left="773" w:right="0" w:hanging="530"/>
        <w:jc w:val="left"/>
        <w:rPr>
          <w:sz w:val="21"/>
        </w:rPr>
      </w:pPr>
      <w:r>
        <w:rPr>
          <w:spacing w:val="-2"/>
          <w:sz w:val="21"/>
        </w:rPr>
        <w:t>血浆促肾上腺皮质激素(ACTH)</w:t>
      </w:r>
      <w:r>
        <w:rPr>
          <w:spacing w:val="-4"/>
          <w:sz w:val="21"/>
        </w:rPr>
        <w:t>水平测定；</w:t>
      </w:r>
    </w:p>
    <w:p>
      <w:pPr>
        <w:pStyle w:val="ListParagraph"/>
        <w:numPr>
          <w:ilvl w:val="0"/>
          <w:numId w:val="29"/>
        </w:numPr>
        <w:tabs>
          <w:tab w:pos="774" w:val="left" w:leader="none"/>
        </w:tabs>
        <w:spacing w:line="240" w:lineRule="auto" w:before="43" w:after="0"/>
        <w:ind w:left="773" w:right="0" w:hanging="530"/>
        <w:jc w:val="left"/>
        <w:rPr>
          <w:sz w:val="21"/>
        </w:rPr>
      </w:pPr>
      <w:r>
        <w:rPr>
          <w:spacing w:val="-2"/>
          <w:sz w:val="21"/>
        </w:rPr>
        <w:t>血浆肾素活性(PRA)</w:t>
      </w:r>
      <w:r>
        <w:rPr>
          <w:spacing w:val="-5"/>
          <w:sz w:val="21"/>
        </w:rPr>
        <w:t>测定。</w:t>
      </w:r>
    </w:p>
    <w:p>
      <w:pPr>
        <w:pStyle w:val="BodyText"/>
        <w:spacing w:before="4"/>
        <w:rPr>
          <w:sz w:val="15"/>
        </w:rPr>
      </w:pPr>
    </w:p>
    <w:p>
      <w:pPr>
        <w:pStyle w:val="BodyText"/>
        <w:spacing w:line="278" w:lineRule="auto" w:before="1"/>
        <w:ind w:left="244" w:right="1597"/>
      </w:pPr>
      <w:r>
        <w:rPr>
          <w:spacing w:val="-2"/>
        </w:rPr>
        <w:t>慢性肾上腺皮质功能衰竭只对由自身免疫功能紊乱引起的承</w:t>
      </w:r>
      <w:r>
        <w:rPr>
          <w:spacing w:val="-2"/>
        </w:rPr>
        <w:t>担保险责任，其他原因引起的除外。</w:t>
      </w:r>
    </w:p>
    <w:p>
      <w:pPr>
        <w:spacing w:after="0" w:line="278" w:lineRule="auto"/>
        <w:sectPr>
          <w:type w:val="continuous"/>
          <w:pgSz w:w="11910" w:h="16840"/>
          <w:pgMar w:header="0" w:footer="226" w:top="240" w:bottom="420" w:left="980" w:right="400"/>
          <w:cols w:num="2" w:equalWidth="0">
            <w:col w:w="3178" w:space="40"/>
            <w:col w:w="7312"/>
          </w:cols>
        </w:sectPr>
      </w:pPr>
    </w:p>
    <w:p>
      <w:pPr>
        <w:pStyle w:val="BodyText"/>
        <w:spacing w:before="11"/>
        <w:rPr>
          <w:sz w:val="19"/>
        </w:rPr>
      </w:pPr>
    </w:p>
    <w:p>
      <w:pPr>
        <w:spacing w:after="0"/>
        <w:rPr>
          <w:sz w:val="19"/>
        </w:rPr>
        <w:sectPr>
          <w:type w:val="continuous"/>
          <w:pgSz w:w="11910" w:h="16840"/>
          <w:pgMar w:header="0" w:footer="226" w:top="240" w:bottom="420" w:left="980" w:right="400"/>
        </w:sectPr>
      </w:pPr>
    </w:p>
    <w:p>
      <w:pPr>
        <w:pStyle w:val="ListParagraph"/>
        <w:numPr>
          <w:ilvl w:val="0"/>
          <w:numId w:val="15"/>
        </w:numPr>
        <w:tabs>
          <w:tab w:pos="2229" w:val="left" w:leader="none"/>
        </w:tabs>
        <w:spacing w:line="194" w:lineRule="auto" w:before="56" w:after="0"/>
        <w:ind w:left="1910" w:right="103" w:firstLine="0"/>
        <w:jc w:val="both"/>
        <w:rPr>
          <w:rFonts w:ascii="Microsoft JhengHei" w:eastAsia="Microsoft JhengHei"/>
          <w:b/>
          <w:sz w:val="21"/>
        </w:rPr>
      </w:pPr>
      <w:r>
        <w:rPr>
          <w:rFonts w:ascii="Microsoft JhengHei" w:eastAsia="Microsoft JhengHei"/>
          <w:b/>
          <w:spacing w:val="-4"/>
          <w:sz w:val="21"/>
        </w:rPr>
        <w:t>系统性红</w:t>
      </w:r>
      <w:r>
        <w:rPr>
          <w:rFonts w:ascii="Microsoft JhengHei" w:eastAsia="Microsoft JhengHei"/>
          <w:b/>
          <w:spacing w:val="8"/>
          <w:sz w:val="21"/>
        </w:rPr>
        <w:t>斑狼疮 －</w:t>
      </w:r>
    </w:p>
    <w:p>
      <w:pPr>
        <w:spacing w:line="194" w:lineRule="auto" w:before="0"/>
        <w:ind w:left="1910" w:right="0" w:firstLine="0"/>
        <w:jc w:val="both"/>
        <w:rPr>
          <w:rFonts w:ascii="Microsoft JhengHei" w:hAnsi="Microsoft JhengHei" w:eastAsia="Microsoft JhengHei"/>
          <w:b/>
          <w:sz w:val="21"/>
        </w:rPr>
      </w:pPr>
      <w:r>
        <w:rPr>
          <w:rFonts w:ascii="Microsoft JhengHei" w:hAnsi="Microsoft JhengHei" w:eastAsia="Microsoft JhengHei"/>
          <w:b/>
          <w:spacing w:val="-2"/>
          <w:sz w:val="21"/>
        </w:rPr>
        <w:t>（并发）Ⅲ</w:t>
      </w:r>
      <w:r>
        <w:rPr>
          <w:rFonts w:ascii="Microsoft JhengHei" w:hAnsi="Microsoft JhengHei" w:eastAsia="Microsoft JhengHei"/>
          <w:b/>
          <w:spacing w:val="-2"/>
          <w:sz w:val="21"/>
        </w:rPr>
        <w:t>型</w:t>
      </w:r>
      <w:r>
        <w:rPr>
          <w:rFonts w:ascii="Microsoft JhengHei" w:hAnsi="Microsoft JhengHei" w:eastAsia="Microsoft JhengHei"/>
          <w:b/>
          <w:spacing w:val="-2"/>
          <w:sz w:val="21"/>
        </w:rPr>
        <w:t>或以上狼疮性</w:t>
      </w:r>
      <w:r>
        <w:rPr>
          <w:rFonts w:ascii="Microsoft JhengHei" w:hAnsi="Microsoft JhengHei" w:eastAsia="Microsoft JhengHei"/>
          <w:b/>
          <w:spacing w:val="-6"/>
          <w:sz w:val="21"/>
        </w:rPr>
        <w:t>肾炎</w:t>
      </w: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spacing w:before="8"/>
        <w:rPr>
          <w:rFonts w:ascii="Microsoft JhengHei"/>
          <w:b/>
          <w:sz w:val="10"/>
        </w:rPr>
      </w:pPr>
    </w:p>
    <w:p>
      <w:pPr>
        <w:pStyle w:val="ListParagraph"/>
        <w:numPr>
          <w:ilvl w:val="0"/>
          <w:numId w:val="15"/>
        </w:numPr>
        <w:tabs>
          <w:tab w:pos="2229" w:val="left" w:leader="none"/>
        </w:tabs>
        <w:spacing w:line="194" w:lineRule="auto" w:before="0" w:after="0"/>
        <w:ind w:left="1910" w:right="103" w:firstLine="0"/>
        <w:jc w:val="left"/>
        <w:rPr>
          <w:rFonts w:ascii="Microsoft JhengHei" w:eastAsia="Microsoft JhengHei"/>
          <w:b/>
          <w:sz w:val="21"/>
        </w:rPr>
      </w:pPr>
      <w:r>
        <w:rPr>
          <w:rFonts w:ascii="Microsoft JhengHei" w:eastAsia="Microsoft JhengHei"/>
          <w:b/>
          <w:spacing w:val="-4"/>
          <w:sz w:val="21"/>
        </w:rPr>
        <w:t>严重类风</w:t>
      </w:r>
      <w:r>
        <w:rPr>
          <w:rFonts w:ascii="Microsoft JhengHei" w:eastAsia="Microsoft JhengHei"/>
          <w:b/>
          <w:spacing w:val="-2"/>
          <w:sz w:val="21"/>
        </w:rPr>
        <w:t>湿性关节炎</w:t>
      </w:r>
    </w:p>
    <w:p>
      <w:pPr>
        <w:pStyle w:val="BodyText"/>
        <w:spacing w:line="278" w:lineRule="auto" w:before="72"/>
        <w:ind w:left="244" w:right="1597"/>
        <w:jc w:val="both"/>
      </w:pPr>
      <w:r>
        <w:rPr/>
        <w:br w:type="column"/>
      </w:r>
      <w:r>
        <w:rPr>
          <w:spacing w:val="-2"/>
        </w:rPr>
        <w:t>系统性红斑狼疮是由多种因素引起，累及多系统的自身免疫</w:t>
      </w:r>
      <w:r>
        <w:rPr>
          <w:spacing w:val="-2"/>
        </w:rPr>
        <w:t>性疾病。其特点是生成自身抗体对抗多种自身抗原。多见于</w:t>
      </w:r>
      <w:r>
        <w:rPr>
          <w:spacing w:val="-2"/>
        </w:rPr>
        <w:t>育龄妇女。</w:t>
      </w:r>
    </w:p>
    <w:p>
      <w:pPr>
        <w:pStyle w:val="BodyText"/>
        <w:spacing w:line="280" w:lineRule="auto" w:before="153"/>
        <w:ind w:left="244" w:right="1596"/>
        <w:jc w:val="both"/>
      </w:pPr>
      <w:r>
        <w:rPr>
          <w:spacing w:val="-2"/>
        </w:rPr>
        <w:t>本合同所指的系统性红斑狼疮仅限于累及肾脏（经肾脏活检</w:t>
      </w:r>
      <w:r>
        <w:rPr>
          <w:w w:val="95"/>
        </w:rPr>
        <w:t>确</w:t>
      </w:r>
      <w:r>
        <w:rPr>
          <w:w w:val="95"/>
        </w:rPr>
        <w:t>认</w:t>
      </w:r>
      <w:r>
        <w:rPr>
          <w:w w:val="95"/>
        </w:rPr>
        <w:t>的</w:t>
      </w:r>
      <w:r>
        <w:rPr>
          <w:w w:val="95"/>
        </w:rPr>
        <w:t>，符合 WHO 诊</w:t>
      </w:r>
      <w:r>
        <w:rPr>
          <w:w w:val="95"/>
        </w:rPr>
        <w:t>断</w:t>
      </w:r>
      <w:r>
        <w:rPr>
          <w:w w:val="95"/>
        </w:rPr>
        <w:t>标</w:t>
      </w:r>
      <w:r>
        <w:rPr>
          <w:w w:val="95"/>
        </w:rPr>
        <w:t>准</w:t>
      </w:r>
      <w:r>
        <w:rPr>
          <w:w w:val="95"/>
        </w:rPr>
        <w:t>定</w:t>
      </w:r>
      <w:r>
        <w:rPr>
          <w:w w:val="95"/>
        </w:rPr>
        <w:t>义</w:t>
      </w:r>
      <w:r>
        <w:rPr>
          <w:w w:val="95"/>
        </w:rPr>
        <w:t>Ⅲ</w:t>
      </w:r>
      <w:r>
        <w:rPr>
          <w:w w:val="95"/>
        </w:rPr>
        <w:t>型</w:t>
      </w:r>
      <w:r>
        <w:rPr>
          <w:spacing w:val="49"/>
          <w:w w:val="95"/>
        </w:rPr>
        <w:t>至</w:t>
      </w:r>
      <w:r>
        <w:rPr>
          <w:w w:val="95"/>
        </w:rPr>
        <w:t>V </w:t>
      </w:r>
      <w:r>
        <w:rPr>
          <w:w w:val="95"/>
        </w:rPr>
        <w:t>型</w:t>
      </w:r>
      <w:r>
        <w:rPr>
          <w:w w:val="95"/>
        </w:rPr>
        <w:t>狼</w:t>
      </w:r>
      <w:r>
        <w:rPr>
          <w:w w:val="95"/>
        </w:rPr>
        <w:t>疮性肾</w:t>
      </w:r>
      <w:r>
        <w:rPr>
          <w:w w:val="95"/>
        </w:rPr>
        <w:t>炎</w:t>
      </w:r>
      <w:r>
        <w:rPr>
          <w:w w:val="95"/>
        </w:rPr>
        <w:t>）的</w:t>
      </w:r>
      <w:r>
        <w:rPr>
          <w:spacing w:val="-2"/>
        </w:rPr>
        <w:t>系统性红斑狼疮。其他类型的红斑性狼疮，如盘状狼疮、仅</w:t>
      </w:r>
      <w:r>
        <w:rPr>
          <w:spacing w:val="-2"/>
        </w:rPr>
        <w:t>累及血液及关节的狼疮不在保障范围內。</w:t>
      </w:r>
    </w:p>
    <w:p>
      <w:pPr>
        <w:pStyle w:val="BodyText"/>
        <w:spacing w:line="415" w:lineRule="auto" w:before="148"/>
        <w:ind w:left="244" w:right="3277"/>
      </w:pPr>
      <w:r>
        <w:rPr/>
        <w:pict>
          <v:shape style="position:absolute;margin-left:222.100006pt;margin-top:45.280025pt;width:278.05pt;height:128.3pt;mso-position-horizontal-relative:page;mso-position-vertical-relative:paragraph;z-index:15730688" type="#_x0000_t202" id="docshape3" filled="false" stroked="false">
            <v:textbox inset="0,0,0,0">
              <w:txbxContent>
                <w:tbl>
                  <w:tblPr>
                    <w:tblW w:w="0" w:type="auto"/>
                    <w:jc w:val="left"/>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698"/>
                    <w:gridCol w:w="2852"/>
                  </w:tblGrid>
                  <w:tr>
                    <w:trPr>
                      <w:trHeight w:val="311" w:hRule="atLeast"/>
                    </w:trPr>
                    <w:tc>
                      <w:tcPr>
                        <w:tcW w:w="2698" w:type="dxa"/>
                      </w:tcPr>
                      <w:p>
                        <w:pPr>
                          <w:pStyle w:val="TableParagraph"/>
                          <w:spacing w:line="267" w:lineRule="exact" w:before="25"/>
                          <w:ind w:left="105"/>
                          <w:rPr>
                            <w:sz w:val="21"/>
                          </w:rPr>
                        </w:pPr>
                        <w:r>
                          <w:rPr>
                            <w:spacing w:val="-2"/>
                            <w:sz w:val="21"/>
                          </w:rPr>
                          <w:t>Ⅰ型（微小病变型</w:t>
                        </w:r>
                        <w:r>
                          <w:rPr>
                            <w:spacing w:val="-10"/>
                            <w:sz w:val="21"/>
                          </w:rPr>
                          <w:t>）</w:t>
                        </w:r>
                      </w:p>
                    </w:tc>
                    <w:tc>
                      <w:tcPr>
                        <w:tcW w:w="2852" w:type="dxa"/>
                      </w:tcPr>
                      <w:p>
                        <w:pPr>
                          <w:pStyle w:val="TableParagraph"/>
                          <w:spacing w:line="267" w:lineRule="exact" w:before="25"/>
                          <w:ind w:left="105"/>
                          <w:rPr>
                            <w:sz w:val="21"/>
                          </w:rPr>
                        </w:pPr>
                        <w:r>
                          <w:rPr>
                            <w:spacing w:val="-3"/>
                            <w:sz w:val="21"/>
                          </w:rPr>
                          <w:t>镜下阴性，尿液正常</w:t>
                        </w:r>
                      </w:p>
                    </w:tc>
                  </w:tr>
                  <w:tr>
                    <w:trPr>
                      <w:trHeight w:val="623" w:hRule="atLeast"/>
                    </w:trPr>
                    <w:tc>
                      <w:tcPr>
                        <w:tcW w:w="2698" w:type="dxa"/>
                      </w:tcPr>
                      <w:p>
                        <w:pPr>
                          <w:pStyle w:val="TableParagraph"/>
                          <w:spacing w:before="25"/>
                          <w:ind w:left="105"/>
                          <w:rPr>
                            <w:sz w:val="21"/>
                          </w:rPr>
                        </w:pPr>
                        <w:r>
                          <w:rPr>
                            <w:spacing w:val="-2"/>
                            <w:sz w:val="21"/>
                          </w:rPr>
                          <w:t>Ⅱ型（系膜病变型</w:t>
                        </w:r>
                        <w:r>
                          <w:rPr>
                            <w:spacing w:val="-10"/>
                            <w:sz w:val="21"/>
                          </w:rPr>
                          <w:t>）</w:t>
                        </w:r>
                      </w:p>
                    </w:tc>
                    <w:tc>
                      <w:tcPr>
                        <w:tcW w:w="2852" w:type="dxa"/>
                      </w:tcPr>
                      <w:p>
                        <w:pPr>
                          <w:pStyle w:val="TableParagraph"/>
                          <w:spacing w:before="25"/>
                          <w:ind w:left="105"/>
                          <w:rPr>
                            <w:sz w:val="21"/>
                          </w:rPr>
                        </w:pPr>
                        <w:r>
                          <w:rPr>
                            <w:spacing w:val="-3"/>
                            <w:sz w:val="21"/>
                          </w:rPr>
                          <w:t>中度蛋白尿，偶有尿沉渣改</w:t>
                        </w:r>
                      </w:p>
                      <w:p>
                        <w:pPr>
                          <w:pStyle w:val="TableParagraph"/>
                          <w:spacing w:line="267" w:lineRule="exact" w:before="43"/>
                          <w:ind w:left="105"/>
                          <w:rPr>
                            <w:sz w:val="21"/>
                          </w:rPr>
                        </w:pPr>
                        <w:r>
                          <w:rPr>
                            <w:w w:val="100"/>
                            <w:sz w:val="21"/>
                          </w:rPr>
                          <w:t>变</w:t>
                        </w:r>
                      </w:p>
                    </w:tc>
                  </w:tr>
                  <w:tr>
                    <w:trPr>
                      <w:trHeight w:val="624" w:hRule="atLeast"/>
                    </w:trPr>
                    <w:tc>
                      <w:tcPr>
                        <w:tcW w:w="2698" w:type="dxa"/>
                      </w:tcPr>
                      <w:p>
                        <w:pPr>
                          <w:pStyle w:val="TableParagraph"/>
                          <w:spacing w:before="25"/>
                          <w:ind w:left="105"/>
                          <w:rPr>
                            <w:sz w:val="21"/>
                          </w:rPr>
                        </w:pPr>
                        <w:r>
                          <w:rPr>
                            <w:spacing w:val="-2"/>
                            <w:sz w:val="21"/>
                          </w:rPr>
                          <w:t>Ⅲ型（</w:t>
                        </w:r>
                        <w:r>
                          <w:rPr>
                            <w:spacing w:val="-4"/>
                            <w:sz w:val="21"/>
                          </w:rPr>
                          <w:t>局灶及节段增生</w:t>
                        </w:r>
                      </w:p>
                      <w:p>
                        <w:pPr>
                          <w:pStyle w:val="TableParagraph"/>
                          <w:spacing w:line="267" w:lineRule="exact" w:before="43"/>
                          <w:ind w:left="105"/>
                          <w:rPr>
                            <w:sz w:val="21"/>
                          </w:rPr>
                        </w:pPr>
                        <w:r>
                          <w:rPr>
                            <w:sz w:val="21"/>
                          </w:rPr>
                          <w:t>型</w:t>
                        </w:r>
                        <w:r>
                          <w:rPr>
                            <w:spacing w:val="-10"/>
                            <w:sz w:val="21"/>
                          </w:rPr>
                          <w:t>）</w:t>
                        </w:r>
                      </w:p>
                    </w:tc>
                    <w:tc>
                      <w:tcPr>
                        <w:tcW w:w="2852" w:type="dxa"/>
                      </w:tcPr>
                      <w:p>
                        <w:pPr>
                          <w:pStyle w:val="TableParagraph"/>
                          <w:spacing w:before="25"/>
                          <w:ind w:left="105"/>
                          <w:rPr>
                            <w:sz w:val="21"/>
                          </w:rPr>
                        </w:pPr>
                        <w:r>
                          <w:rPr>
                            <w:spacing w:val="-3"/>
                            <w:sz w:val="21"/>
                          </w:rPr>
                          <w:t>蛋白尿，尿沉渣改变</w:t>
                        </w:r>
                      </w:p>
                    </w:tc>
                  </w:tr>
                  <w:tr>
                    <w:trPr>
                      <w:trHeight w:val="623" w:hRule="atLeast"/>
                    </w:trPr>
                    <w:tc>
                      <w:tcPr>
                        <w:tcW w:w="2698" w:type="dxa"/>
                      </w:tcPr>
                      <w:p>
                        <w:pPr>
                          <w:pStyle w:val="TableParagraph"/>
                          <w:spacing w:before="25"/>
                          <w:ind w:left="105"/>
                          <w:rPr>
                            <w:sz w:val="21"/>
                          </w:rPr>
                        </w:pPr>
                        <w:r>
                          <w:rPr>
                            <w:spacing w:val="-2"/>
                            <w:sz w:val="21"/>
                          </w:rPr>
                          <w:t>Ⅳ型（弥漫增生型</w:t>
                        </w:r>
                        <w:r>
                          <w:rPr>
                            <w:spacing w:val="-10"/>
                            <w:sz w:val="21"/>
                          </w:rPr>
                          <w:t>）</w:t>
                        </w:r>
                      </w:p>
                    </w:tc>
                    <w:tc>
                      <w:tcPr>
                        <w:tcW w:w="2852" w:type="dxa"/>
                      </w:tcPr>
                      <w:p>
                        <w:pPr>
                          <w:pStyle w:val="TableParagraph"/>
                          <w:spacing w:before="25"/>
                          <w:ind w:left="105"/>
                          <w:rPr>
                            <w:sz w:val="21"/>
                          </w:rPr>
                        </w:pPr>
                        <w:r>
                          <w:rPr>
                            <w:spacing w:val="-3"/>
                            <w:sz w:val="21"/>
                          </w:rPr>
                          <w:t>急性肾炎伴有尿沉渣改变及/</w:t>
                        </w:r>
                      </w:p>
                      <w:p>
                        <w:pPr>
                          <w:pStyle w:val="TableParagraph"/>
                          <w:spacing w:line="267" w:lineRule="exact" w:before="43"/>
                          <w:ind w:left="105"/>
                          <w:rPr>
                            <w:sz w:val="21"/>
                          </w:rPr>
                        </w:pPr>
                        <w:r>
                          <w:rPr>
                            <w:spacing w:val="-4"/>
                            <w:sz w:val="21"/>
                          </w:rPr>
                          <w:t>或肾病综合征</w:t>
                        </w:r>
                      </w:p>
                    </w:tc>
                  </w:tr>
                  <w:tr>
                    <w:trPr>
                      <w:trHeight w:val="325" w:hRule="atLeast"/>
                    </w:trPr>
                    <w:tc>
                      <w:tcPr>
                        <w:tcW w:w="2698" w:type="dxa"/>
                      </w:tcPr>
                      <w:p>
                        <w:pPr>
                          <w:pStyle w:val="TableParagraph"/>
                          <w:spacing w:before="25"/>
                          <w:ind w:left="105"/>
                          <w:rPr>
                            <w:sz w:val="21"/>
                          </w:rPr>
                        </w:pPr>
                        <w:r>
                          <w:rPr>
                            <w:spacing w:val="-2"/>
                            <w:sz w:val="21"/>
                          </w:rPr>
                          <w:t>Ⅴ型（膜型</w:t>
                        </w:r>
                        <w:r>
                          <w:rPr>
                            <w:spacing w:val="-10"/>
                            <w:sz w:val="21"/>
                          </w:rPr>
                          <w:t>）</w:t>
                        </w:r>
                      </w:p>
                    </w:tc>
                    <w:tc>
                      <w:tcPr>
                        <w:tcW w:w="2852" w:type="dxa"/>
                      </w:tcPr>
                      <w:p>
                        <w:pPr>
                          <w:pStyle w:val="TableParagraph"/>
                          <w:spacing w:before="25"/>
                          <w:ind w:left="105"/>
                          <w:rPr>
                            <w:sz w:val="21"/>
                          </w:rPr>
                        </w:pPr>
                        <w:r>
                          <w:rPr>
                            <w:spacing w:val="-3"/>
                            <w:sz w:val="21"/>
                          </w:rPr>
                          <w:t>肾病综合征或重度蛋白尿</w:t>
                        </w:r>
                      </w:p>
                    </w:tc>
                  </w:tr>
                </w:tbl>
                <w:p>
                  <w:pPr>
                    <w:pStyle w:val="BodyText"/>
                  </w:pPr>
                </w:p>
              </w:txbxContent>
            </v:textbox>
            <w10:wrap type="none"/>
          </v:shape>
        </w:pict>
      </w:r>
      <w:r>
        <w:rPr>
          <w:spacing w:val="-2"/>
        </w:rPr>
        <w:t>本病必须由免疫和风湿科专家医师确诊。</w:t>
      </w:r>
      <w:r>
        <w:rPr>
          <w:spacing w:val="-2"/>
        </w:rPr>
        <w:t>世界卫生组织（WHO）狼疮性肾炎分型：</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line="278" w:lineRule="auto" w:before="179"/>
        <w:ind w:left="244" w:right="1597"/>
      </w:pPr>
      <w:r>
        <w:rPr>
          <w:spacing w:val="-2"/>
        </w:rPr>
        <w:t>类风湿性关节炎为广泛分布的慢性进行性多关节病变，表现</w:t>
      </w:r>
      <w:r>
        <w:rPr>
          <w:spacing w:val="-2"/>
        </w:rPr>
        <w:t>为关节严重变形，侵犯至少三个主要关节或关节组（如：双</w:t>
      </w:r>
      <w:r>
        <w:rPr>
          <w:spacing w:val="-2"/>
        </w:rPr>
        <w:t>手（多手指）关节、双足（多足趾）关节、双腕关节、双膝</w:t>
      </w:r>
      <w:r>
        <w:rPr>
          <w:spacing w:val="-2"/>
        </w:rPr>
        <w:t>关节和双髋关节</w:t>
      </w:r>
      <w:r>
        <w:rPr>
          <w:spacing w:val="-106"/>
        </w:rPr>
        <w:t>）</w:t>
      </w:r>
      <w:r>
        <w:rPr>
          <w:spacing w:val="-2"/>
        </w:rPr>
        <w:t>。类风湿性关节炎必须明确诊断并且已经</w:t>
      </w:r>
      <w:r>
        <w:rPr>
          <w:spacing w:val="-2"/>
        </w:rPr>
        <w:t>达到类风湿性关节炎功能分级Ⅲ级以上的功能障碍（关节活</w:t>
      </w:r>
      <w:r>
        <w:rPr>
          <w:spacing w:val="-2"/>
        </w:rPr>
        <w:t>动严重限制，不能完成大部分的日常工作和活动）并且自主</w:t>
      </w:r>
      <w:r>
        <w:rPr>
          <w:spacing w:val="-2"/>
        </w:rPr>
        <w:t>生活能力完全丧失，无法独立完成六项基本日常生活活动中</w:t>
      </w:r>
      <w:r>
        <w:rPr>
          <w:spacing w:val="-2"/>
        </w:rPr>
        <w:t>的三项或三项以上。</w:t>
      </w:r>
    </w:p>
    <w:p>
      <w:pPr>
        <w:spacing w:after="0" w:line="278" w:lineRule="auto"/>
        <w:sectPr>
          <w:type w:val="continuous"/>
          <w:pgSz w:w="11910" w:h="16840"/>
          <w:pgMar w:header="0" w:footer="226" w:top="240" w:bottom="420" w:left="980" w:right="400"/>
          <w:cols w:num="2" w:equalWidth="0">
            <w:col w:w="3178" w:space="40"/>
            <w:col w:w="7312"/>
          </w:cols>
        </w:sectPr>
      </w:pPr>
    </w:p>
    <w:p>
      <w:pPr>
        <w:pStyle w:val="BodyText"/>
        <w:spacing w:before="12"/>
        <w:rPr>
          <w:sz w:val="19"/>
        </w:rPr>
      </w:pPr>
    </w:p>
    <w:p>
      <w:pPr>
        <w:spacing w:after="0"/>
        <w:rPr>
          <w:sz w:val="19"/>
        </w:rPr>
        <w:sectPr>
          <w:type w:val="continuous"/>
          <w:pgSz w:w="11910" w:h="16840"/>
          <w:pgMar w:header="0" w:footer="226" w:top="240" w:bottom="420" w:left="980" w:right="400"/>
        </w:sectPr>
      </w:pPr>
    </w:p>
    <w:p>
      <w:pPr>
        <w:pStyle w:val="Heading2"/>
        <w:numPr>
          <w:ilvl w:val="0"/>
          <w:numId w:val="15"/>
        </w:numPr>
        <w:tabs>
          <w:tab w:pos="2229" w:val="left" w:leader="none"/>
        </w:tabs>
        <w:spacing w:line="194" w:lineRule="auto" w:before="55" w:after="0"/>
        <w:ind w:left="1910" w:right="0" w:firstLine="0"/>
        <w:jc w:val="left"/>
      </w:pPr>
      <w:r>
        <w:rPr>
          <w:spacing w:val="-4"/>
        </w:rPr>
        <w:t>重症急性</w:t>
      </w:r>
      <w:r>
        <w:rPr>
          <w:spacing w:val="-2"/>
        </w:rPr>
        <w:t>坏死性筋膜炎</w:t>
      </w:r>
    </w:p>
    <w:p>
      <w:pPr>
        <w:pStyle w:val="BodyText"/>
        <w:spacing w:before="71"/>
        <w:ind w:left="244"/>
      </w:pPr>
      <w:r>
        <w:rPr/>
        <w:br w:type="column"/>
      </w:r>
      <w:r>
        <w:rPr>
          <w:spacing w:val="-3"/>
        </w:rPr>
        <w:t>坏死性筋膜炎的诊断须同时符合下列要求：</w:t>
      </w:r>
    </w:p>
    <w:p>
      <w:pPr>
        <w:pStyle w:val="BodyText"/>
        <w:spacing w:before="4"/>
        <w:rPr>
          <w:sz w:val="15"/>
        </w:rPr>
      </w:pPr>
    </w:p>
    <w:p>
      <w:pPr>
        <w:pStyle w:val="ListParagraph"/>
        <w:numPr>
          <w:ilvl w:val="0"/>
          <w:numId w:val="30"/>
        </w:numPr>
        <w:tabs>
          <w:tab w:pos="774" w:val="left" w:leader="none"/>
        </w:tabs>
        <w:spacing w:line="240" w:lineRule="auto" w:before="1" w:after="0"/>
        <w:ind w:left="773" w:right="0" w:hanging="530"/>
        <w:jc w:val="left"/>
        <w:rPr>
          <w:sz w:val="21"/>
        </w:rPr>
      </w:pPr>
      <w:r>
        <w:rPr>
          <w:spacing w:val="-3"/>
          <w:sz w:val="21"/>
        </w:rPr>
        <w:t>符合坏死性筋膜炎的一般临床表现；</w:t>
      </w:r>
    </w:p>
    <w:p>
      <w:pPr>
        <w:pStyle w:val="ListParagraph"/>
        <w:numPr>
          <w:ilvl w:val="0"/>
          <w:numId w:val="30"/>
        </w:numPr>
        <w:tabs>
          <w:tab w:pos="774" w:val="left" w:leader="none"/>
        </w:tabs>
        <w:spacing w:line="240" w:lineRule="auto" w:before="48" w:after="0"/>
        <w:ind w:left="773" w:right="0" w:hanging="530"/>
        <w:jc w:val="left"/>
        <w:rPr>
          <w:sz w:val="21"/>
        </w:rPr>
      </w:pPr>
      <w:r>
        <w:rPr>
          <w:spacing w:val="-3"/>
          <w:sz w:val="21"/>
        </w:rPr>
        <w:t>细菌培养检出致病菌；</w:t>
      </w:r>
    </w:p>
    <w:p>
      <w:pPr>
        <w:spacing w:after="0" w:line="240" w:lineRule="auto"/>
        <w:jc w:val="left"/>
        <w:rPr>
          <w:sz w:val="21"/>
        </w:rPr>
        <w:sectPr>
          <w:type w:val="continuous"/>
          <w:pgSz w:w="11910" w:h="16840"/>
          <w:pgMar w:header="0" w:footer="226" w:top="240" w:bottom="420" w:left="980" w:right="400"/>
          <w:cols w:num="2" w:equalWidth="0">
            <w:col w:w="3178" w:space="40"/>
            <w:col w:w="7312"/>
          </w:cols>
        </w:sectPr>
      </w:pPr>
    </w:p>
    <w:p>
      <w:pPr>
        <w:pStyle w:val="ListParagraph"/>
        <w:numPr>
          <w:ilvl w:val="0"/>
          <w:numId w:val="30"/>
        </w:numPr>
        <w:tabs>
          <w:tab w:pos="3991" w:val="left" w:leader="none"/>
        </w:tabs>
        <w:spacing w:line="278" w:lineRule="auto" w:before="57" w:after="0"/>
        <w:ind w:left="3462" w:right="1703" w:firstLine="0"/>
        <w:jc w:val="left"/>
        <w:rPr>
          <w:sz w:val="21"/>
        </w:rPr>
      </w:pPr>
      <w:r>
        <w:rPr>
          <w:spacing w:val="-2"/>
          <w:sz w:val="21"/>
        </w:rPr>
        <w:t>出现广泛性肌肉及软组织坏死，并导致身体受影响部</w:t>
      </w:r>
      <w:r>
        <w:rPr>
          <w:spacing w:val="-2"/>
          <w:sz w:val="21"/>
        </w:rPr>
        <w:t>位永久完全失去功能。</w:t>
      </w:r>
    </w:p>
    <w:p>
      <w:pPr>
        <w:pStyle w:val="BodyText"/>
        <w:spacing w:line="278" w:lineRule="auto" w:before="154"/>
        <w:ind w:left="3462" w:right="1597"/>
      </w:pPr>
      <w:r>
        <w:rPr>
          <w:spacing w:val="-2"/>
        </w:rPr>
        <w:t>所谓永久完全失去功能是指受影响部位的全部功能完全丧失</w:t>
      </w:r>
      <w:r>
        <w:rPr>
          <w:spacing w:val="-5"/>
        </w:rPr>
        <w:t>超过 </w:t>
      </w:r>
      <w:r>
        <w:rPr/>
        <w:t>180 天者。</w:t>
      </w:r>
    </w:p>
    <w:p>
      <w:pPr>
        <w:pStyle w:val="BodyText"/>
        <w:spacing w:before="11"/>
        <w:rPr>
          <w:sz w:val="19"/>
        </w:rPr>
      </w:pPr>
    </w:p>
    <w:p>
      <w:pPr>
        <w:spacing w:after="0"/>
        <w:rPr>
          <w:sz w:val="19"/>
        </w:rPr>
        <w:sectPr>
          <w:pgSz w:w="11910" w:h="16840"/>
          <w:pgMar w:header="0" w:footer="226" w:top="660" w:bottom="420" w:left="980" w:right="400"/>
        </w:sectPr>
      </w:pPr>
    </w:p>
    <w:p>
      <w:pPr>
        <w:pStyle w:val="Heading2"/>
        <w:numPr>
          <w:ilvl w:val="0"/>
          <w:numId w:val="15"/>
        </w:numPr>
        <w:tabs>
          <w:tab w:pos="2229" w:val="left" w:leader="none"/>
        </w:tabs>
        <w:spacing w:line="194" w:lineRule="auto" w:before="56" w:after="0"/>
        <w:ind w:left="1910" w:right="0" w:firstLine="0"/>
        <w:jc w:val="left"/>
      </w:pPr>
      <w:r>
        <w:rPr>
          <w:spacing w:val="-4"/>
        </w:rPr>
        <w:t>急性坏死</w:t>
      </w:r>
      <w:r>
        <w:rPr>
          <w:spacing w:val="-2"/>
        </w:rPr>
        <w:t>性胰腺炎开腹</w:t>
      </w:r>
      <w:r>
        <w:rPr>
          <w:spacing w:val="-6"/>
        </w:rPr>
        <w:t>手术</w:t>
      </w:r>
    </w:p>
    <w:p>
      <w:pPr>
        <w:pStyle w:val="BodyText"/>
        <w:spacing w:line="278" w:lineRule="auto" w:before="72"/>
        <w:ind w:left="244" w:right="1597"/>
      </w:pPr>
      <w:r>
        <w:rPr/>
        <w:br w:type="column"/>
      </w:r>
      <w:r>
        <w:rPr>
          <w:spacing w:val="-2"/>
        </w:rPr>
        <w:t>指被保险人因为急性出血坏死性胰腺炎已经接受了外科开腹</w:t>
      </w:r>
      <w:r>
        <w:rPr>
          <w:spacing w:val="-2"/>
        </w:rPr>
        <w:t>手术治疗，以进行坏死组织清除、坏死病灶切除或胰腺切</w:t>
      </w:r>
      <w:r>
        <w:rPr>
          <w:spacing w:val="40"/>
        </w:rPr>
        <w:t> </w:t>
      </w:r>
      <w:r>
        <w:rPr>
          <w:spacing w:val="-6"/>
        </w:rPr>
        <w:t>除。</w:t>
      </w:r>
    </w:p>
    <w:p>
      <w:pPr>
        <w:pStyle w:val="BodyText"/>
        <w:spacing w:line="283" w:lineRule="auto" w:before="153"/>
        <w:ind w:left="244" w:right="1597"/>
      </w:pPr>
      <w:r>
        <w:rPr>
          <w:spacing w:val="-2"/>
        </w:rPr>
        <w:t>因饮酒所致的急性出血坏死性胰腺炎或经腹腔镜手术进行的</w:t>
      </w:r>
      <w:r>
        <w:rPr>
          <w:spacing w:val="-2"/>
        </w:rPr>
        <w:t>治疗不在保障范围内。</w:t>
      </w:r>
    </w:p>
    <w:p>
      <w:pPr>
        <w:spacing w:after="0" w:line="283" w:lineRule="auto"/>
        <w:sectPr>
          <w:type w:val="continuous"/>
          <w:pgSz w:w="11910" w:h="16840"/>
          <w:pgMar w:header="0" w:footer="226" w:top="240" w:bottom="420" w:left="980" w:right="400"/>
          <w:cols w:num="2" w:equalWidth="0">
            <w:col w:w="3178" w:space="40"/>
            <w:col w:w="7312"/>
          </w:cols>
        </w:sectPr>
      </w:pPr>
    </w:p>
    <w:p>
      <w:pPr>
        <w:pStyle w:val="BodyText"/>
        <w:spacing w:before="1"/>
        <w:rPr>
          <w:sz w:val="19"/>
        </w:rPr>
      </w:pPr>
    </w:p>
    <w:p>
      <w:pPr>
        <w:spacing w:after="0"/>
        <w:rPr>
          <w:sz w:val="19"/>
        </w:rPr>
        <w:sectPr>
          <w:type w:val="continuous"/>
          <w:pgSz w:w="11910" w:h="16840"/>
          <w:pgMar w:header="0" w:footer="226" w:top="240" w:bottom="420" w:left="980" w:right="400"/>
        </w:sectPr>
      </w:pPr>
    </w:p>
    <w:p>
      <w:pPr>
        <w:pStyle w:val="Heading2"/>
        <w:numPr>
          <w:ilvl w:val="0"/>
          <w:numId w:val="15"/>
        </w:numPr>
        <w:tabs>
          <w:tab w:pos="2229" w:val="left" w:leader="none"/>
        </w:tabs>
        <w:spacing w:line="196" w:lineRule="auto" w:before="53" w:after="0"/>
        <w:ind w:left="1910" w:right="0" w:firstLine="0"/>
        <w:jc w:val="left"/>
      </w:pPr>
      <w:r>
        <w:rPr>
          <w:spacing w:val="-4"/>
        </w:rPr>
        <w:t>系统性硬</w:t>
      </w:r>
      <w:r>
        <w:rPr>
          <w:spacing w:val="-6"/>
        </w:rPr>
        <w:t>皮病</w:t>
      </w:r>
    </w:p>
    <w:p>
      <w:pPr>
        <w:pStyle w:val="BodyText"/>
        <w:spacing w:line="280" w:lineRule="auto" w:before="72"/>
        <w:ind w:left="349" w:right="1597"/>
        <w:jc w:val="both"/>
      </w:pPr>
      <w:r>
        <w:rPr/>
        <w:br w:type="column"/>
      </w:r>
      <w:r>
        <w:rPr>
          <w:spacing w:val="-2"/>
        </w:rPr>
        <w:t>指一种全身性的胶原血管性疾病，可以导致皮肤、血管及内</w:t>
      </w:r>
      <w:r>
        <w:rPr>
          <w:spacing w:val="-2"/>
        </w:rPr>
        <w:t>脏器官进行性弥漫性纤维化。诊断必须经活检及血清学检查</w:t>
      </w:r>
      <w:r>
        <w:rPr>
          <w:spacing w:val="-2"/>
        </w:rPr>
        <w:t>证实，疾病必须是全身性，且须满足下列至少一项条件：</w:t>
      </w:r>
    </w:p>
    <w:p>
      <w:pPr>
        <w:pStyle w:val="ListParagraph"/>
        <w:numPr>
          <w:ilvl w:val="0"/>
          <w:numId w:val="31"/>
        </w:numPr>
        <w:tabs>
          <w:tab w:pos="879" w:val="left" w:leader="none"/>
        </w:tabs>
        <w:spacing w:line="278" w:lineRule="auto" w:before="150" w:after="0"/>
        <w:ind w:left="349" w:right="1703" w:firstLine="0"/>
        <w:jc w:val="left"/>
        <w:rPr>
          <w:sz w:val="21"/>
        </w:rPr>
      </w:pPr>
      <w:r>
        <w:rPr>
          <w:spacing w:val="-2"/>
          <w:sz w:val="21"/>
        </w:rPr>
        <w:t>肺脏：肺部病变进而发展为肺间质纤维化和肺动脉高</w:t>
      </w:r>
      <w:r>
        <w:rPr>
          <w:spacing w:val="-6"/>
          <w:sz w:val="21"/>
        </w:rPr>
        <w:t>压；</w:t>
      </w:r>
    </w:p>
    <w:p>
      <w:pPr>
        <w:pStyle w:val="ListParagraph"/>
        <w:numPr>
          <w:ilvl w:val="0"/>
          <w:numId w:val="31"/>
        </w:numPr>
        <w:tabs>
          <w:tab w:pos="879" w:val="left" w:leader="none"/>
        </w:tabs>
        <w:spacing w:line="278" w:lineRule="auto" w:before="0" w:after="0"/>
        <w:ind w:left="349" w:right="1703" w:firstLine="0"/>
        <w:jc w:val="left"/>
        <w:rPr>
          <w:sz w:val="21"/>
        </w:rPr>
      </w:pPr>
      <w:r>
        <w:rPr>
          <w:spacing w:val="-2"/>
          <w:sz w:val="21"/>
        </w:rPr>
        <w:t>心脏：心功能受损达到美国纽约心脏病学会心功能状</w:t>
      </w:r>
      <w:r>
        <w:rPr>
          <w:spacing w:val="-6"/>
          <w:sz w:val="21"/>
        </w:rPr>
        <w:t>态分级 </w:t>
      </w:r>
      <w:r>
        <w:rPr>
          <w:sz w:val="21"/>
        </w:rPr>
        <w:t>IV</w:t>
      </w:r>
      <w:r>
        <w:rPr>
          <w:spacing w:val="-8"/>
          <w:sz w:val="21"/>
        </w:rPr>
        <w:t> 级；</w:t>
      </w:r>
    </w:p>
    <w:p>
      <w:pPr>
        <w:pStyle w:val="ListParagraph"/>
        <w:numPr>
          <w:ilvl w:val="0"/>
          <w:numId w:val="31"/>
        </w:numPr>
        <w:tabs>
          <w:tab w:pos="879" w:val="left" w:leader="none"/>
        </w:tabs>
        <w:spacing w:line="278" w:lineRule="auto" w:before="0" w:after="0"/>
        <w:ind w:left="349" w:right="1703" w:firstLine="0"/>
        <w:jc w:val="left"/>
        <w:rPr>
          <w:sz w:val="21"/>
        </w:rPr>
      </w:pPr>
      <w:r>
        <w:rPr>
          <w:spacing w:val="-2"/>
          <w:sz w:val="21"/>
        </w:rPr>
        <w:t>肾脏：肾脏受损导致双肾功能慢性不可逆衰竭，达到</w:t>
      </w:r>
      <w:r>
        <w:rPr>
          <w:spacing w:val="-2"/>
          <w:sz w:val="21"/>
        </w:rPr>
        <w:t>尿毒症期。</w:t>
      </w:r>
    </w:p>
    <w:p>
      <w:pPr>
        <w:pStyle w:val="BodyText"/>
        <w:spacing w:before="154"/>
        <w:ind w:left="349"/>
      </w:pPr>
      <w:r>
        <w:rPr>
          <w:spacing w:val="-3"/>
        </w:rPr>
        <w:t>以下情况不在保障范围内：</w:t>
      </w:r>
    </w:p>
    <w:p>
      <w:pPr>
        <w:pStyle w:val="BodyText"/>
        <w:spacing w:before="9"/>
        <w:rPr>
          <w:sz w:val="15"/>
        </w:rPr>
      </w:pPr>
    </w:p>
    <w:p>
      <w:pPr>
        <w:pStyle w:val="ListParagraph"/>
        <w:numPr>
          <w:ilvl w:val="0"/>
          <w:numId w:val="32"/>
        </w:numPr>
        <w:tabs>
          <w:tab w:pos="879" w:val="left" w:leader="none"/>
        </w:tabs>
        <w:spacing w:line="240" w:lineRule="auto" w:before="0" w:after="0"/>
        <w:ind w:left="878" w:right="0" w:hanging="530"/>
        <w:jc w:val="left"/>
        <w:rPr>
          <w:sz w:val="21"/>
        </w:rPr>
      </w:pPr>
      <w:r>
        <w:rPr>
          <w:spacing w:val="-2"/>
          <w:sz w:val="21"/>
        </w:rPr>
        <w:t>局限性硬皮病（带状硬皮病或斑状损害</w:t>
      </w:r>
      <w:r>
        <w:rPr>
          <w:spacing w:val="-10"/>
          <w:sz w:val="21"/>
        </w:rPr>
        <w:t>）</w:t>
      </w:r>
    </w:p>
    <w:p>
      <w:pPr>
        <w:pStyle w:val="ListParagraph"/>
        <w:numPr>
          <w:ilvl w:val="0"/>
          <w:numId w:val="32"/>
        </w:numPr>
        <w:tabs>
          <w:tab w:pos="879" w:val="left" w:leader="none"/>
        </w:tabs>
        <w:spacing w:line="240" w:lineRule="auto" w:before="43" w:after="0"/>
        <w:ind w:left="878" w:right="0" w:hanging="530"/>
        <w:jc w:val="left"/>
        <w:rPr>
          <w:sz w:val="21"/>
        </w:rPr>
      </w:pPr>
      <w:r>
        <w:rPr>
          <w:spacing w:val="-4"/>
          <w:sz w:val="21"/>
        </w:rPr>
        <w:t>嗜酸性筋膜炎</w:t>
      </w:r>
    </w:p>
    <w:p>
      <w:pPr>
        <w:pStyle w:val="ListParagraph"/>
        <w:numPr>
          <w:ilvl w:val="0"/>
          <w:numId w:val="32"/>
        </w:numPr>
        <w:tabs>
          <w:tab w:pos="879" w:val="left" w:leader="none"/>
        </w:tabs>
        <w:spacing w:line="240" w:lineRule="auto" w:before="43" w:after="0"/>
        <w:ind w:left="878" w:right="0" w:hanging="530"/>
        <w:jc w:val="left"/>
        <w:rPr>
          <w:sz w:val="21"/>
        </w:rPr>
      </w:pPr>
      <w:r>
        <w:rPr>
          <w:sz w:val="21"/>
        </w:rPr>
        <w:t>CREST</w:t>
      </w:r>
      <w:r>
        <w:rPr>
          <w:spacing w:val="-18"/>
          <w:sz w:val="21"/>
        </w:rPr>
        <w:t> 综合征</w:t>
      </w:r>
    </w:p>
    <w:p>
      <w:pPr>
        <w:spacing w:after="0" w:line="240" w:lineRule="auto"/>
        <w:jc w:val="left"/>
        <w:rPr>
          <w:sz w:val="21"/>
        </w:rPr>
        <w:sectPr>
          <w:type w:val="continuous"/>
          <w:pgSz w:w="11910" w:h="16840"/>
          <w:pgMar w:header="0" w:footer="226" w:top="240" w:bottom="420" w:left="980" w:right="400"/>
          <w:cols w:num="2" w:equalWidth="0">
            <w:col w:w="3073" w:space="40"/>
            <w:col w:w="7417"/>
          </w:cols>
        </w:sectPr>
      </w:pPr>
    </w:p>
    <w:p>
      <w:pPr>
        <w:pStyle w:val="BodyText"/>
        <w:spacing w:before="11"/>
        <w:rPr>
          <w:sz w:val="22"/>
        </w:rPr>
      </w:pPr>
    </w:p>
    <w:p>
      <w:pPr>
        <w:spacing w:after="0"/>
        <w:rPr>
          <w:sz w:val="22"/>
        </w:rPr>
        <w:sectPr>
          <w:type w:val="continuous"/>
          <w:pgSz w:w="11910" w:h="16840"/>
          <w:pgMar w:header="0" w:footer="226" w:top="240" w:bottom="420" w:left="980" w:right="400"/>
        </w:sectPr>
      </w:pPr>
    </w:p>
    <w:p>
      <w:pPr>
        <w:pStyle w:val="Heading2"/>
        <w:numPr>
          <w:ilvl w:val="0"/>
          <w:numId w:val="15"/>
        </w:numPr>
        <w:tabs>
          <w:tab w:pos="2229" w:val="left" w:leader="none"/>
        </w:tabs>
        <w:spacing w:line="196" w:lineRule="auto" w:before="53" w:after="0"/>
        <w:ind w:left="1910" w:right="0" w:firstLine="0"/>
        <w:jc w:val="left"/>
      </w:pPr>
      <w:r>
        <w:rPr>
          <w:spacing w:val="-4"/>
        </w:rPr>
        <w:t>慢性复发</w:t>
      </w:r>
      <w:r>
        <w:rPr>
          <w:spacing w:val="-4"/>
        </w:rPr>
        <w:t>性胰腺炎</w:t>
      </w:r>
    </w:p>
    <w:p>
      <w:pPr>
        <w:pStyle w:val="BodyText"/>
        <w:spacing w:line="280" w:lineRule="auto" w:before="72"/>
        <w:ind w:left="349" w:right="1597"/>
        <w:jc w:val="both"/>
      </w:pPr>
      <w:r>
        <w:rPr/>
        <w:br w:type="column"/>
      </w:r>
      <w:r>
        <w:rPr>
          <w:spacing w:val="-2"/>
        </w:rPr>
        <w:t>胰腺炎反复发作超过三次以上并导致胰腺功能紊乱和营养不</w:t>
      </w:r>
      <w:r>
        <w:rPr>
          <w:spacing w:val="-2"/>
        </w:rPr>
        <w:t>良，需要接受酶替代治疗。诊断必须有消化科专科医生确认</w:t>
      </w:r>
      <w:r>
        <w:rPr>
          <w:spacing w:val="-2"/>
        </w:rPr>
        <w:t>并且有内窥镜逆行胰胆管造影所证实。</w:t>
      </w:r>
    </w:p>
    <w:p>
      <w:pPr>
        <w:pStyle w:val="BodyText"/>
        <w:spacing w:before="150"/>
        <w:ind w:left="349"/>
      </w:pPr>
      <w:r>
        <w:rPr>
          <w:spacing w:val="-3"/>
        </w:rPr>
        <w:t>因酒精所致的慢性复发性胰腺炎除外。</w:t>
      </w:r>
    </w:p>
    <w:p>
      <w:pPr>
        <w:spacing w:after="0"/>
        <w:sectPr>
          <w:type w:val="continuous"/>
          <w:pgSz w:w="11910" w:h="16840"/>
          <w:pgMar w:header="0" w:footer="226" w:top="240" w:bottom="420" w:left="980" w:right="400"/>
          <w:cols w:num="2" w:equalWidth="0">
            <w:col w:w="3073" w:space="40"/>
            <w:col w:w="7417"/>
          </w:cols>
        </w:sectPr>
      </w:pPr>
    </w:p>
    <w:p>
      <w:pPr>
        <w:pStyle w:val="BodyText"/>
        <w:spacing w:before="10"/>
        <w:rPr>
          <w:sz w:val="27"/>
        </w:rPr>
      </w:pPr>
    </w:p>
    <w:p>
      <w:pPr>
        <w:spacing w:after="0"/>
        <w:rPr>
          <w:sz w:val="27"/>
        </w:rPr>
        <w:sectPr>
          <w:type w:val="continuous"/>
          <w:pgSz w:w="11910" w:h="16840"/>
          <w:pgMar w:header="0" w:footer="226" w:top="240" w:bottom="420" w:left="980" w:right="400"/>
        </w:sectPr>
      </w:pPr>
    </w:p>
    <w:p>
      <w:pPr>
        <w:pStyle w:val="Heading2"/>
        <w:numPr>
          <w:ilvl w:val="0"/>
          <w:numId w:val="15"/>
        </w:numPr>
        <w:tabs>
          <w:tab w:pos="2229" w:val="left" w:leader="none"/>
        </w:tabs>
        <w:spacing w:line="196" w:lineRule="auto" w:before="52" w:after="0"/>
        <w:ind w:left="1910" w:right="0" w:firstLine="0"/>
        <w:jc w:val="left"/>
      </w:pPr>
      <w:r>
        <w:rPr>
          <w:spacing w:val="-4"/>
        </w:rPr>
        <w:t>严重肌营</w:t>
      </w:r>
      <w:r>
        <w:rPr>
          <w:spacing w:val="-4"/>
        </w:rPr>
        <w:t>养不良症</w:t>
      </w:r>
    </w:p>
    <w:p>
      <w:pPr>
        <w:pStyle w:val="BodyText"/>
        <w:spacing w:line="283" w:lineRule="auto" w:before="71"/>
        <w:ind w:left="349" w:right="1597"/>
      </w:pPr>
      <w:r>
        <w:rPr/>
        <w:br w:type="column"/>
      </w:r>
      <w:r>
        <w:rPr>
          <w:spacing w:val="-2"/>
        </w:rPr>
        <w:t>指一组原发于肌肉的遗传性疾病，临床表现为与神经系统无</w:t>
      </w:r>
      <w:r>
        <w:rPr>
          <w:spacing w:val="-2"/>
        </w:rPr>
        <w:t>关的肌肉无力和肌肉萎缩。须满足下列全部条件：</w:t>
      </w:r>
    </w:p>
    <w:p>
      <w:pPr>
        <w:pStyle w:val="ListParagraph"/>
        <w:numPr>
          <w:ilvl w:val="0"/>
          <w:numId w:val="33"/>
        </w:numPr>
        <w:tabs>
          <w:tab w:pos="879" w:val="left" w:leader="none"/>
        </w:tabs>
        <w:spacing w:line="278" w:lineRule="auto" w:before="148" w:after="0"/>
        <w:ind w:left="349" w:right="1914" w:firstLine="0"/>
        <w:jc w:val="left"/>
        <w:rPr>
          <w:sz w:val="21"/>
        </w:rPr>
      </w:pPr>
      <w:r>
        <w:rPr>
          <w:spacing w:val="-2"/>
          <w:sz w:val="21"/>
        </w:rPr>
        <w:t>肌肉组织活检结果满足肌营养不良症的肌肉细胞变</w:t>
      </w:r>
      <w:r>
        <w:rPr>
          <w:spacing w:val="-2"/>
          <w:sz w:val="21"/>
        </w:rPr>
        <w:t>性、坏死等阳性改变；</w:t>
      </w:r>
    </w:p>
    <w:p>
      <w:pPr>
        <w:pStyle w:val="ListParagraph"/>
        <w:numPr>
          <w:ilvl w:val="0"/>
          <w:numId w:val="33"/>
        </w:numPr>
        <w:tabs>
          <w:tab w:pos="879" w:val="left" w:leader="none"/>
        </w:tabs>
        <w:spacing w:line="278" w:lineRule="auto" w:before="0" w:after="0"/>
        <w:ind w:left="349" w:right="1703" w:firstLine="0"/>
        <w:jc w:val="left"/>
        <w:rPr>
          <w:sz w:val="21"/>
        </w:rPr>
      </w:pPr>
      <w:r>
        <w:rPr>
          <w:spacing w:val="-2"/>
          <w:sz w:val="21"/>
        </w:rPr>
        <w:t>自主生活能力严重丧失，无法独立完成六项基本日常</w:t>
      </w:r>
      <w:r>
        <w:rPr>
          <w:spacing w:val="-2"/>
          <w:sz w:val="21"/>
        </w:rPr>
        <w:t>生活活动中的三项或三项以上。</w:t>
      </w:r>
    </w:p>
    <w:p>
      <w:pPr>
        <w:pStyle w:val="BodyText"/>
        <w:spacing w:line="283" w:lineRule="auto" w:before="153"/>
        <w:ind w:left="349" w:right="1597"/>
      </w:pPr>
      <w:r>
        <w:rPr>
          <w:spacing w:val="-2"/>
        </w:rPr>
        <w:t>本公司承担本项疾病责任不受本合同责任免除中“遗传性疾</w:t>
      </w:r>
      <w:r>
        <w:rPr>
          <w:spacing w:val="-2"/>
        </w:rPr>
        <w:t>病，先天性畸形、变形或染色体异常”的限制。</w:t>
      </w:r>
    </w:p>
    <w:p>
      <w:pPr>
        <w:spacing w:after="0" w:line="283" w:lineRule="auto"/>
        <w:sectPr>
          <w:type w:val="continuous"/>
          <w:pgSz w:w="11910" w:h="16840"/>
          <w:pgMar w:header="0" w:footer="226" w:top="240" w:bottom="420" w:left="980" w:right="400"/>
          <w:cols w:num="2" w:equalWidth="0">
            <w:col w:w="3073" w:space="40"/>
            <w:col w:w="7417"/>
          </w:cols>
        </w:sectPr>
      </w:pPr>
    </w:p>
    <w:p>
      <w:pPr>
        <w:pStyle w:val="BodyText"/>
        <w:spacing w:before="1"/>
        <w:rPr>
          <w:sz w:val="19"/>
        </w:rPr>
      </w:pPr>
    </w:p>
    <w:p>
      <w:pPr>
        <w:spacing w:after="0"/>
        <w:rPr>
          <w:sz w:val="19"/>
        </w:rPr>
        <w:sectPr>
          <w:type w:val="continuous"/>
          <w:pgSz w:w="11910" w:h="16840"/>
          <w:pgMar w:header="0" w:footer="226" w:top="240" w:bottom="420" w:left="980" w:right="400"/>
        </w:sectPr>
      </w:pPr>
    </w:p>
    <w:p>
      <w:pPr>
        <w:pStyle w:val="Heading2"/>
        <w:numPr>
          <w:ilvl w:val="0"/>
          <w:numId w:val="15"/>
        </w:numPr>
        <w:tabs>
          <w:tab w:pos="2229" w:val="left" w:leader="none"/>
        </w:tabs>
        <w:spacing w:line="194" w:lineRule="auto" w:before="56" w:after="0"/>
        <w:ind w:left="1910" w:right="0" w:firstLine="0"/>
        <w:jc w:val="left"/>
      </w:pPr>
      <w:r>
        <w:rPr>
          <w:spacing w:val="-4"/>
        </w:rPr>
        <w:t>溶血性链</w:t>
      </w:r>
      <w:r>
        <w:rPr>
          <w:spacing w:val="-2"/>
        </w:rPr>
        <w:t>球菌引起的坏</w:t>
      </w:r>
      <w:r>
        <w:rPr>
          <w:spacing w:val="-10"/>
        </w:rPr>
        <w:t>疽</w:t>
      </w:r>
    </w:p>
    <w:p>
      <w:pPr>
        <w:pStyle w:val="BodyText"/>
        <w:spacing w:line="280" w:lineRule="auto" w:before="72"/>
        <w:ind w:left="244" w:right="1597"/>
      </w:pPr>
      <w:r>
        <w:rPr/>
        <w:br w:type="column"/>
      </w:r>
      <w:r>
        <w:rPr>
          <w:spacing w:val="-2"/>
        </w:rPr>
        <w:t>包围肢体或躯干的浅筋膜和/或深筋膜受到溶血性链球菌的</w:t>
      </w:r>
      <w:r>
        <w:rPr>
          <w:spacing w:val="-2"/>
        </w:rPr>
        <w:t>感染，病情在短时间内急剧恶化，已经立刻进行了手术及清</w:t>
      </w:r>
      <w:r>
        <w:rPr>
          <w:spacing w:val="-2"/>
        </w:rPr>
        <w:t>创术。最后的诊断必须由微生物或病理学专家进行相关检查</w:t>
      </w:r>
      <w:r>
        <w:rPr>
          <w:spacing w:val="-4"/>
        </w:rPr>
        <w:t>后证实。</w:t>
      </w:r>
    </w:p>
    <w:p>
      <w:pPr>
        <w:spacing w:after="0" w:line="280" w:lineRule="auto"/>
        <w:sectPr>
          <w:type w:val="continuous"/>
          <w:pgSz w:w="11910" w:h="16840"/>
          <w:pgMar w:header="0" w:footer="226" w:top="240" w:bottom="420" w:left="980" w:right="400"/>
          <w:cols w:num="2" w:equalWidth="0">
            <w:col w:w="3178" w:space="40"/>
            <w:col w:w="7312"/>
          </w:cols>
        </w:sectPr>
      </w:pPr>
    </w:p>
    <w:p>
      <w:pPr>
        <w:pStyle w:val="Heading2"/>
        <w:numPr>
          <w:ilvl w:val="0"/>
          <w:numId w:val="15"/>
        </w:numPr>
        <w:tabs>
          <w:tab w:pos="2229" w:val="left" w:leader="none"/>
        </w:tabs>
        <w:spacing w:line="194" w:lineRule="auto" w:before="35" w:after="0"/>
        <w:ind w:left="1910" w:right="0" w:firstLine="0"/>
        <w:jc w:val="both"/>
      </w:pPr>
      <w:r>
        <w:rPr>
          <w:spacing w:val="-4"/>
        </w:rPr>
        <w:t>因职业关</w:t>
      </w:r>
      <w:r>
        <w:rPr>
          <w:w w:val="95"/>
        </w:rPr>
        <w:t>系</w:t>
      </w:r>
      <w:r>
        <w:rPr>
          <w:w w:val="95"/>
        </w:rPr>
        <w:t>导</w:t>
      </w:r>
      <w:r>
        <w:rPr>
          <w:w w:val="95"/>
        </w:rPr>
        <w:t>致</w:t>
      </w:r>
      <w:r>
        <w:rPr>
          <w:w w:val="95"/>
        </w:rPr>
        <w:t>的</w:t>
      </w:r>
      <w:r>
        <w:rPr>
          <w:spacing w:val="-11"/>
          <w:w w:val="95"/>
        </w:rPr>
        <w:t> </w:t>
      </w:r>
      <w:r>
        <w:rPr>
          <w:w w:val="95"/>
        </w:rPr>
        <w:t>HIV</w:t>
      </w:r>
      <w:r>
        <w:rPr>
          <w:spacing w:val="-6"/>
        </w:rPr>
        <w:t>感染</w:t>
      </w:r>
    </w:p>
    <w:p>
      <w:pPr>
        <w:pStyle w:val="BodyText"/>
        <w:spacing w:line="278" w:lineRule="auto" w:before="51"/>
        <w:ind w:left="296" w:right="1595"/>
        <w:jc w:val="both"/>
      </w:pPr>
      <w:r>
        <w:rPr/>
        <w:br w:type="column"/>
      </w:r>
      <w:r>
        <w:rPr>
          <w:spacing w:val="-2"/>
        </w:rPr>
        <w:t>被保险人在其常规职业工作过程中遭遇外伤，或职业需要处</w:t>
      </w:r>
      <w:r>
        <w:rPr>
          <w:spacing w:val="-4"/>
        </w:rPr>
        <w:t>理血液或其它体液时感染上人类免疫缺陷病毒</w:t>
      </w:r>
      <w:r>
        <w:rPr>
          <w:spacing w:val="15"/>
        </w:rPr>
        <w:t>（</w:t>
      </w:r>
      <w:r>
        <w:rPr>
          <w:spacing w:val="19"/>
        </w:rPr>
        <w:t>HIV</w:t>
      </w:r>
      <w:r>
        <w:rPr>
          <w:spacing w:val="-92"/>
        </w:rPr>
        <w:t>）</w:t>
      </w:r>
      <w:r>
        <w:rPr>
          <w:spacing w:val="-4"/>
        </w:rPr>
        <w:t>。必须</w:t>
      </w:r>
      <w:r>
        <w:rPr>
          <w:spacing w:val="-2"/>
        </w:rPr>
        <w:t>满足下列全部条件：</w:t>
      </w:r>
    </w:p>
    <w:p>
      <w:pPr>
        <w:pStyle w:val="ListParagraph"/>
        <w:numPr>
          <w:ilvl w:val="0"/>
          <w:numId w:val="34"/>
        </w:numPr>
        <w:tabs>
          <w:tab w:pos="826" w:val="left" w:leader="none"/>
        </w:tabs>
        <w:spacing w:line="283" w:lineRule="auto" w:before="153" w:after="0"/>
        <w:ind w:left="296" w:right="1703" w:firstLine="0"/>
        <w:jc w:val="left"/>
        <w:rPr>
          <w:sz w:val="21"/>
        </w:rPr>
      </w:pPr>
      <w:r>
        <w:rPr>
          <w:spacing w:val="-2"/>
          <w:sz w:val="21"/>
        </w:rPr>
        <w:t>感染必须是在被保险人正在从事其职业工作中发生，</w:t>
      </w:r>
      <w:r>
        <w:rPr>
          <w:spacing w:val="-2"/>
          <w:sz w:val="21"/>
        </w:rPr>
        <w:t>该职业必须属于下列限定职业范围内的职业；</w:t>
      </w:r>
    </w:p>
    <w:p>
      <w:pPr>
        <w:pStyle w:val="ListParagraph"/>
        <w:numPr>
          <w:ilvl w:val="0"/>
          <w:numId w:val="34"/>
        </w:numPr>
        <w:tabs>
          <w:tab w:pos="826" w:val="left" w:leader="none"/>
        </w:tabs>
        <w:spacing w:line="263" w:lineRule="exact" w:before="0" w:after="0"/>
        <w:ind w:left="825" w:right="0" w:hanging="530"/>
        <w:jc w:val="left"/>
        <w:rPr>
          <w:sz w:val="21"/>
        </w:rPr>
      </w:pPr>
      <w:r>
        <w:rPr>
          <w:spacing w:val="-5"/>
          <w:sz w:val="21"/>
        </w:rPr>
        <w:t>血清转化必须出现在事故发生后的 </w:t>
      </w:r>
      <w:r>
        <w:rPr>
          <w:spacing w:val="-2"/>
          <w:sz w:val="21"/>
        </w:rPr>
        <w:t>6</w:t>
      </w:r>
      <w:r>
        <w:rPr>
          <w:spacing w:val="-12"/>
          <w:sz w:val="21"/>
        </w:rPr>
        <w:t> 个月以内；</w:t>
      </w:r>
    </w:p>
    <w:p>
      <w:pPr>
        <w:pStyle w:val="ListParagraph"/>
        <w:numPr>
          <w:ilvl w:val="0"/>
          <w:numId w:val="34"/>
        </w:numPr>
        <w:tabs>
          <w:tab w:pos="826" w:val="left" w:leader="none"/>
        </w:tabs>
        <w:spacing w:line="278" w:lineRule="auto" w:before="43" w:after="0"/>
        <w:ind w:left="296" w:right="1597" w:firstLine="0"/>
        <w:jc w:val="left"/>
        <w:rPr>
          <w:sz w:val="21"/>
        </w:rPr>
      </w:pPr>
      <w:r>
        <w:rPr>
          <w:spacing w:val="-2"/>
          <w:sz w:val="21"/>
        </w:rPr>
        <w:t>必须提供被保险人在所报事故后发生的 </w:t>
      </w:r>
      <w:r>
        <w:rPr>
          <w:sz w:val="21"/>
        </w:rPr>
        <w:t>5</w:t>
      </w:r>
      <w:r>
        <w:rPr>
          <w:spacing w:val="-6"/>
          <w:sz w:val="21"/>
        </w:rPr>
        <w:t> 天以内进行</w:t>
      </w:r>
      <w:r>
        <w:rPr>
          <w:spacing w:val="-2"/>
          <w:sz w:val="21"/>
        </w:rPr>
        <w:t>的检查报告，该报告必须显示被保险人血液人类免疫缺陷病</w:t>
      </w:r>
      <w:r>
        <w:rPr>
          <w:spacing w:val="-2"/>
          <w:sz w:val="21"/>
        </w:rPr>
        <w:t>毒（HIV）阴性和/或人类免疫缺陷病毒（HIV）抗体阴性；</w:t>
      </w:r>
    </w:p>
    <w:p>
      <w:pPr>
        <w:pStyle w:val="ListParagraph"/>
        <w:numPr>
          <w:ilvl w:val="0"/>
          <w:numId w:val="34"/>
        </w:numPr>
        <w:tabs>
          <w:tab w:pos="826" w:val="left" w:leader="none"/>
        </w:tabs>
        <w:spacing w:line="278" w:lineRule="auto" w:before="0" w:after="0"/>
        <w:ind w:left="296" w:right="1596" w:firstLine="0"/>
        <w:jc w:val="left"/>
        <w:rPr>
          <w:sz w:val="21"/>
        </w:rPr>
      </w:pPr>
      <w:r>
        <w:rPr>
          <w:spacing w:val="-6"/>
          <w:sz w:val="21"/>
        </w:rPr>
        <w:t>必须在事故发生后的 </w:t>
      </w:r>
      <w:r>
        <w:rPr>
          <w:sz w:val="21"/>
        </w:rPr>
        <w:t>12</w:t>
      </w:r>
      <w:r>
        <w:rPr>
          <w:spacing w:val="-8"/>
          <w:sz w:val="21"/>
        </w:rPr>
        <w:t> 个月内证实被保险人体内存在</w:t>
      </w:r>
      <w:r>
        <w:rPr>
          <w:spacing w:val="-2"/>
          <w:sz w:val="21"/>
        </w:rPr>
        <w:t>人类免疫缺陷病毒（HIV）或人类免疫缺陷病毒（HIV）抗</w:t>
      </w:r>
      <w:r>
        <w:rPr>
          <w:spacing w:val="40"/>
          <w:sz w:val="21"/>
        </w:rPr>
        <w:t> </w:t>
      </w:r>
      <w:r>
        <w:rPr>
          <w:spacing w:val="-6"/>
          <w:sz w:val="21"/>
        </w:rPr>
        <w:t>体。</w:t>
      </w:r>
    </w:p>
    <w:p>
      <w:pPr>
        <w:pStyle w:val="BodyText"/>
        <w:spacing w:before="153"/>
        <w:ind w:left="296"/>
      </w:pPr>
      <w:r>
        <w:rPr>
          <w:spacing w:val="-2"/>
        </w:rPr>
        <w:t>限定职业：</w:t>
      </w:r>
    </w:p>
    <w:p>
      <w:pPr>
        <w:pStyle w:val="BodyText"/>
        <w:spacing w:before="5"/>
        <w:rPr>
          <w:sz w:val="15"/>
        </w:rPr>
      </w:pPr>
    </w:p>
    <w:p>
      <w:pPr>
        <w:pStyle w:val="BodyText"/>
        <w:spacing w:line="280" w:lineRule="auto"/>
        <w:ind w:left="296" w:right="1597"/>
      </w:pPr>
      <w:r>
        <w:rPr>
          <w:spacing w:val="-2"/>
        </w:rPr>
        <w:t>医生和牙科医生、护士、医院化验室工作人员、医院护工、</w:t>
      </w:r>
      <w:r>
        <w:rPr>
          <w:spacing w:val="-2"/>
        </w:rPr>
        <w:t>医生助理和牙医助理、救护车工作人员、助产士、消防队</w:t>
      </w:r>
      <w:r>
        <w:rPr/>
        <w:t> </w:t>
      </w:r>
      <w:r>
        <w:rPr>
          <w:spacing w:val="-2"/>
        </w:rPr>
        <w:t>员、警察、狱警。</w:t>
      </w:r>
    </w:p>
    <w:p>
      <w:pPr>
        <w:pStyle w:val="BodyText"/>
        <w:spacing w:line="278" w:lineRule="auto" w:before="150"/>
        <w:ind w:left="296" w:right="1597"/>
      </w:pPr>
      <w:r>
        <w:rPr>
          <w:spacing w:val="-2"/>
        </w:rPr>
        <w:t>在任何治愈艾滋病或阻止人类免疫缺陷病毒（HIV）病毒作</w:t>
      </w:r>
      <w:r>
        <w:rPr>
          <w:spacing w:val="-2"/>
        </w:rPr>
        <w:t>用的疗法被发现以后，或能防止艾滋病发生的医疗方法被研</w:t>
      </w:r>
      <w:r>
        <w:rPr>
          <w:spacing w:val="-2"/>
        </w:rPr>
        <w:t>究出来以后，本保障将不再予以赔付。</w:t>
      </w:r>
    </w:p>
    <w:p>
      <w:pPr>
        <w:pStyle w:val="BodyText"/>
        <w:spacing w:line="283" w:lineRule="auto" w:before="154"/>
        <w:ind w:left="296" w:right="1597"/>
      </w:pPr>
      <w:r>
        <w:rPr>
          <w:spacing w:val="-2"/>
        </w:rPr>
        <w:t>本公司承担本项疾病责任不受本合同责任免除中“被保险人</w:t>
      </w:r>
      <w:r>
        <w:rPr>
          <w:spacing w:val="-2"/>
        </w:rPr>
        <w:t>感染艾滋病病毒或患艾滋病”的限制。</w:t>
      </w:r>
    </w:p>
    <w:p>
      <w:pPr>
        <w:spacing w:after="0" w:line="283" w:lineRule="auto"/>
        <w:sectPr>
          <w:pgSz w:w="11910" w:h="16840"/>
          <w:pgMar w:header="0" w:footer="226" w:top="820" w:bottom="420" w:left="980" w:right="400"/>
          <w:cols w:num="2" w:equalWidth="0">
            <w:col w:w="3126" w:space="40"/>
            <w:col w:w="7364"/>
          </w:cols>
        </w:sectPr>
      </w:pPr>
    </w:p>
    <w:p>
      <w:pPr>
        <w:pStyle w:val="BodyText"/>
        <w:rPr>
          <w:sz w:val="19"/>
        </w:rPr>
      </w:pPr>
    </w:p>
    <w:p>
      <w:pPr>
        <w:spacing w:after="0"/>
        <w:rPr>
          <w:sz w:val="19"/>
        </w:rPr>
        <w:sectPr>
          <w:type w:val="continuous"/>
          <w:pgSz w:w="11910" w:h="16840"/>
          <w:pgMar w:header="0" w:footer="226" w:top="240" w:bottom="420" w:left="980" w:right="400"/>
        </w:sectPr>
      </w:pPr>
    </w:p>
    <w:p>
      <w:pPr>
        <w:pStyle w:val="Heading2"/>
        <w:numPr>
          <w:ilvl w:val="0"/>
          <w:numId w:val="15"/>
        </w:numPr>
        <w:tabs>
          <w:tab w:pos="2229" w:val="left" w:leader="none"/>
        </w:tabs>
        <w:spacing w:line="196" w:lineRule="auto" w:before="53" w:after="0"/>
        <w:ind w:left="1910" w:right="0" w:firstLine="0"/>
        <w:jc w:val="left"/>
      </w:pPr>
      <w:r>
        <w:rPr>
          <w:spacing w:val="-4"/>
        </w:rPr>
        <w:t>植物人状</w:t>
      </w:r>
      <w:r>
        <w:rPr>
          <w:spacing w:val="-10"/>
        </w:rPr>
        <w:t>态</w:t>
      </w:r>
    </w:p>
    <w:p>
      <w:pPr>
        <w:pStyle w:val="BodyText"/>
        <w:spacing w:line="280" w:lineRule="auto" w:before="72"/>
        <w:ind w:left="349" w:right="1595"/>
        <w:jc w:val="both"/>
      </w:pPr>
      <w:r>
        <w:rPr/>
        <w:br w:type="column"/>
      </w:r>
      <w:r>
        <w:rPr>
          <w:spacing w:val="-2"/>
        </w:rPr>
        <w:t>指脑皮质广泛性坏死而导致对自身及周边的认知能力完全丧</w:t>
      </w:r>
      <w:r>
        <w:rPr>
          <w:spacing w:val="-2"/>
        </w:rPr>
        <w:t>失,但脑干功能依然存在。必须由神经专科医生明确诊断,并</w:t>
      </w:r>
      <w:r>
        <w:rPr>
          <w:spacing w:val="-4"/>
        </w:rPr>
        <w:t>有头颅断层扫描</w:t>
      </w:r>
      <w:r>
        <w:rPr>
          <w:spacing w:val="18"/>
        </w:rPr>
        <w:t>（CT</w:t>
      </w:r>
      <w:r>
        <w:rPr>
          <w:spacing w:val="-93"/>
        </w:rPr>
        <w:t>）</w:t>
      </w:r>
      <w:r>
        <w:rPr>
          <w:spacing w:val="-2"/>
        </w:rPr>
        <w:t>，核磁共振检查</w:t>
      </w:r>
      <w:r>
        <w:rPr>
          <w:spacing w:val="-4"/>
        </w:rPr>
        <w:t>（MRI）或正电子发射</w:t>
      </w:r>
      <w:r>
        <w:rPr>
          <w:spacing w:val="-2"/>
        </w:rPr>
        <w:t>断层扫描（PET）等影像学检查证实。</w:t>
      </w:r>
    </w:p>
    <w:p>
      <w:pPr>
        <w:pStyle w:val="BodyText"/>
        <w:spacing w:line="278" w:lineRule="auto" w:before="148"/>
        <w:ind w:left="349" w:right="1597"/>
      </w:pPr>
      <w:r>
        <w:rPr>
          <w:spacing w:val="-2"/>
        </w:rPr>
        <w:t>上述情况必须有至少一个月的病历记录加以证实。由于酗酒</w:t>
      </w:r>
      <w:r>
        <w:rPr>
          <w:spacing w:val="-2"/>
        </w:rPr>
        <w:t>或滥用药物所致的植物人状态不在保障范围内。</w:t>
      </w:r>
    </w:p>
    <w:p>
      <w:pPr>
        <w:spacing w:after="0" w:line="278" w:lineRule="auto"/>
        <w:sectPr>
          <w:type w:val="continuous"/>
          <w:pgSz w:w="11910" w:h="16840"/>
          <w:pgMar w:header="0" w:footer="226" w:top="240" w:bottom="420" w:left="980" w:right="400"/>
          <w:cols w:num="2" w:equalWidth="0">
            <w:col w:w="3073" w:space="40"/>
            <w:col w:w="7417"/>
          </w:cols>
        </w:sectPr>
      </w:pPr>
    </w:p>
    <w:p>
      <w:pPr>
        <w:pStyle w:val="BodyText"/>
        <w:spacing w:before="11"/>
        <w:rPr>
          <w:sz w:val="19"/>
        </w:rPr>
      </w:pPr>
    </w:p>
    <w:p>
      <w:pPr>
        <w:spacing w:after="0"/>
        <w:rPr>
          <w:sz w:val="19"/>
        </w:rPr>
        <w:sectPr>
          <w:type w:val="continuous"/>
          <w:pgSz w:w="11910" w:h="16840"/>
          <w:pgMar w:header="0" w:footer="226" w:top="240" w:bottom="420" w:left="980" w:right="400"/>
        </w:sectPr>
      </w:pPr>
    </w:p>
    <w:p>
      <w:pPr>
        <w:pStyle w:val="Heading2"/>
        <w:numPr>
          <w:ilvl w:val="0"/>
          <w:numId w:val="15"/>
        </w:numPr>
        <w:tabs>
          <w:tab w:pos="2229" w:val="left" w:leader="none"/>
        </w:tabs>
        <w:spacing w:line="194" w:lineRule="auto" w:before="56" w:after="0"/>
        <w:ind w:left="1910" w:right="0" w:firstLine="0"/>
        <w:jc w:val="left"/>
      </w:pPr>
      <w:r>
        <w:rPr>
          <w:spacing w:val="-4"/>
        </w:rPr>
        <w:t>亚历山大</w:t>
      </w:r>
      <w:r>
        <w:rPr>
          <w:spacing w:val="-10"/>
        </w:rPr>
        <w:t>病</w:t>
      </w:r>
    </w:p>
    <w:p>
      <w:pPr>
        <w:pStyle w:val="BodyText"/>
        <w:spacing w:line="278" w:lineRule="auto" w:before="72"/>
        <w:ind w:left="349" w:right="1597"/>
      </w:pPr>
      <w:r>
        <w:rPr/>
        <w:br w:type="column"/>
      </w:r>
      <w:r>
        <w:rPr>
          <w:spacing w:val="-2"/>
        </w:rPr>
        <w:t>是一种遗传性中枢神经系统退行性病变，特点为脑白质营养</w:t>
      </w:r>
      <w:r>
        <w:rPr>
          <w:spacing w:val="-2"/>
        </w:rPr>
        <w:t>不良。临床表现为惊厥发作、智力下降、球麻痹、共济失</w:t>
      </w:r>
      <w:r>
        <w:rPr/>
        <w:t> </w:t>
      </w:r>
      <w:r>
        <w:rPr>
          <w:spacing w:val="-2"/>
        </w:rPr>
        <w:t>调、痉挛性瘫痪。亚历山大病必须被明确诊断，并且造成永</w:t>
      </w:r>
      <w:r>
        <w:rPr>
          <w:spacing w:val="-2"/>
        </w:rPr>
        <w:t>久性神经系统功能损害。被保人自主生活能力完全丧失，无</w:t>
      </w:r>
      <w:r>
        <w:rPr>
          <w:spacing w:val="-2"/>
        </w:rPr>
        <w:t>法独立完成六项基本日常生活活动中的三项或三项以上，日</w:t>
      </w:r>
      <w:r>
        <w:rPr>
          <w:spacing w:val="-2"/>
        </w:rPr>
        <w:t>常生活必须持续接受他人护理。未诊断的疑似病例不在保障</w:t>
      </w:r>
      <w:r>
        <w:rPr>
          <w:spacing w:val="-2"/>
        </w:rPr>
        <w:t>范围之内。</w:t>
      </w:r>
    </w:p>
    <w:p>
      <w:pPr>
        <w:spacing w:after="0" w:line="278" w:lineRule="auto"/>
        <w:sectPr>
          <w:type w:val="continuous"/>
          <w:pgSz w:w="11910" w:h="16840"/>
          <w:pgMar w:header="0" w:footer="226" w:top="240" w:bottom="420" w:left="980" w:right="400"/>
          <w:cols w:num="2" w:equalWidth="0">
            <w:col w:w="3073" w:space="40"/>
            <w:col w:w="7417"/>
          </w:cols>
        </w:sectPr>
      </w:pPr>
    </w:p>
    <w:p>
      <w:pPr>
        <w:pStyle w:val="BodyText"/>
        <w:spacing w:before="6"/>
        <w:rPr>
          <w:sz w:val="19"/>
        </w:rPr>
      </w:pPr>
    </w:p>
    <w:p>
      <w:pPr>
        <w:spacing w:after="0"/>
        <w:rPr>
          <w:sz w:val="19"/>
        </w:rPr>
        <w:sectPr>
          <w:type w:val="continuous"/>
          <w:pgSz w:w="11910" w:h="16840"/>
          <w:pgMar w:header="0" w:footer="226" w:top="240" w:bottom="420" w:left="980" w:right="400"/>
        </w:sectPr>
      </w:pPr>
    </w:p>
    <w:p>
      <w:pPr>
        <w:pStyle w:val="Heading2"/>
        <w:numPr>
          <w:ilvl w:val="0"/>
          <w:numId w:val="15"/>
        </w:numPr>
        <w:tabs>
          <w:tab w:pos="2229" w:val="left" w:leader="none"/>
        </w:tabs>
        <w:spacing w:line="194" w:lineRule="auto" w:before="55" w:after="0"/>
        <w:ind w:left="1910" w:right="0" w:firstLine="0"/>
        <w:jc w:val="left"/>
      </w:pPr>
      <w:r>
        <w:rPr>
          <w:spacing w:val="-4"/>
        </w:rPr>
        <w:t>非阿尔茨</w:t>
      </w:r>
      <w:r>
        <w:rPr>
          <w:spacing w:val="-2"/>
        </w:rPr>
        <w:t>海默病所致严</w:t>
      </w:r>
      <w:r>
        <w:rPr>
          <w:spacing w:val="-4"/>
        </w:rPr>
        <w:t>重痴呆</w:t>
      </w:r>
    </w:p>
    <w:p>
      <w:pPr>
        <w:pStyle w:val="BodyText"/>
        <w:spacing w:line="278" w:lineRule="auto" w:before="72"/>
        <w:ind w:left="244" w:right="1596"/>
        <w:jc w:val="both"/>
      </w:pPr>
      <w:r>
        <w:rPr/>
        <w:br w:type="column"/>
      </w:r>
      <w:r>
        <w:rPr>
          <w:spacing w:val="-2"/>
        </w:rPr>
        <w:t>指因阿尔茨海默病以外的脑的器质性疾病造成脑功能衰竭导</w:t>
      </w:r>
      <w:r>
        <w:rPr>
          <w:spacing w:val="-2"/>
        </w:rPr>
        <w:t>致永久不可逆性的严重痴呆，临床表现为明显的认知能力障</w:t>
      </w:r>
      <w:r>
        <w:rPr>
          <w:spacing w:val="-2"/>
        </w:rPr>
        <w:t>碍、行为异常和社交能力减退。被保险人自主生活能力完全</w:t>
      </w:r>
      <w:r>
        <w:rPr>
          <w:spacing w:val="-2"/>
        </w:rPr>
        <w:t>丧失，无法独立完成六项基本日常生活活动中的三项或三项</w:t>
      </w:r>
      <w:r>
        <w:rPr>
          <w:spacing w:val="-2"/>
        </w:rPr>
        <w:t>以上，日常生活必须持续受到他人监护。导致痴呆的疾病必</w:t>
      </w:r>
      <w:r>
        <w:rPr>
          <w:spacing w:val="-2"/>
        </w:rPr>
        <w:t>须明确诊断，并且由完整的临床、实验室和影像学检查结果</w:t>
      </w:r>
      <w:r>
        <w:rPr>
          <w:spacing w:val="-4"/>
        </w:rPr>
        <w:t>证实。</w:t>
      </w:r>
    </w:p>
    <w:p>
      <w:pPr>
        <w:pStyle w:val="BodyText"/>
        <w:spacing w:before="158"/>
        <w:ind w:left="244"/>
      </w:pPr>
      <w:r>
        <w:rPr>
          <w:spacing w:val="-3"/>
        </w:rPr>
        <w:t>神经官能症和精神疾病不在保障范围内。</w:t>
      </w:r>
    </w:p>
    <w:p>
      <w:pPr>
        <w:spacing w:after="0"/>
        <w:sectPr>
          <w:type w:val="continuous"/>
          <w:pgSz w:w="11910" w:h="16840"/>
          <w:pgMar w:header="0" w:footer="226" w:top="240" w:bottom="420" w:left="980" w:right="400"/>
          <w:cols w:num="2" w:equalWidth="0">
            <w:col w:w="3178" w:space="40"/>
            <w:col w:w="7312"/>
          </w:cols>
        </w:sectPr>
      </w:pPr>
    </w:p>
    <w:p>
      <w:pPr>
        <w:pStyle w:val="Heading2"/>
        <w:numPr>
          <w:ilvl w:val="0"/>
          <w:numId w:val="15"/>
        </w:numPr>
        <w:tabs>
          <w:tab w:pos="2229" w:val="left" w:leader="none"/>
        </w:tabs>
        <w:spacing w:line="194" w:lineRule="auto" w:before="43" w:after="0"/>
        <w:ind w:left="1910" w:right="0" w:firstLine="0"/>
        <w:jc w:val="left"/>
      </w:pPr>
      <w:r>
        <w:rPr>
          <w:spacing w:val="-4"/>
        </w:rPr>
        <w:t>严重冠状</w:t>
      </w:r>
      <w:r>
        <w:rPr>
          <w:spacing w:val="-2"/>
        </w:rPr>
        <w:t>动脉粥样硬化</w:t>
      </w:r>
      <w:r>
        <w:rPr>
          <w:spacing w:val="-4"/>
        </w:rPr>
        <w:t>性心脏病</w:t>
      </w:r>
    </w:p>
    <w:p>
      <w:pPr>
        <w:pStyle w:val="BodyText"/>
        <w:spacing w:line="283" w:lineRule="auto" w:before="59"/>
        <w:ind w:left="244" w:right="1809"/>
      </w:pPr>
      <w:r>
        <w:rPr/>
        <w:br w:type="column"/>
      </w:r>
      <w:r>
        <w:rPr>
          <w:spacing w:val="-2"/>
        </w:rPr>
        <w:t>指经冠状动脉造影检查明确诊断为主要血管严重狭窄性病</w:t>
      </w:r>
      <w:r>
        <w:rPr>
          <w:spacing w:val="-2"/>
        </w:rPr>
        <w:t>变，须满足下列至少一项条件：</w:t>
      </w:r>
    </w:p>
    <w:p>
      <w:pPr>
        <w:pStyle w:val="ListParagraph"/>
        <w:numPr>
          <w:ilvl w:val="0"/>
          <w:numId w:val="35"/>
        </w:numPr>
        <w:tabs>
          <w:tab w:pos="774" w:val="left" w:leader="none"/>
        </w:tabs>
        <w:spacing w:line="278" w:lineRule="auto" w:before="147" w:after="0"/>
        <w:ind w:left="244" w:right="1703" w:firstLine="0"/>
        <w:jc w:val="left"/>
        <w:rPr>
          <w:sz w:val="21"/>
        </w:rPr>
      </w:pPr>
      <w:r>
        <w:rPr>
          <w:spacing w:val="-2"/>
          <w:sz w:val="21"/>
        </w:rPr>
        <w:t>左冠状动脉主干和右冠状动脉中，一支血管管腔堵塞</w:t>
      </w:r>
      <w:r>
        <w:rPr>
          <w:spacing w:val="-2"/>
          <w:sz w:val="21"/>
        </w:rPr>
        <w:t> </w:t>
      </w:r>
      <w:r>
        <w:rPr>
          <w:sz w:val="21"/>
        </w:rPr>
        <w:t>75%</w:t>
      </w:r>
      <w:r>
        <w:rPr>
          <w:spacing w:val="-4"/>
          <w:sz w:val="21"/>
        </w:rPr>
        <w:t>以上，另一支血管管腔堵塞 </w:t>
      </w:r>
      <w:r>
        <w:rPr>
          <w:sz w:val="21"/>
        </w:rPr>
        <w:t>60%以上；</w:t>
      </w:r>
    </w:p>
    <w:p>
      <w:pPr>
        <w:pStyle w:val="ListParagraph"/>
        <w:numPr>
          <w:ilvl w:val="0"/>
          <w:numId w:val="35"/>
        </w:numPr>
        <w:tabs>
          <w:tab w:pos="774" w:val="left" w:leader="none"/>
        </w:tabs>
        <w:spacing w:line="278" w:lineRule="auto" w:before="1" w:after="0"/>
        <w:ind w:left="244" w:right="1703" w:firstLine="0"/>
        <w:jc w:val="left"/>
        <w:rPr>
          <w:sz w:val="21"/>
        </w:rPr>
      </w:pPr>
      <w:r>
        <w:rPr>
          <w:spacing w:val="-2"/>
          <w:sz w:val="21"/>
        </w:rPr>
        <w:t>左前降支、左旋支和右冠状动脉中，至少一支血管官</w:t>
      </w:r>
      <w:r>
        <w:rPr>
          <w:spacing w:val="-6"/>
          <w:sz w:val="21"/>
        </w:rPr>
        <w:t>腔堵塞 </w:t>
      </w:r>
      <w:r>
        <w:rPr>
          <w:sz w:val="21"/>
        </w:rPr>
        <w:t>75%</w:t>
      </w:r>
      <w:r>
        <w:rPr>
          <w:spacing w:val="-2"/>
          <w:sz w:val="21"/>
        </w:rPr>
        <w:t>以上，其他两支血管官腔堵塞 </w:t>
      </w:r>
      <w:r>
        <w:rPr>
          <w:sz w:val="21"/>
        </w:rPr>
        <w:t>60%以上。</w:t>
      </w:r>
    </w:p>
    <w:p>
      <w:pPr>
        <w:pStyle w:val="BodyText"/>
        <w:spacing w:line="283" w:lineRule="auto" w:before="153"/>
        <w:ind w:left="244" w:right="1597"/>
      </w:pPr>
      <w:r>
        <w:rPr>
          <w:spacing w:val="-2"/>
        </w:rPr>
        <w:t>左前降支的分支血管、左旋支的分支血管及右冠状动脉的分</w:t>
      </w:r>
      <w:r>
        <w:rPr>
          <w:spacing w:val="-2"/>
        </w:rPr>
        <w:t>支血管的狭窄不作为本保障的衡量指标。</w:t>
      </w:r>
    </w:p>
    <w:p>
      <w:pPr>
        <w:spacing w:after="0" w:line="283" w:lineRule="auto"/>
        <w:sectPr>
          <w:pgSz w:w="11910" w:h="16840"/>
          <w:pgMar w:header="0" w:footer="226" w:top="980" w:bottom="420" w:left="980" w:right="400"/>
          <w:cols w:num="2" w:equalWidth="0">
            <w:col w:w="3178" w:space="40"/>
            <w:col w:w="7312"/>
          </w:cols>
        </w:sectPr>
      </w:pPr>
    </w:p>
    <w:p>
      <w:pPr>
        <w:pStyle w:val="BodyText"/>
        <w:spacing w:before="1"/>
        <w:rPr>
          <w:sz w:val="19"/>
        </w:rPr>
      </w:pPr>
    </w:p>
    <w:p>
      <w:pPr>
        <w:spacing w:after="0"/>
        <w:rPr>
          <w:sz w:val="19"/>
        </w:rPr>
        <w:sectPr>
          <w:type w:val="continuous"/>
          <w:pgSz w:w="11910" w:h="16840"/>
          <w:pgMar w:header="0" w:footer="226" w:top="240" w:bottom="420" w:left="980" w:right="400"/>
        </w:sectPr>
      </w:pPr>
    </w:p>
    <w:p>
      <w:pPr>
        <w:pStyle w:val="Heading2"/>
        <w:numPr>
          <w:ilvl w:val="0"/>
          <w:numId w:val="15"/>
        </w:numPr>
        <w:tabs>
          <w:tab w:pos="2229" w:val="left" w:leader="none"/>
        </w:tabs>
        <w:spacing w:line="196" w:lineRule="auto" w:before="52" w:after="0"/>
        <w:ind w:left="1910" w:right="0" w:firstLine="0"/>
        <w:jc w:val="left"/>
      </w:pPr>
      <w:r>
        <w:rPr>
          <w:spacing w:val="-4"/>
        </w:rPr>
        <w:t>多发性硬</w:t>
      </w:r>
      <w:r>
        <w:rPr>
          <w:spacing w:val="-10"/>
        </w:rPr>
        <w:t>化</w:t>
      </w:r>
    </w:p>
    <w:p>
      <w:pPr>
        <w:pStyle w:val="BodyText"/>
        <w:spacing w:before="71"/>
        <w:ind w:left="349"/>
      </w:pPr>
      <w:r>
        <w:rPr/>
        <w:br w:type="column"/>
      </w:r>
      <w:r>
        <w:rPr>
          <w:spacing w:val="-3"/>
        </w:rPr>
        <w:t>被保险人因脑及脊髓内的脱髓鞘病变而出现神经系统多灶性</w:t>
      </w:r>
    </w:p>
    <w:p>
      <w:pPr>
        <w:pStyle w:val="BodyText"/>
        <w:spacing w:line="278" w:lineRule="auto" w:before="48"/>
        <w:ind w:left="349" w:right="1596"/>
      </w:pPr>
      <w:r>
        <w:rPr/>
        <w:t>（多发性）多时相（</w:t>
      </w:r>
      <w:r>
        <w:rPr>
          <w:spacing w:val="-18"/>
        </w:rPr>
        <w:t>至少 </w:t>
      </w:r>
      <w:r>
        <w:rPr/>
        <w:t>6</w:t>
      </w:r>
      <w:r>
        <w:rPr>
          <w:spacing w:val="-8"/>
        </w:rPr>
        <w:t> 个月以内有一次以上</w:t>
      </w:r>
      <w:r>
        <w:rPr/>
        <w:t>（不包含一</w:t>
      </w:r>
      <w:r>
        <w:rPr>
          <w:spacing w:val="-2"/>
        </w:rPr>
        <w:t>次）的发作）的病变，须由计算机断层扫描</w:t>
      </w:r>
      <w:r>
        <w:rPr>
          <w:spacing w:val="26"/>
        </w:rPr>
        <w:t>（</w:t>
      </w:r>
      <w:r>
        <w:rPr>
          <w:spacing w:val="25"/>
        </w:rPr>
        <w:t>C</w:t>
      </w:r>
      <w:r>
        <w:rPr>
          <w:spacing w:val="20"/>
        </w:rPr>
        <w:t>T</w:t>
      </w:r>
      <w:r>
        <w:rPr>
          <w:spacing w:val="-81"/>
        </w:rPr>
        <w:t>）</w:t>
      </w:r>
      <w:r>
        <w:rPr>
          <w:spacing w:val="-2"/>
        </w:rPr>
        <w:t>、核磁共</w:t>
      </w:r>
      <w:r>
        <w:rPr>
          <w:spacing w:val="-2"/>
        </w:rPr>
        <w:t>振检查（MRI）或正电子发射断层扫描（PET）等影像学检查</w:t>
      </w:r>
      <w:r>
        <w:rPr>
          <w:spacing w:val="-2"/>
        </w:rPr>
        <w:t>证实，且已经造成自主生活能力完全丧失，无法独立完成六</w:t>
      </w:r>
      <w:r>
        <w:rPr>
          <w:spacing w:val="-2"/>
        </w:rPr>
        <w:t>项基本日常生活活动中的三项或三项以上，持续至少 </w:t>
      </w:r>
      <w:r>
        <w:rPr/>
        <w:t>180 </w:t>
      </w:r>
      <w:r>
        <w:rPr>
          <w:spacing w:val="-6"/>
        </w:rPr>
        <w:t>天。</w:t>
      </w:r>
    </w:p>
    <w:p>
      <w:pPr>
        <w:spacing w:after="0" w:line="278" w:lineRule="auto"/>
        <w:sectPr>
          <w:type w:val="continuous"/>
          <w:pgSz w:w="11910" w:h="16840"/>
          <w:pgMar w:header="0" w:footer="226" w:top="240" w:bottom="420" w:left="980" w:right="400"/>
          <w:cols w:num="2" w:equalWidth="0">
            <w:col w:w="3073" w:space="40"/>
            <w:col w:w="7417"/>
          </w:cols>
        </w:sectPr>
      </w:pPr>
    </w:p>
    <w:p>
      <w:pPr>
        <w:pStyle w:val="BodyText"/>
        <w:spacing w:before="7"/>
        <w:rPr>
          <w:sz w:val="19"/>
        </w:rPr>
      </w:pPr>
    </w:p>
    <w:p>
      <w:pPr>
        <w:spacing w:after="0"/>
        <w:rPr>
          <w:sz w:val="19"/>
        </w:rPr>
        <w:sectPr>
          <w:type w:val="continuous"/>
          <w:pgSz w:w="11910" w:h="16840"/>
          <w:pgMar w:header="0" w:footer="226" w:top="240" w:bottom="420" w:left="980" w:right="400"/>
        </w:sectPr>
      </w:pPr>
    </w:p>
    <w:p>
      <w:pPr>
        <w:pStyle w:val="Heading2"/>
        <w:numPr>
          <w:ilvl w:val="0"/>
          <w:numId w:val="15"/>
        </w:numPr>
        <w:tabs>
          <w:tab w:pos="2229" w:val="left" w:leader="none"/>
        </w:tabs>
        <w:spacing w:line="349" w:lineRule="exact" w:before="2" w:after="0"/>
        <w:ind w:left="2228" w:right="0" w:hanging="319"/>
        <w:jc w:val="left"/>
      </w:pPr>
      <w:r>
        <w:rPr>
          <w:spacing w:val="-4"/>
        </w:rPr>
        <w:t>全身性</w:t>
      </w:r>
    </w:p>
    <w:p>
      <w:pPr>
        <w:spacing w:line="194" w:lineRule="auto" w:before="16"/>
        <w:ind w:left="1910" w:right="0" w:firstLine="0"/>
        <w:jc w:val="left"/>
        <w:rPr>
          <w:rFonts w:ascii="Microsoft JhengHei" w:eastAsia="Microsoft JhengHei"/>
          <w:b/>
          <w:sz w:val="21"/>
        </w:rPr>
      </w:pPr>
      <w:r>
        <w:rPr>
          <w:rFonts w:ascii="Microsoft JhengHei" w:eastAsia="Microsoft JhengHei"/>
          <w:b/>
          <w:spacing w:val="-2"/>
          <w:sz w:val="21"/>
        </w:rPr>
        <w:t>（型）重症肌</w:t>
      </w:r>
      <w:r>
        <w:rPr>
          <w:rFonts w:ascii="Microsoft JhengHei" w:eastAsia="Microsoft JhengHei"/>
          <w:b/>
          <w:spacing w:val="-6"/>
          <w:sz w:val="21"/>
        </w:rPr>
        <w:t>无力</w:t>
      </w:r>
    </w:p>
    <w:p>
      <w:pPr>
        <w:pStyle w:val="BodyText"/>
        <w:spacing w:line="278" w:lineRule="auto" w:before="71"/>
        <w:ind w:left="244" w:right="1597"/>
        <w:jc w:val="both"/>
      </w:pPr>
      <w:r>
        <w:rPr/>
        <w:br w:type="column"/>
      </w:r>
      <w:r>
        <w:rPr>
          <w:spacing w:val="-2"/>
        </w:rPr>
        <w:t>是指一种神经与肌肉接头部位传递障碍的自身免疫性疾病，</w:t>
      </w:r>
      <w:r>
        <w:rPr>
          <w:spacing w:val="-2"/>
        </w:rPr>
        <w:t>临床特征是局部或全身横纹肌于活动时易于疲劳无力，颅神</w:t>
      </w:r>
      <w:r>
        <w:rPr>
          <w:spacing w:val="-2"/>
        </w:rPr>
        <w:t>经眼外肌最易累及，也可涉及呼吸肌、下肢近端肌群以至全</w:t>
      </w:r>
      <w:r>
        <w:rPr>
          <w:spacing w:val="-2"/>
        </w:rPr>
        <w:t>身肌肉，须经本公司认可的神经科医师确诊。其诊断必须同</w:t>
      </w:r>
      <w:r>
        <w:rPr>
          <w:spacing w:val="-2"/>
        </w:rPr>
        <w:t>时具有下列情况：</w:t>
      </w:r>
    </w:p>
    <w:p>
      <w:pPr>
        <w:pStyle w:val="ListParagraph"/>
        <w:numPr>
          <w:ilvl w:val="0"/>
          <w:numId w:val="36"/>
        </w:numPr>
        <w:tabs>
          <w:tab w:pos="774" w:val="left" w:leader="none"/>
        </w:tabs>
        <w:spacing w:line="283" w:lineRule="auto" w:before="154" w:after="0"/>
        <w:ind w:left="244" w:right="1703" w:firstLine="0"/>
        <w:jc w:val="left"/>
        <w:rPr>
          <w:sz w:val="21"/>
        </w:rPr>
      </w:pPr>
      <w:r>
        <w:rPr>
          <w:spacing w:val="-2"/>
          <w:sz w:val="21"/>
        </w:rPr>
        <w:t>经药物、胸腺手术治疗一年以上无法控制病情，丧失</w:t>
      </w:r>
      <w:r>
        <w:rPr>
          <w:spacing w:val="-2"/>
          <w:sz w:val="21"/>
        </w:rPr>
        <w:t>正常工作能力；</w:t>
      </w:r>
    </w:p>
    <w:p>
      <w:pPr>
        <w:pStyle w:val="ListParagraph"/>
        <w:numPr>
          <w:ilvl w:val="0"/>
          <w:numId w:val="36"/>
        </w:numPr>
        <w:tabs>
          <w:tab w:pos="774" w:val="left" w:leader="none"/>
        </w:tabs>
        <w:spacing w:line="278" w:lineRule="auto" w:before="0" w:after="0"/>
        <w:ind w:left="244" w:right="1703" w:firstLine="0"/>
        <w:jc w:val="both"/>
        <w:rPr>
          <w:sz w:val="21"/>
        </w:rPr>
      </w:pPr>
      <w:r>
        <w:rPr>
          <w:spacing w:val="-2"/>
          <w:sz w:val="21"/>
        </w:rPr>
        <w:t>出现眼睑下垂，或延髓肌受累引起的构音困难、进食</w:t>
      </w:r>
      <w:r>
        <w:rPr>
          <w:spacing w:val="-2"/>
          <w:sz w:val="21"/>
        </w:rPr>
        <w:t>呛咳,或由于肌无力累及延髓肌、呼吸肌而致机体呼吸功能</w:t>
      </w:r>
      <w:r>
        <w:rPr>
          <w:spacing w:val="-2"/>
          <w:sz w:val="21"/>
        </w:rPr>
        <w:t>不正常的危急状态即肌无力危象；</w:t>
      </w:r>
    </w:p>
    <w:p>
      <w:pPr>
        <w:pStyle w:val="ListParagraph"/>
        <w:numPr>
          <w:ilvl w:val="0"/>
          <w:numId w:val="36"/>
        </w:numPr>
        <w:tabs>
          <w:tab w:pos="774" w:val="left" w:leader="none"/>
        </w:tabs>
        <w:spacing w:line="278" w:lineRule="auto" w:before="0" w:after="0"/>
        <w:ind w:left="244" w:right="1703" w:firstLine="0"/>
        <w:jc w:val="left"/>
        <w:rPr>
          <w:sz w:val="21"/>
        </w:rPr>
      </w:pPr>
      <w:r>
        <w:rPr>
          <w:spacing w:val="-2"/>
          <w:sz w:val="21"/>
        </w:rPr>
        <w:t>症状缓解、复发及恶化交替出现，临床接受新斯的明</w:t>
      </w:r>
      <w:r>
        <w:rPr>
          <w:spacing w:val="-2"/>
          <w:sz w:val="21"/>
        </w:rPr>
        <w:t>等抗胆碱酯酶药物治疗的病史。</w:t>
      </w:r>
    </w:p>
    <w:p>
      <w:pPr>
        <w:spacing w:after="0" w:line="278" w:lineRule="auto"/>
        <w:jc w:val="left"/>
        <w:rPr>
          <w:sz w:val="21"/>
        </w:rPr>
        <w:sectPr>
          <w:type w:val="continuous"/>
          <w:pgSz w:w="11910" w:h="16840"/>
          <w:pgMar w:header="0" w:footer="226" w:top="240" w:bottom="420" w:left="980" w:right="400"/>
          <w:cols w:num="2" w:equalWidth="0">
            <w:col w:w="3178" w:space="40"/>
            <w:col w:w="7312"/>
          </w:cols>
        </w:sectPr>
      </w:pPr>
    </w:p>
    <w:p>
      <w:pPr>
        <w:pStyle w:val="BodyText"/>
        <w:rPr>
          <w:sz w:val="19"/>
        </w:rPr>
      </w:pPr>
    </w:p>
    <w:p>
      <w:pPr>
        <w:spacing w:after="0"/>
        <w:rPr>
          <w:sz w:val="19"/>
        </w:rPr>
        <w:sectPr>
          <w:type w:val="continuous"/>
          <w:pgSz w:w="11910" w:h="16840"/>
          <w:pgMar w:header="0" w:footer="226" w:top="240" w:bottom="420" w:left="980" w:right="400"/>
        </w:sectPr>
      </w:pPr>
    </w:p>
    <w:p>
      <w:pPr>
        <w:pStyle w:val="Heading2"/>
        <w:numPr>
          <w:ilvl w:val="0"/>
          <w:numId w:val="15"/>
        </w:numPr>
        <w:tabs>
          <w:tab w:pos="2229" w:val="left" w:leader="none"/>
        </w:tabs>
        <w:spacing w:line="196" w:lineRule="auto" w:before="53" w:after="0"/>
        <w:ind w:left="1910" w:right="0" w:firstLine="0"/>
        <w:jc w:val="left"/>
      </w:pPr>
      <w:r>
        <w:rPr>
          <w:spacing w:val="-4"/>
        </w:rPr>
        <w:t>严重心肌</w:t>
      </w:r>
      <w:r>
        <w:rPr>
          <w:spacing w:val="-10"/>
        </w:rPr>
        <w:t>病</w:t>
      </w:r>
    </w:p>
    <w:p>
      <w:pPr>
        <w:pStyle w:val="BodyText"/>
        <w:spacing w:line="280" w:lineRule="auto" w:before="72"/>
        <w:ind w:left="349" w:right="1597"/>
      </w:pPr>
      <w:r>
        <w:rPr/>
        <w:br w:type="column"/>
      </w:r>
      <w:r>
        <w:rPr>
          <w:spacing w:val="-2"/>
        </w:rPr>
        <w:t>指不明原因引起的一类心肌病变，包括原发性扩张型心肌</w:t>
      </w:r>
      <w:r>
        <w:rPr/>
        <w:t> </w:t>
      </w:r>
      <w:r>
        <w:rPr>
          <w:spacing w:val="-2"/>
        </w:rPr>
        <w:t>病、原发性肥厚型心肌病及原发性限制型心肌病三种，病变</w:t>
      </w:r>
      <w:r>
        <w:rPr>
          <w:spacing w:val="-2"/>
        </w:rPr>
        <w:t>必须已造成事实上心室功能障碍而出现明显的心功能衰竭</w:t>
      </w:r>
    </w:p>
    <w:p>
      <w:pPr>
        <w:pStyle w:val="BodyText"/>
        <w:spacing w:line="278" w:lineRule="auto"/>
        <w:ind w:left="349" w:right="1597"/>
      </w:pPr>
      <w:r>
        <w:rPr>
          <w:spacing w:val="-2"/>
        </w:rPr>
        <w:t>（美国纽约心脏协会心功能分类标准心功能达四级</w:t>
      </w:r>
      <w:r>
        <w:rPr>
          <w:spacing w:val="-109"/>
        </w:rPr>
        <w:t>）</w:t>
      </w:r>
      <w:r>
        <w:rPr>
          <w:spacing w:val="-2"/>
        </w:rPr>
        <w:t>，且有</w:t>
      </w:r>
      <w:r>
        <w:rPr>
          <w:spacing w:val="-2"/>
        </w:rPr>
        <w:t>相关住院医疗记录显示四级心功能衰竭状态持续至少一百八</w:t>
      </w:r>
      <w:r>
        <w:rPr>
          <w:spacing w:val="-4"/>
        </w:rPr>
        <w:t>十天。</w:t>
      </w:r>
    </w:p>
    <w:p>
      <w:pPr>
        <w:pStyle w:val="BodyText"/>
        <w:spacing w:line="278" w:lineRule="auto" w:before="150"/>
        <w:ind w:left="349" w:right="1597"/>
      </w:pPr>
      <w:r>
        <w:rPr>
          <w:spacing w:val="-2"/>
        </w:rPr>
        <w:t>本病须经专科医生明确诊断。继发于全身性疾病或其它器官</w:t>
      </w:r>
      <w:r>
        <w:rPr>
          <w:spacing w:val="-2"/>
        </w:rPr>
        <w:t>系统疾病造成的心肌病变除外。</w:t>
      </w:r>
    </w:p>
    <w:p>
      <w:pPr>
        <w:pStyle w:val="BodyText"/>
        <w:spacing w:line="280" w:lineRule="auto" w:before="154"/>
        <w:ind w:left="349" w:right="1597"/>
        <w:jc w:val="both"/>
      </w:pPr>
      <w:r>
        <w:rPr>
          <w:spacing w:val="-2"/>
        </w:rPr>
        <w:t>美国纽约心脏协会分类标准心功能四级是指有医院的医疗记</w:t>
      </w:r>
      <w:r>
        <w:rPr>
          <w:spacing w:val="-2"/>
        </w:rPr>
        <w:t>录显示病人不能进行任何活动，休息时仍有心悸、呼吸困难</w:t>
      </w:r>
      <w:r>
        <w:rPr>
          <w:spacing w:val="-2"/>
        </w:rPr>
        <w:t>等心力衰竭表现。</w:t>
      </w:r>
    </w:p>
    <w:p>
      <w:pPr>
        <w:spacing w:after="0" w:line="280" w:lineRule="auto"/>
        <w:jc w:val="both"/>
        <w:sectPr>
          <w:type w:val="continuous"/>
          <w:pgSz w:w="11910" w:h="16840"/>
          <w:pgMar w:header="0" w:footer="226" w:top="240" w:bottom="420" w:left="980" w:right="400"/>
          <w:cols w:num="2" w:equalWidth="0">
            <w:col w:w="3073" w:space="40"/>
            <w:col w:w="7417"/>
          </w:cols>
        </w:sectPr>
      </w:pPr>
    </w:p>
    <w:p>
      <w:pPr>
        <w:pStyle w:val="BodyText"/>
        <w:spacing w:before="3"/>
        <w:rPr>
          <w:sz w:val="19"/>
        </w:rPr>
      </w:pPr>
    </w:p>
    <w:p>
      <w:pPr>
        <w:spacing w:after="0"/>
        <w:rPr>
          <w:sz w:val="19"/>
        </w:rPr>
        <w:sectPr>
          <w:type w:val="continuous"/>
          <w:pgSz w:w="11910" w:h="16840"/>
          <w:pgMar w:header="0" w:footer="226" w:top="240" w:bottom="420" w:left="980" w:right="400"/>
        </w:sectPr>
      </w:pPr>
    </w:p>
    <w:p>
      <w:pPr>
        <w:pStyle w:val="Heading2"/>
        <w:numPr>
          <w:ilvl w:val="0"/>
          <w:numId w:val="15"/>
        </w:numPr>
        <w:tabs>
          <w:tab w:pos="2229" w:val="left" w:leader="none"/>
        </w:tabs>
        <w:spacing w:line="196" w:lineRule="auto" w:before="53" w:after="0"/>
        <w:ind w:left="1910" w:right="0" w:firstLine="0"/>
        <w:jc w:val="left"/>
      </w:pPr>
      <w:r>
        <w:rPr>
          <w:spacing w:val="-4"/>
        </w:rPr>
        <w:t>严重心肌</w:t>
      </w:r>
      <w:r>
        <w:rPr>
          <w:spacing w:val="-10"/>
        </w:rPr>
        <w:t>炎</w:t>
      </w:r>
    </w:p>
    <w:p>
      <w:pPr>
        <w:pStyle w:val="BodyText"/>
        <w:spacing w:line="280" w:lineRule="auto" w:before="72"/>
        <w:ind w:left="349" w:right="1495"/>
        <w:jc w:val="both"/>
      </w:pPr>
      <w:r>
        <w:rPr/>
        <w:br w:type="column"/>
      </w:r>
      <w:r>
        <w:rPr>
          <w:spacing w:val="-2"/>
        </w:rPr>
        <w:t>指心肌局限性或弥漫性的急性或慢性炎症病变，导致心脏功</w:t>
      </w:r>
      <w:r>
        <w:rPr>
          <w:spacing w:val="-10"/>
        </w:rPr>
        <w:t>能障碍，达到纽约心脏学会心功能分级状态分级</w:t>
      </w:r>
      <w:r>
        <w:rPr>
          <w:spacing w:val="-2"/>
        </w:rPr>
        <w:t>IV</w:t>
      </w:r>
      <w:r>
        <w:rPr>
          <w:spacing w:val="-14"/>
        </w:rPr>
        <w:t>级，且需持</w:t>
      </w:r>
      <w:r>
        <w:rPr>
          <w:spacing w:val="-2"/>
        </w:rPr>
        <w:t>续至少90天。</w:t>
      </w:r>
    </w:p>
    <w:p>
      <w:pPr>
        <w:spacing w:after="0" w:line="280" w:lineRule="auto"/>
        <w:jc w:val="both"/>
        <w:sectPr>
          <w:type w:val="continuous"/>
          <w:pgSz w:w="11910" w:h="16840"/>
          <w:pgMar w:header="0" w:footer="226" w:top="240" w:bottom="420" w:left="980" w:right="400"/>
          <w:cols w:num="2" w:equalWidth="0">
            <w:col w:w="3073" w:space="40"/>
            <w:col w:w="7417"/>
          </w:cols>
        </w:sectPr>
      </w:pPr>
    </w:p>
    <w:p>
      <w:pPr>
        <w:pStyle w:val="Heading2"/>
        <w:numPr>
          <w:ilvl w:val="0"/>
          <w:numId w:val="15"/>
        </w:numPr>
        <w:tabs>
          <w:tab w:pos="2229" w:val="left" w:leader="none"/>
        </w:tabs>
        <w:spacing w:line="194" w:lineRule="auto" w:before="35" w:after="0"/>
        <w:ind w:left="1910" w:right="0" w:firstLine="0"/>
        <w:jc w:val="left"/>
      </w:pPr>
      <w:r>
        <w:rPr>
          <w:spacing w:val="-4"/>
        </w:rPr>
        <w:t>肺淋巴管</w:t>
      </w:r>
      <w:r>
        <w:rPr>
          <w:spacing w:val="-4"/>
        </w:rPr>
        <w:t>肌瘤病</w:t>
      </w:r>
    </w:p>
    <w:p>
      <w:pPr>
        <w:pStyle w:val="BodyText"/>
        <w:spacing w:line="278" w:lineRule="auto" w:before="51"/>
        <w:ind w:left="349" w:right="1597"/>
        <w:jc w:val="both"/>
      </w:pPr>
      <w:r>
        <w:rPr/>
        <w:br w:type="column"/>
      </w:r>
      <w:r>
        <w:rPr>
          <w:spacing w:val="-2"/>
        </w:rPr>
        <w:t>肺淋巴管肌瘤病是一种弥漫性肺部疾病，主要病理改变为肺</w:t>
      </w:r>
      <w:r>
        <w:rPr>
          <w:spacing w:val="-2"/>
        </w:rPr>
        <w:t>间质、支气管、血管和淋巴管内出现未成熟的平滑肌异常增</w:t>
      </w:r>
      <w:r>
        <w:rPr>
          <w:spacing w:val="-2"/>
        </w:rPr>
        <w:t>生，同时需满足下列全部条件：</w:t>
      </w:r>
    </w:p>
    <w:p>
      <w:pPr>
        <w:pStyle w:val="ListParagraph"/>
        <w:numPr>
          <w:ilvl w:val="1"/>
          <w:numId w:val="36"/>
        </w:numPr>
        <w:tabs>
          <w:tab w:pos="879" w:val="left" w:leader="none"/>
        </w:tabs>
        <w:spacing w:line="240" w:lineRule="auto" w:before="153" w:after="0"/>
        <w:ind w:left="878" w:right="0" w:hanging="530"/>
        <w:jc w:val="left"/>
        <w:rPr>
          <w:sz w:val="21"/>
        </w:rPr>
      </w:pPr>
      <w:r>
        <w:rPr>
          <w:spacing w:val="-3"/>
          <w:sz w:val="21"/>
        </w:rPr>
        <w:t>经组织病理学诊断；</w:t>
      </w:r>
    </w:p>
    <w:p>
      <w:pPr>
        <w:pStyle w:val="ListParagraph"/>
        <w:numPr>
          <w:ilvl w:val="1"/>
          <w:numId w:val="36"/>
        </w:numPr>
        <w:tabs>
          <w:tab w:pos="879" w:val="left" w:leader="none"/>
        </w:tabs>
        <w:spacing w:line="240" w:lineRule="auto" w:before="48" w:after="0"/>
        <w:ind w:left="878" w:right="0" w:hanging="530"/>
        <w:jc w:val="left"/>
        <w:rPr>
          <w:sz w:val="21"/>
        </w:rPr>
      </w:pPr>
      <w:r>
        <w:rPr>
          <w:spacing w:val="-2"/>
          <w:sz w:val="21"/>
        </w:rPr>
        <w:t>CT</w:t>
      </w:r>
      <w:r>
        <w:rPr>
          <w:spacing w:val="-10"/>
          <w:sz w:val="21"/>
        </w:rPr>
        <w:t> 显示双肺弥漫性囊性改变；</w:t>
      </w:r>
    </w:p>
    <w:p>
      <w:pPr>
        <w:pStyle w:val="ListParagraph"/>
        <w:numPr>
          <w:ilvl w:val="1"/>
          <w:numId w:val="36"/>
        </w:numPr>
        <w:tabs>
          <w:tab w:pos="879" w:val="left" w:leader="none"/>
        </w:tabs>
        <w:spacing w:line="278" w:lineRule="auto" w:before="43" w:after="0"/>
        <w:ind w:left="349" w:right="1703" w:firstLine="0"/>
        <w:jc w:val="left"/>
        <w:rPr>
          <w:sz w:val="21"/>
        </w:rPr>
      </w:pPr>
      <w:r>
        <w:rPr>
          <w:spacing w:val="-2"/>
          <w:sz w:val="21"/>
        </w:rPr>
        <w:t>休息时出现呼吸困难或并经本公司认可医院的专科医</w:t>
      </w:r>
      <w:r>
        <w:rPr>
          <w:spacing w:val="-2"/>
          <w:sz w:val="21"/>
        </w:rPr>
        <w:t>生认可有必要进行肺移植手术。</w:t>
      </w:r>
    </w:p>
    <w:p>
      <w:pPr>
        <w:spacing w:after="0" w:line="278" w:lineRule="auto"/>
        <w:jc w:val="left"/>
        <w:rPr>
          <w:sz w:val="21"/>
        </w:rPr>
        <w:sectPr>
          <w:pgSz w:w="11910" w:h="16840"/>
          <w:pgMar w:header="0" w:footer="226" w:top="820" w:bottom="420" w:left="980" w:right="400"/>
          <w:cols w:num="2" w:equalWidth="0">
            <w:col w:w="3073" w:space="40"/>
            <w:col w:w="7417"/>
          </w:cols>
        </w:sectPr>
      </w:pPr>
    </w:p>
    <w:p>
      <w:pPr>
        <w:pStyle w:val="BodyText"/>
        <w:spacing w:before="8"/>
        <w:rPr>
          <w:sz w:val="26"/>
        </w:rPr>
      </w:pPr>
    </w:p>
    <w:p>
      <w:pPr>
        <w:spacing w:after="0"/>
        <w:rPr>
          <w:sz w:val="26"/>
        </w:rPr>
        <w:sectPr>
          <w:type w:val="continuous"/>
          <w:pgSz w:w="11910" w:h="16840"/>
          <w:pgMar w:header="0" w:footer="226" w:top="240" w:bottom="420" w:left="980" w:right="400"/>
        </w:sectPr>
      </w:pPr>
    </w:p>
    <w:p>
      <w:pPr>
        <w:pStyle w:val="Heading2"/>
        <w:numPr>
          <w:ilvl w:val="0"/>
          <w:numId w:val="15"/>
        </w:numPr>
        <w:tabs>
          <w:tab w:pos="2229" w:val="left" w:leader="none"/>
        </w:tabs>
        <w:spacing w:line="194" w:lineRule="auto" w:before="56" w:after="0"/>
        <w:ind w:left="1910" w:right="0" w:firstLine="0"/>
        <w:jc w:val="left"/>
      </w:pPr>
      <w:r>
        <w:rPr>
          <w:spacing w:val="-4"/>
        </w:rPr>
        <w:t>侵蚀性葡</w:t>
      </w:r>
      <w:r>
        <w:rPr>
          <w:spacing w:val="-2"/>
        </w:rPr>
        <w:t>萄胎（或称恶</w:t>
      </w:r>
      <w:r>
        <w:rPr>
          <w:spacing w:val="-2"/>
        </w:rPr>
        <w:t>性葡萄胎）</w:t>
      </w:r>
    </w:p>
    <w:p>
      <w:pPr>
        <w:pStyle w:val="BodyText"/>
        <w:spacing w:line="280" w:lineRule="auto" w:before="72"/>
        <w:ind w:left="244" w:right="1597"/>
        <w:jc w:val="both"/>
      </w:pPr>
      <w:r>
        <w:rPr/>
        <w:br w:type="column"/>
      </w:r>
      <w:r>
        <w:rPr>
          <w:spacing w:val="-2"/>
        </w:rPr>
        <w:t>该类疾病是指异常增生的绒毛组织浸润性生长浸入子宫肌层</w:t>
      </w:r>
      <w:r>
        <w:rPr>
          <w:spacing w:val="-2"/>
        </w:rPr>
        <w:t>或转移至其他器官或组织的葡萄胎，并已经进行化疗或手术</w:t>
      </w:r>
      <w:r>
        <w:rPr>
          <w:spacing w:val="-4"/>
        </w:rPr>
        <w:t>治疗的。</w:t>
      </w:r>
    </w:p>
    <w:p>
      <w:pPr>
        <w:spacing w:after="0" w:line="280" w:lineRule="auto"/>
        <w:jc w:val="both"/>
        <w:sectPr>
          <w:type w:val="continuous"/>
          <w:pgSz w:w="11910" w:h="16840"/>
          <w:pgMar w:header="0" w:footer="226" w:top="240" w:bottom="420" w:left="980" w:right="400"/>
          <w:cols w:num="2" w:equalWidth="0">
            <w:col w:w="3178" w:space="40"/>
            <w:col w:w="7312"/>
          </w:cols>
        </w:sectPr>
      </w:pPr>
    </w:p>
    <w:p>
      <w:pPr>
        <w:pStyle w:val="BodyText"/>
        <w:rPr>
          <w:sz w:val="20"/>
        </w:rPr>
      </w:pPr>
    </w:p>
    <w:p>
      <w:pPr>
        <w:pStyle w:val="BodyText"/>
        <w:rPr>
          <w:sz w:val="20"/>
        </w:rPr>
      </w:pPr>
    </w:p>
    <w:p>
      <w:pPr>
        <w:spacing w:after="0"/>
        <w:rPr>
          <w:sz w:val="20"/>
        </w:rPr>
        <w:sectPr>
          <w:type w:val="continuous"/>
          <w:pgSz w:w="11910" w:h="16840"/>
          <w:pgMar w:header="0" w:footer="226" w:top="240" w:bottom="420" w:left="980" w:right="400"/>
        </w:sectPr>
      </w:pPr>
    </w:p>
    <w:p>
      <w:pPr>
        <w:pStyle w:val="BodyText"/>
        <w:spacing w:before="8"/>
        <w:rPr>
          <w:sz w:val="14"/>
        </w:rPr>
      </w:pPr>
    </w:p>
    <w:p>
      <w:pPr>
        <w:pStyle w:val="Heading2"/>
        <w:numPr>
          <w:ilvl w:val="0"/>
          <w:numId w:val="15"/>
        </w:numPr>
        <w:tabs>
          <w:tab w:pos="2229" w:val="left" w:leader="none"/>
        </w:tabs>
        <w:spacing w:line="194" w:lineRule="auto" w:before="1" w:after="0"/>
        <w:ind w:left="1910" w:right="0" w:firstLine="0"/>
        <w:jc w:val="left"/>
      </w:pPr>
      <w:r>
        <w:rPr>
          <w:spacing w:val="-4"/>
        </w:rPr>
        <w:t>心脏粘液</w:t>
      </w:r>
      <w:r>
        <w:rPr>
          <w:spacing w:val="-10"/>
        </w:rPr>
        <w:t>瘤</w:t>
      </w:r>
    </w:p>
    <w:p>
      <w:pPr>
        <w:spacing w:line="240" w:lineRule="auto" w:before="2"/>
        <w:rPr>
          <w:rFonts w:ascii="Microsoft JhengHei"/>
          <w:b/>
          <w:sz w:val="11"/>
        </w:rPr>
      </w:pPr>
      <w:r>
        <w:rPr/>
        <w:br w:type="column"/>
      </w:r>
      <w:r>
        <w:rPr>
          <w:rFonts w:ascii="Microsoft JhengHei"/>
          <w:b/>
          <w:sz w:val="11"/>
        </w:rPr>
      </w:r>
    </w:p>
    <w:p>
      <w:pPr>
        <w:pStyle w:val="BodyText"/>
        <w:spacing w:line="278" w:lineRule="auto"/>
        <w:ind w:left="349" w:right="1597"/>
      </w:pPr>
      <w:r>
        <w:rPr>
          <w:spacing w:val="-2"/>
        </w:rPr>
        <w:t>为了治疗心脏粘液瘤，实际实施了开胸开心心脏粘液瘤切除</w:t>
      </w:r>
      <w:r>
        <w:rPr>
          <w:spacing w:val="-4"/>
        </w:rPr>
        <w:t>手术。</w:t>
      </w:r>
    </w:p>
    <w:p>
      <w:pPr>
        <w:pStyle w:val="BodyText"/>
        <w:spacing w:before="154"/>
        <w:ind w:left="349"/>
      </w:pPr>
      <w:r>
        <w:rPr>
          <w:spacing w:val="-3"/>
        </w:rPr>
        <w:t>经导管介入手术治疗不在保障范围内。</w:t>
      </w:r>
    </w:p>
    <w:p>
      <w:pPr>
        <w:spacing w:after="0"/>
        <w:sectPr>
          <w:type w:val="continuous"/>
          <w:pgSz w:w="11910" w:h="16840"/>
          <w:pgMar w:header="0" w:footer="226" w:top="240" w:bottom="420" w:left="980" w:right="400"/>
          <w:cols w:num="2" w:equalWidth="0">
            <w:col w:w="3073" w:space="40"/>
            <w:col w:w="7417"/>
          </w:cols>
        </w:sectPr>
      </w:pPr>
    </w:p>
    <w:p>
      <w:pPr>
        <w:pStyle w:val="BodyText"/>
        <w:spacing w:before="3"/>
        <w:rPr>
          <w:sz w:val="23"/>
        </w:rPr>
      </w:pPr>
    </w:p>
    <w:p>
      <w:pPr>
        <w:spacing w:after="0"/>
        <w:rPr>
          <w:sz w:val="23"/>
        </w:rPr>
        <w:sectPr>
          <w:type w:val="continuous"/>
          <w:pgSz w:w="11910" w:h="16840"/>
          <w:pgMar w:header="0" w:footer="226" w:top="240" w:bottom="420" w:left="980" w:right="400"/>
        </w:sectPr>
      </w:pPr>
    </w:p>
    <w:p>
      <w:pPr>
        <w:pStyle w:val="Heading2"/>
        <w:numPr>
          <w:ilvl w:val="0"/>
          <w:numId w:val="15"/>
        </w:numPr>
        <w:tabs>
          <w:tab w:pos="2229" w:val="left" w:leader="none"/>
        </w:tabs>
        <w:spacing w:line="196" w:lineRule="auto" w:before="52" w:after="0"/>
        <w:ind w:left="1910" w:right="0" w:firstLine="0"/>
        <w:jc w:val="left"/>
      </w:pPr>
      <w:r>
        <w:rPr>
          <w:spacing w:val="-4"/>
        </w:rPr>
        <w:t>感染性心</w:t>
      </w:r>
      <w:r>
        <w:rPr>
          <w:spacing w:val="-4"/>
        </w:rPr>
        <w:t>内膜炎</w:t>
      </w:r>
    </w:p>
    <w:p>
      <w:pPr>
        <w:pStyle w:val="BodyText"/>
        <w:spacing w:line="280" w:lineRule="auto" w:before="72"/>
        <w:ind w:left="349" w:right="1809"/>
        <w:jc w:val="both"/>
      </w:pPr>
      <w:r>
        <w:rPr/>
        <w:br w:type="column"/>
      </w:r>
      <w:r>
        <w:rPr>
          <w:spacing w:val="-2"/>
        </w:rPr>
        <w:t>指因细菌、真菌和其他微生物（如病毒、立克次体、衣原</w:t>
      </w:r>
      <w:r>
        <w:rPr>
          <w:spacing w:val="-2"/>
        </w:rPr>
        <w:t>体、螺旋体等）直接感染而产生心瓣膜或心室壁内膜的炎</w:t>
      </w:r>
      <w:r>
        <w:rPr>
          <w:spacing w:val="-2"/>
        </w:rPr>
        <w:t>症，须经心脏专科医生确诊，并符合以下所有条件：</w:t>
      </w:r>
    </w:p>
    <w:p>
      <w:pPr>
        <w:pStyle w:val="ListParagraph"/>
        <w:numPr>
          <w:ilvl w:val="0"/>
          <w:numId w:val="37"/>
        </w:numPr>
        <w:tabs>
          <w:tab w:pos="879" w:val="left" w:leader="none"/>
        </w:tabs>
        <w:spacing w:line="278" w:lineRule="auto" w:before="150" w:after="0"/>
        <w:ind w:left="349" w:right="1914" w:firstLine="0"/>
        <w:jc w:val="left"/>
        <w:rPr>
          <w:sz w:val="21"/>
        </w:rPr>
      </w:pPr>
      <w:r>
        <w:rPr>
          <w:spacing w:val="-2"/>
          <w:sz w:val="21"/>
        </w:rPr>
        <w:t>血液培养测试结果为阳性，并至少符合以下条件之</w:t>
      </w:r>
      <w:r>
        <w:rPr>
          <w:spacing w:val="-6"/>
          <w:sz w:val="21"/>
        </w:rPr>
        <w:t>一：</w:t>
      </w:r>
    </w:p>
    <w:p>
      <w:pPr>
        <w:pStyle w:val="ListParagraph"/>
        <w:numPr>
          <w:ilvl w:val="1"/>
          <w:numId w:val="37"/>
        </w:numPr>
        <w:tabs>
          <w:tab w:pos="984" w:val="left" w:leader="none"/>
        </w:tabs>
        <w:spacing w:line="278" w:lineRule="auto" w:before="0" w:after="0"/>
        <w:ind w:left="771" w:right="1597" w:firstLine="0"/>
        <w:jc w:val="left"/>
        <w:rPr>
          <w:sz w:val="21"/>
        </w:rPr>
      </w:pPr>
      <w:r>
        <w:rPr>
          <w:spacing w:val="-2"/>
          <w:sz w:val="21"/>
        </w:rPr>
        <w:t>微生物：在赘生物，栓塞的赘生物或心脏内脓肿培养</w:t>
      </w:r>
      <w:r>
        <w:rPr>
          <w:spacing w:val="-2"/>
          <w:sz w:val="21"/>
        </w:rPr>
        <w:t>或组织检查证实有微生物；</w:t>
      </w:r>
    </w:p>
    <w:p>
      <w:pPr>
        <w:pStyle w:val="ListParagraph"/>
        <w:numPr>
          <w:ilvl w:val="1"/>
          <w:numId w:val="37"/>
        </w:numPr>
        <w:tabs>
          <w:tab w:pos="984" w:val="left" w:leader="none"/>
        </w:tabs>
        <w:spacing w:line="278" w:lineRule="auto" w:before="0" w:after="0"/>
        <w:ind w:left="771" w:right="1597" w:firstLine="0"/>
        <w:jc w:val="left"/>
        <w:rPr>
          <w:sz w:val="21"/>
        </w:rPr>
      </w:pPr>
      <w:r>
        <w:rPr>
          <w:spacing w:val="-2"/>
          <w:sz w:val="21"/>
        </w:rPr>
        <w:t>病理性病灶：组织检查证实赘生物或心脏内脓肿有活</w:t>
      </w:r>
      <w:r>
        <w:rPr>
          <w:spacing w:val="-2"/>
          <w:sz w:val="21"/>
        </w:rPr>
        <w:t>动性心内膜炎；</w:t>
      </w:r>
    </w:p>
    <w:p>
      <w:pPr>
        <w:pStyle w:val="ListParagraph"/>
        <w:numPr>
          <w:ilvl w:val="1"/>
          <w:numId w:val="37"/>
        </w:numPr>
        <w:tabs>
          <w:tab w:pos="984" w:val="left" w:leader="none"/>
        </w:tabs>
        <w:spacing w:line="278" w:lineRule="auto" w:before="0" w:after="0"/>
        <w:ind w:left="771" w:right="1597" w:firstLine="0"/>
        <w:jc w:val="left"/>
        <w:rPr>
          <w:sz w:val="21"/>
        </w:rPr>
      </w:pPr>
      <w:r>
        <w:rPr>
          <w:spacing w:val="-2"/>
          <w:sz w:val="21"/>
        </w:rPr>
        <w:t>分别两次血液培养证实有典型的微生物且与心内膜炎</w:t>
      </w:r>
      <w:r>
        <w:rPr>
          <w:spacing w:val="-4"/>
          <w:sz w:val="21"/>
        </w:rPr>
        <w:t>符合；</w:t>
      </w:r>
    </w:p>
    <w:p>
      <w:pPr>
        <w:pStyle w:val="ListParagraph"/>
        <w:numPr>
          <w:ilvl w:val="1"/>
          <w:numId w:val="37"/>
        </w:numPr>
        <w:tabs>
          <w:tab w:pos="984" w:val="left" w:leader="none"/>
        </w:tabs>
        <w:spacing w:line="278" w:lineRule="auto" w:before="0" w:after="0"/>
        <w:ind w:left="771" w:right="1597" w:firstLine="0"/>
        <w:jc w:val="left"/>
        <w:rPr>
          <w:sz w:val="21"/>
        </w:rPr>
      </w:pPr>
      <w:r>
        <w:rPr>
          <w:spacing w:val="-2"/>
          <w:sz w:val="21"/>
        </w:rPr>
        <w:t>持续血液培养证实有微生物阳性反应，且与心内膜炎</w:t>
      </w:r>
      <w:r>
        <w:rPr>
          <w:spacing w:val="-4"/>
          <w:sz w:val="21"/>
        </w:rPr>
        <w:t>符合。</w:t>
      </w:r>
    </w:p>
    <w:p>
      <w:pPr>
        <w:pStyle w:val="ListParagraph"/>
        <w:numPr>
          <w:ilvl w:val="0"/>
          <w:numId w:val="37"/>
        </w:numPr>
        <w:tabs>
          <w:tab w:pos="879" w:val="left" w:leader="none"/>
        </w:tabs>
        <w:spacing w:line="278" w:lineRule="auto" w:before="0" w:after="0"/>
        <w:ind w:left="349" w:right="1543" w:firstLine="0"/>
        <w:jc w:val="both"/>
        <w:rPr>
          <w:sz w:val="21"/>
        </w:rPr>
      </w:pPr>
      <w:r>
        <w:rPr>
          <w:spacing w:val="-2"/>
          <w:sz w:val="21"/>
        </w:rPr>
        <w:t>心内膜炎引起中度心瓣膜关闭不全（</w:t>
      </w:r>
      <w:r>
        <w:rPr>
          <w:spacing w:val="-6"/>
          <w:sz w:val="21"/>
        </w:rPr>
        <w:t>指返流指数 </w:t>
      </w:r>
      <w:r>
        <w:rPr>
          <w:spacing w:val="-2"/>
          <w:sz w:val="21"/>
        </w:rPr>
        <w:t>20%</w:t>
      </w:r>
      <w:r>
        <w:rPr>
          <w:spacing w:val="-2"/>
          <w:sz w:val="21"/>
        </w:rPr>
        <w:t>或</w:t>
      </w:r>
      <w:r>
        <w:rPr>
          <w:spacing w:val="-2"/>
          <w:sz w:val="21"/>
        </w:rPr>
        <w:t>以上）或中度心瓣膜狭窄（指心瓣膜开口范围小于或等于正</w:t>
      </w:r>
      <w:r>
        <w:rPr>
          <w:spacing w:val="-20"/>
          <w:sz w:val="21"/>
        </w:rPr>
        <w:t>常的 </w:t>
      </w:r>
      <w:r>
        <w:rPr>
          <w:spacing w:val="40"/>
          <w:sz w:val="21"/>
        </w:rPr>
        <w:t>30%</w:t>
      </w:r>
      <w:r>
        <w:rPr>
          <w:spacing w:val="-66"/>
          <w:sz w:val="21"/>
        </w:rPr>
        <w:t>）；</w:t>
      </w:r>
    </w:p>
    <w:p>
      <w:pPr>
        <w:pStyle w:val="ListParagraph"/>
        <w:numPr>
          <w:ilvl w:val="0"/>
          <w:numId w:val="37"/>
        </w:numPr>
        <w:tabs>
          <w:tab w:pos="879" w:val="left" w:leader="none"/>
        </w:tabs>
        <w:spacing w:line="278" w:lineRule="auto" w:before="0" w:after="0"/>
        <w:ind w:left="349" w:right="1914" w:firstLine="0"/>
        <w:jc w:val="left"/>
        <w:rPr>
          <w:sz w:val="21"/>
        </w:rPr>
      </w:pPr>
      <w:r>
        <w:rPr>
          <w:spacing w:val="-2"/>
          <w:sz w:val="21"/>
        </w:rPr>
        <w:t>心内膜炎及心瓣膜损毁程度需经由心脏专科医生确</w:t>
      </w:r>
      <w:r>
        <w:rPr>
          <w:spacing w:val="-6"/>
          <w:sz w:val="21"/>
        </w:rPr>
        <w:t>诊。</w:t>
      </w:r>
    </w:p>
    <w:p>
      <w:pPr>
        <w:spacing w:after="0" w:line="278" w:lineRule="auto"/>
        <w:jc w:val="left"/>
        <w:rPr>
          <w:sz w:val="21"/>
        </w:rPr>
        <w:sectPr>
          <w:type w:val="continuous"/>
          <w:pgSz w:w="11910" w:h="16840"/>
          <w:pgMar w:header="0" w:footer="226" w:top="240" w:bottom="420" w:left="980" w:right="400"/>
          <w:cols w:num="2" w:equalWidth="0">
            <w:col w:w="3073" w:space="40"/>
            <w:col w:w="7417"/>
          </w:cols>
        </w:sectPr>
      </w:pPr>
    </w:p>
    <w:p>
      <w:pPr>
        <w:pStyle w:val="BodyText"/>
        <w:spacing w:before="11"/>
        <w:rPr>
          <w:sz w:val="19"/>
        </w:rPr>
      </w:pPr>
    </w:p>
    <w:p>
      <w:pPr>
        <w:spacing w:after="0"/>
        <w:rPr>
          <w:sz w:val="19"/>
        </w:rPr>
        <w:sectPr>
          <w:type w:val="continuous"/>
          <w:pgSz w:w="11910" w:h="16840"/>
          <w:pgMar w:header="0" w:footer="226" w:top="240" w:bottom="420" w:left="980" w:right="400"/>
        </w:sectPr>
      </w:pPr>
    </w:p>
    <w:p>
      <w:pPr>
        <w:pStyle w:val="Heading2"/>
        <w:numPr>
          <w:ilvl w:val="0"/>
          <w:numId w:val="15"/>
        </w:numPr>
        <w:tabs>
          <w:tab w:pos="2229" w:val="left" w:leader="none"/>
        </w:tabs>
        <w:spacing w:line="194" w:lineRule="auto" w:before="55" w:after="0"/>
        <w:ind w:left="1910" w:right="0" w:firstLine="0"/>
        <w:jc w:val="left"/>
      </w:pPr>
      <w:r>
        <w:rPr>
          <w:spacing w:val="-4"/>
        </w:rPr>
        <w:t>肝豆状核</w:t>
      </w:r>
      <w:r>
        <w:rPr>
          <w:spacing w:val="-6"/>
        </w:rPr>
        <w:t>变性</w:t>
      </w:r>
    </w:p>
    <w:p>
      <w:pPr>
        <w:pStyle w:val="BodyText"/>
        <w:spacing w:line="278" w:lineRule="auto" w:before="72"/>
        <w:ind w:left="349" w:right="1597"/>
      </w:pPr>
      <w:r>
        <w:rPr/>
        <w:br w:type="column"/>
      </w:r>
      <w:r>
        <w:rPr>
          <w:spacing w:val="-2"/>
        </w:rPr>
        <w:t>肝豆状核变性是一种可能危及生命的铜代谢疾病，以铜沉积</w:t>
      </w:r>
      <w:r>
        <w:rPr>
          <w:spacing w:val="-2"/>
        </w:rPr>
        <w:t>造成的渐进性肝功能损害及/或神经功能恶化为特征。必须</w:t>
      </w:r>
      <w:r>
        <w:rPr>
          <w:spacing w:val="-2"/>
        </w:rPr>
        <w:t>由本公司认可医院的专科医生通过肝脏活组织检查结果确定</w:t>
      </w:r>
      <w:r>
        <w:rPr>
          <w:spacing w:val="-2"/>
        </w:rPr>
        <w:t>诊断并配合螯合剂治疗持续至少 </w:t>
      </w:r>
      <w:r>
        <w:rPr/>
        <w:t>6</w:t>
      </w:r>
      <w:r>
        <w:rPr>
          <w:spacing w:val="-6"/>
        </w:rPr>
        <w:t> 个月。</w:t>
      </w:r>
    </w:p>
    <w:p>
      <w:pPr>
        <w:pStyle w:val="BodyText"/>
        <w:spacing w:line="283" w:lineRule="auto" w:before="153"/>
        <w:ind w:left="349" w:right="1597"/>
      </w:pPr>
      <w:r>
        <w:rPr>
          <w:spacing w:val="-2"/>
        </w:rPr>
        <w:t>本公司承担本项疾病责任不受本合同责任免除中“遗传性疾</w:t>
      </w:r>
      <w:r>
        <w:rPr>
          <w:spacing w:val="-2"/>
        </w:rPr>
        <w:t>病，先天性畸形、变形或染色体异常”的限制。</w:t>
      </w:r>
    </w:p>
    <w:p>
      <w:pPr>
        <w:spacing w:after="0" w:line="283" w:lineRule="auto"/>
        <w:sectPr>
          <w:type w:val="continuous"/>
          <w:pgSz w:w="11910" w:h="16840"/>
          <w:pgMar w:header="0" w:footer="226" w:top="240" w:bottom="420" w:left="980" w:right="400"/>
          <w:cols w:num="2" w:equalWidth="0">
            <w:col w:w="3073" w:space="40"/>
            <w:col w:w="7417"/>
          </w:cols>
        </w:sectPr>
      </w:pPr>
    </w:p>
    <w:p>
      <w:pPr>
        <w:pStyle w:val="Heading2"/>
        <w:numPr>
          <w:ilvl w:val="0"/>
          <w:numId w:val="15"/>
        </w:numPr>
        <w:tabs>
          <w:tab w:pos="2229" w:val="left" w:leader="none"/>
        </w:tabs>
        <w:spacing w:line="194" w:lineRule="auto" w:before="35" w:after="0"/>
        <w:ind w:left="1910" w:right="0" w:firstLine="0"/>
        <w:jc w:val="left"/>
      </w:pPr>
      <w:r>
        <w:rPr>
          <w:spacing w:val="-4"/>
        </w:rPr>
        <w:t>肺源性心</w:t>
      </w:r>
      <w:r>
        <w:rPr>
          <w:spacing w:val="-6"/>
        </w:rPr>
        <w:t>脏病</w:t>
      </w:r>
    </w:p>
    <w:p>
      <w:pPr>
        <w:pStyle w:val="BodyText"/>
        <w:spacing w:line="278" w:lineRule="auto" w:before="51"/>
        <w:ind w:left="349" w:right="1597"/>
        <w:jc w:val="both"/>
      </w:pPr>
      <w:r>
        <w:rPr/>
        <w:br w:type="column"/>
      </w:r>
      <w:r>
        <w:rPr>
          <w:spacing w:val="-2"/>
        </w:rPr>
        <w:t>指由于各种胸肺及支气管病变而继发的肺动脉高压，最后导</w:t>
      </w:r>
      <w:r>
        <w:rPr>
          <w:spacing w:val="-2"/>
        </w:rPr>
        <w:t>致以右室肥大为特征的心脏病。须经呼吸专科医生确诊，且</w:t>
      </w:r>
      <w:r>
        <w:rPr>
          <w:spacing w:val="-2"/>
        </w:rPr>
        <w:t>必须同时满足如下诊断标准：</w:t>
      </w:r>
    </w:p>
    <w:p>
      <w:pPr>
        <w:pStyle w:val="ListParagraph"/>
        <w:numPr>
          <w:ilvl w:val="0"/>
          <w:numId w:val="38"/>
        </w:numPr>
        <w:tabs>
          <w:tab w:pos="879" w:val="left" w:leader="none"/>
        </w:tabs>
        <w:spacing w:line="240" w:lineRule="auto" w:before="153" w:after="0"/>
        <w:ind w:left="878" w:right="0" w:hanging="530"/>
        <w:jc w:val="both"/>
        <w:rPr>
          <w:sz w:val="21"/>
        </w:rPr>
      </w:pPr>
      <w:r>
        <w:rPr>
          <w:spacing w:val="-2"/>
          <w:sz w:val="21"/>
        </w:rPr>
        <w:t>左心房压力增高（</w:t>
      </w:r>
      <w:r>
        <w:rPr>
          <w:spacing w:val="-14"/>
          <w:sz w:val="21"/>
        </w:rPr>
        <w:t>不低于 </w:t>
      </w:r>
      <w:r>
        <w:rPr>
          <w:spacing w:val="-2"/>
          <w:sz w:val="21"/>
        </w:rPr>
        <w:t>20</w:t>
      </w:r>
      <w:r>
        <w:rPr>
          <w:spacing w:val="-14"/>
          <w:sz w:val="21"/>
        </w:rPr>
        <w:t> 个单位</w:t>
      </w:r>
      <w:r>
        <w:rPr>
          <w:spacing w:val="-111"/>
          <w:sz w:val="21"/>
        </w:rPr>
        <w:t>）</w:t>
      </w:r>
      <w:r>
        <w:rPr>
          <w:spacing w:val="-5"/>
          <w:sz w:val="21"/>
        </w:rPr>
        <w:t>；</w:t>
      </w:r>
    </w:p>
    <w:p>
      <w:pPr>
        <w:pStyle w:val="ListParagraph"/>
        <w:numPr>
          <w:ilvl w:val="0"/>
          <w:numId w:val="38"/>
        </w:numPr>
        <w:tabs>
          <w:tab w:pos="879" w:val="left" w:leader="none"/>
        </w:tabs>
        <w:spacing w:line="278" w:lineRule="auto" w:before="48" w:after="0"/>
        <w:ind w:left="349" w:right="2436" w:firstLine="0"/>
        <w:jc w:val="left"/>
        <w:rPr>
          <w:sz w:val="21"/>
        </w:rPr>
      </w:pPr>
      <w:r>
        <w:rPr>
          <w:spacing w:val="-5"/>
          <w:sz w:val="21"/>
        </w:rPr>
        <w:t>肺血管阻力高于正常值 </w:t>
      </w:r>
      <w:r>
        <w:rPr>
          <w:sz w:val="21"/>
        </w:rPr>
        <w:t>3</w:t>
      </w:r>
      <w:r>
        <w:rPr>
          <w:spacing w:val="-15"/>
          <w:sz w:val="21"/>
        </w:rPr>
        <w:t> 个单位</w:t>
      </w:r>
      <w:r>
        <w:rPr>
          <w:sz w:val="21"/>
        </w:rPr>
        <w:t>（Pulmonary </w:t>
      </w:r>
      <w:r>
        <w:rPr>
          <w:spacing w:val="16"/>
          <w:sz w:val="21"/>
        </w:rPr>
        <w:t>Resistance</w:t>
      </w:r>
      <w:r>
        <w:rPr>
          <w:spacing w:val="-95"/>
          <w:sz w:val="21"/>
        </w:rPr>
        <w:t>）；</w:t>
      </w:r>
    </w:p>
    <w:p>
      <w:pPr>
        <w:pStyle w:val="ListParagraph"/>
        <w:numPr>
          <w:ilvl w:val="0"/>
          <w:numId w:val="38"/>
        </w:numPr>
        <w:tabs>
          <w:tab w:pos="879" w:val="left" w:leader="none"/>
        </w:tabs>
        <w:spacing w:line="269" w:lineRule="exact" w:before="0" w:after="0"/>
        <w:ind w:left="878" w:right="0" w:hanging="530"/>
        <w:jc w:val="left"/>
        <w:rPr>
          <w:sz w:val="21"/>
        </w:rPr>
      </w:pPr>
      <w:r>
        <w:rPr>
          <w:spacing w:val="-8"/>
          <w:sz w:val="21"/>
        </w:rPr>
        <w:t>肺动脉血压不低于 </w:t>
      </w:r>
      <w:r>
        <w:rPr>
          <w:spacing w:val="-2"/>
          <w:sz w:val="21"/>
        </w:rPr>
        <w:t>40</w:t>
      </w:r>
      <w:r>
        <w:rPr>
          <w:spacing w:val="-12"/>
          <w:sz w:val="21"/>
        </w:rPr>
        <w:t> 毫米汞柱；</w:t>
      </w:r>
    </w:p>
    <w:p>
      <w:pPr>
        <w:pStyle w:val="ListParagraph"/>
        <w:numPr>
          <w:ilvl w:val="0"/>
          <w:numId w:val="38"/>
        </w:numPr>
        <w:tabs>
          <w:tab w:pos="879" w:val="left" w:leader="none"/>
        </w:tabs>
        <w:spacing w:line="240" w:lineRule="auto" w:before="43" w:after="0"/>
        <w:ind w:left="878" w:right="0" w:hanging="530"/>
        <w:jc w:val="left"/>
        <w:rPr>
          <w:sz w:val="21"/>
        </w:rPr>
      </w:pPr>
      <w:r>
        <w:rPr>
          <w:spacing w:val="-8"/>
          <w:sz w:val="21"/>
        </w:rPr>
        <w:t>肺动脉楔压不低于 </w:t>
      </w:r>
      <w:r>
        <w:rPr>
          <w:spacing w:val="-2"/>
          <w:sz w:val="21"/>
        </w:rPr>
        <w:t>6</w:t>
      </w:r>
      <w:r>
        <w:rPr>
          <w:spacing w:val="-12"/>
          <w:sz w:val="21"/>
        </w:rPr>
        <w:t> 毫米汞柱；</w:t>
      </w:r>
    </w:p>
    <w:p>
      <w:pPr>
        <w:pStyle w:val="ListParagraph"/>
        <w:numPr>
          <w:ilvl w:val="0"/>
          <w:numId w:val="38"/>
        </w:numPr>
        <w:tabs>
          <w:tab w:pos="879" w:val="left" w:leader="none"/>
        </w:tabs>
        <w:spacing w:line="240" w:lineRule="auto" w:before="43" w:after="0"/>
        <w:ind w:left="878" w:right="0" w:hanging="530"/>
        <w:jc w:val="left"/>
        <w:rPr>
          <w:sz w:val="21"/>
        </w:rPr>
      </w:pPr>
      <w:r>
        <w:rPr>
          <w:spacing w:val="-5"/>
          <w:sz w:val="21"/>
        </w:rPr>
        <w:t>右心室心脏舒张期末压力不低于 </w:t>
      </w:r>
      <w:r>
        <w:rPr>
          <w:spacing w:val="-2"/>
          <w:sz w:val="21"/>
        </w:rPr>
        <w:t>8</w:t>
      </w:r>
      <w:r>
        <w:rPr>
          <w:spacing w:val="-12"/>
          <w:sz w:val="21"/>
        </w:rPr>
        <w:t> 毫米汞柱；</w:t>
      </w:r>
    </w:p>
    <w:p>
      <w:pPr>
        <w:pStyle w:val="ListParagraph"/>
        <w:numPr>
          <w:ilvl w:val="0"/>
          <w:numId w:val="38"/>
        </w:numPr>
        <w:tabs>
          <w:tab w:pos="879" w:val="left" w:leader="none"/>
        </w:tabs>
        <w:spacing w:line="240" w:lineRule="auto" w:before="44" w:after="0"/>
        <w:ind w:left="878" w:right="0" w:hanging="530"/>
        <w:jc w:val="left"/>
        <w:rPr>
          <w:sz w:val="21"/>
        </w:rPr>
      </w:pPr>
      <w:r>
        <w:rPr>
          <w:spacing w:val="-3"/>
          <w:sz w:val="21"/>
        </w:rPr>
        <w:t>右心室过度肥大、扩张，出现右心衰竭和呼吸困难。</w:t>
      </w:r>
    </w:p>
    <w:p>
      <w:pPr>
        <w:spacing w:after="0" w:line="240" w:lineRule="auto"/>
        <w:jc w:val="left"/>
        <w:rPr>
          <w:sz w:val="21"/>
        </w:rPr>
        <w:sectPr>
          <w:pgSz w:w="11910" w:h="16840"/>
          <w:pgMar w:header="0" w:footer="226" w:top="820" w:bottom="420" w:left="980" w:right="400"/>
          <w:cols w:num="2" w:equalWidth="0">
            <w:col w:w="3073" w:space="40"/>
            <w:col w:w="7417"/>
          </w:cols>
        </w:sectPr>
      </w:pPr>
    </w:p>
    <w:p>
      <w:pPr>
        <w:pStyle w:val="BodyText"/>
        <w:spacing w:before="11"/>
        <w:rPr>
          <w:sz w:val="22"/>
        </w:rPr>
      </w:pPr>
    </w:p>
    <w:p>
      <w:pPr>
        <w:spacing w:after="0"/>
        <w:rPr>
          <w:sz w:val="22"/>
        </w:rPr>
        <w:sectPr>
          <w:type w:val="continuous"/>
          <w:pgSz w:w="11910" w:h="16840"/>
          <w:pgMar w:header="0" w:footer="226" w:top="240" w:bottom="420" w:left="980" w:right="400"/>
        </w:sectPr>
      </w:pPr>
    </w:p>
    <w:p>
      <w:pPr>
        <w:pStyle w:val="Heading2"/>
        <w:numPr>
          <w:ilvl w:val="0"/>
          <w:numId w:val="15"/>
        </w:numPr>
        <w:tabs>
          <w:tab w:pos="2229" w:val="left" w:leader="none"/>
        </w:tabs>
        <w:spacing w:line="196" w:lineRule="auto" w:before="52" w:after="0"/>
        <w:ind w:left="1910" w:right="0" w:firstLine="0"/>
        <w:jc w:val="left"/>
      </w:pPr>
      <w:r>
        <w:rPr>
          <w:spacing w:val="-4"/>
        </w:rPr>
        <w:t>肾髓质囊</w:t>
      </w:r>
      <w:r>
        <w:rPr>
          <w:spacing w:val="-6"/>
        </w:rPr>
        <w:t>性病</w:t>
      </w:r>
    </w:p>
    <w:p>
      <w:pPr>
        <w:pStyle w:val="BodyText"/>
        <w:spacing w:before="71"/>
        <w:ind w:left="349"/>
      </w:pPr>
      <w:r>
        <w:rPr/>
        <w:br w:type="column"/>
      </w:r>
      <w:r>
        <w:rPr>
          <w:spacing w:val="-3"/>
        </w:rPr>
        <w:t>肾髓质囊性病的诊断须同时符合下列要求：</w:t>
      </w:r>
    </w:p>
    <w:p>
      <w:pPr>
        <w:pStyle w:val="BodyText"/>
        <w:spacing w:before="9"/>
        <w:rPr>
          <w:sz w:val="15"/>
        </w:rPr>
      </w:pPr>
    </w:p>
    <w:p>
      <w:pPr>
        <w:pStyle w:val="ListParagraph"/>
        <w:numPr>
          <w:ilvl w:val="0"/>
          <w:numId w:val="39"/>
        </w:numPr>
        <w:tabs>
          <w:tab w:pos="879" w:val="left" w:leader="none"/>
        </w:tabs>
        <w:spacing w:line="278" w:lineRule="auto" w:before="1" w:after="0"/>
        <w:ind w:left="349" w:right="1914" w:firstLine="0"/>
        <w:jc w:val="left"/>
        <w:rPr>
          <w:sz w:val="21"/>
        </w:rPr>
      </w:pPr>
      <w:r>
        <w:rPr>
          <w:spacing w:val="-2"/>
          <w:sz w:val="21"/>
        </w:rPr>
        <w:t>肾髓质有囊肿、肾小管萎缩及间质纤维化等病理改</w:t>
      </w:r>
      <w:r>
        <w:rPr>
          <w:spacing w:val="-6"/>
          <w:sz w:val="21"/>
        </w:rPr>
        <w:t>变；</w:t>
      </w:r>
    </w:p>
    <w:p>
      <w:pPr>
        <w:pStyle w:val="ListParagraph"/>
        <w:numPr>
          <w:ilvl w:val="0"/>
          <w:numId w:val="39"/>
        </w:numPr>
        <w:tabs>
          <w:tab w:pos="879" w:val="left" w:leader="none"/>
        </w:tabs>
        <w:spacing w:line="240" w:lineRule="auto" w:before="0" w:after="0"/>
        <w:ind w:left="878" w:right="0" w:hanging="530"/>
        <w:jc w:val="left"/>
        <w:rPr>
          <w:sz w:val="21"/>
        </w:rPr>
      </w:pPr>
      <w:r>
        <w:rPr>
          <w:spacing w:val="-4"/>
          <w:sz w:val="21"/>
        </w:rPr>
        <w:t>肾功能衰竭；</w:t>
      </w:r>
    </w:p>
    <w:p>
      <w:pPr>
        <w:pStyle w:val="ListParagraph"/>
        <w:numPr>
          <w:ilvl w:val="0"/>
          <w:numId w:val="39"/>
        </w:numPr>
        <w:tabs>
          <w:tab w:pos="879" w:val="left" w:leader="none"/>
        </w:tabs>
        <w:spacing w:line="240" w:lineRule="auto" w:before="43" w:after="0"/>
        <w:ind w:left="878" w:right="0" w:hanging="530"/>
        <w:jc w:val="left"/>
        <w:rPr>
          <w:sz w:val="21"/>
        </w:rPr>
      </w:pPr>
      <w:r>
        <w:rPr>
          <w:spacing w:val="-3"/>
          <w:sz w:val="21"/>
        </w:rPr>
        <w:t>诊断须由肾组织活检确定。</w:t>
      </w:r>
    </w:p>
    <w:p>
      <w:pPr>
        <w:pStyle w:val="BodyText"/>
        <w:spacing w:before="4"/>
        <w:rPr>
          <w:sz w:val="15"/>
        </w:rPr>
      </w:pPr>
    </w:p>
    <w:p>
      <w:pPr>
        <w:pStyle w:val="BodyText"/>
        <w:spacing w:line="283" w:lineRule="auto"/>
        <w:ind w:left="349" w:right="1597"/>
      </w:pPr>
      <w:r>
        <w:rPr>
          <w:spacing w:val="-2"/>
        </w:rPr>
        <w:t>本公司承担本项疾病责任不受本合同责任免除中“遗传性疾</w:t>
      </w:r>
      <w:r>
        <w:rPr>
          <w:spacing w:val="-2"/>
        </w:rPr>
        <w:t>病，先天性畸形、变形或染色体异常”的限制。</w:t>
      </w:r>
    </w:p>
    <w:p>
      <w:pPr>
        <w:spacing w:after="0" w:line="283" w:lineRule="auto"/>
        <w:sectPr>
          <w:type w:val="continuous"/>
          <w:pgSz w:w="11910" w:h="16840"/>
          <w:pgMar w:header="0" w:footer="226" w:top="240" w:bottom="420" w:left="980" w:right="400"/>
          <w:cols w:num="2" w:equalWidth="0">
            <w:col w:w="3073" w:space="40"/>
            <w:col w:w="7417"/>
          </w:cols>
        </w:sectPr>
      </w:pPr>
    </w:p>
    <w:p>
      <w:pPr>
        <w:pStyle w:val="BodyText"/>
        <w:spacing w:before="1"/>
        <w:rPr>
          <w:sz w:val="19"/>
        </w:rPr>
      </w:pPr>
    </w:p>
    <w:p>
      <w:pPr>
        <w:spacing w:after="0"/>
        <w:rPr>
          <w:sz w:val="19"/>
        </w:rPr>
        <w:sectPr>
          <w:type w:val="continuous"/>
          <w:pgSz w:w="11910" w:h="16840"/>
          <w:pgMar w:header="0" w:footer="226" w:top="240" w:bottom="420" w:left="980" w:right="400"/>
        </w:sectPr>
      </w:pPr>
    </w:p>
    <w:p>
      <w:pPr>
        <w:pStyle w:val="Heading2"/>
        <w:numPr>
          <w:ilvl w:val="0"/>
          <w:numId w:val="15"/>
        </w:numPr>
        <w:tabs>
          <w:tab w:pos="2229" w:val="left" w:leader="none"/>
        </w:tabs>
        <w:spacing w:line="196" w:lineRule="auto" w:before="53" w:after="0"/>
        <w:ind w:left="1910" w:right="0" w:firstLine="0"/>
        <w:jc w:val="left"/>
      </w:pPr>
      <w:r>
        <w:rPr>
          <w:spacing w:val="-4"/>
        </w:rPr>
        <w:t>严重继发</w:t>
      </w:r>
      <w:r>
        <w:rPr>
          <w:spacing w:val="-2"/>
        </w:rPr>
        <w:t>性肺动脉高压</w:t>
      </w:r>
    </w:p>
    <w:p>
      <w:pPr>
        <w:pStyle w:val="BodyText"/>
        <w:spacing w:line="280" w:lineRule="auto" w:before="72"/>
        <w:ind w:left="244" w:right="1591"/>
        <w:rPr>
          <w:rFonts w:ascii="Times New Roman" w:eastAsia="Times New Roman"/>
        </w:rPr>
      </w:pPr>
      <w:r>
        <w:rPr/>
        <w:br w:type="column"/>
      </w:r>
      <w:r>
        <w:rPr>
          <w:spacing w:val="-2"/>
        </w:rPr>
        <w:t>继发性肺动脉压力持续增高，导致右心室肥厚，已经造成永</w:t>
      </w:r>
      <w:r>
        <w:rPr>
          <w:spacing w:val="-2"/>
        </w:rPr>
        <w:t>久不可逆性的体力活动能力受限，达到美国纽约心脏病学会</w:t>
      </w:r>
      <w:r>
        <w:rPr>
          <w:spacing w:val="-3"/>
        </w:rPr>
        <w:t>心功能状态分级 </w:t>
      </w:r>
      <w:r>
        <w:rPr>
          <w:rFonts w:ascii="Times New Roman" w:eastAsia="Times New Roman"/>
        </w:rPr>
        <w:t>IV </w:t>
      </w:r>
      <w:r>
        <w:rPr/>
        <w:t>级。诊断需要由心脏科专家确诊，并且</w:t>
      </w:r>
      <w:r>
        <w:rPr>
          <w:spacing w:val="-4"/>
        </w:rPr>
        <w:t>心导管检查报告显示静息状态下肺动脉平均压超过 </w:t>
      </w:r>
      <w:r>
        <w:rPr>
          <w:rFonts w:ascii="Times New Roman" w:eastAsia="Times New Roman"/>
          <w:spacing w:val="-2"/>
        </w:rPr>
        <w:t>36mmHg</w:t>
      </w:r>
    </w:p>
    <w:p>
      <w:pPr>
        <w:pStyle w:val="BodyText"/>
        <w:spacing w:line="263" w:lineRule="exact"/>
        <w:ind w:left="244"/>
      </w:pPr>
      <w:r>
        <w:rPr/>
        <w:t>（含</w:t>
      </w:r>
      <w:r>
        <w:rPr>
          <w:spacing w:val="-106"/>
        </w:rPr>
        <w:t>）</w:t>
      </w:r>
      <w:r>
        <w:rPr>
          <w:spacing w:val="-10"/>
        </w:rPr>
        <w:t>。</w:t>
      </w:r>
    </w:p>
    <w:p>
      <w:pPr>
        <w:pStyle w:val="BodyText"/>
        <w:spacing w:before="4"/>
        <w:rPr>
          <w:sz w:val="15"/>
        </w:rPr>
      </w:pPr>
    </w:p>
    <w:p>
      <w:pPr>
        <w:pStyle w:val="BodyText"/>
        <w:spacing w:line="278" w:lineRule="auto"/>
        <w:ind w:left="244" w:right="1597"/>
      </w:pPr>
      <w:r>
        <w:rPr>
          <w:spacing w:val="-2"/>
        </w:rPr>
        <w:t>所有先天性心脏疾病直接或间接引起的肺动脉高压也不在保</w:t>
      </w:r>
      <w:r>
        <w:rPr>
          <w:spacing w:val="-2"/>
        </w:rPr>
        <w:t>障范围内。</w:t>
      </w:r>
    </w:p>
    <w:p>
      <w:pPr>
        <w:spacing w:after="0" w:line="278" w:lineRule="auto"/>
        <w:sectPr>
          <w:type w:val="continuous"/>
          <w:pgSz w:w="11910" w:h="16840"/>
          <w:pgMar w:header="0" w:footer="226" w:top="240" w:bottom="420" w:left="980" w:right="400"/>
          <w:cols w:num="2" w:equalWidth="0">
            <w:col w:w="3178" w:space="40"/>
            <w:col w:w="7312"/>
          </w:cols>
        </w:sectPr>
      </w:pPr>
    </w:p>
    <w:p>
      <w:pPr>
        <w:pStyle w:val="BodyText"/>
        <w:spacing w:before="7"/>
        <w:rPr>
          <w:sz w:val="19"/>
        </w:rPr>
      </w:pPr>
    </w:p>
    <w:p>
      <w:pPr>
        <w:spacing w:after="0"/>
        <w:rPr>
          <w:sz w:val="19"/>
        </w:rPr>
        <w:sectPr>
          <w:type w:val="continuous"/>
          <w:pgSz w:w="11910" w:h="16840"/>
          <w:pgMar w:header="0" w:footer="226" w:top="240" w:bottom="420" w:left="980" w:right="400"/>
        </w:sectPr>
      </w:pPr>
    </w:p>
    <w:p>
      <w:pPr>
        <w:pStyle w:val="Heading2"/>
        <w:numPr>
          <w:ilvl w:val="0"/>
          <w:numId w:val="15"/>
        </w:numPr>
        <w:tabs>
          <w:tab w:pos="2229" w:val="left" w:leader="none"/>
        </w:tabs>
        <w:spacing w:line="196" w:lineRule="auto" w:before="52" w:after="0"/>
        <w:ind w:left="1910" w:right="0" w:firstLine="0"/>
        <w:jc w:val="left"/>
      </w:pPr>
      <w:r>
        <w:rPr>
          <w:spacing w:val="-4"/>
        </w:rPr>
        <w:t>进行性核</w:t>
      </w:r>
      <w:r>
        <w:rPr>
          <w:spacing w:val="-4"/>
        </w:rPr>
        <w:t>上性麻痹</w:t>
      </w:r>
    </w:p>
    <w:p>
      <w:pPr>
        <w:pStyle w:val="BodyText"/>
        <w:spacing w:line="280" w:lineRule="auto" w:before="71"/>
        <w:ind w:left="349" w:right="1595"/>
        <w:jc w:val="both"/>
      </w:pPr>
      <w:r>
        <w:rPr/>
        <w:br w:type="column"/>
      </w:r>
      <w:r>
        <w:rPr>
          <w:spacing w:val="-2"/>
        </w:rPr>
        <w:t>一种隐袭起病、逐渐加重的神经系统变性疾病。本疾病必须</w:t>
      </w:r>
      <w:r>
        <w:rPr>
          <w:spacing w:val="-2"/>
        </w:rPr>
        <w:t>由本公司认可的医院的神经科专科医生确诊，并须满足下列</w:t>
      </w:r>
      <w:r>
        <w:rPr>
          <w:spacing w:val="-2"/>
        </w:rPr>
        <w:t>所有条件：</w:t>
      </w:r>
    </w:p>
    <w:p>
      <w:pPr>
        <w:pStyle w:val="ListParagraph"/>
        <w:numPr>
          <w:ilvl w:val="0"/>
          <w:numId w:val="40"/>
        </w:numPr>
        <w:tabs>
          <w:tab w:pos="879" w:val="left" w:leader="none"/>
        </w:tabs>
        <w:spacing w:line="240" w:lineRule="auto" w:before="151" w:after="0"/>
        <w:ind w:left="878" w:right="0" w:hanging="530"/>
        <w:jc w:val="left"/>
        <w:rPr>
          <w:sz w:val="21"/>
        </w:rPr>
      </w:pPr>
      <w:r>
        <w:rPr>
          <w:spacing w:val="-4"/>
          <w:sz w:val="21"/>
        </w:rPr>
        <w:t>步态共济失调；</w:t>
      </w:r>
    </w:p>
    <w:p>
      <w:pPr>
        <w:pStyle w:val="ListParagraph"/>
        <w:numPr>
          <w:ilvl w:val="0"/>
          <w:numId w:val="40"/>
        </w:numPr>
        <w:tabs>
          <w:tab w:pos="879" w:val="left" w:leader="none"/>
        </w:tabs>
        <w:spacing w:line="240" w:lineRule="auto" w:before="43" w:after="0"/>
        <w:ind w:left="878" w:right="0" w:hanging="530"/>
        <w:jc w:val="left"/>
        <w:rPr>
          <w:sz w:val="21"/>
        </w:rPr>
      </w:pPr>
      <w:r>
        <w:rPr>
          <w:spacing w:val="-3"/>
          <w:sz w:val="21"/>
        </w:rPr>
        <w:t>对称性眼球垂直运动障碍；</w:t>
      </w:r>
    </w:p>
    <w:p>
      <w:pPr>
        <w:pStyle w:val="ListParagraph"/>
        <w:numPr>
          <w:ilvl w:val="0"/>
          <w:numId w:val="40"/>
        </w:numPr>
        <w:tabs>
          <w:tab w:pos="879" w:val="left" w:leader="none"/>
        </w:tabs>
        <w:spacing w:line="240" w:lineRule="auto" w:before="43" w:after="0"/>
        <w:ind w:left="878" w:right="0" w:hanging="530"/>
        <w:jc w:val="left"/>
        <w:rPr>
          <w:sz w:val="21"/>
        </w:rPr>
      </w:pPr>
      <w:r>
        <w:rPr>
          <w:spacing w:val="-3"/>
          <w:sz w:val="21"/>
        </w:rPr>
        <w:t>假性球麻痹，表现为构音障碍和吞咽困难。</w:t>
      </w:r>
    </w:p>
    <w:p>
      <w:pPr>
        <w:spacing w:after="0" w:line="240" w:lineRule="auto"/>
        <w:jc w:val="left"/>
        <w:rPr>
          <w:sz w:val="21"/>
        </w:rPr>
        <w:sectPr>
          <w:type w:val="continuous"/>
          <w:pgSz w:w="11910" w:h="16840"/>
          <w:pgMar w:header="0" w:footer="226" w:top="240" w:bottom="420" w:left="980" w:right="400"/>
          <w:cols w:num="2" w:equalWidth="0">
            <w:col w:w="3073" w:space="40"/>
            <w:col w:w="7417"/>
          </w:cols>
        </w:sectPr>
      </w:pPr>
    </w:p>
    <w:p>
      <w:pPr>
        <w:pStyle w:val="BodyText"/>
        <w:spacing w:before="3"/>
        <w:rPr>
          <w:sz w:val="23"/>
        </w:rPr>
      </w:pPr>
    </w:p>
    <w:p>
      <w:pPr>
        <w:spacing w:after="0"/>
        <w:rPr>
          <w:sz w:val="23"/>
        </w:rPr>
        <w:sectPr>
          <w:type w:val="continuous"/>
          <w:pgSz w:w="11910" w:h="16840"/>
          <w:pgMar w:header="0" w:footer="226" w:top="240" w:bottom="420" w:left="980" w:right="400"/>
        </w:sectPr>
      </w:pPr>
    </w:p>
    <w:p>
      <w:pPr>
        <w:pStyle w:val="Heading2"/>
        <w:numPr>
          <w:ilvl w:val="0"/>
          <w:numId w:val="15"/>
        </w:numPr>
        <w:tabs>
          <w:tab w:pos="2229" w:val="left" w:leader="none"/>
        </w:tabs>
        <w:spacing w:line="194" w:lineRule="auto" w:before="56" w:after="0"/>
        <w:ind w:left="1910" w:right="0" w:firstLine="0"/>
        <w:jc w:val="left"/>
      </w:pPr>
      <w:r>
        <w:rPr>
          <w:spacing w:val="-4"/>
        </w:rPr>
        <w:t>失去一肢</w:t>
      </w:r>
      <w:r>
        <w:rPr>
          <w:spacing w:val="-4"/>
        </w:rPr>
        <w:t>及一眼</w:t>
      </w:r>
    </w:p>
    <w:p>
      <w:pPr>
        <w:pStyle w:val="BodyText"/>
        <w:spacing w:line="278" w:lineRule="auto" w:before="72"/>
        <w:ind w:left="349" w:right="1597"/>
      </w:pPr>
      <w:r>
        <w:rPr/>
        <w:br w:type="column"/>
      </w:r>
      <w:r>
        <w:rPr>
          <w:spacing w:val="-2"/>
        </w:rPr>
        <w:t>因疾病或受伤导致以下两项情形同时不可复原及永久性完全</w:t>
      </w:r>
      <w:r>
        <w:rPr>
          <w:spacing w:val="-4"/>
        </w:rPr>
        <w:t>丧失：</w:t>
      </w:r>
    </w:p>
    <w:p>
      <w:pPr>
        <w:pStyle w:val="ListParagraph"/>
        <w:numPr>
          <w:ilvl w:val="0"/>
          <w:numId w:val="41"/>
        </w:numPr>
        <w:tabs>
          <w:tab w:pos="879" w:val="left" w:leader="none"/>
        </w:tabs>
        <w:spacing w:line="240" w:lineRule="auto" w:before="153" w:after="0"/>
        <w:ind w:left="878" w:right="0" w:hanging="530"/>
        <w:jc w:val="left"/>
        <w:rPr>
          <w:sz w:val="21"/>
        </w:rPr>
      </w:pPr>
      <w:r>
        <w:rPr>
          <w:spacing w:val="-4"/>
          <w:sz w:val="21"/>
        </w:rPr>
        <w:t>一眼视力；</w:t>
      </w:r>
    </w:p>
    <w:p>
      <w:pPr>
        <w:pStyle w:val="ListParagraph"/>
        <w:numPr>
          <w:ilvl w:val="0"/>
          <w:numId w:val="41"/>
        </w:numPr>
        <w:tabs>
          <w:tab w:pos="879" w:val="left" w:leader="none"/>
        </w:tabs>
        <w:spacing w:line="240" w:lineRule="auto" w:before="48" w:after="0"/>
        <w:ind w:left="878" w:right="0" w:hanging="530"/>
        <w:jc w:val="left"/>
        <w:rPr>
          <w:sz w:val="21"/>
        </w:rPr>
      </w:pPr>
      <w:r>
        <w:rPr>
          <w:spacing w:val="-3"/>
          <w:sz w:val="21"/>
        </w:rPr>
        <w:t>任何一肢于腕骨或踝骨部位或以上切断。</w:t>
      </w:r>
    </w:p>
    <w:p>
      <w:pPr>
        <w:spacing w:after="0" w:line="240" w:lineRule="auto"/>
        <w:jc w:val="left"/>
        <w:rPr>
          <w:sz w:val="21"/>
        </w:rPr>
        <w:sectPr>
          <w:type w:val="continuous"/>
          <w:pgSz w:w="11910" w:h="16840"/>
          <w:pgMar w:header="0" w:footer="226" w:top="240" w:bottom="420" w:left="980" w:right="400"/>
          <w:cols w:num="2" w:equalWidth="0">
            <w:col w:w="3073" w:space="40"/>
            <w:col w:w="7417"/>
          </w:cols>
        </w:sectPr>
      </w:pPr>
    </w:p>
    <w:p>
      <w:pPr>
        <w:pStyle w:val="BodyText"/>
        <w:spacing w:before="11"/>
        <w:rPr>
          <w:sz w:val="22"/>
        </w:rPr>
      </w:pPr>
    </w:p>
    <w:p>
      <w:pPr>
        <w:spacing w:after="0"/>
        <w:rPr>
          <w:sz w:val="22"/>
        </w:rPr>
        <w:sectPr>
          <w:type w:val="continuous"/>
          <w:pgSz w:w="11910" w:h="16840"/>
          <w:pgMar w:header="0" w:footer="226" w:top="240" w:bottom="420" w:left="980" w:right="400"/>
        </w:sectPr>
      </w:pPr>
    </w:p>
    <w:p>
      <w:pPr>
        <w:pStyle w:val="Heading2"/>
        <w:numPr>
          <w:ilvl w:val="0"/>
          <w:numId w:val="15"/>
        </w:numPr>
        <w:tabs>
          <w:tab w:pos="2229" w:val="left" w:leader="none"/>
        </w:tabs>
        <w:spacing w:line="196" w:lineRule="auto" w:before="53" w:after="0"/>
        <w:ind w:left="1910" w:right="0" w:firstLine="0"/>
        <w:jc w:val="left"/>
      </w:pPr>
      <w:r>
        <w:rPr>
          <w:spacing w:val="-4"/>
        </w:rPr>
        <w:t>嗜铬细胞</w:t>
      </w:r>
      <w:r>
        <w:rPr>
          <w:spacing w:val="-10"/>
        </w:rPr>
        <w:t>瘤</w:t>
      </w:r>
    </w:p>
    <w:p>
      <w:pPr>
        <w:pStyle w:val="BodyText"/>
        <w:spacing w:before="235"/>
        <w:ind w:left="349"/>
      </w:pPr>
      <w:r>
        <w:rPr/>
        <w:br w:type="column"/>
      </w:r>
      <w:r>
        <w:rPr/>
        <w:t>是指肾上腺或嗜铬外组织出现神经内分泌肿瘤，并分</w:t>
      </w:r>
      <w:r>
        <w:rPr>
          <w:rFonts w:ascii="Arial" w:eastAsia="Arial"/>
          <w:w w:val="115"/>
        </w:rPr>
        <w:t>泌</w:t>
      </w:r>
      <w:r>
        <w:rPr>
          <w:spacing w:val="-5"/>
        </w:rPr>
        <w:t>过多</w:t>
      </w:r>
    </w:p>
    <w:p>
      <w:pPr>
        <w:pStyle w:val="BodyText"/>
        <w:spacing w:line="278" w:lineRule="auto" w:before="197"/>
        <w:ind w:left="349" w:right="1596"/>
      </w:pPr>
      <w:r>
        <w:rPr>
          <w:spacing w:val="-2"/>
        </w:rPr>
        <w:t>的儿茶酚胺类，需要确实进行手术以切除肿瘤。嗜铬细胞瘤</w:t>
      </w:r>
      <w:r>
        <w:rPr>
          <w:spacing w:val="-2"/>
        </w:rPr>
        <w:t>的诊断必须由内分泌专科医生确定。</w:t>
      </w:r>
    </w:p>
    <w:p>
      <w:pPr>
        <w:spacing w:after="0" w:line="278" w:lineRule="auto"/>
        <w:sectPr>
          <w:type w:val="continuous"/>
          <w:pgSz w:w="11910" w:h="16840"/>
          <w:pgMar w:header="0" w:footer="226" w:top="240" w:bottom="420" w:left="980" w:right="400"/>
          <w:cols w:num="2" w:equalWidth="0">
            <w:col w:w="3073" w:space="40"/>
            <w:col w:w="7417"/>
          </w:cols>
        </w:sectPr>
      </w:pPr>
    </w:p>
    <w:p>
      <w:pPr>
        <w:pStyle w:val="ListParagraph"/>
        <w:numPr>
          <w:ilvl w:val="0"/>
          <w:numId w:val="15"/>
        </w:numPr>
        <w:tabs>
          <w:tab w:pos="2229" w:val="left" w:leader="none"/>
          <w:tab w:pos="3461" w:val="left" w:leader="none"/>
        </w:tabs>
        <w:spacing w:line="235" w:lineRule="auto" w:before="0" w:after="0"/>
        <w:ind w:left="3462" w:right="1596" w:hanging="1552"/>
        <w:jc w:val="left"/>
        <w:rPr>
          <w:sz w:val="21"/>
        </w:rPr>
      </w:pPr>
      <w:r>
        <w:rPr>
          <w:rFonts w:ascii="Microsoft JhengHei" w:eastAsia="Microsoft JhengHei"/>
          <w:b/>
          <w:spacing w:val="-4"/>
          <w:sz w:val="21"/>
        </w:rPr>
        <w:t>颅</w:t>
      </w:r>
      <w:r>
        <w:rPr>
          <w:rFonts w:ascii="Microsoft JhengHei" w:eastAsia="Microsoft JhengHei"/>
          <w:b/>
          <w:spacing w:val="-4"/>
          <w:sz w:val="21"/>
        </w:rPr>
        <w:t>脑</w:t>
      </w:r>
      <w:r>
        <w:rPr>
          <w:rFonts w:ascii="Microsoft JhengHei" w:eastAsia="Microsoft JhengHei"/>
          <w:b/>
          <w:spacing w:val="-4"/>
          <w:sz w:val="21"/>
        </w:rPr>
        <w:t>手</w:t>
      </w:r>
      <w:r>
        <w:rPr>
          <w:rFonts w:ascii="Microsoft JhengHei" w:eastAsia="Microsoft JhengHei"/>
          <w:b/>
          <w:spacing w:val="-4"/>
          <w:sz w:val="21"/>
        </w:rPr>
        <w:t>术</w:t>
      </w:r>
      <w:r>
        <w:rPr>
          <w:rFonts w:ascii="Microsoft JhengHei" w:eastAsia="Microsoft JhengHei"/>
          <w:b/>
          <w:sz w:val="21"/>
        </w:rPr>
        <w:tab/>
      </w:r>
      <w:r>
        <w:rPr>
          <w:spacing w:val="-2"/>
          <w:sz w:val="21"/>
        </w:rPr>
        <w:t>被</w:t>
      </w:r>
      <w:r>
        <w:rPr>
          <w:spacing w:val="-2"/>
          <w:sz w:val="21"/>
        </w:rPr>
        <w:t>保</w:t>
      </w:r>
      <w:r>
        <w:rPr>
          <w:spacing w:val="-2"/>
          <w:sz w:val="21"/>
        </w:rPr>
        <w:t>险</w:t>
      </w:r>
      <w:r>
        <w:rPr>
          <w:spacing w:val="-2"/>
          <w:sz w:val="21"/>
        </w:rPr>
        <w:t>人</w:t>
      </w:r>
      <w:r>
        <w:rPr>
          <w:spacing w:val="-2"/>
          <w:sz w:val="21"/>
        </w:rPr>
        <w:t>确</w:t>
      </w:r>
      <w:r>
        <w:rPr>
          <w:spacing w:val="-2"/>
          <w:sz w:val="21"/>
        </w:rPr>
        <w:t>已</w:t>
      </w:r>
      <w:r>
        <w:rPr>
          <w:spacing w:val="-2"/>
          <w:sz w:val="21"/>
        </w:rPr>
        <w:t>实</w:t>
      </w:r>
      <w:r>
        <w:rPr>
          <w:spacing w:val="-2"/>
          <w:sz w:val="21"/>
        </w:rPr>
        <w:t>施</w:t>
      </w:r>
      <w:r>
        <w:rPr>
          <w:spacing w:val="-2"/>
          <w:sz w:val="21"/>
        </w:rPr>
        <w:t>全</w:t>
      </w:r>
      <w:r>
        <w:rPr>
          <w:spacing w:val="-2"/>
          <w:sz w:val="21"/>
        </w:rPr>
        <w:t>麻</w:t>
      </w:r>
      <w:r>
        <w:rPr>
          <w:spacing w:val="-2"/>
          <w:sz w:val="21"/>
        </w:rPr>
        <w:t>下</w:t>
      </w:r>
      <w:r>
        <w:rPr>
          <w:spacing w:val="-2"/>
          <w:sz w:val="21"/>
        </w:rPr>
        <w:t>的</w:t>
      </w:r>
      <w:r>
        <w:rPr>
          <w:spacing w:val="-2"/>
          <w:sz w:val="21"/>
        </w:rPr>
        <w:t>开</w:t>
      </w:r>
      <w:r>
        <w:rPr>
          <w:spacing w:val="-2"/>
          <w:sz w:val="21"/>
        </w:rPr>
        <w:t>颅</w:t>
      </w:r>
      <w:r>
        <w:rPr>
          <w:spacing w:val="-2"/>
          <w:sz w:val="21"/>
        </w:rPr>
        <w:t>手</w:t>
      </w:r>
      <w:r>
        <w:rPr>
          <w:spacing w:val="-2"/>
          <w:sz w:val="21"/>
        </w:rPr>
        <w:t>术</w:t>
      </w:r>
      <w:r>
        <w:rPr>
          <w:spacing w:val="-2"/>
          <w:sz w:val="21"/>
        </w:rPr>
        <w:t>（</w:t>
      </w:r>
      <w:r>
        <w:rPr>
          <w:spacing w:val="-2"/>
          <w:sz w:val="21"/>
        </w:rPr>
        <w:t>不</w:t>
      </w:r>
      <w:r>
        <w:rPr>
          <w:spacing w:val="-2"/>
          <w:sz w:val="21"/>
        </w:rPr>
        <w:t>包</w:t>
      </w:r>
      <w:r>
        <w:rPr>
          <w:spacing w:val="-2"/>
          <w:sz w:val="21"/>
        </w:rPr>
        <w:t>括</w:t>
      </w:r>
      <w:r>
        <w:rPr>
          <w:spacing w:val="-2"/>
          <w:sz w:val="21"/>
        </w:rPr>
        <w:t>颅骨钻</w:t>
      </w:r>
      <w:r>
        <w:rPr>
          <w:spacing w:val="-2"/>
          <w:sz w:val="21"/>
        </w:rPr>
        <w:t>孔</w:t>
      </w:r>
      <w:r>
        <w:rPr>
          <w:spacing w:val="-2"/>
          <w:sz w:val="21"/>
        </w:rPr>
        <w:t>手</w:t>
      </w:r>
      <w:r>
        <w:rPr>
          <w:spacing w:val="-2"/>
          <w:sz w:val="21"/>
        </w:rPr>
        <w:t>术</w:t>
      </w:r>
      <w:r>
        <w:rPr>
          <w:spacing w:val="-2"/>
          <w:sz w:val="21"/>
        </w:rPr>
        <w:t>和</w:t>
      </w:r>
      <w:r>
        <w:rPr>
          <w:spacing w:val="-2"/>
          <w:sz w:val="21"/>
        </w:rPr>
        <w:t>经</w:t>
      </w:r>
      <w:r>
        <w:rPr>
          <w:spacing w:val="-2"/>
          <w:sz w:val="21"/>
        </w:rPr>
        <w:t>鼻</w:t>
      </w:r>
      <w:r>
        <w:rPr>
          <w:spacing w:val="-2"/>
          <w:sz w:val="21"/>
        </w:rPr>
        <w:t>蝶</w:t>
      </w:r>
      <w:r>
        <w:rPr>
          <w:spacing w:val="-2"/>
          <w:sz w:val="21"/>
        </w:rPr>
        <w:t>窦</w:t>
      </w:r>
      <w:r>
        <w:rPr>
          <w:spacing w:val="-2"/>
          <w:sz w:val="21"/>
        </w:rPr>
        <w:t>入</w:t>
      </w:r>
      <w:r>
        <w:rPr>
          <w:spacing w:val="-2"/>
          <w:sz w:val="21"/>
        </w:rPr>
        <w:t>颅</w:t>
      </w:r>
      <w:r>
        <w:rPr>
          <w:spacing w:val="-2"/>
          <w:sz w:val="21"/>
        </w:rPr>
        <w:t>手</w:t>
      </w:r>
      <w:r>
        <w:rPr>
          <w:spacing w:val="-2"/>
          <w:sz w:val="21"/>
        </w:rPr>
        <w:t>术</w:t>
      </w:r>
      <w:r>
        <w:rPr>
          <w:spacing w:val="-110"/>
          <w:sz w:val="21"/>
        </w:rPr>
        <w:t>）</w:t>
      </w:r>
      <w:r>
        <w:rPr>
          <w:spacing w:val="-2"/>
          <w:sz w:val="21"/>
        </w:rPr>
        <w:t>。</w:t>
      </w:r>
    </w:p>
    <w:p>
      <w:pPr>
        <w:pStyle w:val="BodyText"/>
        <w:spacing w:before="7"/>
        <w:rPr>
          <w:sz w:val="14"/>
        </w:rPr>
      </w:pPr>
    </w:p>
    <w:p>
      <w:pPr>
        <w:pStyle w:val="BodyText"/>
        <w:ind w:left="3462"/>
      </w:pPr>
      <w:r>
        <w:rPr>
          <w:spacing w:val="-3"/>
        </w:rPr>
        <w:t>因外伤而实施的脑外科手术不在保障范围之内。</w:t>
      </w:r>
    </w:p>
    <w:p>
      <w:pPr>
        <w:pStyle w:val="BodyText"/>
        <w:spacing w:before="9"/>
        <w:rPr>
          <w:sz w:val="15"/>
        </w:rPr>
      </w:pPr>
    </w:p>
    <w:p>
      <w:pPr>
        <w:pStyle w:val="BodyText"/>
        <w:ind w:left="3462"/>
      </w:pPr>
      <w:r>
        <w:rPr>
          <w:spacing w:val="-3"/>
        </w:rPr>
        <w:t>理赔时必须提供由神经外科医生出具的诊断书及手术报告。</w:t>
      </w:r>
    </w:p>
    <w:p>
      <w:pPr>
        <w:pStyle w:val="BodyText"/>
        <w:spacing w:before="4"/>
        <w:rPr>
          <w:sz w:val="23"/>
        </w:rPr>
      </w:pPr>
    </w:p>
    <w:p>
      <w:pPr>
        <w:spacing w:after="0"/>
        <w:rPr>
          <w:sz w:val="23"/>
        </w:rPr>
        <w:sectPr>
          <w:pgSz w:w="11910" w:h="16840"/>
          <w:pgMar w:header="0" w:footer="226" w:top="820" w:bottom="420" w:left="980" w:right="400"/>
        </w:sectPr>
      </w:pPr>
    </w:p>
    <w:p>
      <w:pPr>
        <w:pStyle w:val="Heading2"/>
        <w:numPr>
          <w:ilvl w:val="0"/>
          <w:numId w:val="15"/>
        </w:numPr>
        <w:tabs>
          <w:tab w:pos="2229" w:val="left" w:leader="none"/>
        </w:tabs>
        <w:spacing w:line="194" w:lineRule="auto" w:before="55" w:after="0"/>
        <w:ind w:left="1910" w:right="0" w:firstLine="0"/>
        <w:jc w:val="left"/>
      </w:pPr>
      <w:r>
        <w:rPr>
          <w:spacing w:val="-4"/>
        </w:rPr>
        <w:t>严重自身</w:t>
      </w:r>
      <w:r>
        <w:rPr>
          <w:spacing w:val="-2"/>
        </w:rPr>
        <w:t>免疫性肝炎</w:t>
      </w:r>
    </w:p>
    <w:p>
      <w:pPr>
        <w:pStyle w:val="BodyText"/>
        <w:spacing w:line="278" w:lineRule="auto" w:before="71"/>
        <w:ind w:left="349" w:right="1597"/>
        <w:jc w:val="both"/>
      </w:pPr>
      <w:r>
        <w:rPr/>
        <w:br w:type="column"/>
      </w:r>
      <w:r>
        <w:rPr>
          <w:spacing w:val="-2"/>
        </w:rPr>
        <w:t>自身免疫性肝炎是一种原因不明的慢性肝脏的坏死性炎性疾</w:t>
      </w:r>
      <w:r>
        <w:rPr>
          <w:spacing w:val="-2"/>
        </w:rPr>
        <w:t>病，机体免疫机制被破坏，产生针对肝脏自身抗原的抗体导</w:t>
      </w:r>
      <w:r>
        <w:rPr>
          <w:spacing w:val="-2"/>
        </w:rPr>
        <w:t>致自身免疫反应，从而破坏肝细胞造成肝脏炎症坏死，进而</w:t>
      </w:r>
      <w:r>
        <w:rPr>
          <w:spacing w:val="-2"/>
        </w:rPr>
        <w:t>发展为肝硬化。必须满足所有以下条件：</w:t>
      </w:r>
    </w:p>
    <w:p>
      <w:pPr>
        <w:pStyle w:val="ListParagraph"/>
        <w:numPr>
          <w:ilvl w:val="0"/>
          <w:numId w:val="42"/>
        </w:numPr>
        <w:tabs>
          <w:tab w:pos="879" w:val="left" w:leader="none"/>
        </w:tabs>
        <w:spacing w:line="240" w:lineRule="auto" w:before="154" w:after="0"/>
        <w:ind w:left="878" w:right="0" w:hanging="530"/>
        <w:jc w:val="left"/>
        <w:rPr>
          <w:sz w:val="21"/>
        </w:rPr>
      </w:pPr>
      <w:r>
        <w:rPr>
          <w:spacing w:val="-2"/>
          <w:sz w:val="21"/>
        </w:rPr>
        <w:t>高γ</w:t>
      </w:r>
      <w:r>
        <w:rPr>
          <w:spacing w:val="-4"/>
          <w:sz w:val="21"/>
        </w:rPr>
        <w:t>球蛋白血症；</w:t>
      </w:r>
    </w:p>
    <w:p>
      <w:pPr>
        <w:pStyle w:val="ListParagraph"/>
        <w:numPr>
          <w:ilvl w:val="0"/>
          <w:numId w:val="42"/>
        </w:numPr>
        <w:tabs>
          <w:tab w:pos="879" w:val="left" w:leader="none"/>
        </w:tabs>
        <w:spacing w:line="278" w:lineRule="auto" w:before="48" w:after="0"/>
        <w:ind w:left="349" w:right="1754" w:firstLine="0"/>
        <w:jc w:val="left"/>
        <w:rPr>
          <w:sz w:val="21"/>
        </w:rPr>
      </w:pPr>
      <w:r>
        <w:rPr>
          <w:spacing w:val="-5"/>
          <w:sz w:val="21"/>
        </w:rPr>
        <w:t>血液中存在高水平的自身免疫抗体，如 </w:t>
      </w:r>
      <w:r>
        <w:rPr>
          <w:spacing w:val="-2"/>
          <w:sz w:val="21"/>
        </w:rPr>
        <w:t>ANA（抗核抗</w:t>
      </w:r>
      <w:r>
        <w:rPr>
          <w:sz w:val="21"/>
        </w:rPr>
        <w:t>体</w:t>
      </w:r>
      <w:r>
        <w:rPr>
          <w:spacing w:val="-106"/>
          <w:sz w:val="21"/>
        </w:rPr>
        <w:t>）</w:t>
      </w:r>
      <w:r>
        <w:rPr>
          <w:sz w:val="21"/>
        </w:rPr>
        <w:t>、SMA（抗平滑肌抗体</w:t>
      </w:r>
      <w:r>
        <w:rPr>
          <w:spacing w:val="-106"/>
          <w:sz w:val="21"/>
        </w:rPr>
        <w:t>）</w:t>
      </w:r>
      <w:r>
        <w:rPr>
          <w:spacing w:val="-9"/>
          <w:sz w:val="21"/>
        </w:rPr>
        <w:t>、抗 </w:t>
      </w:r>
      <w:r>
        <w:rPr>
          <w:sz w:val="21"/>
        </w:rPr>
        <w:t>LKM1</w:t>
      </w:r>
      <w:r>
        <w:rPr>
          <w:spacing w:val="-6"/>
          <w:sz w:val="21"/>
        </w:rPr>
        <w:t> 抗体或抗-</w:t>
      </w:r>
      <w:r>
        <w:rPr>
          <w:sz w:val="21"/>
        </w:rPr>
        <w:t>SLA/LP</w:t>
      </w:r>
      <w:r>
        <w:rPr>
          <w:spacing w:val="-13"/>
          <w:sz w:val="21"/>
        </w:rPr>
        <w:t> 抗</w:t>
      </w:r>
      <w:r>
        <w:rPr>
          <w:spacing w:val="-6"/>
          <w:sz w:val="21"/>
        </w:rPr>
        <w:t>体；</w:t>
      </w:r>
    </w:p>
    <w:p>
      <w:pPr>
        <w:pStyle w:val="ListParagraph"/>
        <w:numPr>
          <w:ilvl w:val="0"/>
          <w:numId w:val="42"/>
        </w:numPr>
        <w:tabs>
          <w:tab w:pos="879" w:val="left" w:leader="none"/>
        </w:tabs>
        <w:spacing w:line="240" w:lineRule="auto" w:before="0" w:after="0"/>
        <w:ind w:left="878" w:right="0" w:hanging="530"/>
        <w:jc w:val="left"/>
        <w:rPr>
          <w:sz w:val="21"/>
        </w:rPr>
      </w:pPr>
      <w:r>
        <w:rPr>
          <w:spacing w:val="-3"/>
          <w:sz w:val="21"/>
        </w:rPr>
        <w:t>肝脏活检证实免疫性肝炎；</w:t>
      </w:r>
    </w:p>
    <w:p>
      <w:pPr>
        <w:pStyle w:val="ListParagraph"/>
        <w:numPr>
          <w:ilvl w:val="0"/>
          <w:numId w:val="42"/>
        </w:numPr>
        <w:tabs>
          <w:tab w:pos="879" w:val="left" w:leader="none"/>
        </w:tabs>
        <w:spacing w:line="278" w:lineRule="auto" w:before="43" w:after="0"/>
        <w:ind w:left="349" w:right="1703" w:firstLine="0"/>
        <w:jc w:val="left"/>
        <w:rPr>
          <w:sz w:val="21"/>
        </w:rPr>
      </w:pPr>
      <w:r>
        <w:rPr>
          <w:spacing w:val="-2"/>
          <w:sz w:val="21"/>
        </w:rPr>
        <w:t>临床已经出现腹水、食道静脉曲张和脾肿大等肝硬化</w:t>
      </w:r>
      <w:r>
        <w:rPr>
          <w:spacing w:val="-4"/>
          <w:sz w:val="21"/>
        </w:rPr>
        <w:t>表现。</w:t>
      </w:r>
    </w:p>
    <w:p>
      <w:pPr>
        <w:spacing w:after="0" w:line="278" w:lineRule="auto"/>
        <w:jc w:val="left"/>
        <w:rPr>
          <w:sz w:val="21"/>
        </w:rPr>
        <w:sectPr>
          <w:type w:val="continuous"/>
          <w:pgSz w:w="11910" w:h="16840"/>
          <w:pgMar w:header="0" w:footer="226" w:top="240" w:bottom="420" w:left="980" w:right="400"/>
          <w:cols w:num="2" w:equalWidth="0">
            <w:col w:w="3073" w:space="40"/>
            <w:col w:w="7417"/>
          </w:cols>
        </w:sectPr>
      </w:pPr>
    </w:p>
    <w:p>
      <w:pPr>
        <w:pStyle w:val="BodyText"/>
        <w:spacing w:before="6"/>
        <w:rPr>
          <w:sz w:val="19"/>
        </w:rPr>
      </w:pPr>
    </w:p>
    <w:p>
      <w:pPr>
        <w:spacing w:after="0"/>
        <w:rPr>
          <w:sz w:val="19"/>
        </w:rPr>
        <w:sectPr>
          <w:type w:val="continuous"/>
          <w:pgSz w:w="11910" w:h="16840"/>
          <w:pgMar w:header="0" w:footer="226" w:top="240" w:bottom="420" w:left="980" w:right="400"/>
        </w:sectPr>
      </w:pPr>
    </w:p>
    <w:p>
      <w:pPr>
        <w:pStyle w:val="Heading2"/>
        <w:numPr>
          <w:ilvl w:val="0"/>
          <w:numId w:val="15"/>
        </w:numPr>
        <w:tabs>
          <w:tab w:pos="2229" w:val="left" w:leader="none"/>
        </w:tabs>
        <w:spacing w:line="196" w:lineRule="auto" w:before="53" w:after="0"/>
        <w:ind w:left="1910" w:right="0" w:firstLine="0"/>
        <w:jc w:val="left"/>
      </w:pPr>
      <w:r>
        <w:rPr>
          <w:spacing w:val="-4"/>
        </w:rPr>
        <w:t>原发性骨</w:t>
      </w:r>
      <w:r>
        <w:rPr>
          <w:spacing w:val="-4"/>
        </w:rPr>
        <w:t>髓纤维化</w:t>
      </w:r>
    </w:p>
    <w:p>
      <w:pPr>
        <w:pStyle w:val="BodyText"/>
        <w:spacing w:line="278" w:lineRule="auto" w:before="72"/>
        <w:ind w:left="349" w:right="1595"/>
        <w:jc w:val="both"/>
      </w:pPr>
      <w:r>
        <w:rPr/>
        <w:br w:type="column"/>
      </w:r>
      <w:r>
        <w:rPr>
          <w:spacing w:val="-2"/>
        </w:rPr>
        <w:t>原发性骨髓纤维化为原因不明的骨髓中成纤维细胞增殖，伴</w:t>
      </w:r>
      <w:r>
        <w:rPr>
          <w:spacing w:val="-2"/>
        </w:rPr>
        <w:t>有髓外造血，表现为进行性贫血、脾肿大等症状。本疾病须</w:t>
      </w:r>
      <w:r>
        <w:rPr>
          <w:spacing w:val="-2"/>
        </w:rPr>
        <w:t>根据骨髓的活组织检查和周围血象检查由我们认可的医院血</w:t>
      </w:r>
      <w:r>
        <w:rPr>
          <w:spacing w:val="-2"/>
        </w:rPr>
        <w:t>液科专科医生明确诊断，并至少符合下列条件中的三项，且</w:t>
      </w:r>
      <w:r>
        <w:rPr>
          <w:spacing w:val="-5"/>
        </w:rPr>
        <w:t>符合条件的状态持续 </w:t>
      </w:r>
      <w:r>
        <w:rPr>
          <w:spacing w:val="-2"/>
        </w:rPr>
        <w:t>180</w:t>
      </w:r>
      <w:r>
        <w:rPr>
          <w:spacing w:val="-7"/>
        </w:rPr>
        <w:t> 天及以上，并已经实际实施了针对</w:t>
      </w:r>
      <w:r>
        <w:rPr>
          <w:spacing w:val="-2"/>
        </w:rPr>
        <w:t>此症的治疗：</w:t>
      </w:r>
    </w:p>
    <w:p>
      <w:pPr>
        <w:pStyle w:val="BodyText"/>
        <w:spacing w:before="158"/>
        <w:ind w:left="349"/>
      </w:pPr>
      <w:r>
        <w:rPr>
          <w:spacing w:val="-2"/>
        </w:rPr>
        <w:t>（1）血红蛋白&lt;100g/L；</w:t>
      </w:r>
    </w:p>
    <w:p>
      <w:pPr>
        <w:pStyle w:val="BodyText"/>
        <w:spacing w:before="33"/>
        <w:ind w:left="349"/>
      </w:pPr>
      <w:r>
        <w:rPr>
          <w:spacing w:val="-2"/>
        </w:rPr>
        <w:t>（2）白细胞计数&gt;25*10</w:t>
      </w:r>
      <w:r>
        <w:rPr>
          <w:spacing w:val="-2"/>
          <w:position w:val="11"/>
          <w:sz w:val="11"/>
        </w:rPr>
        <w:t>9</w:t>
      </w:r>
      <w:r>
        <w:rPr>
          <w:spacing w:val="-2"/>
        </w:rPr>
        <w:t>/L；</w:t>
      </w:r>
    </w:p>
    <w:p>
      <w:pPr>
        <w:pStyle w:val="BodyText"/>
        <w:spacing w:before="43"/>
        <w:ind w:left="349"/>
      </w:pPr>
      <w:r>
        <w:rPr/>
        <w:t>（3）</w:t>
      </w:r>
      <w:r>
        <w:rPr>
          <w:spacing w:val="-1"/>
        </w:rPr>
        <w:t>外周血原始细胞≥ </w:t>
      </w:r>
      <w:r>
        <w:rPr>
          <w:spacing w:val="-5"/>
        </w:rPr>
        <w:t>1%；</w:t>
      </w:r>
    </w:p>
    <w:p>
      <w:pPr>
        <w:pStyle w:val="BodyText"/>
        <w:spacing w:before="33"/>
        <w:ind w:left="349"/>
      </w:pPr>
      <w:r>
        <w:rPr>
          <w:spacing w:val="-2"/>
        </w:rPr>
        <w:t>（4）血小板计数&lt;100*10</w:t>
      </w:r>
      <w:r>
        <w:rPr>
          <w:spacing w:val="-2"/>
          <w:position w:val="11"/>
          <w:sz w:val="11"/>
        </w:rPr>
        <w:t>9</w:t>
      </w:r>
      <w:r>
        <w:rPr>
          <w:spacing w:val="-2"/>
        </w:rPr>
        <w:t>/L</w:t>
      </w:r>
      <w:r>
        <w:rPr>
          <w:spacing w:val="-12"/>
        </w:rPr>
        <w:t>。</w:t>
      </w:r>
    </w:p>
    <w:p>
      <w:pPr>
        <w:pStyle w:val="BodyText"/>
        <w:spacing w:before="197"/>
        <w:ind w:left="349"/>
      </w:pPr>
      <w:r>
        <w:rPr>
          <w:spacing w:val="-3"/>
        </w:rPr>
        <w:t>任何其它病因导致的继发性骨髓纤维化不在保障范围内。</w:t>
      </w:r>
    </w:p>
    <w:p>
      <w:pPr>
        <w:spacing w:after="0"/>
        <w:sectPr>
          <w:type w:val="continuous"/>
          <w:pgSz w:w="11910" w:h="16840"/>
          <w:pgMar w:header="0" w:footer="226" w:top="240" w:bottom="420" w:left="980" w:right="400"/>
          <w:cols w:num="2" w:equalWidth="0">
            <w:col w:w="3073" w:space="40"/>
            <w:col w:w="7417"/>
          </w:cols>
        </w:sectPr>
      </w:pPr>
    </w:p>
    <w:p>
      <w:pPr>
        <w:pStyle w:val="BodyText"/>
        <w:spacing w:before="3"/>
        <w:rPr>
          <w:sz w:val="23"/>
        </w:rPr>
      </w:pPr>
    </w:p>
    <w:p>
      <w:pPr>
        <w:spacing w:after="0"/>
        <w:rPr>
          <w:sz w:val="23"/>
        </w:rPr>
        <w:sectPr>
          <w:type w:val="continuous"/>
          <w:pgSz w:w="11910" w:h="16840"/>
          <w:pgMar w:header="0" w:footer="226" w:top="240" w:bottom="420" w:left="980" w:right="400"/>
        </w:sectPr>
      </w:pPr>
    </w:p>
    <w:p>
      <w:pPr>
        <w:pStyle w:val="Heading2"/>
        <w:numPr>
          <w:ilvl w:val="0"/>
          <w:numId w:val="15"/>
        </w:numPr>
        <w:tabs>
          <w:tab w:pos="2229" w:val="left" w:leader="none"/>
        </w:tabs>
        <w:spacing w:line="194" w:lineRule="auto" w:before="56" w:after="0"/>
        <w:ind w:left="1910" w:right="0" w:firstLine="0"/>
        <w:jc w:val="left"/>
      </w:pPr>
      <w:r>
        <w:rPr>
          <w:spacing w:val="-4"/>
        </w:rPr>
        <w:t>严重获得</w:t>
      </w:r>
      <w:r>
        <w:rPr>
          <w:spacing w:val="-2"/>
        </w:rPr>
        <w:t>性或继发性肺</w:t>
      </w:r>
      <w:r>
        <w:rPr>
          <w:spacing w:val="-2"/>
        </w:rPr>
        <w:t>泡蛋白质沉积</w:t>
      </w:r>
      <w:r>
        <w:rPr>
          <w:spacing w:val="-10"/>
        </w:rPr>
        <w:t>症</w:t>
      </w:r>
    </w:p>
    <w:p>
      <w:pPr>
        <w:pStyle w:val="BodyText"/>
        <w:spacing w:line="278" w:lineRule="auto" w:before="72"/>
        <w:ind w:left="244" w:right="1597"/>
      </w:pPr>
      <w:r>
        <w:rPr/>
        <w:br w:type="column"/>
      </w:r>
      <w:r>
        <w:rPr>
          <w:spacing w:val="-2"/>
        </w:rPr>
        <w:t>因获得性或继发性原因或导致双肺肺泡和细支气管腔内充满</w:t>
      </w:r>
      <w:r>
        <w:rPr>
          <w:spacing w:val="-3"/>
        </w:rPr>
        <w:t>不可溶性富磷脂蛋白的疾病。理赔时须满足下列所有条件：</w:t>
      </w:r>
    </w:p>
    <w:p>
      <w:pPr>
        <w:pStyle w:val="ListParagraph"/>
        <w:numPr>
          <w:ilvl w:val="0"/>
          <w:numId w:val="43"/>
        </w:numPr>
        <w:tabs>
          <w:tab w:pos="774" w:val="left" w:leader="none"/>
        </w:tabs>
        <w:spacing w:line="283" w:lineRule="auto" w:before="153" w:after="0"/>
        <w:ind w:left="244" w:right="1703" w:firstLine="0"/>
        <w:jc w:val="left"/>
        <w:rPr>
          <w:sz w:val="21"/>
        </w:rPr>
      </w:pPr>
      <w:r>
        <w:rPr>
          <w:spacing w:val="-2"/>
          <w:sz w:val="21"/>
        </w:rPr>
        <w:t>支气管镜活检或开胸肺活检病理检查证实肺泡内充满</w:t>
      </w:r>
      <w:r>
        <w:rPr>
          <w:spacing w:val="-2"/>
          <w:sz w:val="21"/>
        </w:rPr>
        <w:t>有过碘酸雪夫（PAS）染色阳性的蛋白样物质；</w:t>
      </w:r>
    </w:p>
    <w:p>
      <w:pPr>
        <w:pStyle w:val="ListParagraph"/>
        <w:numPr>
          <w:ilvl w:val="0"/>
          <w:numId w:val="43"/>
        </w:numPr>
        <w:tabs>
          <w:tab w:pos="774" w:val="left" w:leader="none"/>
        </w:tabs>
        <w:spacing w:line="278" w:lineRule="auto" w:before="0" w:after="0"/>
        <w:ind w:left="244" w:right="1703" w:firstLine="0"/>
        <w:jc w:val="left"/>
        <w:rPr>
          <w:sz w:val="21"/>
        </w:rPr>
      </w:pPr>
      <w:r>
        <w:rPr>
          <w:spacing w:val="-2"/>
          <w:sz w:val="21"/>
        </w:rPr>
        <w:t>被保险人因中重度呼吸困难或低氧血症而实际已行全</w:t>
      </w:r>
      <w:r>
        <w:rPr>
          <w:spacing w:val="-2"/>
          <w:sz w:val="21"/>
        </w:rPr>
        <w:t>身麻醉下的全肺灌洗治疗。</w:t>
      </w:r>
    </w:p>
    <w:p>
      <w:pPr>
        <w:spacing w:after="0" w:line="278" w:lineRule="auto"/>
        <w:jc w:val="left"/>
        <w:rPr>
          <w:sz w:val="21"/>
        </w:rPr>
        <w:sectPr>
          <w:type w:val="continuous"/>
          <w:pgSz w:w="11910" w:h="16840"/>
          <w:pgMar w:header="0" w:footer="226" w:top="240" w:bottom="420" w:left="980" w:right="400"/>
          <w:cols w:num="2" w:equalWidth="0">
            <w:col w:w="3178" w:space="40"/>
            <w:col w:w="7312"/>
          </w:cols>
        </w:sectPr>
      </w:pPr>
    </w:p>
    <w:p>
      <w:pPr>
        <w:pStyle w:val="BodyText"/>
        <w:spacing w:before="1"/>
        <w:rPr>
          <w:sz w:val="19"/>
        </w:rPr>
      </w:pPr>
    </w:p>
    <w:p>
      <w:pPr>
        <w:spacing w:after="0"/>
        <w:rPr>
          <w:sz w:val="19"/>
        </w:rPr>
        <w:sectPr>
          <w:type w:val="continuous"/>
          <w:pgSz w:w="11910" w:h="16840"/>
          <w:pgMar w:header="0" w:footer="226" w:top="240" w:bottom="420" w:left="980" w:right="400"/>
        </w:sectPr>
      </w:pPr>
    </w:p>
    <w:p>
      <w:pPr>
        <w:pStyle w:val="Heading2"/>
        <w:numPr>
          <w:ilvl w:val="0"/>
          <w:numId w:val="15"/>
        </w:numPr>
        <w:tabs>
          <w:tab w:pos="2229" w:val="left" w:leader="none"/>
        </w:tabs>
        <w:spacing w:line="196" w:lineRule="auto" w:before="52" w:after="0"/>
        <w:ind w:left="1910" w:right="0" w:firstLine="0"/>
        <w:jc w:val="left"/>
      </w:pPr>
      <w:r>
        <w:rPr>
          <w:spacing w:val="-4"/>
        </w:rPr>
        <w:t>严重慢性</w:t>
      </w:r>
      <w:r>
        <w:rPr>
          <w:spacing w:val="-2"/>
        </w:rPr>
        <w:t>缩窄性心包炎</w:t>
      </w:r>
    </w:p>
    <w:p>
      <w:pPr>
        <w:pStyle w:val="BodyText"/>
        <w:spacing w:line="280" w:lineRule="auto" w:before="71"/>
        <w:ind w:left="244" w:right="1597"/>
        <w:jc w:val="both"/>
      </w:pPr>
      <w:r>
        <w:rPr/>
        <w:br w:type="column"/>
      </w:r>
      <w:r>
        <w:rPr>
          <w:spacing w:val="-2"/>
        </w:rPr>
        <w:t>由于慢性心包炎症导致心包脏层和壁层广泛瘢痕粘连、增厚</w:t>
      </w:r>
      <w:r>
        <w:rPr>
          <w:spacing w:val="-2"/>
        </w:rPr>
        <w:t>和钙化，心包腔闭塞，形成一个纤维瘢痕外壳，使心脏和大</w:t>
      </w:r>
      <w:r>
        <w:rPr>
          <w:spacing w:val="-2"/>
        </w:rPr>
        <w:t>血管根部受压，阻碍心脏的舒张。</w:t>
      </w:r>
    </w:p>
    <w:p>
      <w:pPr>
        <w:pStyle w:val="BodyText"/>
        <w:spacing w:line="278" w:lineRule="auto" w:before="151"/>
        <w:ind w:left="244" w:right="1597"/>
      </w:pPr>
      <w:r>
        <w:rPr>
          <w:spacing w:val="-2"/>
        </w:rPr>
        <w:t>被保险人被明确诊断为慢性缩窄性心包炎且必须满足以下所</w:t>
      </w:r>
      <w:r>
        <w:rPr>
          <w:spacing w:val="-4"/>
        </w:rPr>
        <w:t>有条件：</w:t>
      </w:r>
    </w:p>
    <w:p>
      <w:pPr>
        <w:pStyle w:val="ListParagraph"/>
        <w:numPr>
          <w:ilvl w:val="0"/>
          <w:numId w:val="44"/>
        </w:numPr>
        <w:tabs>
          <w:tab w:pos="774" w:val="left" w:leader="none"/>
        </w:tabs>
        <w:spacing w:line="283" w:lineRule="auto" w:before="153" w:after="0"/>
        <w:ind w:left="244" w:right="1703" w:firstLine="0"/>
        <w:jc w:val="left"/>
        <w:rPr>
          <w:sz w:val="21"/>
        </w:rPr>
      </w:pPr>
      <w:r>
        <w:rPr>
          <w:spacing w:val="-2"/>
          <w:sz w:val="21"/>
        </w:rPr>
        <w:t>新功能衰竭达到美国纽约心脏病学会心功能状态分级</w:t>
      </w:r>
      <w:r>
        <w:rPr>
          <w:spacing w:val="-2"/>
          <w:sz w:val="21"/>
        </w:rPr>
        <w:t> </w:t>
      </w:r>
      <w:r>
        <w:rPr>
          <w:sz w:val="21"/>
        </w:rPr>
        <w:t>IV</w:t>
      </w:r>
      <w:r>
        <w:rPr>
          <w:spacing w:val="-6"/>
          <w:sz w:val="21"/>
        </w:rPr>
        <w:t> 级，并持续 </w:t>
      </w:r>
      <w:r>
        <w:rPr>
          <w:sz w:val="21"/>
        </w:rPr>
        <w:t>180</w:t>
      </w:r>
      <w:r>
        <w:rPr>
          <w:spacing w:val="-4"/>
          <w:sz w:val="21"/>
        </w:rPr>
        <w:t> 天以上；</w:t>
      </w:r>
    </w:p>
    <w:p>
      <w:pPr>
        <w:spacing w:after="0" w:line="283" w:lineRule="auto"/>
        <w:jc w:val="left"/>
        <w:rPr>
          <w:sz w:val="21"/>
        </w:rPr>
        <w:sectPr>
          <w:type w:val="continuous"/>
          <w:pgSz w:w="11910" w:h="16840"/>
          <w:pgMar w:header="0" w:footer="226" w:top="240" w:bottom="420" w:left="980" w:right="400"/>
          <w:cols w:num="2" w:equalWidth="0">
            <w:col w:w="3178" w:space="40"/>
            <w:col w:w="7312"/>
          </w:cols>
        </w:sectPr>
      </w:pPr>
    </w:p>
    <w:p>
      <w:pPr>
        <w:pStyle w:val="BodyText"/>
        <w:spacing w:line="278" w:lineRule="auto" w:before="57"/>
        <w:ind w:left="3462" w:right="1597"/>
      </w:pPr>
      <w:r>
        <w:rPr>
          <w:spacing w:val="-2"/>
        </w:rPr>
        <w:t>（2）实际接收了以下任何一种手术路径的心包剥脱或心包</w:t>
      </w:r>
      <w:r>
        <w:rPr>
          <w:spacing w:val="-2"/>
        </w:rPr>
        <w:t>切除手术；手术路径：胸骨正中切口；双侧前胸切口；左前</w:t>
      </w:r>
      <w:r>
        <w:rPr>
          <w:spacing w:val="-2"/>
        </w:rPr>
        <w:t>胸肋间切口。</w:t>
      </w:r>
    </w:p>
    <w:p>
      <w:pPr>
        <w:pStyle w:val="BodyText"/>
        <w:spacing w:line="278" w:lineRule="auto" w:before="154"/>
        <w:ind w:left="3462" w:right="1597"/>
      </w:pPr>
      <w:r>
        <w:rPr>
          <w:spacing w:val="-2"/>
        </w:rPr>
        <w:t>经胸腔镜、胸壁打孔进行的手术、心包粘连松解手术不在保</w:t>
      </w:r>
      <w:r>
        <w:rPr>
          <w:spacing w:val="-2"/>
        </w:rPr>
        <w:t>障范围内。</w:t>
      </w:r>
    </w:p>
    <w:p>
      <w:pPr>
        <w:pStyle w:val="BodyText"/>
        <w:spacing w:before="1"/>
        <w:rPr>
          <w:sz w:val="20"/>
        </w:rPr>
      </w:pPr>
    </w:p>
    <w:p>
      <w:pPr>
        <w:pStyle w:val="ListParagraph"/>
        <w:numPr>
          <w:ilvl w:val="0"/>
          <w:numId w:val="15"/>
        </w:numPr>
        <w:tabs>
          <w:tab w:pos="2229" w:val="left" w:leader="none"/>
        </w:tabs>
        <w:spacing w:line="256" w:lineRule="auto" w:before="0" w:after="0"/>
        <w:ind w:left="3462" w:right="1597" w:hanging="1552"/>
        <w:jc w:val="both"/>
        <w:rPr>
          <w:sz w:val="21"/>
        </w:rPr>
      </w:pPr>
      <w:r>
        <w:rPr>
          <w:rFonts w:ascii="Microsoft JhengHei" w:eastAsia="Microsoft JhengHei"/>
          <w:b/>
          <w:spacing w:val="62"/>
          <w:sz w:val="21"/>
        </w:rPr>
        <w:t>脑型疟疾 </w:t>
      </w:r>
      <w:r>
        <w:rPr>
          <w:sz w:val="21"/>
        </w:rPr>
        <w:t>恶性疟原虫严重感染导致的脑病或脑型疟疾，以昏迷为主要</w:t>
      </w:r>
      <w:r>
        <w:rPr>
          <w:spacing w:val="-2"/>
          <w:sz w:val="21"/>
        </w:rPr>
        <w:t>特征。脑型疟疾的诊断须由注册医生确认，且外周血涂片存</w:t>
      </w:r>
      <w:r>
        <w:rPr>
          <w:spacing w:val="-2"/>
          <w:sz w:val="21"/>
        </w:rPr>
        <w:t>在恶性疟原虫。</w:t>
      </w:r>
    </w:p>
    <w:p>
      <w:pPr>
        <w:pStyle w:val="BodyText"/>
        <w:spacing w:before="170"/>
        <w:ind w:left="3462"/>
      </w:pPr>
      <w:r>
        <w:rPr>
          <w:spacing w:val="-3"/>
        </w:rPr>
        <w:t>其他明确病因导致的脑病不在保障范围内。</w:t>
      </w:r>
    </w:p>
    <w:p>
      <w:pPr>
        <w:pStyle w:val="BodyText"/>
        <w:spacing w:before="3"/>
        <w:rPr>
          <w:sz w:val="23"/>
        </w:rPr>
      </w:pPr>
    </w:p>
    <w:p>
      <w:pPr>
        <w:spacing w:after="0"/>
        <w:rPr>
          <w:sz w:val="23"/>
        </w:rPr>
        <w:sectPr>
          <w:pgSz w:w="11910" w:h="16840"/>
          <w:pgMar w:header="0" w:footer="226" w:top="660" w:bottom="420" w:left="980" w:right="400"/>
        </w:sectPr>
      </w:pPr>
    </w:p>
    <w:p>
      <w:pPr>
        <w:pStyle w:val="Heading2"/>
        <w:numPr>
          <w:ilvl w:val="0"/>
          <w:numId w:val="15"/>
        </w:numPr>
        <w:tabs>
          <w:tab w:pos="2229" w:val="left" w:leader="none"/>
        </w:tabs>
        <w:spacing w:line="196" w:lineRule="auto" w:before="53" w:after="0"/>
        <w:ind w:left="1910" w:right="0" w:firstLine="0"/>
        <w:jc w:val="left"/>
      </w:pPr>
      <w:r>
        <w:rPr>
          <w:spacing w:val="-4"/>
        </w:rPr>
        <w:t>胆道重建</w:t>
      </w:r>
      <w:r>
        <w:rPr>
          <w:spacing w:val="-6"/>
        </w:rPr>
        <w:t>手术</w:t>
      </w:r>
    </w:p>
    <w:p>
      <w:pPr>
        <w:pStyle w:val="BodyText"/>
        <w:spacing w:line="283" w:lineRule="auto" w:before="72"/>
        <w:ind w:left="349" w:right="1597"/>
      </w:pPr>
      <w:r>
        <w:rPr/>
        <w:br w:type="column"/>
      </w:r>
      <w:r>
        <w:rPr>
          <w:spacing w:val="-2"/>
        </w:rPr>
        <w:t>指因胆道创伤导致接受涉及胆总管小肠吻合术的胆道重建手</w:t>
      </w:r>
      <w:r>
        <w:rPr>
          <w:spacing w:val="-2"/>
        </w:rPr>
        <w:t>术。手术必须在专科医生认为是医疗所需的情况下进行。</w:t>
      </w:r>
    </w:p>
    <w:p>
      <w:pPr>
        <w:pStyle w:val="BodyText"/>
        <w:spacing w:before="147"/>
        <w:ind w:left="349"/>
      </w:pPr>
      <w:r>
        <w:rPr>
          <w:spacing w:val="-3"/>
        </w:rPr>
        <w:t>胆道闭锁并不在保障范围内。</w:t>
      </w:r>
    </w:p>
    <w:p>
      <w:pPr>
        <w:spacing w:after="0"/>
        <w:sectPr>
          <w:type w:val="continuous"/>
          <w:pgSz w:w="11910" w:h="16840"/>
          <w:pgMar w:header="0" w:footer="226" w:top="240" w:bottom="420" w:left="980" w:right="400"/>
          <w:cols w:num="2" w:equalWidth="0">
            <w:col w:w="3073" w:space="40"/>
            <w:col w:w="7417"/>
          </w:cols>
        </w:sectPr>
      </w:pPr>
    </w:p>
    <w:p>
      <w:pPr>
        <w:pStyle w:val="BodyText"/>
        <w:spacing w:before="12"/>
        <w:rPr>
          <w:sz w:val="22"/>
        </w:rPr>
      </w:pPr>
    </w:p>
    <w:p>
      <w:pPr>
        <w:spacing w:after="0"/>
        <w:rPr>
          <w:sz w:val="22"/>
        </w:rPr>
        <w:sectPr>
          <w:type w:val="continuous"/>
          <w:pgSz w:w="11910" w:h="16840"/>
          <w:pgMar w:header="0" w:footer="226" w:top="240" w:bottom="420" w:left="980" w:right="400"/>
        </w:sectPr>
      </w:pPr>
    </w:p>
    <w:p>
      <w:pPr>
        <w:pStyle w:val="Heading2"/>
        <w:numPr>
          <w:ilvl w:val="0"/>
          <w:numId w:val="15"/>
        </w:numPr>
        <w:tabs>
          <w:tab w:pos="2229" w:val="left" w:leader="none"/>
        </w:tabs>
        <w:spacing w:line="196" w:lineRule="auto" w:before="52" w:after="0"/>
        <w:ind w:left="1910" w:right="0" w:firstLine="0"/>
        <w:jc w:val="left"/>
      </w:pPr>
      <w:r>
        <w:rPr>
          <w:spacing w:val="-4"/>
        </w:rPr>
        <w:t>主动脉夹</w:t>
      </w:r>
      <w:r>
        <w:rPr>
          <w:spacing w:val="-6"/>
        </w:rPr>
        <w:t>层瘤</w:t>
      </w:r>
    </w:p>
    <w:p>
      <w:pPr>
        <w:pStyle w:val="BodyText"/>
        <w:spacing w:line="278" w:lineRule="auto" w:before="71"/>
        <w:ind w:left="349" w:right="1597"/>
      </w:pPr>
      <w:r>
        <w:rPr/>
        <w:br w:type="column"/>
      </w:r>
      <w:r>
        <w:rPr>
          <w:spacing w:val="-2"/>
        </w:rPr>
        <w:t>指主动脉的内膜破裂导致血液流入主动脉壁中形成夹层动脉</w:t>
      </w:r>
      <w:r>
        <w:rPr>
          <w:spacing w:val="-2"/>
        </w:rPr>
        <w:t>瘤。在本定义中，主动脉指胸主动脉及腹主动脉而非其旁</w:t>
      </w:r>
      <w:r>
        <w:rPr/>
        <w:t> </w:t>
      </w:r>
      <w:r>
        <w:rPr>
          <w:spacing w:val="-2"/>
        </w:rPr>
        <w:t>支。诊断必须由专科医生及检验结果证实，检验包括电脑扫</w:t>
      </w:r>
      <w:r>
        <w:rPr>
          <w:spacing w:val="-2"/>
        </w:rPr>
        <w:t>描，磁共振扫描及磁共振血管造影或心导管检查的证明，并</w:t>
      </w:r>
      <w:r>
        <w:rPr>
          <w:spacing w:val="-2"/>
        </w:rPr>
        <w:t>有必要进行紧急修补手术。</w:t>
      </w:r>
    </w:p>
    <w:p>
      <w:pPr>
        <w:spacing w:after="0" w:line="278" w:lineRule="auto"/>
        <w:sectPr>
          <w:type w:val="continuous"/>
          <w:pgSz w:w="11910" w:h="16840"/>
          <w:pgMar w:header="0" w:footer="226" w:top="240" w:bottom="420" w:left="980" w:right="400"/>
          <w:cols w:num="2" w:equalWidth="0">
            <w:col w:w="3073" w:space="40"/>
            <w:col w:w="7417"/>
          </w:cols>
        </w:sectPr>
      </w:pPr>
    </w:p>
    <w:p>
      <w:pPr>
        <w:pStyle w:val="BodyText"/>
        <w:spacing w:before="12"/>
        <w:rPr>
          <w:sz w:val="19"/>
        </w:rPr>
      </w:pPr>
    </w:p>
    <w:p>
      <w:pPr>
        <w:spacing w:after="0"/>
        <w:rPr>
          <w:sz w:val="19"/>
        </w:rPr>
        <w:sectPr>
          <w:type w:val="continuous"/>
          <w:pgSz w:w="11910" w:h="16840"/>
          <w:pgMar w:header="0" w:footer="226" w:top="240" w:bottom="420" w:left="980" w:right="400"/>
        </w:sectPr>
      </w:pPr>
    </w:p>
    <w:p>
      <w:pPr>
        <w:pStyle w:val="Heading2"/>
        <w:numPr>
          <w:ilvl w:val="0"/>
          <w:numId w:val="15"/>
        </w:numPr>
        <w:tabs>
          <w:tab w:pos="2229" w:val="left" w:leader="none"/>
        </w:tabs>
        <w:spacing w:line="194" w:lineRule="auto" w:before="55" w:after="0"/>
        <w:ind w:left="1910" w:right="0" w:firstLine="0"/>
        <w:jc w:val="left"/>
      </w:pPr>
      <w:r>
        <w:rPr>
          <w:spacing w:val="-4"/>
        </w:rPr>
        <w:t>肌萎缩脊</w:t>
      </w:r>
      <w:r>
        <w:rPr>
          <w:spacing w:val="-2"/>
        </w:rPr>
        <w:t>髓侧索硬化后</w:t>
      </w:r>
      <w:r>
        <w:rPr>
          <w:spacing w:val="-6"/>
        </w:rPr>
        <w:t>遗症</w:t>
      </w:r>
    </w:p>
    <w:p>
      <w:pPr>
        <w:pStyle w:val="BodyText"/>
        <w:spacing w:line="278" w:lineRule="auto" w:before="71"/>
        <w:ind w:left="244" w:right="1596"/>
      </w:pPr>
      <w:r>
        <w:rPr/>
        <w:br w:type="column"/>
      </w:r>
      <w:r>
        <w:rPr>
          <w:spacing w:val="-2"/>
        </w:rPr>
        <w:t>以肌肉无力及萎缩为特征，并有以下情况作为证明：脊髓前</w:t>
      </w:r>
      <w:r>
        <w:rPr>
          <w:spacing w:val="-2"/>
        </w:rPr>
        <w:t>角细胞功能失调、可见的肌肉颤动、痉挛、过度活跃之深层</w:t>
      </w:r>
      <w:r>
        <w:rPr>
          <w:spacing w:val="-2"/>
        </w:rPr>
        <w:t>肌腱反射和外部足底反射、影响皮质脊髓束、构音障碍及吞</w:t>
      </w:r>
      <w:r>
        <w:rPr>
          <w:spacing w:val="-2"/>
        </w:rPr>
        <w:t>咽困难。必须由我们认可的医院专科医生以适当的神经肌肉</w:t>
      </w:r>
      <w:r>
        <w:rPr>
          <w:spacing w:val="-2"/>
        </w:rPr>
        <w:t>检查如肌电图（EMG）证实。本疾病必须导致严重的生理功</w:t>
      </w:r>
      <w:r>
        <w:rPr/>
        <w:t>能损坏（</w:t>
      </w:r>
      <w:r>
        <w:rPr>
          <w:spacing w:val="-3"/>
        </w:rPr>
        <w:t>由被保险人永久性无法独立完成最少 </w:t>
      </w:r>
      <w:r>
        <w:rPr/>
        <w:t>3</w:t>
      </w:r>
      <w:r>
        <w:rPr>
          <w:spacing w:val="-10"/>
        </w:rPr>
        <w:t> 项基本日常</w:t>
      </w:r>
      <w:r>
        <w:rPr>
          <w:spacing w:val="-2"/>
        </w:rPr>
        <w:t>生活活动作为证明</w:t>
      </w:r>
      <w:r>
        <w:rPr>
          <w:spacing w:val="-106"/>
        </w:rPr>
        <w:t>）</w:t>
      </w:r>
      <w:r>
        <w:rPr>
          <w:spacing w:val="-2"/>
        </w:rPr>
        <w:t>。</w:t>
      </w:r>
    </w:p>
    <w:p>
      <w:pPr>
        <w:spacing w:after="0" w:line="278" w:lineRule="auto"/>
        <w:sectPr>
          <w:type w:val="continuous"/>
          <w:pgSz w:w="11910" w:h="16840"/>
          <w:pgMar w:header="0" w:footer="226" w:top="240" w:bottom="420" w:left="980" w:right="400"/>
          <w:cols w:num="2" w:equalWidth="0">
            <w:col w:w="3178" w:space="40"/>
            <w:col w:w="7312"/>
          </w:cols>
        </w:sectPr>
      </w:pPr>
    </w:p>
    <w:p>
      <w:pPr>
        <w:pStyle w:val="BodyText"/>
        <w:spacing w:before="12"/>
        <w:rPr>
          <w:sz w:val="19"/>
        </w:rPr>
      </w:pPr>
    </w:p>
    <w:p>
      <w:pPr>
        <w:spacing w:after="0"/>
        <w:rPr>
          <w:sz w:val="19"/>
        </w:rPr>
        <w:sectPr>
          <w:type w:val="continuous"/>
          <w:pgSz w:w="11910" w:h="16840"/>
          <w:pgMar w:header="0" w:footer="226" w:top="240" w:bottom="420" w:left="980" w:right="400"/>
        </w:sectPr>
      </w:pPr>
    </w:p>
    <w:p>
      <w:pPr>
        <w:pStyle w:val="Heading2"/>
        <w:numPr>
          <w:ilvl w:val="0"/>
          <w:numId w:val="15"/>
        </w:numPr>
        <w:tabs>
          <w:tab w:pos="2229" w:val="left" w:leader="none"/>
        </w:tabs>
        <w:spacing w:line="196" w:lineRule="auto" w:before="52" w:after="0"/>
        <w:ind w:left="1910" w:right="0" w:firstLine="0"/>
        <w:jc w:val="left"/>
      </w:pPr>
      <w:r>
        <w:rPr>
          <w:spacing w:val="-4"/>
        </w:rPr>
        <w:t>严重结核</w:t>
      </w:r>
      <w:r>
        <w:rPr>
          <w:spacing w:val="-4"/>
        </w:rPr>
        <w:t>性脑膜炎</w:t>
      </w:r>
    </w:p>
    <w:p>
      <w:pPr>
        <w:pStyle w:val="BodyText"/>
        <w:spacing w:line="283" w:lineRule="auto" w:before="71"/>
        <w:ind w:left="349" w:right="1597"/>
      </w:pPr>
      <w:r>
        <w:rPr/>
        <w:br w:type="column"/>
      </w:r>
      <w:r>
        <w:rPr>
          <w:spacing w:val="-2"/>
        </w:rPr>
        <w:t>由结核杆菌引起的脑膜和脊膜的非化脓性炎症性疾病。需满</w:t>
      </w:r>
      <w:r>
        <w:rPr>
          <w:spacing w:val="-2"/>
        </w:rPr>
        <w:t>足以下全部条件：</w:t>
      </w:r>
    </w:p>
    <w:p>
      <w:pPr>
        <w:pStyle w:val="ListParagraph"/>
        <w:numPr>
          <w:ilvl w:val="1"/>
          <w:numId w:val="44"/>
        </w:numPr>
        <w:tabs>
          <w:tab w:pos="879" w:val="left" w:leader="none"/>
        </w:tabs>
        <w:spacing w:line="278" w:lineRule="auto" w:before="148" w:after="0"/>
        <w:ind w:left="349" w:right="1914" w:firstLine="0"/>
        <w:jc w:val="left"/>
        <w:rPr>
          <w:sz w:val="21"/>
        </w:rPr>
      </w:pPr>
      <w:r>
        <w:rPr>
          <w:spacing w:val="-2"/>
          <w:sz w:val="21"/>
        </w:rPr>
        <w:t>出现颅内压明显增高，表现头痛、呕吐和视乳头水</w:t>
      </w:r>
      <w:r>
        <w:rPr>
          <w:spacing w:val="-6"/>
          <w:sz w:val="21"/>
        </w:rPr>
        <w:t>肿；</w:t>
      </w:r>
    </w:p>
    <w:p>
      <w:pPr>
        <w:pStyle w:val="ListParagraph"/>
        <w:numPr>
          <w:ilvl w:val="1"/>
          <w:numId w:val="44"/>
        </w:numPr>
        <w:tabs>
          <w:tab w:pos="879" w:val="left" w:leader="none"/>
        </w:tabs>
        <w:spacing w:line="269" w:lineRule="exact" w:before="0" w:after="0"/>
        <w:ind w:left="878" w:right="0" w:hanging="530"/>
        <w:jc w:val="left"/>
        <w:rPr>
          <w:sz w:val="21"/>
        </w:rPr>
      </w:pPr>
      <w:r>
        <w:rPr>
          <w:spacing w:val="-3"/>
          <w:sz w:val="21"/>
        </w:rPr>
        <w:t>出现部分性、全身性癫痫发作或癫痫持续状态；</w:t>
      </w:r>
    </w:p>
    <w:p>
      <w:pPr>
        <w:pStyle w:val="ListParagraph"/>
        <w:numPr>
          <w:ilvl w:val="1"/>
          <w:numId w:val="44"/>
        </w:numPr>
        <w:tabs>
          <w:tab w:pos="879" w:val="left" w:leader="none"/>
        </w:tabs>
        <w:spacing w:line="240" w:lineRule="auto" w:before="43" w:after="0"/>
        <w:ind w:left="878" w:right="0" w:hanging="530"/>
        <w:jc w:val="left"/>
        <w:rPr>
          <w:sz w:val="21"/>
        </w:rPr>
      </w:pPr>
      <w:r>
        <w:rPr>
          <w:spacing w:val="-4"/>
          <w:sz w:val="21"/>
        </w:rPr>
        <w:t>昏睡或意识模糊；</w:t>
      </w:r>
    </w:p>
    <w:p>
      <w:pPr>
        <w:pStyle w:val="ListParagraph"/>
        <w:numPr>
          <w:ilvl w:val="1"/>
          <w:numId w:val="44"/>
        </w:numPr>
        <w:tabs>
          <w:tab w:pos="879" w:val="left" w:leader="none"/>
        </w:tabs>
        <w:spacing w:line="240" w:lineRule="auto" w:before="43" w:after="0"/>
        <w:ind w:left="878" w:right="0" w:hanging="530"/>
        <w:jc w:val="left"/>
        <w:rPr>
          <w:sz w:val="21"/>
        </w:rPr>
      </w:pPr>
      <w:r>
        <w:rPr>
          <w:spacing w:val="-3"/>
          <w:sz w:val="21"/>
        </w:rPr>
        <w:t>视力减退、复视和面神经麻痹。</w:t>
      </w:r>
    </w:p>
    <w:p>
      <w:pPr>
        <w:spacing w:after="0" w:line="240" w:lineRule="auto"/>
        <w:jc w:val="left"/>
        <w:rPr>
          <w:sz w:val="21"/>
        </w:rPr>
        <w:sectPr>
          <w:type w:val="continuous"/>
          <w:pgSz w:w="11910" w:h="16840"/>
          <w:pgMar w:header="0" w:footer="226" w:top="240" w:bottom="420" w:left="980" w:right="400"/>
          <w:cols w:num="2" w:equalWidth="0">
            <w:col w:w="3073" w:space="40"/>
            <w:col w:w="7417"/>
          </w:cols>
        </w:sectPr>
      </w:pPr>
    </w:p>
    <w:p>
      <w:pPr>
        <w:pStyle w:val="BodyText"/>
        <w:spacing w:before="3"/>
        <w:rPr>
          <w:sz w:val="23"/>
        </w:rPr>
      </w:pPr>
    </w:p>
    <w:p>
      <w:pPr>
        <w:spacing w:after="0"/>
        <w:rPr>
          <w:sz w:val="23"/>
        </w:rPr>
        <w:sectPr>
          <w:type w:val="continuous"/>
          <w:pgSz w:w="11910" w:h="16840"/>
          <w:pgMar w:header="0" w:footer="226" w:top="240" w:bottom="420" w:left="980" w:right="400"/>
        </w:sectPr>
      </w:pPr>
    </w:p>
    <w:p>
      <w:pPr>
        <w:pStyle w:val="Heading2"/>
        <w:numPr>
          <w:ilvl w:val="0"/>
          <w:numId w:val="15"/>
        </w:numPr>
        <w:tabs>
          <w:tab w:pos="2229" w:val="left" w:leader="none"/>
        </w:tabs>
        <w:spacing w:line="194" w:lineRule="auto" w:before="55" w:after="0"/>
        <w:ind w:left="1910" w:right="0" w:firstLine="0"/>
        <w:jc w:val="left"/>
      </w:pPr>
      <w:r>
        <w:rPr>
          <w:spacing w:val="-4"/>
        </w:rPr>
        <w:t>严重肠道</w:t>
      </w:r>
      <w:r>
        <w:rPr>
          <w:spacing w:val="-2"/>
        </w:rPr>
        <w:t>疾病并发症</w:t>
      </w:r>
    </w:p>
    <w:p>
      <w:pPr>
        <w:pStyle w:val="BodyText"/>
        <w:spacing w:line="278" w:lineRule="auto" w:before="72"/>
        <w:ind w:left="349" w:right="1597"/>
      </w:pPr>
      <w:r>
        <w:rPr/>
        <w:br w:type="column"/>
      </w:r>
      <w:r>
        <w:rPr>
          <w:spacing w:val="-2"/>
        </w:rPr>
        <w:t>严重肠道疾病或外伤导致小肠损害并发症，本疾病须满足以</w:t>
      </w:r>
      <w:r>
        <w:rPr>
          <w:spacing w:val="-2"/>
        </w:rPr>
        <w:t>下所有条件：</w:t>
      </w:r>
    </w:p>
    <w:p>
      <w:pPr>
        <w:pStyle w:val="ListParagraph"/>
        <w:numPr>
          <w:ilvl w:val="0"/>
          <w:numId w:val="45"/>
        </w:numPr>
        <w:tabs>
          <w:tab w:pos="879" w:val="left" w:leader="none"/>
        </w:tabs>
        <w:spacing w:line="240" w:lineRule="auto" w:before="154" w:after="0"/>
        <w:ind w:left="878" w:right="0" w:hanging="530"/>
        <w:jc w:val="left"/>
        <w:rPr>
          <w:sz w:val="21"/>
        </w:rPr>
      </w:pPr>
      <w:r>
        <w:rPr>
          <w:spacing w:val="-3"/>
          <w:sz w:val="21"/>
        </w:rPr>
        <w:t>至少切除了三分之二小肠；</w:t>
      </w:r>
    </w:p>
    <w:p>
      <w:pPr>
        <w:pStyle w:val="ListParagraph"/>
        <w:numPr>
          <w:ilvl w:val="0"/>
          <w:numId w:val="45"/>
        </w:numPr>
        <w:tabs>
          <w:tab w:pos="879" w:val="left" w:leader="none"/>
        </w:tabs>
        <w:spacing w:line="240" w:lineRule="auto" w:before="47" w:after="0"/>
        <w:ind w:left="878" w:right="0" w:hanging="530"/>
        <w:jc w:val="left"/>
        <w:rPr>
          <w:sz w:val="21"/>
        </w:rPr>
      </w:pPr>
      <w:r>
        <w:rPr>
          <w:spacing w:val="-3"/>
          <w:sz w:val="21"/>
        </w:rPr>
        <w:t>完全肠外营养支持三个月以上。</w:t>
      </w:r>
    </w:p>
    <w:p>
      <w:pPr>
        <w:spacing w:after="0" w:line="240" w:lineRule="auto"/>
        <w:jc w:val="left"/>
        <w:rPr>
          <w:sz w:val="21"/>
        </w:rPr>
        <w:sectPr>
          <w:type w:val="continuous"/>
          <w:pgSz w:w="11910" w:h="16840"/>
          <w:pgMar w:header="0" w:footer="226" w:top="240" w:bottom="420" w:left="980" w:right="400"/>
          <w:cols w:num="2" w:equalWidth="0">
            <w:col w:w="3073" w:space="40"/>
            <w:col w:w="7417"/>
          </w:cols>
        </w:sectPr>
      </w:pPr>
    </w:p>
    <w:p>
      <w:pPr>
        <w:pStyle w:val="BodyText"/>
        <w:spacing w:before="11"/>
        <w:rPr>
          <w:sz w:val="22"/>
        </w:rPr>
      </w:pPr>
    </w:p>
    <w:p>
      <w:pPr>
        <w:spacing w:after="0"/>
        <w:rPr>
          <w:sz w:val="22"/>
        </w:rPr>
        <w:sectPr>
          <w:type w:val="continuous"/>
          <w:pgSz w:w="11910" w:h="16840"/>
          <w:pgMar w:header="0" w:footer="226" w:top="240" w:bottom="420" w:left="980" w:right="400"/>
        </w:sectPr>
      </w:pPr>
    </w:p>
    <w:p>
      <w:pPr>
        <w:pStyle w:val="Heading2"/>
        <w:numPr>
          <w:ilvl w:val="0"/>
          <w:numId w:val="15"/>
        </w:numPr>
        <w:tabs>
          <w:tab w:pos="2229" w:val="left" w:leader="none"/>
        </w:tabs>
        <w:spacing w:line="196" w:lineRule="auto" w:before="53" w:after="0"/>
        <w:ind w:left="1910" w:right="0" w:firstLine="0"/>
        <w:jc w:val="left"/>
      </w:pPr>
      <w:r>
        <w:rPr>
          <w:spacing w:val="-4"/>
        </w:rPr>
        <w:t>瑞氏综合</w:t>
      </w:r>
      <w:r>
        <w:rPr>
          <w:spacing w:val="-10"/>
        </w:rPr>
        <w:t>征</w:t>
      </w:r>
    </w:p>
    <w:p>
      <w:pPr>
        <w:pStyle w:val="BodyText"/>
        <w:spacing w:line="280" w:lineRule="auto" w:before="72"/>
        <w:ind w:left="349" w:right="1597"/>
        <w:jc w:val="both"/>
      </w:pPr>
      <w:r>
        <w:rPr/>
        <w:br w:type="column"/>
      </w:r>
      <w:r>
        <w:rPr>
          <w:spacing w:val="-2"/>
        </w:rPr>
        <w:t>瑞氏综合征是线粒体功能障碍性疾病。导致脂肪代谢障碍，</w:t>
      </w:r>
      <w:r>
        <w:rPr>
          <w:spacing w:val="-2"/>
        </w:rPr>
        <w:t>引起短链脂肪酸、血氨升高，造成脑水肿。主要临床表现为</w:t>
      </w:r>
      <w:r>
        <w:rPr>
          <w:spacing w:val="-2"/>
        </w:rPr>
        <w:t>急性发热、反复呕吐、惊厥及意识障碍等等。</w:t>
      </w:r>
    </w:p>
    <w:p>
      <w:pPr>
        <w:spacing w:after="0" w:line="280" w:lineRule="auto"/>
        <w:jc w:val="both"/>
        <w:sectPr>
          <w:type w:val="continuous"/>
          <w:pgSz w:w="11910" w:h="16840"/>
          <w:pgMar w:header="0" w:footer="226" w:top="240" w:bottom="420" w:left="980" w:right="400"/>
          <w:cols w:num="2" w:equalWidth="0">
            <w:col w:w="3073" w:space="40"/>
            <w:col w:w="7417"/>
          </w:cols>
        </w:sectPr>
      </w:pPr>
    </w:p>
    <w:p>
      <w:pPr>
        <w:pStyle w:val="BodyText"/>
        <w:spacing w:line="278" w:lineRule="auto" w:before="51"/>
        <w:ind w:left="3462" w:right="1597"/>
      </w:pPr>
      <w:r>
        <w:rPr>
          <w:spacing w:val="-2"/>
        </w:rPr>
        <w:t>肝脏活检是确诊的重要手段。瑞氏综合征需由三级医院的儿</w:t>
      </w:r>
      <w:r>
        <w:rPr>
          <w:spacing w:val="-2"/>
        </w:rPr>
        <w:t>科专科医生确诊，并符合下列所有条件：</w:t>
      </w:r>
    </w:p>
    <w:p>
      <w:pPr>
        <w:pStyle w:val="ListParagraph"/>
        <w:numPr>
          <w:ilvl w:val="0"/>
          <w:numId w:val="46"/>
        </w:numPr>
        <w:tabs>
          <w:tab w:pos="3991" w:val="left" w:leader="none"/>
        </w:tabs>
        <w:spacing w:line="283" w:lineRule="auto" w:before="153" w:after="0"/>
        <w:ind w:left="3462" w:right="1703" w:firstLine="0"/>
        <w:jc w:val="left"/>
        <w:rPr>
          <w:sz w:val="21"/>
        </w:rPr>
      </w:pPr>
      <w:r>
        <w:rPr>
          <w:spacing w:val="-2"/>
          <w:sz w:val="21"/>
        </w:rPr>
        <w:t>有脑水肿和颅内压升高的脑脊液检查和影像学检查证</w:t>
      </w:r>
      <w:r>
        <w:rPr>
          <w:spacing w:val="-6"/>
          <w:sz w:val="21"/>
        </w:rPr>
        <w:t>据；</w:t>
      </w:r>
    </w:p>
    <w:p>
      <w:pPr>
        <w:pStyle w:val="ListParagraph"/>
        <w:numPr>
          <w:ilvl w:val="0"/>
          <w:numId w:val="46"/>
        </w:numPr>
        <w:tabs>
          <w:tab w:pos="3991" w:val="left" w:leader="none"/>
        </w:tabs>
        <w:spacing w:line="263" w:lineRule="exact" w:before="0" w:after="0"/>
        <w:ind w:left="3991" w:right="0" w:hanging="529"/>
        <w:jc w:val="left"/>
        <w:rPr>
          <w:sz w:val="21"/>
        </w:rPr>
      </w:pPr>
      <w:r>
        <w:rPr>
          <w:spacing w:val="-8"/>
          <w:sz w:val="21"/>
        </w:rPr>
        <w:t>血氨超过正常值的 </w:t>
      </w:r>
      <w:r>
        <w:rPr>
          <w:spacing w:val="-2"/>
          <w:sz w:val="21"/>
        </w:rPr>
        <w:t>3</w:t>
      </w:r>
      <w:r>
        <w:rPr>
          <w:spacing w:val="-20"/>
          <w:sz w:val="21"/>
        </w:rPr>
        <w:t> 倍；</w:t>
      </w:r>
    </w:p>
    <w:p>
      <w:pPr>
        <w:pStyle w:val="ListParagraph"/>
        <w:numPr>
          <w:ilvl w:val="0"/>
          <w:numId w:val="46"/>
        </w:numPr>
        <w:tabs>
          <w:tab w:pos="3991" w:val="left" w:leader="none"/>
        </w:tabs>
        <w:spacing w:line="240" w:lineRule="auto" w:before="43" w:after="0"/>
        <w:ind w:left="3991" w:right="0" w:hanging="529"/>
        <w:jc w:val="left"/>
        <w:rPr>
          <w:sz w:val="21"/>
        </w:rPr>
      </w:pPr>
      <w:r>
        <w:rPr>
          <w:spacing w:val="-5"/>
          <w:sz w:val="21"/>
        </w:rPr>
        <w:t>临床出现昏迷，病程至少达到疾病分期第 </w:t>
      </w:r>
      <w:r>
        <w:rPr>
          <w:spacing w:val="-2"/>
          <w:sz w:val="21"/>
        </w:rPr>
        <w:t>3</w:t>
      </w:r>
      <w:r>
        <w:rPr>
          <w:spacing w:val="-20"/>
          <w:sz w:val="21"/>
        </w:rPr>
        <w:t> 期。</w:t>
      </w:r>
    </w:p>
    <w:p>
      <w:pPr>
        <w:pStyle w:val="BodyText"/>
        <w:spacing w:before="11"/>
        <w:rPr>
          <w:sz w:val="22"/>
        </w:rPr>
      </w:pPr>
    </w:p>
    <w:p>
      <w:pPr>
        <w:spacing w:after="0"/>
        <w:rPr>
          <w:sz w:val="22"/>
        </w:rPr>
        <w:sectPr>
          <w:pgSz w:w="11910" w:h="16840"/>
          <w:pgMar w:header="0" w:footer="226" w:top="820" w:bottom="420" w:left="980" w:right="400"/>
        </w:sectPr>
      </w:pPr>
    </w:p>
    <w:p>
      <w:pPr>
        <w:pStyle w:val="Heading2"/>
        <w:numPr>
          <w:ilvl w:val="0"/>
          <w:numId w:val="15"/>
        </w:numPr>
        <w:tabs>
          <w:tab w:pos="2229" w:val="left" w:leader="none"/>
        </w:tabs>
        <w:spacing w:line="194" w:lineRule="auto" w:before="56" w:after="0"/>
        <w:ind w:left="1910" w:right="0" w:firstLine="0"/>
        <w:jc w:val="left"/>
      </w:pPr>
      <w:r>
        <w:rPr>
          <w:spacing w:val="-4"/>
        </w:rPr>
        <w:t>严重骨髓</w:t>
      </w:r>
      <w:r>
        <w:rPr>
          <w:spacing w:val="-2"/>
        </w:rPr>
        <w:t>异常增生综合</w:t>
      </w:r>
      <w:r>
        <w:rPr>
          <w:spacing w:val="-10"/>
        </w:rPr>
        <w:t>征</w:t>
      </w:r>
    </w:p>
    <w:p>
      <w:pPr>
        <w:pStyle w:val="BodyText"/>
        <w:spacing w:line="283" w:lineRule="auto" w:before="72"/>
        <w:ind w:left="244" w:right="1596"/>
      </w:pPr>
      <w:r>
        <w:rPr/>
        <w:br w:type="column"/>
      </w:r>
      <w:r>
        <w:rPr>
          <w:spacing w:val="-2"/>
        </w:rPr>
        <w:t>严重骨髓异常增生综合征是指符合世界卫生组织（WHO） 2008</w:t>
      </w:r>
      <w:r>
        <w:rPr>
          <w:spacing w:val="-8"/>
        </w:rPr>
        <w:t> 年分型方案中的难治性贫血细胞减少伴原始细胞增多-</w:t>
      </w:r>
      <w:r>
        <w:rPr>
          <w:spacing w:val="-10"/>
        </w:rPr>
        <w:t>1</w:t>
      </w:r>
    </w:p>
    <w:p>
      <w:pPr>
        <w:pStyle w:val="BodyText"/>
        <w:spacing w:line="278" w:lineRule="auto"/>
        <w:ind w:left="244" w:right="1595"/>
      </w:pPr>
      <w:r>
        <w:rPr>
          <w:spacing w:val="-2"/>
        </w:rPr>
        <w:t>（RAEB-</w:t>
      </w:r>
      <w:r>
        <w:rPr/>
        <w:t>1</w:t>
      </w:r>
      <w:r>
        <w:rPr>
          <w:spacing w:val="-106"/>
        </w:rPr>
        <w:t>）</w:t>
      </w:r>
      <w:r>
        <w:rPr>
          <w:spacing w:val="-2"/>
        </w:rPr>
        <w:t>、难治性贫血细胞减少伴原始细胞增多-2（RAEB</w:t>
      </w:r>
      <w:r>
        <w:rPr>
          <w:spacing w:val="-2"/>
        </w:rPr>
        <w:t>- </w:t>
      </w:r>
      <w:r>
        <w:rPr/>
        <w:t>2</w:t>
      </w:r>
      <w:r>
        <w:rPr>
          <w:spacing w:val="-106"/>
        </w:rPr>
        <w:t>）</w:t>
      </w:r>
      <w:r>
        <w:rPr/>
        <w:t>、MDS-未分类（MDS-U</w:t>
      </w:r>
      <w:r>
        <w:rPr>
          <w:spacing w:val="-106"/>
        </w:rPr>
        <w:t>）</w:t>
      </w:r>
      <w:r>
        <w:rPr/>
        <w:t>、MDS</w:t>
      </w:r>
      <w:r>
        <w:rPr>
          <w:spacing w:val="-9"/>
        </w:rPr>
        <w:t> 伴单纯 </w:t>
      </w:r>
      <w:r>
        <w:rPr/>
        <w:t>5q-，且需满足下列</w:t>
      </w:r>
      <w:r>
        <w:rPr>
          <w:spacing w:val="-2"/>
        </w:rPr>
        <w:t>所有条件：</w:t>
      </w:r>
    </w:p>
    <w:p>
      <w:pPr>
        <w:pStyle w:val="ListParagraph"/>
        <w:numPr>
          <w:ilvl w:val="0"/>
          <w:numId w:val="47"/>
        </w:numPr>
        <w:tabs>
          <w:tab w:pos="774" w:val="left" w:leader="none"/>
        </w:tabs>
        <w:spacing w:line="278" w:lineRule="auto" w:before="147" w:after="0"/>
        <w:ind w:left="244" w:right="1703" w:firstLine="0"/>
        <w:jc w:val="left"/>
        <w:rPr>
          <w:sz w:val="21"/>
        </w:rPr>
      </w:pPr>
      <w:r>
        <w:rPr>
          <w:spacing w:val="-2"/>
          <w:sz w:val="21"/>
        </w:rPr>
        <w:t>由我们认可的医院中设有专门血液病专科的公立三级</w:t>
      </w:r>
      <w:r>
        <w:rPr>
          <w:spacing w:val="-2"/>
          <w:sz w:val="21"/>
        </w:rPr>
        <w:t>甲等医院，血液病专科的主治级别以上的医师确诊；</w:t>
      </w:r>
    </w:p>
    <w:p>
      <w:pPr>
        <w:pStyle w:val="ListParagraph"/>
        <w:numPr>
          <w:ilvl w:val="0"/>
          <w:numId w:val="47"/>
        </w:numPr>
        <w:tabs>
          <w:tab w:pos="774" w:val="left" w:leader="none"/>
        </w:tabs>
        <w:spacing w:line="240" w:lineRule="auto" w:before="1" w:after="0"/>
        <w:ind w:left="773" w:right="0" w:hanging="530"/>
        <w:jc w:val="left"/>
        <w:rPr>
          <w:sz w:val="21"/>
        </w:rPr>
      </w:pPr>
      <w:r>
        <w:rPr>
          <w:spacing w:val="-3"/>
          <w:sz w:val="21"/>
        </w:rPr>
        <w:t>骨髓穿刺或骨髓活检结果支持诊断；</w:t>
      </w:r>
    </w:p>
    <w:p>
      <w:pPr>
        <w:pStyle w:val="ListParagraph"/>
        <w:numPr>
          <w:ilvl w:val="0"/>
          <w:numId w:val="47"/>
        </w:numPr>
        <w:tabs>
          <w:tab w:pos="774" w:val="left" w:leader="none"/>
        </w:tabs>
        <w:spacing w:line="278" w:lineRule="auto" w:before="43" w:after="0"/>
        <w:ind w:left="244" w:right="1703" w:firstLine="0"/>
        <w:jc w:val="left"/>
        <w:rPr>
          <w:sz w:val="21"/>
        </w:rPr>
      </w:pPr>
      <w:r>
        <w:rPr>
          <w:spacing w:val="-2"/>
          <w:sz w:val="21"/>
        </w:rPr>
        <w:t>被保险人已持续接受一个月以上的化疗或已接受骨髓</w:t>
      </w:r>
      <w:r>
        <w:rPr>
          <w:spacing w:val="-2"/>
          <w:sz w:val="21"/>
        </w:rPr>
        <w:t>移植治疗。</w:t>
      </w:r>
    </w:p>
    <w:p>
      <w:pPr>
        <w:spacing w:after="0" w:line="278" w:lineRule="auto"/>
        <w:jc w:val="left"/>
        <w:rPr>
          <w:sz w:val="21"/>
        </w:rPr>
        <w:sectPr>
          <w:type w:val="continuous"/>
          <w:pgSz w:w="11910" w:h="16840"/>
          <w:pgMar w:header="0" w:footer="226" w:top="240" w:bottom="420" w:left="980" w:right="400"/>
          <w:cols w:num="2" w:equalWidth="0">
            <w:col w:w="3178" w:space="40"/>
            <w:col w:w="7312"/>
          </w:cols>
        </w:sectPr>
      </w:pPr>
    </w:p>
    <w:p>
      <w:pPr>
        <w:pStyle w:val="BodyText"/>
        <w:spacing w:before="11"/>
        <w:rPr>
          <w:sz w:val="19"/>
        </w:rPr>
      </w:pPr>
    </w:p>
    <w:p>
      <w:pPr>
        <w:spacing w:after="0"/>
        <w:rPr>
          <w:sz w:val="19"/>
        </w:rPr>
        <w:sectPr>
          <w:type w:val="continuous"/>
          <w:pgSz w:w="11910" w:h="16840"/>
          <w:pgMar w:header="0" w:footer="226" w:top="240" w:bottom="420" w:left="980" w:right="400"/>
        </w:sectPr>
      </w:pPr>
    </w:p>
    <w:p>
      <w:pPr>
        <w:pStyle w:val="Heading2"/>
        <w:numPr>
          <w:ilvl w:val="0"/>
          <w:numId w:val="15"/>
        </w:numPr>
        <w:tabs>
          <w:tab w:pos="2229" w:val="left" w:leader="none"/>
        </w:tabs>
        <w:spacing w:line="194" w:lineRule="auto" w:before="55" w:after="0"/>
        <w:ind w:left="1910" w:right="0" w:firstLine="0"/>
        <w:jc w:val="left"/>
      </w:pPr>
      <w:r>
        <w:rPr>
          <w:spacing w:val="-4"/>
        </w:rPr>
        <w:t>严重面部</w:t>
      </w:r>
      <w:r>
        <w:rPr>
          <w:spacing w:val="-6"/>
        </w:rPr>
        <w:t>烧伤</w:t>
      </w:r>
    </w:p>
    <w:p>
      <w:pPr>
        <w:pStyle w:val="BodyText"/>
        <w:spacing w:line="278" w:lineRule="auto" w:before="71"/>
        <w:ind w:left="349" w:right="1809"/>
      </w:pPr>
      <w:r>
        <w:rPr/>
        <w:br w:type="column"/>
      </w:r>
      <w:r>
        <w:rPr>
          <w:spacing w:val="-2"/>
        </w:rPr>
        <w:t>指烧伤程度为Ⅲ度，且Ⅲ度烧伤的面积达到面部表面积的 </w:t>
      </w:r>
      <w:r>
        <w:rPr/>
        <w:t>80%</w:t>
      </w:r>
      <w:r>
        <w:rPr>
          <w:spacing w:val="-21"/>
        </w:rPr>
        <w:t>或 </w:t>
      </w:r>
      <w:r>
        <w:rPr/>
        <w:t>80%以上。</w:t>
      </w:r>
    </w:p>
    <w:p>
      <w:pPr>
        <w:spacing w:after="0" w:line="278" w:lineRule="auto"/>
        <w:sectPr>
          <w:type w:val="continuous"/>
          <w:pgSz w:w="11910" w:h="16840"/>
          <w:pgMar w:header="0" w:footer="226" w:top="240" w:bottom="420" w:left="980" w:right="400"/>
          <w:cols w:num="2" w:equalWidth="0">
            <w:col w:w="3073" w:space="40"/>
            <w:col w:w="7417"/>
          </w:cols>
        </w:sectPr>
      </w:pPr>
    </w:p>
    <w:p>
      <w:pPr>
        <w:pStyle w:val="BodyText"/>
        <w:spacing w:before="7"/>
        <w:rPr>
          <w:sz w:val="19"/>
        </w:rPr>
      </w:pPr>
    </w:p>
    <w:p>
      <w:pPr>
        <w:spacing w:after="0"/>
        <w:rPr>
          <w:sz w:val="19"/>
        </w:rPr>
        <w:sectPr>
          <w:type w:val="continuous"/>
          <w:pgSz w:w="11910" w:h="16840"/>
          <w:pgMar w:header="0" w:footer="226" w:top="240" w:bottom="420" w:left="980" w:right="400"/>
        </w:sectPr>
      </w:pPr>
    </w:p>
    <w:p>
      <w:pPr>
        <w:pStyle w:val="Heading2"/>
        <w:numPr>
          <w:ilvl w:val="0"/>
          <w:numId w:val="15"/>
        </w:numPr>
        <w:tabs>
          <w:tab w:pos="2229" w:val="left" w:leader="none"/>
        </w:tabs>
        <w:spacing w:line="196" w:lineRule="auto" w:before="53" w:after="0"/>
        <w:ind w:left="1910" w:right="0" w:firstLine="0"/>
        <w:jc w:val="left"/>
      </w:pPr>
      <w:r>
        <w:rPr>
          <w:spacing w:val="-4"/>
        </w:rPr>
        <w:t>严重川崎</w:t>
      </w:r>
      <w:r>
        <w:rPr>
          <w:spacing w:val="-10"/>
        </w:rPr>
        <w:t>病</w:t>
      </w:r>
    </w:p>
    <w:p>
      <w:pPr>
        <w:pStyle w:val="BodyText"/>
        <w:spacing w:line="280" w:lineRule="auto" w:before="72"/>
        <w:ind w:left="349" w:right="1597"/>
        <w:jc w:val="both"/>
      </w:pPr>
      <w:r>
        <w:rPr/>
        <w:br w:type="column"/>
      </w:r>
      <w:r>
        <w:rPr>
          <w:spacing w:val="-2"/>
        </w:rPr>
        <w:t>是一种血管炎综合征，临床表现为急性发热，皮肤粘膜病损</w:t>
      </w:r>
      <w:r>
        <w:rPr>
          <w:spacing w:val="-2"/>
        </w:rPr>
        <w:t>和淋巴结肿大。本病须经专科医生明确诊断，同时须由血管</w:t>
      </w:r>
      <w:r>
        <w:rPr>
          <w:spacing w:val="-2"/>
        </w:rPr>
        <w:t>造影或超声心动图检查证实，满足下列至少一项条件：</w:t>
      </w:r>
    </w:p>
    <w:p>
      <w:pPr>
        <w:pStyle w:val="ListParagraph"/>
        <w:numPr>
          <w:ilvl w:val="1"/>
          <w:numId w:val="47"/>
        </w:numPr>
        <w:tabs>
          <w:tab w:pos="879" w:val="left" w:leader="none"/>
        </w:tabs>
        <w:spacing w:line="278" w:lineRule="auto" w:before="150" w:after="0"/>
        <w:ind w:left="349" w:right="1703" w:firstLine="0"/>
        <w:jc w:val="left"/>
        <w:rPr>
          <w:sz w:val="21"/>
        </w:rPr>
      </w:pPr>
      <w:r>
        <w:rPr>
          <w:spacing w:val="-2"/>
          <w:sz w:val="21"/>
        </w:rPr>
        <w:t>伴有冠状动脉瘤，且冠状动脉瘤于最初急性发病后持</w:t>
      </w:r>
      <w:r>
        <w:rPr>
          <w:spacing w:val="-6"/>
          <w:sz w:val="21"/>
        </w:rPr>
        <w:t>续至少 </w:t>
      </w:r>
      <w:r>
        <w:rPr>
          <w:sz w:val="21"/>
        </w:rPr>
        <w:t>180</w:t>
      </w:r>
      <w:r>
        <w:rPr>
          <w:spacing w:val="-10"/>
          <w:sz w:val="21"/>
        </w:rPr>
        <w:t> 天；</w:t>
      </w:r>
    </w:p>
    <w:p>
      <w:pPr>
        <w:pStyle w:val="ListParagraph"/>
        <w:numPr>
          <w:ilvl w:val="1"/>
          <w:numId w:val="47"/>
        </w:numPr>
        <w:tabs>
          <w:tab w:pos="879" w:val="left" w:leader="none"/>
        </w:tabs>
        <w:spacing w:line="278" w:lineRule="auto" w:before="0" w:after="0"/>
        <w:ind w:left="349" w:right="1703" w:firstLine="0"/>
        <w:jc w:val="left"/>
        <w:rPr>
          <w:sz w:val="21"/>
        </w:rPr>
      </w:pPr>
      <w:r>
        <w:rPr>
          <w:spacing w:val="-2"/>
          <w:sz w:val="21"/>
        </w:rPr>
        <w:t>伴有冠状动脉瘤，且实际接受了对冠状动脉瘤进行的</w:t>
      </w:r>
      <w:r>
        <w:rPr>
          <w:spacing w:val="-2"/>
          <w:sz w:val="21"/>
        </w:rPr>
        <w:t>手术治疗。</w:t>
      </w:r>
    </w:p>
    <w:p>
      <w:pPr>
        <w:spacing w:after="0" w:line="278" w:lineRule="auto"/>
        <w:jc w:val="left"/>
        <w:rPr>
          <w:sz w:val="21"/>
        </w:rPr>
        <w:sectPr>
          <w:type w:val="continuous"/>
          <w:pgSz w:w="11910" w:h="16840"/>
          <w:pgMar w:header="0" w:footer="226" w:top="240" w:bottom="420" w:left="980" w:right="400"/>
          <w:cols w:num="2" w:equalWidth="0">
            <w:col w:w="3073" w:space="40"/>
            <w:col w:w="7417"/>
          </w:cols>
        </w:sectPr>
      </w:pPr>
    </w:p>
    <w:p>
      <w:pPr>
        <w:pStyle w:val="BodyText"/>
        <w:spacing w:before="12"/>
        <w:rPr>
          <w:sz w:val="19"/>
        </w:rPr>
      </w:pPr>
    </w:p>
    <w:p>
      <w:pPr>
        <w:spacing w:after="0"/>
        <w:rPr>
          <w:sz w:val="19"/>
        </w:rPr>
        <w:sectPr>
          <w:type w:val="continuous"/>
          <w:pgSz w:w="11910" w:h="16840"/>
          <w:pgMar w:header="0" w:footer="226" w:top="240" w:bottom="420" w:left="980" w:right="400"/>
        </w:sectPr>
      </w:pPr>
    </w:p>
    <w:p>
      <w:pPr>
        <w:pStyle w:val="Heading2"/>
        <w:numPr>
          <w:ilvl w:val="0"/>
          <w:numId w:val="15"/>
        </w:numPr>
        <w:tabs>
          <w:tab w:pos="2229" w:val="left" w:leader="none"/>
        </w:tabs>
        <w:spacing w:line="194" w:lineRule="auto" w:before="55" w:after="0"/>
        <w:ind w:left="1910" w:right="0" w:firstLine="0"/>
        <w:jc w:val="left"/>
      </w:pPr>
      <w:r>
        <w:rPr>
          <w:spacing w:val="-4"/>
        </w:rPr>
        <w:t>重症手足</w:t>
      </w:r>
      <w:r>
        <w:rPr>
          <w:spacing w:val="-6"/>
        </w:rPr>
        <w:t>口病</w:t>
      </w:r>
    </w:p>
    <w:p>
      <w:pPr>
        <w:pStyle w:val="BodyText"/>
        <w:spacing w:line="278" w:lineRule="auto" w:before="71"/>
        <w:ind w:left="349" w:right="1597"/>
        <w:jc w:val="both"/>
      </w:pPr>
      <w:r>
        <w:rPr/>
        <w:br w:type="column"/>
      </w:r>
      <w:r>
        <w:rPr>
          <w:spacing w:val="-2"/>
        </w:rPr>
        <w:t>由肠道病毒引起的急性传染病，主要症状表现为手、足、口</w:t>
      </w:r>
      <w:r>
        <w:rPr>
          <w:spacing w:val="-2"/>
        </w:rPr>
        <w:t>腔等部位的斑丘疹、疱疹。经我们认可的医疗机构的专科医</w:t>
      </w:r>
      <w:r>
        <w:rPr>
          <w:spacing w:val="-2"/>
        </w:rPr>
        <w:t>生确诊为患有手足口病，并伴有下列三项中的任意一项并发</w:t>
      </w:r>
      <w:r>
        <w:rPr>
          <w:spacing w:val="-6"/>
        </w:rPr>
        <w:t>症：</w:t>
      </w:r>
    </w:p>
    <w:p>
      <w:pPr>
        <w:pStyle w:val="ListParagraph"/>
        <w:numPr>
          <w:ilvl w:val="0"/>
          <w:numId w:val="48"/>
        </w:numPr>
        <w:tabs>
          <w:tab w:pos="879" w:val="left" w:leader="none"/>
        </w:tabs>
        <w:spacing w:line="283" w:lineRule="auto" w:before="154" w:after="0"/>
        <w:ind w:left="349" w:right="1703" w:firstLine="0"/>
        <w:jc w:val="left"/>
        <w:rPr>
          <w:sz w:val="21"/>
        </w:rPr>
      </w:pPr>
      <w:r>
        <w:rPr>
          <w:spacing w:val="-2"/>
          <w:sz w:val="21"/>
        </w:rPr>
        <w:t>有脑膜炎或脑炎并发症，且导致意识障碍或瘫痪的临</w:t>
      </w:r>
      <w:r>
        <w:rPr>
          <w:spacing w:val="-2"/>
          <w:sz w:val="21"/>
        </w:rPr>
        <w:t>床表现及实验室检查证据；</w:t>
      </w:r>
    </w:p>
    <w:p>
      <w:pPr>
        <w:pStyle w:val="ListParagraph"/>
        <w:numPr>
          <w:ilvl w:val="0"/>
          <w:numId w:val="48"/>
        </w:numPr>
        <w:tabs>
          <w:tab w:pos="879" w:val="left" w:leader="none"/>
        </w:tabs>
        <w:spacing w:line="278" w:lineRule="auto" w:before="0" w:after="0"/>
        <w:ind w:left="349" w:right="1703" w:firstLine="0"/>
        <w:jc w:val="left"/>
        <w:rPr>
          <w:sz w:val="21"/>
        </w:rPr>
      </w:pPr>
      <w:r>
        <w:rPr>
          <w:spacing w:val="-2"/>
          <w:sz w:val="21"/>
        </w:rPr>
        <w:t>有肺炎或肺水肿并发症，且导致呼吸衰竭的临床表现</w:t>
      </w:r>
      <w:r>
        <w:rPr>
          <w:spacing w:val="-2"/>
          <w:sz w:val="21"/>
        </w:rPr>
        <w:t>及实验室检查证据；</w:t>
      </w:r>
    </w:p>
    <w:p>
      <w:pPr>
        <w:pStyle w:val="ListParagraph"/>
        <w:numPr>
          <w:ilvl w:val="0"/>
          <w:numId w:val="48"/>
        </w:numPr>
        <w:tabs>
          <w:tab w:pos="879" w:val="left" w:leader="none"/>
        </w:tabs>
        <w:spacing w:line="278" w:lineRule="auto" w:before="0" w:after="0"/>
        <w:ind w:left="349" w:right="1703" w:firstLine="0"/>
        <w:jc w:val="left"/>
        <w:rPr>
          <w:sz w:val="21"/>
        </w:rPr>
      </w:pPr>
      <w:r>
        <w:rPr>
          <w:spacing w:val="-2"/>
          <w:sz w:val="21"/>
        </w:rPr>
        <w:t>有心肌炎并发症，且导致心脏扩大或心力衰竭的临床</w:t>
      </w:r>
      <w:r>
        <w:rPr>
          <w:spacing w:val="-2"/>
          <w:sz w:val="21"/>
        </w:rPr>
        <w:t>表现及实验室检查证。</w:t>
      </w:r>
    </w:p>
    <w:p>
      <w:pPr>
        <w:spacing w:after="0" w:line="278" w:lineRule="auto"/>
        <w:jc w:val="left"/>
        <w:rPr>
          <w:sz w:val="21"/>
        </w:rPr>
        <w:sectPr>
          <w:type w:val="continuous"/>
          <w:pgSz w:w="11910" w:h="16840"/>
          <w:pgMar w:header="0" w:footer="226" w:top="240" w:bottom="420" w:left="980" w:right="400"/>
          <w:cols w:num="2" w:equalWidth="0">
            <w:col w:w="3073" w:space="40"/>
            <w:col w:w="7417"/>
          </w:cols>
        </w:sectPr>
      </w:pPr>
    </w:p>
    <w:p>
      <w:pPr>
        <w:pStyle w:val="BodyText"/>
        <w:rPr>
          <w:sz w:val="19"/>
        </w:rPr>
      </w:pPr>
    </w:p>
    <w:p>
      <w:pPr>
        <w:spacing w:after="0"/>
        <w:rPr>
          <w:sz w:val="19"/>
        </w:rPr>
        <w:sectPr>
          <w:type w:val="continuous"/>
          <w:pgSz w:w="11910" w:h="16840"/>
          <w:pgMar w:header="0" w:footer="226" w:top="240" w:bottom="420" w:left="980" w:right="400"/>
        </w:sectPr>
      </w:pPr>
    </w:p>
    <w:p>
      <w:pPr>
        <w:pStyle w:val="Heading2"/>
        <w:numPr>
          <w:ilvl w:val="0"/>
          <w:numId w:val="15"/>
        </w:numPr>
        <w:tabs>
          <w:tab w:pos="2229" w:val="left" w:leader="none"/>
        </w:tabs>
        <w:spacing w:line="351" w:lineRule="exact" w:before="3" w:after="0"/>
        <w:ind w:left="2228" w:right="0" w:hanging="319"/>
        <w:jc w:val="left"/>
      </w:pPr>
      <w:r>
        <w:rPr>
          <w:spacing w:val="-3"/>
        </w:rPr>
        <w:t>严重哮喘</w:t>
      </w:r>
    </w:p>
    <w:p>
      <w:pPr>
        <w:spacing w:line="194" w:lineRule="auto" w:before="18"/>
        <w:ind w:left="1910" w:right="0" w:firstLine="0"/>
        <w:jc w:val="left"/>
        <w:rPr>
          <w:rFonts w:ascii="Microsoft JhengHei" w:hAnsi="Microsoft JhengHei" w:eastAsia="Microsoft JhengHei"/>
          <w:b/>
          <w:sz w:val="21"/>
        </w:rPr>
      </w:pPr>
      <w:r>
        <w:rPr>
          <w:rFonts w:ascii="Microsoft JhengHei" w:hAnsi="Microsoft JhengHei" w:eastAsia="Microsoft JhengHei"/>
          <w:b/>
          <w:spacing w:val="-2"/>
          <w:w w:val="95"/>
          <w:sz w:val="21"/>
        </w:rPr>
        <w:t>——</w:t>
      </w:r>
      <w:r>
        <w:rPr>
          <w:rFonts w:ascii="Microsoft JhengHei" w:hAnsi="Microsoft JhengHei" w:eastAsia="Microsoft JhengHei"/>
          <w:b/>
          <w:spacing w:val="-2"/>
          <w:w w:val="95"/>
          <w:sz w:val="21"/>
        </w:rPr>
        <w:t>二</w:t>
      </w:r>
      <w:r>
        <w:rPr>
          <w:rFonts w:ascii="Microsoft JhengHei" w:hAnsi="Microsoft JhengHei" w:eastAsia="Microsoft JhengHei"/>
          <w:b/>
          <w:spacing w:val="-2"/>
          <w:w w:val="95"/>
          <w:sz w:val="21"/>
        </w:rPr>
        <w:t>十</w:t>
      </w:r>
      <w:r>
        <w:rPr>
          <w:rFonts w:ascii="Microsoft JhengHei" w:hAnsi="Microsoft JhengHei" w:eastAsia="Microsoft JhengHei"/>
          <w:b/>
          <w:spacing w:val="-2"/>
          <w:w w:val="95"/>
          <w:sz w:val="21"/>
        </w:rPr>
        <w:t>五</w:t>
      </w:r>
      <w:r>
        <w:rPr>
          <w:rFonts w:ascii="Microsoft JhengHei" w:hAnsi="Microsoft JhengHei" w:eastAsia="Microsoft JhengHei"/>
          <w:b/>
          <w:spacing w:val="-2"/>
          <w:w w:val="95"/>
          <w:sz w:val="21"/>
        </w:rPr>
        <w:t>周</w:t>
      </w:r>
      <w:r>
        <w:rPr>
          <w:rFonts w:ascii="Microsoft JhengHei" w:hAnsi="Microsoft JhengHei" w:eastAsia="Microsoft JhengHei"/>
          <w:b/>
          <w:spacing w:val="-4"/>
          <w:sz w:val="21"/>
        </w:rPr>
        <w:t>岁前理赔</w:t>
      </w:r>
    </w:p>
    <w:p>
      <w:pPr>
        <w:pStyle w:val="BodyText"/>
        <w:spacing w:line="283" w:lineRule="auto" w:before="72"/>
        <w:ind w:left="243" w:right="1597"/>
      </w:pPr>
      <w:r>
        <w:rPr/>
        <w:br w:type="column"/>
      </w:r>
      <w:r>
        <w:rPr>
          <w:spacing w:val="-2"/>
        </w:rPr>
        <w:t>指一种反复发作的严重支气管阻塞性疾病，经我们认可的专</w:t>
      </w:r>
      <w:r>
        <w:rPr>
          <w:spacing w:val="-2"/>
        </w:rPr>
        <w:t>科医生确诊，且必须同时符合下列标准：</w:t>
      </w:r>
    </w:p>
    <w:p>
      <w:pPr>
        <w:pStyle w:val="ListParagraph"/>
        <w:numPr>
          <w:ilvl w:val="0"/>
          <w:numId w:val="49"/>
        </w:numPr>
        <w:tabs>
          <w:tab w:pos="773" w:val="left" w:leader="none"/>
        </w:tabs>
        <w:spacing w:line="278" w:lineRule="auto" w:before="147" w:after="0"/>
        <w:ind w:left="243" w:right="1703" w:firstLine="0"/>
        <w:jc w:val="left"/>
        <w:rPr>
          <w:sz w:val="21"/>
        </w:rPr>
      </w:pPr>
      <w:r>
        <w:rPr>
          <w:spacing w:val="-2"/>
          <w:sz w:val="21"/>
        </w:rPr>
        <w:t>过去两年中曾因哮喘持续状态住院治疗，并提供完整</w:t>
      </w:r>
      <w:r>
        <w:rPr>
          <w:spacing w:val="-2"/>
          <w:sz w:val="21"/>
        </w:rPr>
        <w:t>住院记录；</w:t>
      </w:r>
    </w:p>
    <w:p>
      <w:pPr>
        <w:pStyle w:val="ListParagraph"/>
        <w:numPr>
          <w:ilvl w:val="0"/>
          <w:numId w:val="49"/>
        </w:numPr>
        <w:tabs>
          <w:tab w:pos="773" w:val="left" w:leader="none"/>
        </w:tabs>
        <w:spacing w:line="240" w:lineRule="auto" w:before="1" w:after="0"/>
        <w:ind w:left="772" w:right="0" w:hanging="530"/>
        <w:jc w:val="left"/>
        <w:rPr>
          <w:sz w:val="21"/>
        </w:rPr>
      </w:pPr>
      <w:r>
        <w:rPr>
          <w:spacing w:val="-3"/>
          <w:sz w:val="21"/>
        </w:rPr>
        <w:t>因慢性过度换气导致胸廓畸形；</w:t>
      </w:r>
    </w:p>
    <w:p>
      <w:pPr>
        <w:pStyle w:val="ListParagraph"/>
        <w:numPr>
          <w:ilvl w:val="0"/>
          <w:numId w:val="49"/>
        </w:numPr>
        <w:tabs>
          <w:tab w:pos="773" w:val="left" w:leader="none"/>
        </w:tabs>
        <w:spacing w:line="240" w:lineRule="auto" w:before="42" w:after="0"/>
        <w:ind w:left="772" w:right="0" w:hanging="530"/>
        <w:jc w:val="left"/>
        <w:rPr>
          <w:sz w:val="21"/>
        </w:rPr>
      </w:pPr>
      <w:r>
        <w:rPr>
          <w:spacing w:val="-3"/>
          <w:sz w:val="21"/>
        </w:rPr>
        <w:t>在家中需要医生处方的氧气治疗法；</w:t>
      </w:r>
    </w:p>
    <w:p>
      <w:pPr>
        <w:spacing w:after="0" w:line="240" w:lineRule="auto"/>
        <w:jc w:val="left"/>
        <w:rPr>
          <w:sz w:val="21"/>
        </w:rPr>
        <w:sectPr>
          <w:type w:val="continuous"/>
          <w:pgSz w:w="11910" w:h="16840"/>
          <w:pgMar w:header="0" w:footer="226" w:top="240" w:bottom="420" w:left="980" w:right="400"/>
          <w:cols w:num="2" w:equalWidth="0">
            <w:col w:w="3179" w:space="40"/>
            <w:col w:w="7311"/>
          </w:cols>
        </w:sectPr>
      </w:pPr>
    </w:p>
    <w:p>
      <w:pPr>
        <w:pStyle w:val="ListParagraph"/>
        <w:numPr>
          <w:ilvl w:val="0"/>
          <w:numId w:val="49"/>
        </w:numPr>
        <w:tabs>
          <w:tab w:pos="3991" w:val="left" w:leader="none"/>
        </w:tabs>
        <w:spacing w:line="240" w:lineRule="auto" w:before="57" w:after="0"/>
        <w:ind w:left="3991" w:right="0" w:hanging="529"/>
        <w:jc w:val="left"/>
        <w:rPr>
          <w:sz w:val="21"/>
        </w:rPr>
      </w:pPr>
      <w:r>
        <w:rPr>
          <w:spacing w:val="-3"/>
          <w:sz w:val="21"/>
        </w:rPr>
        <w:t>持续日常服用口服类固醇激素治疗持续至少六个月。</w:t>
      </w:r>
    </w:p>
    <w:p>
      <w:pPr>
        <w:pStyle w:val="BodyText"/>
        <w:spacing w:before="4"/>
        <w:rPr>
          <w:sz w:val="15"/>
        </w:rPr>
      </w:pPr>
    </w:p>
    <w:p>
      <w:pPr>
        <w:pStyle w:val="BodyText"/>
        <w:spacing w:before="1"/>
        <w:ind w:left="3462"/>
      </w:pPr>
      <w:r>
        <w:rPr>
          <w:spacing w:val="-3"/>
        </w:rPr>
        <w:t>被保险人申请理赔时年龄必须在年满二十五周岁之前。</w:t>
      </w:r>
    </w:p>
    <w:p>
      <w:pPr>
        <w:pStyle w:val="BodyText"/>
        <w:spacing w:before="3"/>
        <w:rPr>
          <w:sz w:val="23"/>
        </w:rPr>
      </w:pPr>
    </w:p>
    <w:p>
      <w:pPr>
        <w:spacing w:after="0"/>
        <w:rPr>
          <w:sz w:val="23"/>
        </w:rPr>
        <w:sectPr>
          <w:pgSz w:w="11910" w:h="16840"/>
          <w:pgMar w:header="0" w:footer="226" w:top="660" w:bottom="420" w:left="980" w:right="400"/>
        </w:sectPr>
      </w:pPr>
    </w:p>
    <w:p>
      <w:pPr>
        <w:pStyle w:val="Heading2"/>
        <w:numPr>
          <w:ilvl w:val="0"/>
          <w:numId w:val="15"/>
        </w:numPr>
        <w:tabs>
          <w:tab w:pos="2229" w:val="left" w:leader="none"/>
        </w:tabs>
        <w:spacing w:line="194" w:lineRule="auto" w:before="55" w:after="0"/>
        <w:ind w:left="1910" w:right="0" w:firstLine="0"/>
        <w:jc w:val="left"/>
      </w:pPr>
      <w:r>
        <w:rPr>
          <w:spacing w:val="-4"/>
        </w:rPr>
        <w:t>骨生长不</w:t>
      </w:r>
      <w:r>
        <w:rPr>
          <w:spacing w:val="-6"/>
        </w:rPr>
        <w:t>全症</w:t>
      </w:r>
    </w:p>
    <w:p>
      <w:pPr>
        <w:pStyle w:val="BodyText"/>
        <w:spacing w:line="278" w:lineRule="auto" w:before="71"/>
        <w:ind w:left="349" w:right="1597"/>
        <w:jc w:val="both"/>
      </w:pPr>
      <w:r>
        <w:rPr/>
        <w:br w:type="column"/>
      </w:r>
      <w:r>
        <w:rPr>
          <w:spacing w:val="-2"/>
        </w:rPr>
        <w:t>指一种胶原病，特征为骨易碎，骨质疏松和易骨折。该病有 </w:t>
      </w:r>
      <w:r>
        <w:rPr/>
        <w:t>4</w:t>
      </w:r>
      <w:r>
        <w:rPr>
          <w:spacing w:val="-6"/>
        </w:rPr>
        <w:t> 种类型：Ⅰ型、Ⅱ型、Ⅲ型、Ⅳ型。只保障Ⅲ型成骨不全</w:t>
      </w:r>
      <w:r>
        <w:rPr>
          <w:spacing w:val="-2"/>
        </w:rPr>
        <w:t>的情形。其主要临床特点有：发展迟缓、多发性骨折、进行</w:t>
      </w:r>
      <w:r>
        <w:rPr>
          <w:spacing w:val="-2"/>
        </w:rPr>
        <w:t>性脊柱后侧凸及听力损害。Ⅲ型成骨不全的诊断必须根据身</w:t>
      </w:r>
      <w:r>
        <w:rPr/>
        <w:t>体检查，家族史，X</w:t>
      </w:r>
      <w:r>
        <w:rPr>
          <w:spacing w:val="-8"/>
        </w:rPr>
        <w:t> 线检查和皮肤活检报告资料确诊。</w:t>
      </w:r>
    </w:p>
    <w:p>
      <w:pPr>
        <w:pStyle w:val="BodyText"/>
        <w:spacing w:line="283" w:lineRule="auto" w:before="154"/>
        <w:ind w:left="349" w:right="1597"/>
      </w:pPr>
      <w:r>
        <w:rPr>
          <w:spacing w:val="-2"/>
        </w:rPr>
        <w:t>本公司承担本项疾病责任不受本合同责任免除中“遗传性疾</w:t>
      </w:r>
      <w:r>
        <w:rPr>
          <w:spacing w:val="-2"/>
        </w:rPr>
        <w:t>病，先天性畸形、变形或染色体异常”的限制。</w:t>
      </w:r>
    </w:p>
    <w:p>
      <w:pPr>
        <w:spacing w:after="0" w:line="283" w:lineRule="auto"/>
        <w:sectPr>
          <w:type w:val="continuous"/>
          <w:pgSz w:w="11910" w:h="16840"/>
          <w:pgMar w:header="0" w:footer="226" w:top="240" w:bottom="420" w:left="980" w:right="400"/>
          <w:cols w:num="2" w:equalWidth="0">
            <w:col w:w="3073" w:space="40"/>
            <w:col w:w="7417"/>
          </w:cols>
        </w:sectPr>
      </w:pPr>
    </w:p>
    <w:p>
      <w:pPr>
        <w:pStyle w:val="BodyText"/>
        <w:spacing w:before="1"/>
        <w:rPr>
          <w:sz w:val="19"/>
        </w:rPr>
      </w:pPr>
    </w:p>
    <w:p>
      <w:pPr>
        <w:spacing w:after="0"/>
        <w:rPr>
          <w:sz w:val="19"/>
        </w:rPr>
        <w:sectPr>
          <w:type w:val="continuous"/>
          <w:pgSz w:w="11910" w:h="16840"/>
          <w:pgMar w:header="0" w:footer="226" w:top="240" w:bottom="420" w:left="980" w:right="400"/>
        </w:sectPr>
      </w:pPr>
    </w:p>
    <w:p>
      <w:pPr>
        <w:pStyle w:val="Heading2"/>
        <w:numPr>
          <w:ilvl w:val="0"/>
          <w:numId w:val="15"/>
        </w:numPr>
        <w:tabs>
          <w:tab w:pos="2229" w:val="left" w:leader="none"/>
        </w:tabs>
        <w:spacing w:line="194" w:lineRule="auto" w:before="55" w:after="0"/>
        <w:ind w:left="1910" w:right="0" w:firstLine="0"/>
        <w:jc w:val="left"/>
      </w:pPr>
      <w:r>
        <w:rPr>
          <w:spacing w:val="-4"/>
        </w:rPr>
        <w:t>器官移植</w:t>
      </w:r>
      <w:r>
        <w:rPr>
          <w:w w:val="95"/>
        </w:rPr>
        <w:t>导</w:t>
      </w:r>
      <w:r>
        <w:rPr>
          <w:w w:val="95"/>
        </w:rPr>
        <w:t>致</w:t>
      </w:r>
      <w:r>
        <w:rPr>
          <w:w w:val="95"/>
        </w:rPr>
        <w:t>的</w:t>
      </w:r>
      <w:r>
        <w:rPr>
          <w:spacing w:val="-11"/>
          <w:w w:val="95"/>
        </w:rPr>
        <w:t> </w:t>
      </w:r>
      <w:r>
        <w:rPr>
          <w:w w:val="95"/>
        </w:rPr>
        <w:t>HIV</w:t>
      </w:r>
      <w:r>
        <w:rPr>
          <w:spacing w:val="-10"/>
          <w:w w:val="95"/>
        </w:rPr>
        <w:t> </w:t>
      </w:r>
      <w:r>
        <w:rPr>
          <w:w w:val="95"/>
        </w:rPr>
        <w:t>感</w:t>
      </w:r>
      <w:r>
        <w:rPr>
          <w:spacing w:val="-10"/>
        </w:rPr>
        <w:t>染</w:t>
      </w:r>
    </w:p>
    <w:p>
      <w:pPr>
        <w:pStyle w:val="BodyText"/>
        <w:spacing w:line="283" w:lineRule="auto" w:before="71"/>
        <w:ind w:left="243" w:right="1595"/>
      </w:pPr>
      <w:r>
        <w:rPr/>
        <w:br w:type="column"/>
      </w:r>
      <w:r>
        <w:rPr>
          <w:spacing w:val="-4"/>
        </w:rPr>
        <w:t>指因进行器官移植而感染上人类免疫缺陷病毒</w:t>
      </w:r>
      <w:r>
        <w:rPr>
          <w:spacing w:val="11"/>
        </w:rPr>
        <w:t>（</w:t>
      </w:r>
      <w:r>
        <w:rPr>
          <w:spacing w:val="15"/>
        </w:rPr>
        <w:t>HIV</w:t>
      </w:r>
      <w:r>
        <w:rPr>
          <w:spacing w:val="-96"/>
        </w:rPr>
        <w:t>）</w:t>
      </w:r>
      <w:r>
        <w:rPr>
          <w:spacing w:val="2"/>
        </w:rPr>
        <w:t>，且须</w:t>
      </w:r>
      <w:r>
        <w:rPr>
          <w:spacing w:val="-2"/>
        </w:rPr>
        <w:t>满足下列全部条件：</w:t>
      </w:r>
    </w:p>
    <w:p>
      <w:pPr>
        <w:pStyle w:val="ListParagraph"/>
        <w:numPr>
          <w:ilvl w:val="0"/>
          <w:numId w:val="50"/>
        </w:numPr>
        <w:tabs>
          <w:tab w:pos="773" w:val="left" w:leader="none"/>
        </w:tabs>
        <w:spacing w:line="278" w:lineRule="auto" w:before="148" w:after="0"/>
        <w:ind w:left="243" w:right="1703" w:firstLine="0"/>
        <w:jc w:val="left"/>
        <w:rPr>
          <w:sz w:val="21"/>
        </w:rPr>
      </w:pPr>
      <w:r>
        <w:rPr>
          <w:spacing w:val="-2"/>
          <w:sz w:val="21"/>
        </w:rPr>
        <w:t>被保险人因治疗必需而实施器官移植，并且因器官移</w:t>
      </w:r>
      <w:r>
        <w:rPr>
          <w:spacing w:val="-2"/>
          <w:sz w:val="21"/>
        </w:rPr>
        <w:t>植而感染人类免疫缺陷病毒</w:t>
      </w:r>
      <w:r>
        <w:rPr>
          <w:spacing w:val="34"/>
          <w:sz w:val="21"/>
        </w:rPr>
        <w:t>（</w:t>
      </w:r>
      <w:r>
        <w:rPr>
          <w:spacing w:val="29"/>
          <w:sz w:val="21"/>
        </w:rPr>
        <w:t>H</w:t>
      </w:r>
      <w:r>
        <w:rPr>
          <w:spacing w:val="34"/>
          <w:sz w:val="21"/>
        </w:rPr>
        <w:t>IV</w:t>
      </w:r>
      <w:r>
        <w:rPr>
          <w:spacing w:val="-72"/>
          <w:sz w:val="21"/>
        </w:rPr>
        <w:t>）；</w:t>
      </w:r>
    </w:p>
    <w:p>
      <w:pPr>
        <w:pStyle w:val="ListParagraph"/>
        <w:numPr>
          <w:ilvl w:val="0"/>
          <w:numId w:val="50"/>
        </w:numPr>
        <w:tabs>
          <w:tab w:pos="773" w:val="left" w:leader="none"/>
        </w:tabs>
        <w:spacing w:line="278" w:lineRule="auto" w:before="0" w:after="0"/>
        <w:ind w:left="243" w:right="1597" w:firstLine="0"/>
        <w:jc w:val="left"/>
        <w:rPr>
          <w:sz w:val="21"/>
        </w:rPr>
      </w:pPr>
      <w:r>
        <w:rPr>
          <w:spacing w:val="-2"/>
          <w:sz w:val="21"/>
        </w:rPr>
        <w:t>提供器官移植治疗的器官移植中心或医院出具该项器</w:t>
      </w:r>
      <w:r>
        <w:rPr>
          <w:spacing w:val="-2"/>
          <w:sz w:val="21"/>
        </w:rPr>
        <w:t>官移植感染，属于医疗责任事故的报告，或者法院终审裁定</w:t>
      </w:r>
      <w:r>
        <w:rPr>
          <w:spacing w:val="-2"/>
          <w:sz w:val="21"/>
        </w:rPr>
        <w:t>为医疗责任并且不准上诉；</w:t>
      </w:r>
    </w:p>
    <w:p>
      <w:pPr>
        <w:pStyle w:val="ListParagraph"/>
        <w:numPr>
          <w:ilvl w:val="0"/>
          <w:numId w:val="50"/>
        </w:numPr>
        <w:tabs>
          <w:tab w:pos="773" w:val="left" w:leader="none"/>
        </w:tabs>
        <w:spacing w:line="278" w:lineRule="auto" w:before="0" w:after="0"/>
        <w:ind w:left="243" w:right="1703" w:firstLine="0"/>
        <w:jc w:val="left"/>
        <w:rPr>
          <w:sz w:val="21"/>
        </w:rPr>
      </w:pPr>
      <w:r>
        <w:rPr>
          <w:spacing w:val="-2"/>
          <w:sz w:val="21"/>
        </w:rPr>
        <w:t>提供器官移植治疗的器官移植中心或医院必须拥有合</w:t>
      </w:r>
      <w:r>
        <w:rPr>
          <w:spacing w:val="-2"/>
          <w:sz w:val="21"/>
        </w:rPr>
        <w:t>法经营执照。</w:t>
      </w:r>
    </w:p>
    <w:p>
      <w:pPr>
        <w:pStyle w:val="BodyText"/>
        <w:spacing w:line="280" w:lineRule="auto" w:before="154"/>
        <w:ind w:left="243" w:right="1597"/>
      </w:pPr>
      <w:r>
        <w:rPr>
          <w:spacing w:val="-2"/>
        </w:rPr>
        <w:t>在任何治愈艾滋病或阻止人类免疫缺陷病毒（HIV）病毒作</w:t>
      </w:r>
      <w:r>
        <w:rPr>
          <w:spacing w:val="-2"/>
        </w:rPr>
        <w:t>用的疗法被发现以后，或能防止艾滋病发生的医疗方法被研</w:t>
      </w:r>
      <w:r>
        <w:rPr>
          <w:spacing w:val="-2"/>
        </w:rPr>
        <w:t>究出来以后，本保障将不再予以赔付。</w:t>
      </w:r>
    </w:p>
    <w:p>
      <w:pPr>
        <w:pStyle w:val="BodyText"/>
        <w:spacing w:line="278" w:lineRule="auto" w:before="150"/>
        <w:ind w:left="243" w:right="1597"/>
      </w:pPr>
      <w:r>
        <w:rPr>
          <w:spacing w:val="-2"/>
        </w:rPr>
        <w:t>本公司承担本项疾病责任不受本合同责任免除中“被保险人</w:t>
      </w:r>
      <w:r>
        <w:rPr>
          <w:spacing w:val="-2"/>
        </w:rPr>
        <w:t>感染艾滋病病毒或患艾滋病”的限制。</w:t>
      </w:r>
    </w:p>
    <w:p>
      <w:pPr>
        <w:spacing w:after="0" w:line="278" w:lineRule="auto"/>
        <w:sectPr>
          <w:type w:val="continuous"/>
          <w:pgSz w:w="11910" w:h="16840"/>
          <w:pgMar w:header="0" w:footer="226" w:top="240" w:bottom="420" w:left="980" w:right="400"/>
          <w:cols w:num="2" w:equalWidth="0">
            <w:col w:w="3179" w:space="40"/>
            <w:col w:w="7311"/>
          </w:cols>
        </w:sectPr>
      </w:pPr>
    </w:p>
    <w:p>
      <w:pPr>
        <w:pStyle w:val="BodyText"/>
        <w:spacing w:before="6"/>
        <w:rPr>
          <w:sz w:val="19"/>
        </w:rPr>
      </w:pPr>
    </w:p>
    <w:p>
      <w:pPr>
        <w:spacing w:after="0"/>
        <w:rPr>
          <w:sz w:val="19"/>
        </w:rPr>
        <w:sectPr>
          <w:type w:val="continuous"/>
          <w:pgSz w:w="11910" w:h="16840"/>
          <w:pgMar w:header="0" w:footer="226" w:top="240" w:bottom="420" w:left="980" w:right="400"/>
        </w:sectPr>
      </w:pPr>
    </w:p>
    <w:p>
      <w:pPr>
        <w:pStyle w:val="Heading2"/>
        <w:numPr>
          <w:ilvl w:val="0"/>
          <w:numId w:val="15"/>
        </w:numPr>
        <w:tabs>
          <w:tab w:pos="2229" w:val="left" w:leader="none"/>
        </w:tabs>
        <w:spacing w:line="196" w:lineRule="auto" w:before="53" w:after="0"/>
        <w:ind w:left="1910" w:right="0" w:firstLine="0"/>
        <w:jc w:val="left"/>
      </w:pPr>
      <w:r>
        <w:rPr>
          <w:spacing w:val="-4"/>
        </w:rPr>
        <w:t>进行性多</w:t>
      </w:r>
      <w:r>
        <w:rPr>
          <w:spacing w:val="-2"/>
        </w:rPr>
        <w:t>灶性白质脑病</w:t>
      </w:r>
    </w:p>
    <w:p>
      <w:pPr>
        <w:pStyle w:val="BodyText"/>
        <w:spacing w:line="283" w:lineRule="auto" w:before="72"/>
        <w:ind w:left="244" w:right="1597"/>
      </w:pPr>
      <w:r>
        <w:rPr/>
        <w:br w:type="column"/>
      </w:r>
      <w:r>
        <w:rPr>
          <w:spacing w:val="-2"/>
        </w:rPr>
        <w:t>是一种亚急性脱髓鞘性脑病，常常发现于免疫缺陷的病人。</w:t>
      </w:r>
      <w:r>
        <w:rPr>
          <w:spacing w:val="-2"/>
        </w:rPr>
        <w:t>必须由神经科专科医生根据脑组织活检确诊。</w:t>
      </w:r>
    </w:p>
    <w:p>
      <w:pPr>
        <w:spacing w:after="0" w:line="283" w:lineRule="auto"/>
        <w:sectPr>
          <w:type w:val="continuous"/>
          <w:pgSz w:w="11910" w:h="16840"/>
          <w:pgMar w:header="0" w:footer="226" w:top="240" w:bottom="420" w:left="980" w:right="400"/>
          <w:cols w:num="2" w:equalWidth="0">
            <w:col w:w="3178" w:space="40"/>
            <w:col w:w="7312"/>
          </w:cols>
        </w:sectPr>
      </w:pPr>
    </w:p>
    <w:p>
      <w:pPr>
        <w:pStyle w:val="BodyText"/>
        <w:spacing w:before="1"/>
        <w:rPr>
          <w:sz w:val="19"/>
        </w:rPr>
      </w:pPr>
    </w:p>
    <w:p>
      <w:pPr>
        <w:spacing w:after="0"/>
        <w:rPr>
          <w:sz w:val="19"/>
        </w:rPr>
        <w:sectPr>
          <w:type w:val="continuous"/>
          <w:pgSz w:w="11910" w:h="16840"/>
          <w:pgMar w:header="0" w:footer="226" w:top="240" w:bottom="420" w:left="980" w:right="400"/>
        </w:sectPr>
      </w:pPr>
    </w:p>
    <w:p>
      <w:pPr>
        <w:pStyle w:val="Heading2"/>
        <w:numPr>
          <w:ilvl w:val="0"/>
          <w:numId w:val="15"/>
        </w:numPr>
        <w:tabs>
          <w:tab w:pos="2229" w:val="left" w:leader="none"/>
        </w:tabs>
        <w:spacing w:line="196" w:lineRule="auto" w:before="52" w:after="0"/>
        <w:ind w:left="1910" w:right="0" w:firstLine="0"/>
        <w:jc w:val="left"/>
      </w:pPr>
      <w:r>
        <w:rPr>
          <w:spacing w:val="-4"/>
        </w:rPr>
        <w:t>脊髓小脑</w:t>
      </w:r>
      <w:r>
        <w:rPr>
          <w:spacing w:val="-4"/>
        </w:rPr>
        <w:t>变性症</w:t>
      </w:r>
    </w:p>
    <w:p>
      <w:pPr>
        <w:pStyle w:val="BodyText"/>
        <w:spacing w:line="283" w:lineRule="auto" w:before="71"/>
        <w:ind w:left="349" w:right="1597"/>
      </w:pPr>
      <w:r>
        <w:rPr/>
        <w:br w:type="column"/>
      </w:r>
      <w:r>
        <w:rPr>
          <w:spacing w:val="-2"/>
        </w:rPr>
        <w:t>脊髓小脑变性症为一组以小脑萎缩和共济失调为主要临床特</w:t>
      </w:r>
      <w:r>
        <w:rPr>
          <w:spacing w:val="-2"/>
        </w:rPr>
        <w:t>点的疾病。必须符合所有以下条件：</w:t>
      </w:r>
    </w:p>
    <w:p>
      <w:pPr>
        <w:pStyle w:val="ListParagraph"/>
        <w:numPr>
          <w:ilvl w:val="1"/>
          <w:numId w:val="50"/>
        </w:numPr>
        <w:tabs>
          <w:tab w:pos="879" w:val="left" w:leader="none"/>
        </w:tabs>
        <w:spacing w:line="278" w:lineRule="auto" w:before="148" w:after="0"/>
        <w:ind w:left="349" w:right="1914" w:firstLine="0"/>
        <w:jc w:val="left"/>
        <w:rPr>
          <w:sz w:val="21"/>
        </w:rPr>
      </w:pPr>
      <w:r>
        <w:rPr>
          <w:spacing w:val="-2"/>
          <w:sz w:val="21"/>
        </w:rPr>
        <w:t>脊髓小脑变性症必须由医院诊断，并有以下证据支</w:t>
      </w:r>
      <w:r>
        <w:rPr>
          <w:spacing w:val="-6"/>
          <w:sz w:val="21"/>
        </w:rPr>
        <w:t>持：</w:t>
      </w:r>
    </w:p>
    <w:p>
      <w:pPr>
        <w:pStyle w:val="ListParagraph"/>
        <w:numPr>
          <w:ilvl w:val="2"/>
          <w:numId w:val="50"/>
        </w:numPr>
        <w:tabs>
          <w:tab w:pos="984" w:val="left" w:leader="none"/>
        </w:tabs>
        <w:spacing w:line="240" w:lineRule="auto" w:before="0" w:after="0"/>
        <w:ind w:left="984" w:right="0" w:hanging="213"/>
        <w:jc w:val="left"/>
        <w:rPr>
          <w:sz w:val="21"/>
        </w:rPr>
      </w:pPr>
      <w:r>
        <w:rPr>
          <w:spacing w:val="-3"/>
          <w:sz w:val="21"/>
        </w:rPr>
        <w:t>影像学检查证实存在小脑萎缩；</w:t>
      </w:r>
    </w:p>
    <w:p>
      <w:pPr>
        <w:pStyle w:val="ListParagraph"/>
        <w:numPr>
          <w:ilvl w:val="2"/>
          <w:numId w:val="50"/>
        </w:numPr>
        <w:tabs>
          <w:tab w:pos="984" w:val="left" w:leader="none"/>
        </w:tabs>
        <w:spacing w:line="240" w:lineRule="auto" w:before="43" w:after="0"/>
        <w:ind w:left="984" w:right="0" w:hanging="213"/>
        <w:jc w:val="left"/>
        <w:rPr>
          <w:sz w:val="21"/>
        </w:rPr>
      </w:pPr>
      <w:r>
        <w:rPr>
          <w:spacing w:val="-3"/>
          <w:sz w:val="21"/>
        </w:rPr>
        <w:t>临床表现存在共济失调、语言障碍和肌张力异常。</w:t>
      </w:r>
    </w:p>
    <w:p>
      <w:pPr>
        <w:pStyle w:val="ListParagraph"/>
        <w:numPr>
          <w:ilvl w:val="1"/>
          <w:numId w:val="50"/>
        </w:numPr>
        <w:tabs>
          <w:tab w:pos="879" w:val="left" w:leader="none"/>
        </w:tabs>
        <w:spacing w:line="240" w:lineRule="auto" w:before="43" w:after="0"/>
        <w:ind w:left="878" w:right="0" w:hanging="530"/>
        <w:jc w:val="left"/>
        <w:rPr>
          <w:sz w:val="21"/>
        </w:rPr>
      </w:pPr>
      <w:r>
        <w:rPr>
          <w:spacing w:val="-3"/>
          <w:sz w:val="21"/>
        </w:rPr>
        <w:t>被保险人运动功能严重障碍，自主生活能力完全丧</w:t>
      </w:r>
    </w:p>
    <w:p>
      <w:pPr>
        <w:pStyle w:val="BodyText"/>
        <w:spacing w:line="278" w:lineRule="auto" w:before="43"/>
        <w:ind w:left="349" w:right="1597"/>
      </w:pPr>
      <w:r>
        <w:rPr>
          <w:spacing w:val="-2"/>
        </w:rPr>
        <w:t>失，无法独立完成六项基本日常生活活动中的三项或三项以</w:t>
      </w:r>
      <w:r>
        <w:rPr>
          <w:spacing w:val="-6"/>
        </w:rPr>
        <w:t>上。</w:t>
      </w:r>
    </w:p>
    <w:p>
      <w:pPr>
        <w:spacing w:after="0" w:line="278" w:lineRule="auto"/>
        <w:sectPr>
          <w:type w:val="continuous"/>
          <w:pgSz w:w="11910" w:h="16840"/>
          <w:pgMar w:header="0" w:footer="226" w:top="240" w:bottom="420" w:left="980" w:right="400"/>
          <w:cols w:num="2" w:equalWidth="0">
            <w:col w:w="3073" w:space="40"/>
            <w:col w:w="7417"/>
          </w:cols>
        </w:sectPr>
      </w:pPr>
    </w:p>
    <w:p>
      <w:pPr>
        <w:pStyle w:val="BodyText"/>
        <w:spacing w:before="11"/>
        <w:rPr>
          <w:sz w:val="19"/>
        </w:rPr>
      </w:pPr>
    </w:p>
    <w:p>
      <w:pPr>
        <w:spacing w:after="0"/>
        <w:rPr>
          <w:sz w:val="19"/>
        </w:rPr>
        <w:sectPr>
          <w:type w:val="continuous"/>
          <w:pgSz w:w="11910" w:h="16840"/>
          <w:pgMar w:header="0" w:footer="226" w:top="240" w:bottom="420" w:left="980" w:right="400"/>
        </w:sectPr>
      </w:pPr>
    </w:p>
    <w:p>
      <w:pPr>
        <w:pStyle w:val="Heading2"/>
        <w:numPr>
          <w:ilvl w:val="0"/>
          <w:numId w:val="15"/>
        </w:numPr>
        <w:tabs>
          <w:tab w:pos="2229" w:val="left" w:leader="none"/>
        </w:tabs>
        <w:spacing w:line="194" w:lineRule="auto" w:before="56" w:after="0"/>
        <w:ind w:left="1910" w:right="0" w:firstLine="0"/>
        <w:jc w:val="left"/>
      </w:pPr>
      <w:r>
        <w:rPr>
          <w:spacing w:val="-4"/>
        </w:rPr>
        <w:t>婴儿进行</w:t>
      </w:r>
      <w:r>
        <w:rPr>
          <w:spacing w:val="-2"/>
        </w:rPr>
        <w:t>性脊肌萎缩症</w:t>
      </w:r>
    </w:p>
    <w:p>
      <w:pPr>
        <w:pStyle w:val="BodyText"/>
        <w:spacing w:line="278" w:lineRule="auto" w:before="72"/>
        <w:ind w:left="244" w:right="1597"/>
        <w:jc w:val="both"/>
      </w:pPr>
      <w:r>
        <w:rPr/>
        <w:br w:type="column"/>
      </w:r>
      <w:r>
        <w:rPr>
          <w:spacing w:val="-2"/>
        </w:rPr>
        <w:t>该病是累及脊髓前角细胞及延髓运动核的神经元退行性变性</w:t>
      </w:r>
      <w:r>
        <w:rPr>
          <w:spacing w:val="-2"/>
        </w:rPr>
        <w:t>病。在出生后两年内出现的脊髓和脑干颅神经前角细胞进行</w:t>
      </w:r>
      <w:r>
        <w:rPr>
          <w:spacing w:val="-2"/>
        </w:rPr>
        <w:t>性机能障碍，伴随肌肉无力和延髓机能障碍。</w:t>
      </w:r>
    </w:p>
    <w:p>
      <w:pPr>
        <w:pStyle w:val="BodyText"/>
        <w:spacing w:line="283" w:lineRule="auto" w:before="153"/>
        <w:ind w:left="244" w:right="1597"/>
      </w:pPr>
      <w:r>
        <w:rPr>
          <w:spacing w:val="-2"/>
        </w:rPr>
        <w:t>本公司承担本项疾病责任不受本合同责任免除中“遗传性疾</w:t>
      </w:r>
      <w:r>
        <w:rPr>
          <w:spacing w:val="-2"/>
        </w:rPr>
        <w:t>病，先天性畸形、变形或染色体异常”的限制。</w:t>
      </w:r>
    </w:p>
    <w:p>
      <w:pPr>
        <w:spacing w:after="0" w:line="283" w:lineRule="auto"/>
        <w:sectPr>
          <w:type w:val="continuous"/>
          <w:pgSz w:w="11910" w:h="16840"/>
          <w:pgMar w:header="0" w:footer="226" w:top="240" w:bottom="420" w:left="980" w:right="400"/>
          <w:cols w:num="2" w:equalWidth="0">
            <w:col w:w="3178" w:space="40"/>
            <w:col w:w="7312"/>
          </w:cols>
        </w:sectPr>
      </w:pPr>
    </w:p>
    <w:p>
      <w:pPr>
        <w:pStyle w:val="Heading2"/>
        <w:numPr>
          <w:ilvl w:val="0"/>
          <w:numId w:val="15"/>
        </w:numPr>
        <w:tabs>
          <w:tab w:pos="2229" w:val="left" w:leader="none"/>
        </w:tabs>
        <w:spacing w:line="194" w:lineRule="auto" w:before="35" w:after="0"/>
        <w:ind w:left="1910" w:right="0" w:firstLine="0"/>
        <w:jc w:val="left"/>
      </w:pPr>
      <w:r>
        <w:rPr>
          <w:spacing w:val="-4"/>
        </w:rPr>
        <w:t>多处臂丛</w:t>
      </w:r>
      <w:r>
        <w:rPr>
          <w:spacing w:val="-2"/>
        </w:rPr>
        <w:t>神经根性撕脱</w:t>
      </w:r>
    </w:p>
    <w:p>
      <w:pPr>
        <w:pStyle w:val="BodyText"/>
        <w:spacing w:line="278" w:lineRule="auto" w:before="51"/>
        <w:ind w:left="244" w:right="1597"/>
        <w:jc w:val="both"/>
      </w:pPr>
      <w:r>
        <w:rPr/>
        <w:br w:type="column"/>
      </w:r>
      <w:r>
        <w:rPr>
          <w:spacing w:val="-2"/>
        </w:rPr>
        <w:t>由于疾病或意外导致至少两根臂丛神经根性撕脱，所造成的</w:t>
      </w:r>
      <w:r>
        <w:rPr>
          <w:spacing w:val="-2"/>
        </w:rPr>
        <w:t>手臂感觉功能与运动功能完全永久性丧失。该病须由医院专</w:t>
      </w:r>
      <w:r>
        <w:rPr>
          <w:spacing w:val="-2"/>
        </w:rPr>
        <w:t>科医生明确诊断，并且有电生理检查结果证实。</w:t>
      </w:r>
    </w:p>
    <w:p>
      <w:pPr>
        <w:spacing w:after="0" w:line="278" w:lineRule="auto"/>
        <w:jc w:val="both"/>
        <w:sectPr>
          <w:pgSz w:w="11910" w:h="16840"/>
          <w:pgMar w:header="0" w:footer="226" w:top="820" w:bottom="420" w:left="980" w:right="400"/>
          <w:cols w:num="2" w:equalWidth="0">
            <w:col w:w="3178" w:space="40"/>
            <w:col w:w="7312"/>
          </w:cols>
        </w:sectPr>
      </w:pPr>
    </w:p>
    <w:p>
      <w:pPr>
        <w:pStyle w:val="BodyText"/>
        <w:spacing w:before="11"/>
        <w:rPr>
          <w:sz w:val="19"/>
        </w:rPr>
      </w:pPr>
    </w:p>
    <w:p>
      <w:pPr>
        <w:spacing w:after="0"/>
        <w:rPr>
          <w:sz w:val="19"/>
        </w:rPr>
        <w:sectPr>
          <w:type w:val="continuous"/>
          <w:pgSz w:w="11910" w:h="16840"/>
          <w:pgMar w:header="0" w:footer="226" w:top="240" w:bottom="420" w:left="980" w:right="400"/>
        </w:sectPr>
      </w:pPr>
    </w:p>
    <w:p>
      <w:pPr>
        <w:pStyle w:val="Heading2"/>
        <w:numPr>
          <w:ilvl w:val="0"/>
          <w:numId w:val="15"/>
        </w:numPr>
        <w:tabs>
          <w:tab w:pos="2229" w:val="left" w:leader="none"/>
        </w:tabs>
        <w:spacing w:line="194" w:lineRule="auto" w:before="55" w:after="0"/>
        <w:ind w:left="1910" w:right="0" w:firstLine="0"/>
        <w:jc w:val="left"/>
      </w:pPr>
      <w:r>
        <w:rPr>
          <w:spacing w:val="-4"/>
        </w:rPr>
        <w:t>艾森门格</w:t>
      </w:r>
      <w:r>
        <w:rPr>
          <w:spacing w:val="-4"/>
        </w:rPr>
        <w:t>综合征</w:t>
      </w:r>
    </w:p>
    <w:p>
      <w:pPr>
        <w:pStyle w:val="BodyText"/>
        <w:spacing w:line="278" w:lineRule="auto" w:before="72"/>
        <w:ind w:left="349" w:right="1597"/>
        <w:jc w:val="both"/>
      </w:pPr>
      <w:r>
        <w:rPr/>
        <w:br w:type="column"/>
      </w:r>
      <w:r>
        <w:rPr>
          <w:spacing w:val="-2"/>
        </w:rPr>
        <w:t>因心脏病导致的严重肺动脉高压及右向左分流。诊断必须由</w:t>
      </w:r>
      <w:r>
        <w:rPr>
          <w:spacing w:val="-2"/>
        </w:rPr>
        <w:t>心脏专科医生经超声心动图和心导管检查证实及需符合以下</w:t>
      </w:r>
      <w:r>
        <w:rPr>
          <w:spacing w:val="-2"/>
        </w:rPr>
        <w:t>所有标准：</w:t>
      </w:r>
    </w:p>
    <w:p>
      <w:pPr>
        <w:pStyle w:val="ListParagraph"/>
        <w:numPr>
          <w:ilvl w:val="0"/>
          <w:numId w:val="51"/>
        </w:numPr>
        <w:tabs>
          <w:tab w:pos="879" w:val="left" w:leader="none"/>
        </w:tabs>
        <w:spacing w:line="240" w:lineRule="auto" w:before="153" w:after="0"/>
        <w:ind w:left="878" w:right="0" w:hanging="530"/>
        <w:jc w:val="left"/>
        <w:rPr>
          <w:sz w:val="21"/>
        </w:rPr>
      </w:pPr>
      <w:r>
        <w:rPr>
          <w:spacing w:val="-7"/>
          <w:sz w:val="21"/>
        </w:rPr>
        <w:t>平均肺动脉压高于 </w:t>
      </w:r>
      <w:r>
        <w:rPr>
          <w:spacing w:val="-2"/>
          <w:sz w:val="21"/>
        </w:rPr>
        <w:t>40mmHg；</w:t>
      </w:r>
    </w:p>
    <w:p>
      <w:pPr>
        <w:pStyle w:val="ListParagraph"/>
        <w:numPr>
          <w:ilvl w:val="0"/>
          <w:numId w:val="51"/>
        </w:numPr>
        <w:tabs>
          <w:tab w:pos="879" w:val="left" w:leader="none"/>
        </w:tabs>
        <w:spacing w:line="240" w:lineRule="auto" w:before="48" w:after="0"/>
        <w:ind w:left="878" w:right="0" w:hanging="530"/>
        <w:jc w:val="left"/>
        <w:rPr>
          <w:sz w:val="21"/>
        </w:rPr>
      </w:pPr>
      <w:r>
        <w:rPr>
          <w:spacing w:val="-7"/>
          <w:sz w:val="21"/>
        </w:rPr>
        <w:t>肺血管阻力高于 </w:t>
      </w:r>
      <w:r>
        <w:rPr>
          <w:spacing w:val="-2"/>
          <w:sz w:val="21"/>
        </w:rPr>
        <w:t>3mm/L/min（Wood</w:t>
      </w:r>
      <w:r>
        <w:rPr>
          <w:spacing w:val="-16"/>
          <w:sz w:val="21"/>
        </w:rPr>
        <w:t> 单位</w:t>
      </w:r>
      <w:r>
        <w:rPr>
          <w:spacing w:val="-111"/>
          <w:sz w:val="21"/>
        </w:rPr>
        <w:t>）</w:t>
      </w:r>
      <w:r>
        <w:rPr>
          <w:spacing w:val="-5"/>
          <w:sz w:val="21"/>
        </w:rPr>
        <w:t>；</w:t>
      </w:r>
    </w:p>
    <w:p>
      <w:pPr>
        <w:pStyle w:val="ListParagraph"/>
        <w:numPr>
          <w:ilvl w:val="0"/>
          <w:numId w:val="51"/>
        </w:numPr>
        <w:tabs>
          <w:tab w:pos="879" w:val="left" w:leader="none"/>
        </w:tabs>
        <w:spacing w:line="240" w:lineRule="auto" w:before="43" w:after="0"/>
        <w:ind w:left="878" w:right="0" w:hanging="530"/>
        <w:jc w:val="left"/>
        <w:rPr>
          <w:sz w:val="21"/>
        </w:rPr>
      </w:pPr>
      <w:r>
        <w:rPr>
          <w:spacing w:val="-6"/>
          <w:sz w:val="21"/>
        </w:rPr>
        <w:t>正常肺微血管楔压低于 </w:t>
      </w:r>
      <w:r>
        <w:rPr>
          <w:spacing w:val="-2"/>
          <w:sz w:val="21"/>
        </w:rPr>
        <w:t>15mmHg；</w:t>
      </w:r>
    </w:p>
    <w:p>
      <w:pPr>
        <w:pStyle w:val="BodyText"/>
        <w:spacing w:before="5"/>
        <w:rPr>
          <w:sz w:val="15"/>
        </w:rPr>
      </w:pPr>
    </w:p>
    <w:p>
      <w:pPr>
        <w:pStyle w:val="BodyText"/>
        <w:spacing w:line="278" w:lineRule="auto"/>
        <w:ind w:left="349" w:right="1597"/>
      </w:pPr>
      <w:r>
        <w:rPr>
          <w:spacing w:val="-2"/>
        </w:rPr>
        <w:t>本公司承担本项疾病责任不受本合同责任免除中“遗传性疾</w:t>
      </w:r>
      <w:r>
        <w:rPr>
          <w:spacing w:val="-2"/>
        </w:rPr>
        <w:t>病，先天性畸形、变形或染色体异常”的限制。</w:t>
      </w:r>
    </w:p>
    <w:p>
      <w:pPr>
        <w:spacing w:after="0" w:line="278" w:lineRule="auto"/>
        <w:sectPr>
          <w:type w:val="continuous"/>
          <w:pgSz w:w="11910" w:h="16840"/>
          <w:pgMar w:header="0" w:footer="226" w:top="240" w:bottom="420" w:left="980" w:right="400"/>
          <w:cols w:num="2" w:equalWidth="0">
            <w:col w:w="3073" w:space="40"/>
            <w:col w:w="7417"/>
          </w:cols>
        </w:sectPr>
      </w:pPr>
    </w:p>
    <w:p>
      <w:pPr>
        <w:pStyle w:val="BodyText"/>
        <w:spacing w:before="11"/>
        <w:rPr>
          <w:sz w:val="19"/>
        </w:rPr>
      </w:pPr>
    </w:p>
    <w:p>
      <w:pPr>
        <w:spacing w:after="0"/>
        <w:rPr>
          <w:sz w:val="19"/>
        </w:rPr>
        <w:sectPr>
          <w:type w:val="continuous"/>
          <w:pgSz w:w="11910" w:h="16840"/>
          <w:pgMar w:header="0" w:footer="226" w:top="240" w:bottom="420" w:left="980" w:right="400"/>
        </w:sectPr>
      </w:pPr>
    </w:p>
    <w:p>
      <w:pPr>
        <w:pStyle w:val="Heading2"/>
        <w:numPr>
          <w:ilvl w:val="0"/>
          <w:numId w:val="15"/>
        </w:numPr>
        <w:tabs>
          <w:tab w:pos="2229" w:val="left" w:leader="none"/>
        </w:tabs>
        <w:spacing w:line="194" w:lineRule="auto" w:before="55" w:after="0"/>
        <w:ind w:left="1910" w:right="0" w:firstLine="0"/>
        <w:jc w:val="left"/>
      </w:pPr>
      <w:r>
        <w:rPr>
          <w:spacing w:val="-4"/>
        </w:rPr>
        <w:t>细菌性脑</w:t>
      </w:r>
      <w:r>
        <w:rPr>
          <w:spacing w:val="-4"/>
        </w:rPr>
        <w:t>脊髓膜炎</w:t>
      </w:r>
    </w:p>
    <w:p>
      <w:pPr>
        <w:pStyle w:val="BodyText"/>
        <w:spacing w:line="278" w:lineRule="auto" w:before="72"/>
        <w:ind w:left="349" w:right="1597"/>
        <w:jc w:val="both"/>
      </w:pPr>
      <w:r>
        <w:rPr/>
        <w:br w:type="column"/>
      </w:r>
      <w:r>
        <w:rPr>
          <w:spacing w:val="-2"/>
        </w:rPr>
        <w:t>指因脑膜炎双球菌感染引起脑脊髓膜化脓性病变，且导致永</w:t>
      </w:r>
      <w:r>
        <w:rPr>
          <w:spacing w:val="-6"/>
        </w:rPr>
        <w:t>久性神经损害，持续 </w:t>
      </w:r>
      <w:r>
        <w:rPr>
          <w:spacing w:val="-4"/>
        </w:rPr>
        <w:t>180</w:t>
      </w:r>
      <w:r>
        <w:rPr>
          <w:spacing w:val="-6"/>
        </w:rPr>
        <w:t> 天以上，并且脑脊液检查显示脑膜</w:t>
      </w:r>
      <w:r>
        <w:rPr>
          <w:spacing w:val="-2"/>
        </w:rPr>
        <w:t>炎双球菌阳性。</w:t>
      </w:r>
    </w:p>
    <w:p>
      <w:pPr>
        <w:pStyle w:val="BodyText"/>
        <w:spacing w:line="280" w:lineRule="auto" w:before="153"/>
        <w:ind w:left="349" w:right="1597"/>
      </w:pPr>
      <w:r>
        <w:rPr>
          <w:spacing w:val="-2"/>
        </w:rPr>
        <w:t>永久性神经损害是指由细菌性脑脊髓膜炎引起的耳聋、失</w:t>
      </w:r>
      <w:r>
        <w:rPr/>
        <w:t> </w:t>
      </w:r>
      <w:r>
        <w:rPr>
          <w:spacing w:val="-2"/>
        </w:rPr>
        <w:t>明、动眼神经麻痹、瘫痪、脑积水、智力或性情中度以上的</w:t>
      </w:r>
      <w:r>
        <w:rPr>
          <w:spacing w:val="-2"/>
        </w:rPr>
        <w:t>损害，且上述症状持续 </w:t>
      </w:r>
      <w:r>
        <w:rPr/>
        <w:t>180</w:t>
      </w:r>
      <w:r>
        <w:rPr>
          <w:spacing w:val="-5"/>
        </w:rPr>
        <w:t> 天以上仍无改善迹象。</w:t>
      </w:r>
    </w:p>
    <w:p>
      <w:pPr>
        <w:spacing w:after="0" w:line="280" w:lineRule="auto"/>
        <w:sectPr>
          <w:type w:val="continuous"/>
          <w:pgSz w:w="11910" w:h="16840"/>
          <w:pgMar w:header="0" w:footer="226" w:top="240" w:bottom="420" w:left="980" w:right="400"/>
          <w:cols w:num="2" w:equalWidth="0">
            <w:col w:w="3073" w:space="40"/>
            <w:col w:w="7417"/>
          </w:cols>
        </w:sectPr>
      </w:pPr>
    </w:p>
    <w:p>
      <w:pPr>
        <w:pStyle w:val="BodyText"/>
        <w:spacing w:before="4"/>
        <w:rPr>
          <w:sz w:val="19"/>
        </w:rPr>
      </w:pPr>
    </w:p>
    <w:p>
      <w:pPr>
        <w:pStyle w:val="ListParagraph"/>
        <w:numPr>
          <w:ilvl w:val="0"/>
          <w:numId w:val="15"/>
        </w:numPr>
        <w:tabs>
          <w:tab w:pos="2229" w:val="left" w:leader="none"/>
          <w:tab w:pos="3461" w:val="left" w:leader="none"/>
        </w:tabs>
        <w:spacing w:line="312" w:lineRule="exact" w:before="32" w:after="0"/>
        <w:ind w:left="3462" w:right="1597" w:hanging="1552"/>
        <w:jc w:val="left"/>
        <w:rPr>
          <w:sz w:val="21"/>
        </w:rPr>
      </w:pPr>
      <w:r>
        <w:rPr>
          <w:rFonts w:ascii="Microsoft JhengHei" w:eastAsia="Microsoft JhengHei"/>
          <w:b/>
          <w:spacing w:val="-4"/>
          <w:sz w:val="21"/>
        </w:rPr>
        <w:t>库</w:t>
      </w:r>
      <w:r>
        <w:rPr>
          <w:rFonts w:ascii="Microsoft JhengHei" w:eastAsia="Microsoft JhengHei"/>
          <w:b/>
          <w:spacing w:val="-4"/>
          <w:sz w:val="21"/>
        </w:rPr>
        <w:t>鲁</w:t>
      </w:r>
      <w:r>
        <w:rPr>
          <w:rFonts w:ascii="Microsoft JhengHei" w:eastAsia="Microsoft JhengHei"/>
          <w:b/>
          <w:spacing w:val="-4"/>
          <w:sz w:val="21"/>
        </w:rPr>
        <w:t>病</w:t>
      </w:r>
      <w:r>
        <w:rPr>
          <w:rFonts w:ascii="Microsoft JhengHei" w:eastAsia="Microsoft JhengHei"/>
          <w:b/>
          <w:sz w:val="21"/>
        </w:rPr>
        <w:tab/>
      </w:r>
      <w:r>
        <w:rPr>
          <w:spacing w:val="-2"/>
          <w:sz w:val="21"/>
        </w:rPr>
        <w:t>指</w:t>
      </w:r>
      <w:r>
        <w:rPr>
          <w:spacing w:val="-2"/>
          <w:sz w:val="21"/>
        </w:rPr>
        <w:t>一</w:t>
      </w:r>
      <w:r>
        <w:rPr>
          <w:spacing w:val="-2"/>
          <w:sz w:val="21"/>
        </w:rPr>
        <w:t>种</w:t>
      </w:r>
      <w:r>
        <w:rPr>
          <w:spacing w:val="-2"/>
          <w:sz w:val="21"/>
        </w:rPr>
        <w:t>亚</w:t>
      </w:r>
      <w:r>
        <w:rPr>
          <w:spacing w:val="-2"/>
          <w:sz w:val="21"/>
        </w:rPr>
        <w:t>急</w:t>
      </w:r>
      <w:r>
        <w:rPr>
          <w:spacing w:val="-2"/>
          <w:sz w:val="21"/>
        </w:rPr>
        <w:t>性</w:t>
      </w:r>
      <w:r>
        <w:rPr>
          <w:spacing w:val="-2"/>
          <w:sz w:val="21"/>
        </w:rPr>
        <w:t>传</w:t>
      </w:r>
      <w:r>
        <w:rPr>
          <w:spacing w:val="-2"/>
          <w:sz w:val="21"/>
        </w:rPr>
        <w:t>染</w:t>
      </w:r>
      <w:r>
        <w:rPr>
          <w:spacing w:val="-2"/>
          <w:sz w:val="21"/>
        </w:rPr>
        <w:t>性</w:t>
      </w:r>
      <w:r>
        <w:rPr>
          <w:spacing w:val="-2"/>
          <w:sz w:val="21"/>
        </w:rPr>
        <w:t>朊</w:t>
      </w:r>
      <w:r>
        <w:rPr>
          <w:spacing w:val="-2"/>
          <w:sz w:val="21"/>
        </w:rPr>
        <w:t>蛋</w:t>
      </w:r>
      <w:r>
        <w:rPr>
          <w:spacing w:val="-2"/>
          <w:sz w:val="21"/>
        </w:rPr>
        <w:t>白</w:t>
      </w:r>
      <w:r>
        <w:rPr>
          <w:spacing w:val="-2"/>
          <w:sz w:val="21"/>
        </w:rPr>
        <w:t>病</w:t>
      </w:r>
      <w:r>
        <w:rPr>
          <w:spacing w:val="-2"/>
          <w:sz w:val="21"/>
        </w:rPr>
        <w:t>。</w:t>
      </w:r>
      <w:r>
        <w:rPr>
          <w:spacing w:val="-2"/>
          <w:sz w:val="21"/>
        </w:rPr>
        <w:t>临</w:t>
      </w:r>
      <w:r>
        <w:rPr>
          <w:spacing w:val="-2"/>
          <w:sz w:val="21"/>
        </w:rPr>
        <w:t>床</w:t>
      </w:r>
      <w:r>
        <w:rPr>
          <w:spacing w:val="-2"/>
          <w:sz w:val="21"/>
        </w:rPr>
        <w:t>表</w:t>
      </w:r>
      <w:r>
        <w:rPr>
          <w:spacing w:val="-2"/>
          <w:sz w:val="21"/>
        </w:rPr>
        <w:t>现</w:t>
      </w:r>
      <w:r>
        <w:rPr>
          <w:spacing w:val="-2"/>
          <w:sz w:val="21"/>
        </w:rPr>
        <w:t>为</w:t>
      </w:r>
      <w:r>
        <w:rPr>
          <w:spacing w:val="-2"/>
          <w:sz w:val="21"/>
        </w:rPr>
        <w:t>共</w:t>
      </w:r>
      <w:r>
        <w:rPr>
          <w:spacing w:val="-2"/>
          <w:sz w:val="21"/>
        </w:rPr>
        <w:t>济失调</w:t>
      </w:r>
      <w:r>
        <w:rPr>
          <w:spacing w:val="-2"/>
          <w:sz w:val="21"/>
        </w:rPr>
        <w:t>、</w:t>
      </w:r>
      <w:r>
        <w:rPr>
          <w:spacing w:val="-2"/>
          <w:sz w:val="21"/>
        </w:rPr>
        <w:t>震</w:t>
      </w:r>
      <w:r>
        <w:rPr>
          <w:sz w:val="21"/>
        </w:rPr>
        <w:t> </w:t>
      </w:r>
      <w:r>
        <w:rPr>
          <w:spacing w:val="-2"/>
          <w:sz w:val="21"/>
        </w:rPr>
        <w:t>颤</w:t>
      </w:r>
      <w:r>
        <w:rPr>
          <w:spacing w:val="-2"/>
          <w:sz w:val="21"/>
        </w:rPr>
        <w:t>、</w:t>
      </w:r>
      <w:r>
        <w:rPr>
          <w:spacing w:val="-2"/>
          <w:sz w:val="21"/>
        </w:rPr>
        <w:t>不</w:t>
      </w:r>
      <w:r>
        <w:rPr>
          <w:spacing w:val="-2"/>
          <w:sz w:val="21"/>
        </w:rPr>
        <w:t>自</w:t>
      </w:r>
      <w:r>
        <w:rPr>
          <w:spacing w:val="-2"/>
          <w:sz w:val="21"/>
        </w:rPr>
        <w:t>主</w:t>
      </w:r>
      <w:r>
        <w:rPr>
          <w:spacing w:val="-2"/>
          <w:sz w:val="21"/>
        </w:rPr>
        <w:t>运</w:t>
      </w:r>
      <w:r>
        <w:rPr>
          <w:spacing w:val="-2"/>
          <w:sz w:val="21"/>
        </w:rPr>
        <w:t>动</w:t>
      </w:r>
      <w:r>
        <w:rPr>
          <w:spacing w:val="-2"/>
          <w:sz w:val="21"/>
        </w:rPr>
        <w:t>，在</w:t>
      </w:r>
      <w:r>
        <w:rPr>
          <w:spacing w:val="-2"/>
          <w:sz w:val="21"/>
        </w:rPr>
        <w:t>病</w:t>
      </w:r>
      <w:r>
        <w:rPr>
          <w:spacing w:val="-2"/>
          <w:sz w:val="21"/>
        </w:rPr>
        <w:t>程</w:t>
      </w:r>
      <w:r>
        <w:rPr>
          <w:spacing w:val="-2"/>
          <w:sz w:val="21"/>
        </w:rPr>
        <w:t>晚</w:t>
      </w:r>
      <w:r>
        <w:rPr>
          <w:spacing w:val="-2"/>
          <w:sz w:val="21"/>
        </w:rPr>
        <w:t>期</w:t>
      </w:r>
      <w:r>
        <w:rPr>
          <w:spacing w:val="-2"/>
          <w:sz w:val="21"/>
        </w:rPr>
        <w:t>出</w:t>
      </w:r>
      <w:r>
        <w:rPr>
          <w:spacing w:val="-2"/>
          <w:sz w:val="21"/>
        </w:rPr>
        <w:t>现</w:t>
      </w:r>
      <w:r>
        <w:rPr>
          <w:spacing w:val="-2"/>
          <w:sz w:val="21"/>
        </w:rPr>
        <w:t>进</w:t>
      </w:r>
      <w:r>
        <w:rPr>
          <w:spacing w:val="-2"/>
          <w:sz w:val="21"/>
        </w:rPr>
        <w:t>行</w:t>
      </w:r>
      <w:r>
        <w:rPr>
          <w:spacing w:val="-2"/>
          <w:sz w:val="21"/>
        </w:rPr>
        <w:t>性</w:t>
      </w:r>
      <w:r>
        <w:rPr>
          <w:spacing w:val="-2"/>
          <w:sz w:val="21"/>
        </w:rPr>
        <w:t>加</w:t>
      </w:r>
      <w:r>
        <w:rPr>
          <w:spacing w:val="-2"/>
          <w:sz w:val="21"/>
        </w:rPr>
        <w:t>重</w:t>
      </w:r>
      <w:r>
        <w:rPr>
          <w:spacing w:val="-2"/>
          <w:sz w:val="21"/>
        </w:rPr>
        <w:t>的痴呆，</w:t>
      </w:r>
      <w:r>
        <w:rPr>
          <w:spacing w:val="-2"/>
          <w:sz w:val="21"/>
        </w:rPr>
        <w:t>神</w:t>
      </w:r>
      <w:r>
        <w:rPr>
          <w:spacing w:val="-2"/>
          <w:sz w:val="21"/>
        </w:rPr>
        <w:t>经</w:t>
      </w:r>
      <w:r>
        <w:rPr>
          <w:spacing w:val="-2"/>
          <w:sz w:val="21"/>
        </w:rPr>
        <w:t>异</w:t>
      </w:r>
      <w:r>
        <w:rPr>
          <w:spacing w:val="-2"/>
          <w:sz w:val="21"/>
        </w:rPr>
        <w:t>常</w:t>
      </w:r>
      <w:r>
        <w:rPr>
          <w:spacing w:val="-2"/>
          <w:sz w:val="21"/>
        </w:rPr>
        <w:t>。</w:t>
      </w:r>
      <w:r>
        <w:rPr>
          <w:spacing w:val="-2"/>
          <w:sz w:val="21"/>
        </w:rPr>
        <w:t>该</w:t>
      </w:r>
      <w:r>
        <w:rPr>
          <w:spacing w:val="-2"/>
          <w:sz w:val="21"/>
        </w:rPr>
        <w:t>病</w:t>
      </w:r>
      <w:r>
        <w:rPr>
          <w:spacing w:val="-2"/>
          <w:sz w:val="21"/>
        </w:rPr>
        <w:t>必</w:t>
      </w:r>
      <w:r>
        <w:rPr>
          <w:spacing w:val="-2"/>
          <w:sz w:val="21"/>
        </w:rPr>
        <w:t>须</w:t>
      </w:r>
      <w:r>
        <w:rPr>
          <w:spacing w:val="-2"/>
          <w:sz w:val="21"/>
        </w:rPr>
        <w:t>由</w:t>
      </w:r>
      <w:r>
        <w:rPr>
          <w:spacing w:val="-2"/>
          <w:sz w:val="21"/>
        </w:rPr>
        <w:t>权</w:t>
      </w:r>
      <w:r>
        <w:rPr>
          <w:spacing w:val="-2"/>
          <w:sz w:val="21"/>
        </w:rPr>
        <w:t>威</w:t>
      </w:r>
      <w:r>
        <w:rPr>
          <w:spacing w:val="-2"/>
          <w:sz w:val="21"/>
        </w:rPr>
        <w:t>医</w:t>
      </w:r>
      <w:r>
        <w:rPr>
          <w:spacing w:val="-2"/>
          <w:sz w:val="21"/>
        </w:rPr>
        <w:t>疗</w:t>
      </w:r>
      <w:r>
        <w:rPr>
          <w:spacing w:val="-2"/>
          <w:sz w:val="21"/>
        </w:rPr>
        <w:t>机</w:t>
      </w:r>
      <w:r>
        <w:rPr>
          <w:spacing w:val="-2"/>
          <w:sz w:val="21"/>
        </w:rPr>
        <w:t>构</w:t>
      </w:r>
      <w:r>
        <w:rPr>
          <w:spacing w:val="-2"/>
          <w:sz w:val="21"/>
        </w:rPr>
        <w:t>根</w:t>
      </w:r>
      <w:r>
        <w:rPr>
          <w:spacing w:val="-2"/>
          <w:sz w:val="21"/>
        </w:rPr>
        <w:t>据</w:t>
      </w:r>
      <w:r>
        <w:rPr>
          <w:spacing w:val="-2"/>
          <w:sz w:val="21"/>
        </w:rPr>
        <w:t>致</w:t>
      </w:r>
      <w:r>
        <w:rPr>
          <w:spacing w:val="-2"/>
          <w:sz w:val="21"/>
        </w:rPr>
        <w:t>病</w:t>
      </w:r>
      <w:r>
        <w:rPr>
          <w:spacing w:val="-2"/>
          <w:sz w:val="21"/>
        </w:rPr>
        <w:t>蛋</w:t>
      </w:r>
      <w:r>
        <w:rPr>
          <w:spacing w:val="-2"/>
          <w:sz w:val="21"/>
        </w:rPr>
        <w:t>白</w:t>
      </w:r>
      <w:r>
        <w:rPr>
          <w:spacing w:val="-2"/>
          <w:sz w:val="21"/>
        </w:rPr>
        <w:t>的发现</w:t>
      </w:r>
      <w:r>
        <w:rPr>
          <w:spacing w:val="-2"/>
          <w:sz w:val="21"/>
        </w:rPr>
        <w:t>而</w:t>
      </w:r>
      <w:r>
        <w:rPr>
          <w:spacing w:val="-2"/>
          <w:sz w:val="21"/>
        </w:rPr>
        <w:t>明</w:t>
      </w:r>
      <w:r>
        <w:rPr>
          <w:spacing w:val="-2"/>
          <w:sz w:val="21"/>
        </w:rPr>
        <w:t>确</w:t>
      </w:r>
      <w:r>
        <w:rPr>
          <w:spacing w:val="-4"/>
          <w:sz w:val="21"/>
        </w:rPr>
        <w:t>诊</w:t>
      </w:r>
      <w:r>
        <w:rPr>
          <w:spacing w:val="-4"/>
          <w:sz w:val="21"/>
        </w:rPr>
        <w:t>断</w:t>
      </w:r>
      <w:r>
        <w:rPr>
          <w:spacing w:val="-4"/>
          <w:sz w:val="21"/>
        </w:rPr>
        <w:t>。</w:t>
      </w:r>
    </w:p>
    <w:p>
      <w:pPr>
        <w:pStyle w:val="BodyText"/>
        <w:rPr>
          <w:sz w:val="23"/>
        </w:rPr>
      </w:pPr>
    </w:p>
    <w:p>
      <w:pPr>
        <w:spacing w:after="0"/>
        <w:rPr>
          <w:sz w:val="23"/>
        </w:rPr>
        <w:sectPr>
          <w:type w:val="continuous"/>
          <w:pgSz w:w="11910" w:h="16840"/>
          <w:pgMar w:header="0" w:footer="226" w:top="240" w:bottom="420" w:left="980" w:right="400"/>
        </w:sectPr>
      </w:pPr>
    </w:p>
    <w:p>
      <w:pPr>
        <w:pStyle w:val="Heading2"/>
        <w:numPr>
          <w:ilvl w:val="0"/>
          <w:numId w:val="15"/>
        </w:numPr>
        <w:tabs>
          <w:tab w:pos="2229" w:val="left" w:leader="none"/>
        </w:tabs>
        <w:spacing w:line="194" w:lineRule="auto" w:before="55" w:after="0"/>
        <w:ind w:left="1910" w:right="0" w:firstLine="0"/>
        <w:jc w:val="left"/>
      </w:pPr>
      <w:r>
        <w:rPr>
          <w:spacing w:val="-4"/>
        </w:rPr>
        <w:t>疾病或外</w:t>
      </w:r>
      <w:r>
        <w:rPr>
          <w:spacing w:val="-2"/>
        </w:rPr>
        <w:t>伤所致智力障</w:t>
      </w:r>
      <w:r>
        <w:rPr>
          <w:spacing w:val="-10"/>
        </w:rPr>
        <w:t>碍</w:t>
      </w:r>
    </w:p>
    <w:p>
      <w:pPr>
        <w:pStyle w:val="BodyText"/>
        <w:spacing w:line="278" w:lineRule="auto" w:before="71"/>
        <w:ind w:left="244" w:right="1595"/>
      </w:pPr>
      <w:r>
        <w:rPr/>
        <w:br w:type="column"/>
      </w:r>
      <w:r>
        <w:rPr>
          <w:spacing w:val="-2"/>
        </w:rPr>
        <w:t>因严重头部创伤或疾病造成被保险人智力低常（智力低于常</w:t>
      </w:r>
      <w:r>
        <w:rPr>
          <w:spacing w:val="-8"/>
        </w:rPr>
        <w:t>态</w:t>
      </w:r>
      <w:r>
        <w:rPr>
          <w:spacing w:val="-106"/>
        </w:rPr>
        <w:t>）</w:t>
      </w:r>
      <w:r>
        <w:rPr>
          <w:spacing w:val="-8"/>
        </w:rPr>
        <w:t>。根据智商</w:t>
      </w:r>
      <w:r>
        <w:rPr>
          <w:spacing w:val="14"/>
        </w:rPr>
        <w:t>（IQ</w:t>
      </w:r>
      <w:r>
        <w:rPr>
          <w:spacing w:val="-97"/>
        </w:rPr>
        <w:t>）</w:t>
      </w:r>
      <w:r>
        <w:rPr>
          <w:spacing w:val="-8"/>
        </w:rPr>
        <w:t>，智力低常分为中度（IQ35-</w:t>
      </w:r>
      <w:r>
        <w:rPr>
          <w:spacing w:val="29"/>
        </w:rPr>
        <w:t>50</w:t>
      </w:r>
      <w:r>
        <w:rPr>
          <w:spacing w:val="-82"/>
        </w:rPr>
        <w:t>）</w:t>
      </w:r>
      <w:r>
        <w:rPr>
          <w:spacing w:val="-9"/>
        </w:rPr>
        <w:t>、重度</w:t>
      </w:r>
    </w:p>
    <w:p>
      <w:pPr>
        <w:pStyle w:val="BodyText"/>
        <w:spacing w:line="278" w:lineRule="auto"/>
        <w:ind w:left="244" w:right="1597"/>
      </w:pPr>
      <w:r>
        <w:rPr>
          <w:spacing w:val="-2"/>
        </w:rPr>
        <w:t>（IQ20-35）和极重度</w:t>
      </w:r>
      <w:r>
        <w:rPr>
          <w:spacing w:val="13"/>
        </w:rPr>
        <w:t>（IQ&lt;20</w:t>
      </w:r>
      <w:r>
        <w:rPr>
          <w:spacing w:val="-98"/>
        </w:rPr>
        <w:t>）</w:t>
      </w:r>
      <w:r>
        <w:rPr>
          <w:spacing w:val="-2"/>
        </w:rPr>
        <w:t>。智商的检测必须由我们认</w:t>
      </w:r>
      <w:r>
        <w:rPr>
          <w:spacing w:val="-2"/>
        </w:rPr>
        <w:t>可的专职心理测验工作者进行，心理测验工作者必须持有由</w:t>
      </w:r>
      <w:r>
        <w:rPr>
          <w:spacing w:val="-2"/>
        </w:rPr>
        <w:t>心理测量专业委员会资格认定书。根据被保险人年龄采用对</w:t>
      </w:r>
      <w:r>
        <w:rPr>
          <w:spacing w:val="-2"/>
        </w:rPr>
        <w:t>应的智力量表如韦克斯勒智力量表（儿童智力量表或成人智</w:t>
      </w:r>
      <w:r>
        <w:rPr>
          <w:spacing w:val="-2"/>
        </w:rPr>
        <w:t>力量表</w:t>
      </w:r>
      <w:r>
        <w:rPr>
          <w:spacing w:val="-106"/>
        </w:rPr>
        <w:t>）</w:t>
      </w:r>
      <w:r>
        <w:rPr>
          <w:spacing w:val="-2"/>
        </w:rPr>
        <w:t>。必须满足下列全部条件：</w:t>
      </w:r>
    </w:p>
    <w:p>
      <w:pPr>
        <w:pStyle w:val="ListParagraph"/>
        <w:numPr>
          <w:ilvl w:val="0"/>
          <w:numId w:val="52"/>
        </w:numPr>
        <w:tabs>
          <w:tab w:pos="774" w:val="left" w:leader="none"/>
        </w:tabs>
        <w:spacing w:line="280" w:lineRule="auto" w:before="154" w:after="0"/>
        <w:ind w:left="244" w:right="1703" w:firstLine="0"/>
        <w:jc w:val="left"/>
        <w:rPr>
          <w:sz w:val="21"/>
        </w:rPr>
      </w:pPr>
      <w:r>
        <w:rPr>
          <w:spacing w:val="-2"/>
          <w:sz w:val="21"/>
        </w:rPr>
        <w:t>造成被保险人智力低常（智力低于常态）的严重头部</w:t>
      </w:r>
      <w:r>
        <w:rPr>
          <w:sz w:val="21"/>
        </w:rPr>
        <w:t>创伤或疾病（以入院日期为准）</w:t>
      </w:r>
      <w:r>
        <w:rPr>
          <w:spacing w:val="-4"/>
          <w:sz w:val="21"/>
        </w:rPr>
        <w:t>发生在被保险人 </w:t>
      </w:r>
      <w:r>
        <w:rPr>
          <w:sz w:val="21"/>
        </w:rPr>
        <w:t>6</w:t>
      </w:r>
      <w:r>
        <w:rPr>
          <w:spacing w:val="-6"/>
          <w:sz w:val="21"/>
        </w:rPr>
        <w:t> 周岁以</w:t>
      </w:r>
      <w:r>
        <w:rPr>
          <w:spacing w:val="-6"/>
          <w:sz w:val="21"/>
        </w:rPr>
        <w:t>后；</w:t>
      </w:r>
    </w:p>
    <w:p>
      <w:pPr>
        <w:pStyle w:val="ListParagraph"/>
        <w:numPr>
          <w:ilvl w:val="0"/>
          <w:numId w:val="52"/>
        </w:numPr>
        <w:tabs>
          <w:tab w:pos="774" w:val="left" w:leader="none"/>
        </w:tabs>
        <w:spacing w:line="278" w:lineRule="auto" w:before="0" w:after="0"/>
        <w:ind w:left="244" w:right="1703" w:firstLine="0"/>
        <w:jc w:val="left"/>
        <w:rPr>
          <w:sz w:val="21"/>
        </w:rPr>
      </w:pPr>
      <w:r>
        <w:rPr>
          <w:spacing w:val="-2"/>
          <w:sz w:val="21"/>
        </w:rPr>
        <w:t>专科医师确诊被保险人由于严重头部创伤或疾病造成</w:t>
      </w:r>
      <w:r>
        <w:rPr>
          <w:spacing w:val="-2"/>
          <w:sz w:val="21"/>
        </w:rPr>
        <w:t>智力低常；</w:t>
      </w:r>
    </w:p>
    <w:p>
      <w:pPr>
        <w:pStyle w:val="ListParagraph"/>
        <w:numPr>
          <w:ilvl w:val="0"/>
          <w:numId w:val="52"/>
        </w:numPr>
        <w:tabs>
          <w:tab w:pos="774" w:val="left" w:leader="none"/>
        </w:tabs>
        <w:spacing w:line="278" w:lineRule="auto" w:before="0" w:after="0"/>
        <w:ind w:left="244" w:right="1703" w:firstLine="0"/>
        <w:jc w:val="left"/>
        <w:rPr>
          <w:sz w:val="21"/>
        </w:rPr>
      </w:pPr>
      <w:r>
        <w:rPr>
          <w:spacing w:val="-2"/>
          <w:sz w:val="21"/>
        </w:rPr>
        <w:t>专职合格心理检测工作者适时做的心理检测证实被保</w:t>
      </w:r>
      <w:r>
        <w:rPr>
          <w:spacing w:val="-2"/>
          <w:sz w:val="21"/>
        </w:rPr>
        <w:t>险人智力低常（中度、重度或极重度</w:t>
      </w:r>
      <w:r>
        <w:rPr>
          <w:spacing w:val="-106"/>
          <w:sz w:val="21"/>
        </w:rPr>
        <w:t>）</w:t>
      </w:r>
      <w:r>
        <w:rPr>
          <w:sz w:val="21"/>
        </w:rPr>
        <w:t>；</w:t>
      </w:r>
    </w:p>
    <w:p>
      <w:pPr>
        <w:pStyle w:val="ListParagraph"/>
        <w:numPr>
          <w:ilvl w:val="0"/>
          <w:numId w:val="52"/>
        </w:numPr>
        <w:tabs>
          <w:tab w:pos="774" w:val="left" w:leader="none"/>
        </w:tabs>
        <w:spacing w:line="240" w:lineRule="auto" w:before="0" w:after="0"/>
        <w:ind w:left="773" w:right="0" w:hanging="530"/>
        <w:jc w:val="left"/>
        <w:rPr>
          <w:sz w:val="21"/>
        </w:rPr>
      </w:pPr>
      <w:r>
        <w:rPr>
          <w:spacing w:val="-5"/>
          <w:sz w:val="21"/>
        </w:rPr>
        <w:t>被保险人的智力低常自确认日起持续 </w:t>
      </w:r>
      <w:r>
        <w:rPr>
          <w:spacing w:val="-2"/>
          <w:sz w:val="21"/>
        </w:rPr>
        <w:t>180</w:t>
      </w:r>
      <w:r>
        <w:rPr>
          <w:spacing w:val="-14"/>
          <w:sz w:val="21"/>
        </w:rPr>
        <w:t> 天以上。</w:t>
      </w:r>
    </w:p>
    <w:p>
      <w:pPr>
        <w:spacing w:after="0" w:line="240" w:lineRule="auto"/>
        <w:jc w:val="left"/>
        <w:rPr>
          <w:sz w:val="21"/>
        </w:rPr>
        <w:sectPr>
          <w:type w:val="continuous"/>
          <w:pgSz w:w="11910" w:h="16840"/>
          <w:pgMar w:header="0" w:footer="226" w:top="240" w:bottom="420" w:left="980" w:right="400"/>
          <w:cols w:num="2" w:equalWidth="0">
            <w:col w:w="3178" w:space="40"/>
            <w:col w:w="7312"/>
          </w:cols>
        </w:sectPr>
      </w:pPr>
    </w:p>
    <w:p>
      <w:pPr>
        <w:pStyle w:val="BodyText"/>
        <w:spacing w:before="8"/>
        <w:rPr>
          <w:sz w:val="22"/>
        </w:rPr>
      </w:pPr>
    </w:p>
    <w:p>
      <w:pPr>
        <w:spacing w:after="0"/>
        <w:rPr>
          <w:sz w:val="22"/>
        </w:rPr>
        <w:sectPr>
          <w:type w:val="continuous"/>
          <w:pgSz w:w="11910" w:h="16840"/>
          <w:pgMar w:header="0" w:footer="226" w:top="240" w:bottom="420" w:left="980" w:right="400"/>
        </w:sectPr>
      </w:pPr>
    </w:p>
    <w:p>
      <w:pPr>
        <w:pStyle w:val="Heading2"/>
        <w:numPr>
          <w:ilvl w:val="0"/>
          <w:numId w:val="15"/>
        </w:numPr>
        <w:tabs>
          <w:tab w:pos="2229" w:val="left" w:leader="none"/>
        </w:tabs>
        <w:spacing w:line="194" w:lineRule="auto" w:before="55" w:after="0"/>
        <w:ind w:left="1910" w:right="0" w:firstLine="0"/>
        <w:jc w:val="left"/>
      </w:pPr>
      <w:r>
        <w:rPr>
          <w:spacing w:val="-4"/>
        </w:rPr>
        <w:t>重幼年型</w:t>
      </w:r>
      <w:r>
        <w:rPr>
          <w:spacing w:val="-2"/>
        </w:rPr>
        <w:t>类风湿性关节</w:t>
      </w:r>
      <w:r>
        <w:rPr>
          <w:spacing w:val="-2"/>
          <w:w w:val="95"/>
        </w:rPr>
        <w:t>炎——</w:t>
      </w:r>
      <w:r>
        <w:rPr>
          <w:spacing w:val="-2"/>
          <w:w w:val="95"/>
        </w:rPr>
        <w:t>十</w:t>
      </w:r>
      <w:r>
        <w:rPr>
          <w:spacing w:val="-2"/>
          <w:w w:val="95"/>
        </w:rPr>
        <w:t>八</w:t>
      </w:r>
      <w:r>
        <w:rPr>
          <w:spacing w:val="-2"/>
          <w:w w:val="95"/>
        </w:rPr>
        <w:t>周</w:t>
      </w:r>
      <w:r>
        <w:rPr>
          <w:spacing w:val="-4"/>
        </w:rPr>
        <w:t>岁前理赔</w:t>
      </w:r>
    </w:p>
    <w:p>
      <w:pPr>
        <w:pStyle w:val="BodyText"/>
        <w:spacing w:line="283" w:lineRule="auto" w:before="71"/>
        <w:ind w:left="243" w:right="1597"/>
      </w:pPr>
      <w:r>
        <w:rPr/>
        <w:br w:type="column"/>
      </w:r>
      <w:r>
        <w:rPr>
          <w:spacing w:val="-2"/>
        </w:rPr>
        <w:t>指为了治疗幼年型类风湿关节炎，实际实施了膝关节或髋关</w:t>
      </w:r>
      <w:r>
        <w:rPr>
          <w:spacing w:val="-2"/>
        </w:rPr>
        <w:t>节置换手术。</w:t>
      </w:r>
    </w:p>
    <w:p>
      <w:pPr>
        <w:pStyle w:val="BodyText"/>
        <w:spacing w:line="278" w:lineRule="auto" w:before="148"/>
        <w:ind w:left="243" w:right="1597"/>
      </w:pPr>
      <w:r>
        <w:rPr>
          <w:spacing w:val="-2"/>
        </w:rPr>
        <w:t>幼年型类风湿关节炎是一种儿童期发病的慢性关节炎，其特</w:t>
      </w:r>
      <w:r>
        <w:rPr>
          <w:spacing w:val="-2"/>
        </w:rPr>
        <w:t>点为在高热和系统性病征出现数月后发生关节炎。</w:t>
      </w:r>
    </w:p>
    <w:p>
      <w:pPr>
        <w:spacing w:after="0" w:line="278" w:lineRule="auto"/>
        <w:sectPr>
          <w:type w:val="continuous"/>
          <w:pgSz w:w="11910" w:h="16840"/>
          <w:pgMar w:header="0" w:footer="226" w:top="240" w:bottom="420" w:left="980" w:right="400"/>
          <w:cols w:num="2" w:equalWidth="0">
            <w:col w:w="3179" w:space="40"/>
            <w:col w:w="7311"/>
          </w:cols>
        </w:sectPr>
      </w:pPr>
    </w:p>
    <w:p>
      <w:pPr>
        <w:pStyle w:val="BodyText"/>
        <w:spacing w:before="51"/>
        <w:ind w:left="3462"/>
      </w:pPr>
      <w:r>
        <w:rPr>
          <w:spacing w:val="-3"/>
        </w:rPr>
        <w:t>被保险人疾病诊断时年龄必须在年满十八周岁之前。</w:t>
      </w:r>
    </w:p>
    <w:p>
      <w:pPr>
        <w:pStyle w:val="BodyText"/>
        <w:spacing w:before="3"/>
        <w:rPr>
          <w:sz w:val="23"/>
        </w:rPr>
      </w:pPr>
    </w:p>
    <w:p>
      <w:pPr>
        <w:spacing w:after="0"/>
        <w:rPr>
          <w:sz w:val="23"/>
        </w:rPr>
        <w:sectPr>
          <w:pgSz w:w="11910" w:h="16840"/>
          <w:pgMar w:header="0" w:footer="226" w:top="820" w:bottom="420" w:left="980" w:right="400"/>
        </w:sectPr>
      </w:pPr>
    </w:p>
    <w:p>
      <w:pPr>
        <w:pStyle w:val="Heading2"/>
        <w:numPr>
          <w:ilvl w:val="0"/>
          <w:numId w:val="15"/>
        </w:numPr>
        <w:tabs>
          <w:tab w:pos="2229" w:val="left" w:leader="none"/>
        </w:tabs>
        <w:spacing w:line="194" w:lineRule="auto" w:before="55" w:after="0"/>
        <w:ind w:left="1910" w:right="0" w:firstLine="0"/>
        <w:jc w:val="left"/>
      </w:pPr>
      <w:r>
        <w:rPr>
          <w:spacing w:val="-4"/>
        </w:rPr>
        <w:t>席汉氏综</w:t>
      </w:r>
      <w:r>
        <w:rPr>
          <w:spacing w:val="-6"/>
        </w:rPr>
        <w:t>合征</w:t>
      </w:r>
    </w:p>
    <w:p>
      <w:pPr>
        <w:pStyle w:val="BodyText"/>
        <w:spacing w:line="278" w:lineRule="auto" w:before="72"/>
        <w:ind w:left="349" w:right="1597"/>
        <w:jc w:val="both"/>
      </w:pPr>
      <w:r>
        <w:rPr/>
        <w:br w:type="column"/>
      </w:r>
      <w:r>
        <w:rPr>
          <w:spacing w:val="-2"/>
        </w:rPr>
        <w:t>指因产后大出血并发休克、全身循环衰竭、弥漫性血管内凝</w:t>
      </w:r>
      <w:r>
        <w:rPr>
          <w:spacing w:val="-2"/>
        </w:rPr>
        <w:t>血导致脑垂体缺血坏死和垂体分泌激素不足，造成性腺、甲</w:t>
      </w:r>
      <w:r>
        <w:rPr>
          <w:spacing w:val="-2"/>
        </w:rPr>
        <w:t>状腺、肾上腺皮质功能减退。必须满足下列所有条件：</w:t>
      </w:r>
    </w:p>
    <w:p>
      <w:pPr>
        <w:pStyle w:val="ListParagraph"/>
        <w:numPr>
          <w:ilvl w:val="1"/>
          <w:numId w:val="52"/>
        </w:numPr>
        <w:tabs>
          <w:tab w:pos="879" w:val="left" w:leader="none"/>
        </w:tabs>
        <w:spacing w:line="240" w:lineRule="auto" w:before="153" w:after="0"/>
        <w:ind w:left="878" w:right="0" w:hanging="530"/>
        <w:jc w:val="left"/>
        <w:rPr>
          <w:sz w:val="21"/>
        </w:rPr>
      </w:pPr>
      <w:r>
        <w:rPr>
          <w:spacing w:val="-3"/>
          <w:sz w:val="21"/>
        </w:rPr>
        <w:t>产后大出血休克病史；</w:t>
      </w:r>
    </w:p>
    <w:p>
      <w:pPr>
        <w:pStyle w:val="ListParagraph"/>
        <w:numPr>
          <w:ilvl w:val="1"/>
          <w:numId w:val="52"/>
        </w:numPr>
        <w:tabs>
          <w:tab w:pos="879" w:val="left" w:leader="none"/>
        </w:tabs>
        <w:spacing w:line="240" w:lineRule="auto" w:before="48" w:after="0"/>
        <w:ind w:left="878" w:right="0" w:hanging="530"/>
        <w:jc w:val="left"/>
        <w:rPr>
          <w:sz w:val="21"/>
        </w:rPr>
      </w:pPr>
      <w:r>
        <w:rPr>
          <w:spacing w:val="-2"/>
          <w:sz w:val="21"/>
        </w:rPr>
        <w:t>严重腺垂体功能破坏，破坏程度</w:t>
      </w:r>
      <w:r>
        <w:rPr>
          <w:rFonts w:ascii="Calibri" w:eastAsia="Calibri"/>
          <w:spacing w:val="-4"/>
          <w:sz w:val="21"/>
        </w:rPr>
        <w:t>&gt;95%</w:t>
      </w:r>
      <w:r>
        <w:rPr>
          <w:spacing w:val="-4"/>
          <w:sz w:val="21"/>
        </w:rPr>
        <w:t>；</w:t>
      </w:r>
    </w:p>
    <w:p>
      <w:pPr>
        <w:pStyle w:val="ListParagraph"/>
        <w:numPr>
          <w:ilvl w:val="1"/>
          <w:numId w:val="52"/>
        </w:numPr>
        <w:tabs>
          <w:tab w:pos="879" w:val="left" w:leader="none"/>
        </w:tabs>
        <w:spacing w:line="240" w:lineRule="auto" w:before="43" w:after="0"/>
        <w:ind w:left="878" w:right="0" w:hanging="530"/>
        <w:jc w:val="left"/>
        <w:rPr>
          <w:sz w:val="21"/>
        </w:rPr>
      </w:pPr>
      <w:r>
        <w:rPr>
          <w:spacing w:val="-3"/>
          <w:sz w:val="21"/>
        </w:rPr>
        <w:t>影像学检查显示脑垂体严重萎缩或消失；</w:t>
      </w:r>
    </w:p>
    <w:p>
      <w:pPr>
        <w:pStyle w:val="ListParagraph"/>
        <w:numPr>
          <w:ilvl w:val="1"/>
          <w:numId w:val="52"/>
        </w:numPr>
        <w:tabs>
          <w:tab w:pos="879" w:val="left" w:leader="none"/>
        </w:tabs>
        <w:spacing w:line="240" w:lineRule="auto" w:before="43" w:after="0"/>
        <w:ind w:left="878" w:right="0" w:hanging="530"/>
        <w:jc w:val="left"/>
        <w:rPr>
          <w:sz w:val="21"/>
        </w:rPr>
      </w:pPr>
      <w:r>
        <w:rPr>
          <w:spacing w:val="-4"/>
          <w:sz w:val="21"/>
        </w:rPr>
        <w:t>实验室检查显示：</w:t>
      </w:r>
    </w:p>
    <w:p>
      <w:pPr>
        <w:pStyle w:val="ListParagraph"/>
        <w:numPr>
          <w:ilvl w:val="2"/>
          <w:numId w:val="52"/>
        </w:numPr>
        <w:tabs>
          <w:tab w:pos="984" w:val="left" w:leader="none"/>
        </w:tabs>
        <w:spacing w:line="278" w:lineRule="auto" w:before="43" w:after="0"/>
        <w:ind w:left="771" w:right="1597" w:firstLine="0"/>
        <w:jc w:val="left"/>
        <w:rPr>
          <w:sz w:val="21"/>
        </w:rPr>
      </w:pPr>
      <w:r>
        <w:rPr>
          <w:spacing w:val="-2"/>
          <w:sz w:val="21"/>
        </w:rPr>
        <w:t>垂体前叶激素全面低下（包括生长激素、促甲状腺</w:t>
      </w:r>
      <w:r>
        <w:rPr>
          <w:spacing w:val="-2"/>
          <w:sz w:val="21"/>
        </w:rPr>
        <w:t> </w:t>
      </w:r>
      <w:r>
        <w:rPr>
          <w:spacing w:val="-2"/>
          <w:sz w:val="21"/>
        </w:rPr>
        <w:t>素、促肾上腺皮质激素、卵泡刺激素和黄体生成素）；</w:t>
      </w:r>
      <w:r>
        <w:rPr>
          <w:spacing w:val="-10"/>
          <w:sz w:val="21"/>
        </w:rPr>
        <w:t>和</w:t>
      </w:r>
    </w:p>
    <w:p>
      <w:pPr>
        <w:pStyle w:val="ListParagraph"/>
        <w:numPr>
          <w:ilvl w:val="2"/>
          <w:numId w:val="52"/>
        </w:numPr>
        <w:tabs>
          <w:tab w:pos="984" w:val="left" w:leader="none"/>
        </w:tabs>
        <w:spacing w:line="269" w:lineRule="exact" w:before="0" w:after="0"/>
        <w:ind w:left="984" w:right="0" w:hanging="213"/>
        <w:jc w:val="left"/>
        <w:rPr>
          <w:sz w:val="21"/>
        </w:rPr>
      </w:pPr>
      <w:r>
        <w:rPr>
          <w:spacing w:val="-3"/>
          <w:sz w:val="21"/>
        </w:rPr>
        <w:t>性激素、甲状腺素、肾上腺皮质激素全面低下；</w:t>
      </w:r>
    </w:p>
    <w:p>
      <w:pPr>
        <w:pStyle w:val="ListParagraph"/>
        <w:numPr>
          <w:ilvl w:val="1"/>
          <w:numId w:val="52"/>
        </w:numPr>
        <w:tabs>
          <w:tab w:pos="879" w:val="left" w:leader="none"/>
        </w:tabs>
        <w:spacing w:line="278" w:lineRule="auto" w:before="43" w:after="0"/>
        <w:ind w:left="349" w:right="1698" w:firstLine="0"/>
        <w:jc w:val="left"/>
        <w:rPr>
          <w:sz w:val="21"/>
        </w:rPr>
      </w:pPr>
      <w:r>
        <w:rPr>
          <w:spacing w:val="-2"/>
          <w:sz w:val="21"/>
        </w:rPr>
        <w:t>需要终身激素替代治疗以维持身体功能，持续服用各</w:t>
      </w:r>
      <w:r>
        <w:rPr>
          <w:spacing w:val="-2"/>
          <w:sz w:val="21"/>
        </w:rPr>
        <w:t>种替代激素超过一年。</w:t>
      </w:r>
    </w:p>
    <w:p>
      <w:pPr>
        <w:spacing w:after="0" w:line="278" w:lineRule="auto"/>
        <w:jc w:val="left"/>
        <w:rPr>
          <w:sz w:val="21"/>
        </w:rPr>
        <w:sectPr>
          <w:type w:val="continuous"/>
          <w:pgSz w:w="11910" w:h="16840"/>
          <w:pgMar w:header="0" w:footer="226" w:top="240" w:bottom="420" w:left="980" w:right="400"/>
          <w:cols w:num="2" w:equalWidth="0">
            <w:col w:w="3073" w:space="40"/>
            <w:col w:w="7417"/>
          </w:cols>
        </w:sectPr>
      </w:pPr>
    </w:p>
    <w:p>
      <w:pPr>
        <w:pStyle w:val="BodyText"/>
        <w:spacing w:before="7"/>
        <w:rPr>
          <w:sz w:val="19"/>
        </w:rPr>
      </w:pPr>
    </w:p>
    <w:p>
      <w:pPr>
        <w:pStyle w:val="ListParagraph"/>
        <w:numPr>
          <w:ilvl w:val="0"/>
          <w:numId w:val="15"/>
        </w:numPr>
        <w:tabs>
          <w:tab w:pos="2229" w:val="left" w:leader="none"/>
          <w:tab w:pos="3461" w:val="left" w:leader="none"/>
        </w:tabs>
        <w:spacing w:line="240" w:lineRule="auto" w:before="3" w:after="0"/>
        <w:ind w:left="3462" w:right="1543" w:hanging="1552"/>
        <w:jc w:val="left"/>
        <w:rPr>
          <w:sz w:val="21"/>
        </w:rPr>
      </w:pPr>
      <w:r>
        <w:rPr>
          <w:rFonts w:ascii="Microsoft JhengHei" w:eastAsia="Microsoft JhengHei"/>
          <w:b/>
          <w:spacing w:val="-4"/>
          <w:sz w:val="21"/>
        </w:rPr>
        <w:t>脊</w:t>
      </w:r>
      <w:r>
        <w:rPr>
          <w:rFonts w:ascii="Microsoft JhengHei" w:eastAsia="Microsoft JhengHei"/>
          <w:b/>
          <w:spacing w:val="-4"/>
          <w:sz w:val="21"/>
        </w:rPr>
        <w:t>柱</w:t>
      </w:r>
      <w:r>
        <w:rPr>
          <w:rFonts w:ascii="Microsoft JhengHei" w:eastAsia="Microsoft JhengHei"/>
          <w:b/>
          <w:spacing w:val="-4"/>
          <w:sz w:val="21"/>
        </w:rPr>
        <w:t>裂</w:t>
      </w:r>
      <w:r>
        <w:rPr>
          <w:rFonts w:ascii="Microsoft JhengHei" w:eastAsia="Microsoft JhengHei"/>
          <w:b/>
          <w:sz w:val="21"/>
        </w:rPr>
        <w:tab/>
      </w:r>
      <w:r>
        <w:rPr>
          <w:spacing w:val="-2"/>
          <w:sz w:val="21"/>
        </w:rPr>
        <w:t>指</w:t>
      </w:r>
      <w:r>
        <w:rPr>
          <w:spacing w:val="-2"/>
          <w:sz w:val="21"/>
        </w:rPr>
        <w:t>脊</w:t>
      </w:r>
      <w:r>
        <w:rPr>
          <w:spacing w:val="-2"/>
          <w:sz w:val="21"/>
        </w:rPr>
        <w:t>椎</w:t>
      </w:r>
      <w:r>
        <w:rPr>
          <w:spacing w:val="-2"/>
          <w:sz w:val="21"/>
        </w:rPr>
        <w:t>或</w:t>
      </w:r>
      <w:r>
        <w:rPr>
          <w:spacing w:val="-2"/>
          <w:sz w:val="21"/>
        </w:rPr>
        <w:t>颅</w:t>
      </w:r>
      <w:r>
        <w:rPr>
          <w:spacing w:val="-2"/>
          <w:sz w:val="21"/>
        </w:rPr>
        <w:t>骨</w:t>
      </w:r>
      <w:r>
        <w:rPr>
          <w:spacing w:val="-2"/>
          <w:sz w:val="21"/>
        </w:rPr>
        <w:t>不</w:t>
      </w:r>
      <w:r>
        <w:rPr>
          <w:spacing w:val="-2"/>
          <w:sz w:val="21"/>
        </w:rPr>
        <w:t>完</w:t>
      </w:r>
      <w:r>
        <w:rPr>
          <w:spacing w:val="-2"/>
          <w:sz w:val="21"/>
        </w:rPr>
        <w:t>全</w:t>
      </w:r>
      <w:r>
        <w:rPr>
          <w:spacing w:val="-2"/>
          <w:sz w:val="21"/>
        </w:rPr>
        <w:t>闭</w:t>
      </w:r>
      <w:r>
        <w:rPr>
          <w:spacing w:val="-2"/>
          <w:sz w:val="21"/>
        </w:rPr>
        <w:t>合</w:t>
      </w:r>
      <w:r>
        <w:rPr>
          <w:spacing w:val="-2"/>
          <w:sz w:val="21"/>
        </w:rPr>
        <w:t>，导</w:t>
      </w:r>
      <w:r>
        <w:rPr>
          <w:spacing w:val="-2"/>
          <w:sz w:val="21"/>
        </w:rPr>
        <w:t>致</w:t>
      </w:r>
      <w:r>
        <w:rPr>
          <w:spacing w:val="-2"/>
          <w:sz w:val="21"/>
        </w:rPr>
        <w:t>脊</w:t>
      </w:r>
      <w:r>
        <w:rPr>
          <w:spacing w:val="-2"/>
          <w:sz w:val="21"/>
        </w:rPr>
        <w:t>髓</w:t>
      </w:r>
      <w:r>
        <w:rPr>
          <w:spacing w:val="-2"/>
          <w:sz w:val="21"/>
        </w:rPr>
        <w:t>脊</w:t>
      </w:r>
      <w:r>
        <w:rPr>
          <w:spacing w:val="-2"/>
          <w:sz w:val="21"/>
        </w:rPr>
        <w:t>膜</w:t>
      </w:r>
      <w:r>
        <w:rPr>
          <w:spacing w:val="-2"/>
          <w:sz w:val="21"/>
        </w:rPr>
        <w:t>突</w:t>
      </w:r>
      <w:r>
        <w:rPr>
          <w:spacing w:val="-2"/>
          <w:sz w:val="21"/>
        </w:rPr>
        <w:t>出</w:t>
      </w:r>
      <w:r>
        <w:rPr>
          <w:spacing w:val="-2"/>
          <w:sz w:val="21"/>
        </w:rPr>
        <w:t>，脑（</w:t>
      </w:r>
      <w:r>
        <w:rPr>
          <w:spacing w:val="-2"/>
          <w:sz w:val="21"/>
        </w:rPr>
        <w:t>脊</w:t>
      </w:r>
      <w:r>
        <w:rPr>
          <w:spacing w:val="-2"/>
          <w:sz w:val="21"/>
        </w:rPr>
        <w:t>）</w:t>
      </w:r>
      <w:r>
        <w:rPr>
          <w:spacing w:val="-2"/>
          <w:sz w:val="21"/>
        </w:rPr>
        <w:t>膜</w:t>
      </w:r>
      <w:r>
        <w:rPr>
          <w:spacing w:val="-2"/>
          <w:sz w:val="21"/>
        </w:rPr>
        <w:t>突</w:t>
      </w:r>
      <w:r>
        <w:rPr>
          <w:spacing w:val="-2"/>
          <w:sz w:val="21"/>
        </w:rPr>
        <w:t>出</w:t>
      </w:r>
      <w:r>
        <w:rPr>
          <w:spacing w:val="-2"/>
          <w:sz w:val="21"/>
        </w:rPr>
        <w:t>或</w:t>
      </w:r>
      <w:r>
        <w:rPr>
          <w:spacing w:val="-2"/>
          <w:sz w:val="21"/>
        </w:rPr>
        <w:t>脑</w:t>
      </w:r>
      <w:r>
        <w:rPr>
          <w:spacing w:val="-2"/>
          <w:sz w:val="21"/>
        </w:rPr>
        <w:t>膨</w:t>
      </w:r>
      <w:r>
        <w:rPr>
          <w:spacing w:val="-2"/>
          <w:sz w:val="21"/>
        </w:rPr>
        <w:t>出</w:t>
      </w:r>
      <w:r>
        <w:rPr>
          <w:spacing w:val="-2"/>
          <w:sz w:val="21"/>
        </w:rPr>
        <w:t>，</w:t>
      </w:r>
      <w:r>
        <w:rPr>
          <w:spacing w:val="-2"/>
          <w:sz w:val="21"/>
        </w:rPr>
        <w:t>合</w:t>
      </w:r>
      <w:r>
        <w:rPr>
          <w:spacing w:val="-2"/>
          <w:sz w:val="21"/>
        </w:rPr>
        <w:t>并</w:t>
      </w:r>
      <w:r>
        <w:rPr>
          <w:spacing w:val="-2"/>
          <w:sz w:val="21"/>
        </w:rPr>
        <w:t>大</w:t>
      </w:r>
      <w:r>
        <w:rPr>
          <w:spacing w:val="-2"/>
          <w:sz w:val="21"/>
        </w:rPr>
        <w:t>小</w:t>
      </w:r>
      <w:r>
        <w:rPr>
          <w:spacing w:val="-2"/>
          <w:sz w:val="21"/>
        </w:rPr>
        <w:t>便</w:t>
      </w:r>
      <w:r>
        <w:rPr>
          <w:spacing w:val="-2"/>
          <w:sz w:val="21"/>
        </w:rPr>
        <w:t>失</w:t>
      </w:r>
      <w:r>
        <w:rPr>
          <w:spacing w:val="-2"/>
          <w:sz w:val="21"/>
        </w:rPr>
        <w:t>禁</w:t>
      </w:r>
      <w:r>
        <w:rPr>
          <w:spacing w:val="-2"/>
          <w:sz w:val="21"/>
        </w:rPr>
        <w:t>，</w:t>
      </w:r>
      <w:r>
        <w:rPr>
          <w:spacing w:val="-2"/>
          <w:sz w:val="21"/>
        </w:rPr>
        <w:t>部</w:t>
      </w:r>
      <w:r>
        <w:rPr>
          <w:spacing w:val="-2"/>
          <w:sz w:val="21"/>
        </w:rPr>
        <w:t>分</w:t>
      </w:r>
      <w:r>
        <w:rPr>
          <w:spacing w:val="-2"/>
          <w:sz w:val="21"/>
        </w:rPr>
        <w:t>或</w:t>
      </w:r>
      <w:r>
        <w:rPr>
          <w:spacing w:val="-2"/>
          <w:sz w:val="21"/>
        </w:rPr>
        <w:t>完</w:t>
      </w:r>
      <w:r>
        <w:rPr>
          <w:spacing w:val="-2"/>
          <w:sz w:val="21"/>
        </w:rPr>
        <w:t>全</w:t>
      </w:r>
      <w:r>
        <w:rPr>
          <w:spacing w:val="-2"/>
          <w:sz w:val="21"/>
        </w:rPr>
        <w:t>性下肢</w:t>
      </w:r>
      <w:r>
        <w:rPr>
          <w:spacing w:val="-2"/>
          <w:sz w:val="21"/>
        </w:rPr>
        <w:t>瘫</w:t>
      </w:r>
      <w:r>
        <w:rPr>
          <w:spacing w:val="-2"/>
          <w:sz w:val="21"/>
        </w:rPr>
        <w:t>痪</w:t>
      </w:r>
      <w:r>
        <w:rPr>
          <w:spacing w:val="-2"/>
          <w:sz w:val="21"/>
        </w:rPr>
        <w:t>或</w:t>
      </w:r>
    </w:p>
    <w:p>
      <w:pPr>
        <w:pStyle w:val="BodyText"/>
        <w:spacing w:line="278" w:lineRule="auto" w:before="42"/>
        <w:ind w:left="3462" w:right="1543"/>
      </w:pPr>
      <w:r>
        <w:rPr>
          <w:spacing w:val="-4"/>
        </w:rPr>
        <w:t>畸形等神经学上的异常，但不包括由 </w:t>
      </w:r>
      <w:r>
        <w:rPr/>
        <w:t>X</w:t>
      </w:r>
      <w:r>
        <w:rPr>
          <w:spacing w:val="-6"/>
        </w:rPr>
        <w:t> 线摄片发现的没有合</w:t>
      </w:r>
      <w:r>
        <w:rPr>
          <w:spacing w:val="-2"/>
        </w:rPr>
        <w:t>并脊椎脊膜突出或脑（脊）膜突出的隐形脊椎裂。</w:t>
      </w:r>
    </w:p>
    <w:p>
      <w:pPr>
        <w:pStyle w:val="BodyText"/>
        <w:spacing w:line="278" w:lineRule="auto" w:before="154"/>
        <w:ind w:left="3462" w:right="1597"/>
      </w:pPr>
      <w:r>
        <w:rPr>
          <w:spacing w:val="-2"/>
        </w:rPr>
        <w:t>本公司承担本项疾病责任不受本合同责任免除中“遗传性疾</w:t>
      </w:r>
      <w:r>
        <w:rPr>
          <w:spacing w:val="-2"/>
        </w:rPr>
        <w:t>病，先天性畸形、变形或染色体异常”的限制。</w:t>
      </w:r>
    </w:p>
    <w:p>
      <w:pPr>
        <w:pStyle w:val="BodyText"/>
        <w:spacing w:before="6"/>
        <w:rPr>
          <w:sz w:val="19"/>
        </w:rPr>
      </w:pPr>
    </w:p>
    <w:p>
      <w:pPr>
        <w:spacing w:after="0"/>
        <w:rPr>
          <w:sz w:val="19"/>
        </w:rPr>
        <w:sectPr>
          <w:type w:val="continuous"/>
          <w:pgSz w:w="11910" w:h="16840"/>
          <w:pgMar w:header="0" w:footer="226" w:top="240" w:bottom="420" w:left="980" w:right="400"/>
        </w:sectPr>
      </w:pPr>
    </w:p>
    <w:p>
      <w:pPr>
        <w:pStyle w:val="Heading2"/>
        <w:numPr>
          <w:ilvl w:val="0"/>
          <w:numId w:val="15"/>
        </w:numPr>
        <w:tabs>
          <w:tab w:pos="2229" w:val="left" w:leader="none"/>
        </w:tabs>
        <w:spacing w:line="196" w:lineRule="auto" w:before="53" w:after="0"/>
        <w:ind w:left="1910" w:right="0" w:firstLine="0"/>
        <w:jc w:val="left"/>
      </w:pPr>
      <w:r>
        <w:rPr>
          <w:spacing w:val="-4"/>
        </w:rPr>
        <w:t>弥漫性血</w:t>
      </w:r>
      <w:r>
        <w:rPr>
          <w:spacing w:val="-4"/>
        </w:rPr>
        <w:t>管内凝血</w:t>
      </w:r>
    </w:p>
    <w:p>
      <w:pPr>
        <w:pStyle w:val="BodyText"/>
        <w:spacing w:line="280" w:lineRule="auto" w:before="72"/>
        <w:ind w:left="349" w:right="1597"/>
      </w:pPr>
      <w:r>
        <w:rPr/>
        <w:br w:type="column"/>
      </w:r>
      <w:r>
        <w:rPr>
          <w:spacing w:val="-2"/>
        </w:rPr>
        <w:t>指血液凝固系统和纤溶系统的过度活动导致微血管血栓形</w:t>
      </w:r>
      <w:r>
        <w:rPr/>
        <w:t> </w:t>
      </w:r>
      <w:r>
        <w:rPr>
          <w:spacing w:val="-2"/>
        </w:rPr>
        <w:t>成、血小板及凝血因子耗竭和严重出血，需要输注血浆和浓</w:t>
      </w:r>
      <w:r>
        <w:rPr>
          <w:spacing w:val="-2"/>
        </w:rPr>
        <w:t>缩血小板进行治疗。</w:t>
      </w:r>
    </w:p>
    <w:p>
      <w:pPr>
        <w:spacing w:after="0" w:line="280" w:lineRule="auto"/>
        <w:sectPr>
          <w:type w:val="continuous"/>
          <w:pgSz w:w="11910" w:h="16840"/>
          <w:pgMar w:header="0" w:footer="226" w:top="240" w:bottom="420" w:left="980" w:right="400"/>
          <w:cols w:num="2" w:equalWidth="0">
            <w:col w:w="3073" w:space="40"/>
            <w:col w:w="7417"/>
          </w:cols>
        </w:sectPr>
      </w:pPr>
    </w:p>
    <w:p>
      <w:pPr>
        <w:pStyle w:val="BodyText"/>
        <w:spacing w:before="3"/>
        <w:rPr>
          <w:sz w:val="19"/>
        </w:rPr>
      </w:pPr>
    </w:p>
    <w:p>
      <w:pPr>
        <w:spacing w:after="0"/>
        <w:rPr>
          <w:sz w:val="19"/>
        </w:rPr>
        <w:sectPr>
          <w:type w:val="continuous"/>
          <w:pgSz w:w="11910" w:h="16840"/>
          <w:pgMar w:header="0" w:footer="226" w:top="240" w:bottom="420" w:left="980" w:right="400"/>
        </w:sectPr>
      </w:pPr>
    </w:p>
    <w:p>
      <w:pPr>
        <w:pStyle w:val="Heading2"/>
        <w:numPr>
          <w:ilvl w:val="0"/>
          <w:numId w:val="15"/>
        </w:numPr>
        <w:tabs>
          <w:tab w:pos="2229" w:val="left" w:leader="none"/>
        </w:tabs>
        <w:spacing w:line="196" w:lineRule="auto" w:before="53" w:after="0"/>
        <w:ind w:left="1910" w:right="0" w:firstLine="0"/>
        <w:jc w:val="left"/>
      </w:pPr>
      <w:r>
        <w:rPr>
          <w:spacing w:val="-4"/>
        </w:rPr>
        <w:t>血管性痴</w:t>
      </w:r>
      <w:r>
        <w:rPr>
          <w:spacing w:val="-10"/>
        </w:rPr>
        <w:t>呆</w:t>
      </w:r>
    </w:p>
    <w:p>
      <w:pPr>
        <w:pStyle w:val="BodyText"/>
        <w:spacing w:line="278" w:lineRule="auto" w:before="72"/>
        <w:ind w:left="349" w:right="1597"/>
        <w:jc w:val="both"/>
      </w:pPr>
      <w:r>
        <w:rPr/>
        <w:br w:type="column"/>
      </w:r>
      <w:r>
        <w:rPr>
          <w:spacing w:val="-2"/>
        </w:rPr>
        <w:t>指由缺血性卒中、出血性卒中和造成记忆、认知和行为等脑</w:t>
      </w:r>
      <w:r>
        <w:rPr>
          <w:spacing w:val="-2"/>
        </w:rPr>
        <w:t>区低灌注的脑血管疾病所致的严重认知功能障碍综合征。被</w:t>
      </w:r>
      <w:r>
        <w:rPr>
          <w:spacing w:val="-2"/>
        </w:rPr>
        <w:t>保险人自主生活能力完全丧失，无法独立完成六项基本日常</w:t>
      </w:r>
      <w:r>
        <w:rPr>
          <w:spacing w:val="-2"/>
        </w:rPr>
        <w:t>生活活动中的三项或三项以上，日常生活必须持续受到他人</w:t>
      </w:r>
      <w:r>
        <w:rPr>
          <w:spacing w:val="-2"/>
        </w:rPr>
        <w:t>监护。导致痴呆的疾病必须明确诊断，并且有完整的临床、</w:t>
      </w:r>
      <w:r>
        <w:rPr>
          <w:spacing w:val="-2"/>
        </w:rPr>
        <w:t>实验室和影像学检查结果证实。</w:t>
      </w:r>
    </w:p>
    <w:p>
      <w:pPr>
        <w:pStyle w:val="BodyText"/>
        <w:spacing w:line="278" w:lineRule="auto" w:before="158"/>
        <w:ind w:left="349" w:right="1597"/>
      </w:pPr>
      <w:r>
        <w:rPr>
          <w:spacing w:val="-2"/>
        </w:rPr>
        <w:t>神经官能症，精神疾病及酒精中毒所致脑损害不在保障范围</w:t>
      </w:r>
      <w:r>
        <w:rPr>
          <w:spacing w:val="-6"/>
        </w:rPr>
        <w:t>内。</w:t>
      </w:r>
    </w:p>
    <w:p>
      <w:pPr>
        <w:spacing w:after="0" w:line="278" w:lineRule="auto"/>
        <w:sectPr>
          <w:type w:val="continuous"/>
          <w:pgSz w:w="11910" w:h="16840"/>
          <w:pgMar w:header="0" w:footer="226" w:top="240" w:bottom="420" w:left="980" w:right="400"/>
          <w:cols w:num="2" w:equalWidth="0">
            <w:col w:w="3073" w:space="40"/>
            <w:col w:w="7417"/>
          </w:cols>
        </w:sectPr>
      </w:pPr>
    </w:p>
    <w:p>
      <w:pPr>
        <w:pStyle w:val="BodyText"/>
        <w:spacing w:before="12"/>
        <w:rPr>
          <w:sz w:val="19"/>
        </w:rPr>
      </w:pPr>
    </w:p>
    <w:p>
      <w:pPr>
        <w:spacing w:after="0"/>
        <w:rPr>
          <w:sz w:val="19"/>
        </w:rPr>
        <w:sectPr>
          <w:type w:val="continuous"/>
          <w:pgSz w:w="11910" w:h="16840"/>
          <w:pgMar w:header="0" w:footer="226" w:top="240" w:bottom="420" w:left="980" w:right="400"/>
        </w:sectPr>
      </w:pPr>
    </w:p>
    <w:p>
      <w:pPr>
        <w:pStyle w:val="Heading2"/>
        <w:numPr>
          <w:ilvl w:val="0"/>
          <w:numId w:val="15"/>
        </w:numPr>
        <w:tabs>
          <w:tab w:pos="2229" w:val="left" w:leader="none"/>
        </w:tabs>
        <w:spacing w:line="194" w:lineRule="auto" w:before="55" w:after="0"/>
        <w:ind w:left="1910" w:right="0" w:firstLine="0"/>
        <w:jc w:val="left"/>
      </w:pPr>
      <w:r>
        <w:rPr>
          <w:spacing w:val="-4"/>
        </w:rPr>
        <w:t>额颞叶痴</w:t>
      </w:r>
      <w:r>
        <w:rPr>
          <w:spacing w:val="-10"/>
        </w:rPr>
        <w:t>呆</w:t>
      </w:r>
    </w:p>
    <w:p>
      <w:pPr>
        <w:pStyle w:val="BodyText"/>
        <w:spacing w:line="278" w:lineRule="auto" w:before="72"/>
        <w:ind w:left="349" w:right="1597"/>
        <w:jc w:val="both"/>
      </w:pPr>
      <w:r>
        <w:rPr/>
        <w:br w:type="column"/>
      </w:r>
      <w:r>
        <w:rPr>
          <w:spacing w:val="-2"/>
        </w:rPr>
        <w:t>指一组以额颞叶萎缩为特征的痴呆综合征，临床以明显的人</w:t>
      </w:r>
      <w:r>
        <w:rPr>
          <w:spacing w:val="-2"/>
        </w:rPr>
        <w:t>格、行为改变和认知障碍为特征。被保险人自主生活能力完</w:t>
      </w:r>
      <w:r>
        <w:rPr>
          <w:spacing w:val="-2"/>
        </w:rPr>
        <w:t>全丧失，无法独立完成六项基本日常生活活动中的三项或三</w:t>
      </w:r>
      <w:r>
        <w:rPr>
          <w:spacing w:val="-2"/>
        </w:rPr>
        <w:t>项以上，日常生活必须持续受到他人监护。导致痴呆的疾病</w:t>
      </w:r>
      <w:r>
        <w:rPr>
          <w:spacing w:val="-2"/>
        </w:rPr>
        <w:t>必须明确诊断，并且有完整的临床、实验室和影像学检查结</w:t>
      </w:r>
      <w:r>
        <w:rPr>
          <w:spacing w:val="-4"/>
        </w:rPr>
        <w:t>果证实。</w:t>
      </w:r>
    </w:p>
    <w:p>
      <w:pPr>
        <w:pStyle w:val="BodyText"/>
        <w:spacing w:line="283" w:lineRule="auto" w:before="153"/>
        <w:ind w:left="349" w:right="1597"/>
      </w:pPr>
      <w:r>
        <w:rPr>
          <w:spacing w:val="-2"/>
        </w:rPr>
        <w:t>神经官能症，精神疾病及酒精中毒所致脑损害不在保障范围</w:t>
      </w:r>
      <w:r>
        <w:rPr>
          <w:spacing w:val="-6"/>
        </w:rPr>
        <w:t>内。</w:t>
      </w:r>
    </w:p>
    <w:p>
      <w:pPr>
        <w:spacing w:after="0" w:line="283" w:lineRule="auto"/>
        <w:sectPr>
          <w:type w:val="continuous"/>
          <w:pgSz w:w="11910" w:h="16840"/>
          <w:pgMar w:header="0" w:footer="226" w:top="240" w:bottom="420" w:left="980" w:right="400"/>
          <w:cols w:num="2" w:equalWidth="0">
            <w:col w:w="3073" w:space="40"/>
            <w:col w:w="7417"/>
          </w:cols>
        </w:sectPr>
      </w:pPr>
    </w:p>
    <w:p>
      <w:pPr>
        <w:pStyle w:val="Heading2"/>
        <w:numPr>
          <w:ilvl w:val="0"/>
          <w:numId w:val="15"/>
        </w:numPr>
        <w:tabs>
          <w:tab w:pos="2229" w:val="left" w:leader="none"/>
        </w:tabs>
        <w:spacing w:line="194" w:lineRule="auto" w:before="35" w:after="0"/>
        <w:ind w:left="1910" w:right="0" w:firstLine="0"/>
        <w:jc w:val="left"/>
      </w:pPr>
      <w:r>
        <w:rPr>
          <w:spacing w:val="-4"/>
        </w:rPr>
        <w:t>路易体痴</w:t>
      </w:r>
      <w:r>
        <w:rPr>
          <w:spacing w:val="-10"/>
        </w:rPr>
        <w:t>呆</w:t>
      </w:r>
    </w:p>
    <w:p>
      <w:pPr>
        <w:pStyle w:val="BodyText"/>
        <w:spacing w:line="278" w:lineRule="auto" w:before="51"/>
        <w:ind w:left="349" w:right="1595"/>
        <w:jc w:val="both"/>
      </w:pPr>
      <w:r>
        <w:rPr/>
        <w:br w:type="column"/>
      </w:r>
      <w:r>
        <w:rPr>
          <w:spacing w:val="-2"/>
        </w:rPr>
        <w:t>指一组在临床和病理表现上以波动性认知功能障碍、视幻觉</w:t>
      </w:r>
      <w:r>
        <w:rPr>
          <w:spacing w:val="-2"/>
        </w:rPr>
        <w:t>和帕金森综合征为临床特点，以路易体为病理特征的神经变</w:t>
      </w:r>
      <w:r>
        <w:rPr>
          <w:spacing w:val="-2"/>
        </w:rPr>
        <w:t>性疾病。被保险人自主生活能力完全丧失，无法独立完成六</w:t>
      </w:r>
      <w:r>
        <w:rPr>
          <w:spacing w:val="-2"/>
        </w:rPr>
        <w:t>项基本日常生活活动中的三项或三项以上，日常生活必须持</w:t>
      </w:r>
      <w:r>
        <w:rPr>
          <w:spacing w:val="-2"/>
        </w:rPr>
        <w:t>续受到他人监护。导致痴呆的疾病必须明确诊断，并且有完</w:t>
      </w:r>
      <w:r>
        <w:rPr>
          <w:spacing w:val="-2"/>
        </w:rPr>
        <w:t>整的临床、实验室和影像学检查结果证实。</w:t>
      </w:r>
    </w:p>
    <w:p>
      <w:pPr>
        <w:pStyle w:val="BodyText"/>
        <w:spacing w:line="283" w:lineRule="auto" w:before="153"/>
        <w:ind w:left="349" w:right="1597"/>
      </w:pPr>
      <w:r>
        <w:rPr>
          <w:spacing w:val="-2"/>
        </w:rPr>
        <w:t>神经官能症，精神疾病及酒精中毒所致脑损害不在保障范围</w:t>
      </w:r>
      <w:r>
        <w:rPr>
          <w:spacing w:val="-6"/>
        </w:rPr>
        <w:t>内。</w:t>
      </w:r>
    </w:p>
    <w:p>
      <w:pPr>
        <w:spacing w:after="0" w:line="283" w:lineRule="auto"/>
        <w:sectPr>
          <w:pgSz w:w="11910" w:h="16840"/>
          <w:pgMar w:header="0" w:footer="226" w:top="820" w:bottom="420" w:left="980" w:right="400"/>
          <w:cols w:num="2" w:equalWidth="0">
            <w:col w:w="3073" w:space="40"/>
            <w:col w:w="7417"/>
          </w:cols>
        </w:sectPr>
      </w:pPr>
    </w:p>
    <w:p>
      <w:pPr>
        <w:pStyle w:val="BodyText"/>
        <w:spacing w:before="1"/>
        <w:rPr>
          <w:sz w:val="19"/>
        </w:rPr>
      </w:pPr>
    </w:p>
    <w:p>
      <w:pPr>
        <w:spacing w:after="0"/>
        <w:rPr>
          <w:sz w:val="19"/>
        </w:rPr>
        <w:sectPr>
          <w:type w:val="continuous"/>
          <w:pgSz w:w="11910" w:h="16840"/>
          <w:pgMar w:header="0" w:footer="226" w:top="240" w:bottom="420" w:left="980" w:right="400"/>
        </w:sectPr>
      </w:pPr>
    </w:p>
    <w:p>
      <w:pPr>
        <w:pStyle w:val="Heading2"/>
        <w:numPr>
          <w:ilvl w:val="0"/>
          <w:numId w:val="15"/>
        </w:numPr>
        <w:tabs>
          <w:tab w:pos="2334" w:val="left" w:leader="none"/>
        </w:tabs>
        <w:spacing w:line="196" w:lineRule="auto" w:before="53" w:after="0"/>
        <w:ind w:left="1910" w:right="0" w:firstLine="0"/>
        <w:jc w:val="left"/>
      </w:pPr>
      <w:r>
        <w:rPr>
          <w:spacing w:val="-4"/>
        </w:rPr>
        <w:t>亚急性硬</w:t>
      </w:r>
      <w:r>
        <w:rPr>
          <w:spacing w:val="-2"/>
        </w:rPr>
        <w:t>化性全脑炎</w:t>
      </w:r>
    </w:p>
    <w:p>
      <w:pPr>
        <w:pStyle w:val="BodyText"/>
        <w:spacing w:line="278" w:lineRule="auto" w:before="72"/>
        <w:ind w:left="243" w:right="1597"/>
        <w:jc w:val="both"/>
      </w:pPr>
      <w:r>
        <w:rPr/>
        <w:br w:type="column"/>
      </w:r>
      <w:r>
        <w:rPr>
          <w:spacing w:val="-2"/>
        </w:rPr>
        <w:t>指一种以大脑白质和灰质损害为主的全脑炎。本病的发生是</w:t>
      </w:r>
      <w:r>
        <w:rPr>
          <w:spacing w:val="-2"/>
        </w:rPr>
        <w:t>由于缺损型麻疹病毒慢性持续感染所致的一种罕见的致命性</w:t>
      </w:r>
      <w:r>
        <w:rPr>
          <w:spacing w:val="-2"/>
        </w:rPr>
        <w:t>中枢神经系统退变性疾病。早期以炎症性病变为主，晚期主</w:t>
      </w:r>
      <w:r>
        <w:rPr>
          <w:spacing w:val="-2"/>
        </w:rPr>
        <w:t>要为神经元坏死和胶质增生，核内包涵体是本病的特征性改</w:t>
      </w:r>
      <w:r>
        <w:rPr>
          <w:spacing w:val="-5"/>
        </w:rPr>
        <w:t>变之一。疾病确诊 </w:t>
      </w:r>
      <w:r>
        <w:rPr>
          <w:spacing w:val="-4"/>
        </w:rPr>
        <w:t>180</w:t>
      </w:r>
      <w:r>
        <w:rPr>
          <w:spacing w:val="-7"/>
        </w:rPr>
        <w:t> 天后，仍遗留下列一种或一种以上障</w:t>
      </w:r>
      <w:r>
        <w:rPr>
          <w:spacing w:val="-6"/>
        </w:rPr>
        <w:t>碍：</w:t>
      </w:r>
    </w:p>
    <w:p>
      <w:pPr>
        <w:pStyle w:val="ListParagraph"/>
        <w:numPr>
          <w:ilvl w:val="0"/>
          <w:numId w:val="53"/>
        </w:numPr>
        <w:tabs>
          <w:tab w:pos="773" w:val="left" w:leader="none"/>
        </w:tabs>
        <w:spacing w:line="383" w:lineRule="exact" w:before="91" w:after="0"/>
        <w:ind w:left="772" w:right="0" w:hanging="530"/>
        <w:jc w:val="both"/>
        <w:rPr>
          <w:sz w:val="21"/>
        </w:rPr>
      </w:pPr>
      <w:r>
        <w:rPr>
          <w:spacing w:val="-2"/>
          <w:sz w:val="21"/>
        </w:rPr>
        <w:t>一肢或一肢以上</w:t>
      </w:r>
      <w:r>
        <w:rPr>
          <w:rFonts w:ascii="微软雅黑" w:eastAsia="微软雅黑"/>
          <w:b/>
          <w:spacing w:val="-2"/>
          <w:sz w:val="21"/>
        </w:rPr>
        <w:t>肢体机能完全丧失</w:t>
      </w:r>
      <w:r>
        <w:rPr>
          <w:spacing w:val="-2"/>
          <w:sz w:val="21"/>
        </w:rPr>
        <w:t>（</w:t>
      </w:r>
      <w:r>
        <w:rPr>
          <w:spacing w:val="-10"/>
          <w:sz w:val="21"/>
        </w:rPr>
        <w:t>见释义 </w:t>
      </w:r>
      <w:r>
        <w:rPr>
          <w:spacing w:val="14"/>
          <w:sz w:val="21"/>
        </w:rPr>
        <w:t>1</w:t>
      </w:r>
      <w:r>
        <w:rPr>
          <w:spacing w:val="9"/>
          <w:sz w:val="21"/>
        </w:rPr>
        <w:t>3.</w:t>
      </w:r>
      <w:r>
        <w:rPr>
          <w:spacing w:val="14"/>
          <w:sz w:val="21"/>
        </w:rPr>
        <w:t>40</w:t>
      </w:r>
      <w:r>
        <w:rPr>
          <w:spacing w:val="-92"/>
          <w:sz w:val="21"/>
        </w:rPr>
        <w:t>）</w:t>
      </w:r>
      <w:r>
        <w:rPr>
          <w:spacing w:val="14"/>
          <w:sz w:val="21"/>
        </w:rPr>
        <w:t>；</w:t>
      </w:r>
    </w:p>
    <w:p>
      <w:pPr>
        <w:pStyle w:val="ListParagraph"/>
        <w:numPr>
          <w:ilvl w:val="0"/>
          <w:numId w:val="53"/>
        </w:numPr>
        <w:tabs>
          <w:tab w:pos="773" w:val="left" w:leader="none"/>
        </w:tabs>
        <w:spacing w:line="265" w:lineRule="exact" w:before="0" w:after="0"/>
        <w:ind w:left="772" w:right="0" w:hanging="530"/>
        <w:jc w:val="left"/>
        <w:rPr>
          <w:sz w:val="21"/>
        </w:rPr>
      </w:pPr>
      <w:r>
        <w:rPr>
          <w:spacing w:val="-3"/>
          <w:sz w:val="21"/>
        </w:rPr>
        <w:t>语言能力或咀嚼吞咽能力完全丧失；</w:t>
      </w:r>
    </w:p>
    <w:p>
      <w:pPr>
        <w:pStyle w:val="ListParagraph"/>
        <w:numPr>
          <w:ilvl w:val="0"/>
          <w:numId w:val="53"/>
        </w:numPr>
        <w:tabs>
          <w:tab w:pos="773" w:val="left" w:leader="none"/>
        </w:tabs>
        <w:spacing w:line="278" w:lineRule="auto" w:before="43" w:after="0"/>
        <w:ind w:left="243" w:right="1703" w:firstLine="0"/>
        <w:jc w:val="left"/>
        <w:rPr>
          <w:sz w:val="21"/>
        </w:rPr>
      </w:pPr>
      <w:r>
        <w:rPr>
          <w:spacing w:val="-2"/>
          <w:sz w:val="21"/>
        </w:rPr>
        <w:t>自主生活能力完全丧失，无法独立完成六项基本日常</w:t>
      </w:r>
      <w:r>
        <w:rPr>
          <w:spacing w:val="-2"/>
          <w:sz w:val="21"/>
        </w:rPr>
        <w:t>生活活动中的三项或三项以上。</w:t>
      </w:r>
    </w:p>
    <w:p>
      <w:pPr>
        <w:spacing w:after="0" w:line="278" w:lineRule="auto"/>
        <w:jc w:val="left"/>
        <w:rPr>
          <w:sz w:val="21"/>
        </w:rPr>
        <w:sectPr>
          <w:type w:val="continuous"/>
          <w:pgSz w:w="11910" w:h="16840"/>
          <w:pgMar w:header="0" w:footer="226" w:top="240" w:bottom="420" w:left="980" w:right="400"/>
          <w:cols w:num="2" w:equalWidth="0">
            <w:col w:w="3179" w:space="40"/>
            <w:col w:w="7311"/>
          </w:cols>
        </w:sectPr>
      </w:pPr>
    </w:p>
    <w:p>
      <w:pPr>
        <w:pStyle w:val="BodyText"/>
        <w:spacing w:before="11"/>
        <w:rPr>
          <w:sz w:val="19"/>
        </w:rPr>
      </w:pPr>
    </w:p>
    <w:p>
      <w:pPr>
        <w:spacing w:after="0"/>
        <w:rPr>
          <w:sz w:val="19"/>
        </w:rPr>
        <w:sectPr>
          <w:type w:val="continuous"/>
          <w:pgSz w:w="11910" w:h="16840"/>
          <w:pgMar w:header="0" w:footer="226" w:top="240" w:bottom="420" w:left="980" w:right="400"/>
        </w:sectPr>
      </w:pPr>
    </w:p>
    <w:p>
      <w:pPr>
        <w:pStyle w:val="Heading2"/>
        <w:numPr>
          <w:ilvl w:val="0"/>
          <w:numId w:val="15"/>
        </w:numPr>
        <w:tabs>
          <w:tab w:pos="2334" w:val="left" w:leader="none"/>
        </w:tabs>
        <w:spacing w:line="194" w:lineRule="auto" w:before="56" w:after="0"/>
        <w:ind w:left="1910" w:right="0" w:firstLine="0"/>
        <w:jc w:val="left"/>
      </w:pPr>
      <w:r>
        <w:rPr>
          <w:spacing w:val="-4"/>
        </w:rPr>
        <w:t>进行性风</w:t>
      </w:r>
      <w:r>
        <w:rPr>
          <w:spacing w:val="-2"/>
        </w:rPr>
        <w:t>疹性全脑炎</w:t>
      </w:r>
    </w:p>
    <w:p>
      <w:pPr>
        <w:pStyle w:val="BodyText"/>
        <w:spacing w:line="278" w:lineRule="auto" w:before="72"/>
        <w:ind w:left="243" w:right="1597"/>
      </w:pPr>
      <w:r>
        <w:rPr/>
        <w:br w:type="column"/>
      </w:r>
      <w:r>
        <w:rPr>
          <w:spacing w:val="-2"/>
        </w:rPr>
        <w:t>指由风疹病毒感染引起的儿童和青少年的慢性脑炎。疾病确</w:t>
      </w:r>
      <w:r>
        <w:rPr>
          <w:spacing w:val="-8"/>
        </w:rPr>
        <w:t>诊 </w:t>
      </w:r>
      <w:r>
        <w:rPr/>
        <w:t>180 天后，仍遗留下列一种或一种以上障碍：</w:t>
      </w:r>
    </w:p>
    <w:p>
      <w:pPr>
        <w:pStyle w:val="ListParagraph"/>
        <w:numPr>
          <w:ilvl w:val="0"/>
          <w:numId w:val="54"/>
        </w:numPr>
        <w:tabs>
          <w:tab w:pos="773" w:val="left" w:leader="none"/>
        </w:tabs>
        <w:spacing w:line="240" w:lineRule="auto" w:before="153" w:after="0"/>
        <w:ind w:left="772" w:right="0" w:hanging="530"/>
        <w:jc w:val="left"/>
        <w:rPr>
          <w:sz w:val="21"/>
        </w:rPr>
      </w:pPr>
      <w:r>
        <w:rPr>
          <w:spacing w:val="-3"/>
          <w:sz w:val="21"/>
        </w:rPr>
        <w:t>一肢或一肢以上肢体机能完全丧失；</w:t>
      </w:r>
    </w:p>
    <w:p>
      <w:pPr>
        <w:pStyle w:val="ListParagraph"/>
        <w:numPr>
          <w:ilvl w:val="0"/>
          <w:numId w:val="54"/>
        </w:numPr>
        <w:tabs>
          <w:tab w:pos="773" w:val="left" w:leader="none"/>
        </w:tabs>
        <w:spacing w:line="240" w:lineRule="auto" w:before="48" w:after="0"/>
        <w:ind w:left="772" w:right="0" w:hanging="530"/>
        <w:jc w:val="left"/>
        <w:rPr>
          <w:sz w:val="21"/>
        </w:rPr>
      </w:pPr>
      <w:r>
        <w:rPr>
          <w:spacing w:val="-3"/>
          <w:sz w:val="21"/>
        </w:rPr>
        <w:t>语言能力或咀嚼吞咽能力完全丧失；</w:t>
      </w:r>
    </w:p>
    <w:p>
      <w:pPr>
        <w:pStyle w:val="ListParagraph"/>
        <w:numPr>
          <w:ilvl w:val="0"/>
          <w:numId w:val="54"/>
        </w:numPr>
        <w:tabs>
          <w:tab w:pos="773" w:val="left" w:leader="none"/>
        </w:tabs>
        <w:spacing w:line="278" w:lineRule="auto" w:before="43" w:after="0"/>
        <w:ind w:left="243" w:right="1703" w:firstLine="0"/>
        <w:jc w:val="left"/>
        <w:rPr>
          <w:sz w:val="21"/>
        </w:rPr>
      </w:pPr>
      <w:r>
        <w:rPr>
          <w:spacing w:val="-2"/>
          <w:sz w:val="21"/>
        </w:rPr>
        <w:t>自主生活能力完全丧失，无法独立完成六项基本日常</w:t>
      </w:r>
      <w:r>
        <w:rPr>
          <w:spacing w:val="-2"/>
          <w:sz w:val="21"/>
        </w:rPr>
        <w:t>生活活动中的三项或三项以上。</w:t>
      </w:r>
    </w:p>
    <w:p>
      <w:pPr>
        <w:spacing w:after="0" w:line="278" w:lineRule="auto"/>
        <w:jc w:val="left"/>
        <w:rPr>
          <w:sz w:val="21"/>
        </w:rPr>
        <w:sectPr>
          <w:type w:val="continuous"/>
          <w:pgSz w:w="11910" w:h="16840"/>
          <w:pgMar w:header="0" w:footer="226" w:top="240" w:bottom="420" w:left="980" w:right="400"/>
          <w:cols w:num="2" w:equalWidth="0">
            <w:col w:w="3179" w:space="40"/>
            <w:col w:w="7311"/>
          </w:cols>
        </w:sectPr>
      </w:pPr>
    </w:p>
    <w:p>
      <w:pPr>
        <w:pStyle w:val="BodyText"/>
        <w:spacing w:before="7"/>
        <w:rPr>
          <w:sz w:val="19"/>
        </w:rPr>
      </w:pPr>
    </w:p>
    <w:p>
      <w:pPr>
        <w:spacing w:after="0"/>
        <w:rPr>
          <w:sz w:val="19"/>
        </w:rPr>
        <w:sectPr>
          <w:type w:val="continuous"/>
          <w:pgSz w:w="11910" w:h="16840"/>
          <w:pgMar w:header="0" w:footer="226" w:top="240" w:bottom="420" w:left="980" w:right="400"/>
        </w:sectPr>
      </w:pPr>
    </w:p>
    <w:p>
      <w:pPr>
        <w:pStyle w:val="Heading2"/>
        <w:numPr>
          <w:ilvl w:val="0"/>
          <w:numId w:val="15"/>
        </w:numPr>
        <w:tabs>
          <w:tab w:pos="2334" w:val="left" w:leader="none"/>
        </w:tabs>
        <w:spacing w:line="194" w:lineRule="auto" w:before="55" w:after="0"/>
        <w:ind w:left="1910" w:right="0" w:firstLine="0"/>
        <w:jc w:val="both"/>
      </w:pPr>
      <w:r>
        <w:rPr>
          <w:spacing w:val="-4"/>
        </w:rPr>
        <w:t>败血症导</w:t>
      </w:r>
      <w:r>
        <w:rPr>
          <w:spacing w:val="-2"/>
        </w:rPr>
        <w:t>致的多器官功</w:t>
      </w:r>
      <w:r>
        <w:rPr>
          <w:spacing w:val="-2"/>
        </w:rPr>
        <w:t>能障碍综合症</w:t>
      </w:r>
    </w:p>
    <w:p>
      <w:pPr>
        <w:pStyle w:val="BodyText"/>
        <w:spacing w:line="278" w:lineRule="auto" w:before="71"/>
        <w:ind w:left="243" w:right="1597"/>
      </w:pPr>
      <w:r>
        <w:rPr/>
        <w:br w:type="column"/>
      </w:r>
      <w:r>
        <w:rPr>
          <w:spacing w:val="-2"/>
        </w:rPr>
        <w:t>多器官功能障碍指败血症导致的并发症，一个或多个器官系</w:t>
      </w:r>
      <w:r>
        <w:rPr>
          <w:spacing w:val="-2"/>
        </w:rPr>
        <w:t>统生理功能障碍，因该疾病住院至少 </w:t>
      </w:r>
      <w:r>
        <w:rPr>
          <w:rFonts w:ascii="Arial" w:eastAsia="Arial"/>
        </w:rPr>
        <w:t>96 </w:t>
      </w:r>
      <w:r>
        <w:rPr/>
        <w:t>小时，并至少满足</w:t>
      </w:r>
      <w:r>
        <w:rPr>
          <w:spacing w:val="-2"/>
        </w:rPr>
        <w:t>以下一条标准：</w:t>
      </w:r>
    </w:p>
    <w:p>
      <w:pPr>
        <w:pStyle w:val="ListParagraph"/>
        <w:numPr>
          <w:ilvl w:val="0"/>
          <w:numId w:val="55"/>
        </w:numPr>
        <w:tabs>
          <w:tab w:pos="773" w:val="left" w:leader="none"/>
        </w:tabs>
        <w:spacing w:line="240" w:lineRule="auto" w:before="154" w:after="0"/>
        <w:ind w:left="772" w:right="0" w:hanging="530"/>
        <w:jc w:val="left"/>
        <w:rPr>
          <w:sz w:val="21"/>
        </w:rPr>
      </w:pPr>
      <w:r>
        <w:rPr>
          <w:spacing w:val="-3"/>
          <w:sz w:val="21"/>
        </w:rPr>
        <w:t>呼吸衰竭，需要进行气管插管机械通气；</w:t>
      </w:r>
    </w:p>
    <w:p>
      <w:pPr>
        <w:pStyle w:val="ListParagraph"/>
        <w:numPr>
          <w:ilvl w:val="0"/>
          <w:numId w:val="55"/>
        </w:numPr>
        <w:tabs>
          <w:tab w:pos="773" w:val="left" w:leader="none"/>
        </w:tabs>
        <w:spacing w:line="240" w:lineRule="auto" w:before="48" w:after="0"/>
        <w:ind w:left="772" w:right="0" w:hanging="530"/>
        <w:jc w:val="left"/>
        <w:rPr>
          <w:sz w:val="21"/>
        </w:rPr>
      </w:pPr>
      <w:r>
        <w:rPr>
          <w:spacing w:val="-2"/>
          <w:sz w:val="21"/>
        </w:rPr>
        <w:t>凝血血小板计数&lt;50x10³</w:t>
      </w:r>
      <w:r>
        <w:rPr>
          <w:spacing w:val="-4"/>
          <w:sz w:val="21"/>
        </w:rPr>
        <w:t>/微升；</w:t>
      </w:r>
    </w:p>
    <w:p>
      <w:pPr>
        <w:pStyle w:val="ListParagraph"/>
        <w:numPr>
          <w:ilvl w:val="0"/>
          <w:numId w:val="55"/>
        </w:numPr>
        <w:tabs>
          <w:tab w:pos="773" w:val="left" w:leader="none"/>
        </w:tabs>
        <w:spacing w:line="240" w:lineRule="auto" w:before="43" w:after="0"/>
        <w:ind w:left="772" w:right="0" w:hanging="530"/>
        <w:jc w:val="left"/>
        <w:rPr>
          <w:sz w:val="21"/>
        </w:rPr>
      </w:pPr>
      <w:r>
        <w:rPr>
          <w:spacing w:val="-1"/>
          <w:sz w:val="21"/>
        </w:rPr>
        <w:t>肝功能不全，胆红素&gt; </w:t>
      </w:r>
      <w:r>
        <w:rPr>
          <w:sz w:val="21"/>
        </w:rPr>
        <w:t>6mg/</w:t>
      </w:r>
      <w:r>
        <w:rPr>
          <w:spacing w:val="-6"/>
          <w:sz w:val="21"/>
        </w:rPr>
        <w:t> </w:t>
      </w:r>
      <w:r>
        <w:rPr>
          <w:sz w:val="21"/>
        </w:rPr>
        <w:t>dl</w:t>
      </w:r>
      <w:r>
        <w:rPr>
          <w:spacing w:val="-15"/>
          <w:sz w:val="21"/>
        </w:rPr>
        <w:t> 或&gt; </w:t>
      </w:r>
      <w:r>
        <w:rPr>
          <w:spacing w:val="-2"/>
          <w:sz w:val="21"/>
        </w:rPr>
        <w:t>102µmol/L；</w:t>
      </w:r>
    </w:p>
    <w:p>
      <w:pPr>
        <w:pStyle w:val="ListParagraph"/>
        <w:numPr>
          <w:ilvl w:val="0"/>
          <w:numId w:val="55"/>
        </w:numPr>
        <w:tabs>
          <w:tab w:pos="773" w:val="left" w:leader="none"/>
        </w:tabs>
        <w:spacing w:line="240" w:lineRule="auto" w:before="43" w:after="0"/>
        <w:ind w:left="772" w:right="0" w:hanging="530"/>
        <w:jc w:val="left"/>
        <w:rPr>
          <w:sz w:val="21"/>
        </w:rPr>
      </w:pPr>
      <w:r>
        <w:rPr>
          <w:spacing w:val="-4"/>
          <w:sz w:val="21"/>
        </w:rPr>
        <w:t>需要用强心剂；</w:t>
      </w:r>
    </w:p>
    <w:p>
      <w:pPr>
        <w:pStyle w:val="ListParagraph"/>
        <w:numPr>
          <w:ilvl w:val="0"/>
          <w:numId w:val="55"/>
        </w:numPr>
        <w:tabs>
          <w:tab w:pos="773" w:val="left" w:leader="none"/>
        </w:tabs>
        <w:spacing w:line="240" w:lineRule="auto" w:before="43" w:after="0"/>
        <w:ind w:left="772" w:right="0" w:hanging="530"/>
        <w:jc w:val="left"/>
        <w:rPr>
          <w:sz w:val="21"/>
        </w:rPr>
      </w:pPr>
      <w:r>
        <w:rPr>
          <w:sz w:val="21"/>
        </w:rPr>
        <w:t>昏迷格拉斯哥昏迷评分（GCS）&lt;=</w:t>
      </w:r>
      <w:r>
        <w:rPr>
          <w:spacing w:val="-19"/>
          <w:sz w:val="21"/>
        </w:rPr>
        <w:t> </w:t>
      </w:r>
      <w:r>
        <w:rPr>
          <w:spacing w:val="-5"/>
          <w:sz w:val="21"/>
        </w:rPr>
        <w:t>9；</w:t>
      </w:r>
    </w:p>
    <w:p>
      <w:pPr>
        <w:pStyle w:val="ListParagraph"/>
        <w:numPr>
          <w:ilvl w:val="0"/>
          <w:numId w:val="55"/>
        </w:numPr>
        <w:tabs>
          <w:tab w:pos="773" w:val="left" w:leader="none"/>
        </w:tabs>
        <w:spacing w:line="278" w:lineRule="auto" w:before="43" w:after="0"/>
        <w:ind w:left="243" w:right="1807" w:firstLine="0"/>
        <w:jc w:val="left"/>
        <w:rPr>
          <w:sz w:val="21"/>
        </w:rPr>
      </w:pPr>
      <w:r>
        <w:rPr>
          <w:sz w:val="21"/>
        </w:rPr>
        <w:t>肾功能衰竭，血清肌酐&gt;300μmol/</w:t>
      </w:r>
      <w:r>
        <w:rPr>
          <w:spacing w:val="-25"/>
          <w:sz w:val="21"/>
        </w:rPr>
        <w:t> </w:t>
      </w:r>
      <w:r>
        <w:rPr>
          <w:sz w:val="21"/>
        </w:rPr>
        <w:t>L</w:t>
      </w:r>
      <w:r>
        <w:rPr>
          <w:spacing w:val="-22"/>
          <w:sz w:val="21"/>
        </w:rPr>
        <w:t> 或&gt;为 </w:t>
      </w:r>
      <w:r>
        <w:rPr>
          <w:sz w:val="21"/>
        </w:rPr>
        <w:t>3.5mg</w:t>
      </w:r>
      <w:r>
        <w:rPr>
          <w:spacing w:val="-5"/>
          <w:sz w:val="21"/>
        </w:rPr>
        <w:t> /</w:t>
      </w:r>
      <w:r>
        <w:rPr>
          <w:sz w:val="21"/>
        </w:rPr>
        <w:t> dl</w:t>
      </w:r>
      <w:r>
        <w:rPr>
          <w:spacing w:val="-12"/>
          <w:sz w:val="21"/>
        </w:rPr>
        <w:t> 或尿量</w:t>
      </w:r>
      <w:r>
        <w:rPr>
          <w:sz w:val="21"/>
        </w:rPr>
        <w:t>&lt;500ml/d；</w:t>
      </w:r>
    </w:p>
    <w:p>
      <w:pPr>
        <w:pStyle w:val="ListParagraph"/>
        <w:numPr>
          <w:ilvl w:val="0"/>
          <w:numId w:val="55"/>
        </w:numPr>
        <w:tabs>
          <w:tab w:pos="773" w:val="left" w:leader="none"/>
        </w:tabs>
        <w:spacing w:line="269" w:lineRule="exact" w:before="0" w:after="0"/>
        <w:ind w:left="772" w:right="0" w:hanging="530"/>
        <w:jc w:val="left"/>
        <w:rPr>
          <w:sz w:val="21"/>
        </w:rPr>
      </w:pPr>
      <w:r>
        <w:rPr>
          <w:spacing w:val="-3"/>
          <w:sz w:val="21"/>
        </w:rPr>
        <w:t>败血症有血液和影像学检查证实；</w:t>
      </w:r>
    </w:p>
    <w:p>
      <w:pPr>
        <w:pStyle w:val="ListParagraph"/>
        <w:numPr>
          <w:ilvl w:val="0"/>
          <w:numId w:val="55"/>
        </w:numPr>
        <w:tabs>
          <w:tab w:pos="773" w:val="left" w:leader="none"/>
        </w:tabs>
        <w:spacing w:line="240" w:lineRule="auto" w:before="43" w:after="0"/>
        <w:ind w:left="772" w:right="0" w:hanging="530"/>
        <w:jc w:val="left"/>
        <w:rPr>
          <w:sz w:val="21"/>
        </w:rPr>
      </w:pPr>
      <w:r>
        <w:rPr>
          <w:spacing w:val="-7"/>
          <w:sz w:val="21"/>
        </w:rPr>
        <w:t>住院重症监护病房最低 </w:t>
      </w:r>
      <w:r>
        <w:rPr>
          <w:spacing w:val="-2"/>
          <w:sz w:val="21"/>
        </w:rPr>
        <w:t>96</w:t>
      </w:r>
      <w:r>
        <w:rPr>
          <w:spacing w:val="-16"/>
          <w:sz w:val="21"/>
        </w:rPr>
        <w:t> 小时；</w:t>
      </w:r>
    </w:p>
    <w:p>
      <w:pPr>
        <w:pStyle w:val="ListParagraph"/>
        <w:numPr>
          <w:ilvl w:val="0"/>
          <w:numId w:val="55"/>
        </w:numPr>
        <w:tabs>
          <w:tab w:pos="773" w:val="left" w:leader="none"/>
        </w:tabs>
        <w:spacing w:line="240" w:lineRule="auto" w:before="44" w:after="0"/>
        <w:ind w:left="772" w:right="0" w:hanging="530"/>
        <w:jc w:val="left"/>
        <w:rPr>
          <w:sz w:val="21"/>
        </w:rPr>
      </w:pPr>
      <w:r>
        <w:rPr>
          <w:spacing w:val="-7"/>
          <w:sz w:val="21"/>
        </w:rPr>
        <w:t>器官功能障碍维持至少 </w:t>
      </w:r>
      <w:r>
        <w:rPr>
          <w:spacing w:val="-2"/>
          <w:sz w:val="21"/>
        </w:rPr>
        <w:t>15</w:t>
      </w:r>
      <w:r>
        <w:rPr>
          <w:spacing w:val="-20"/>
          <w:sz w:val="21"/>
        </w:rPr>
        <w:t> 天。</w:t>
      </w:r>
    </w:p>
    <w:p>
      <w:pPr>
        <w:pStyle w:val="BodyText"/>
        <w:spacing w:before="4"/>
        <w:rPr>
          <w:sz w:val="15"/>
        </w:rPr>
      </w:pPr>
    </w:p>
    <w:p>
      <w:pPr>
        <w:pStyle w:val="BodyText"/>
        <w:ind w:left="243"/>
      </w:pPr>
      <w:r>
        <w:rPr>
          <w:spacing w:val="-8"/>
        </w:rPr>
        <w:t>败血症引起的 </w:t>
      </w:r>
      <w:r>
        <w:rPr>
          <w:spacing w:val="-2"/>
        </w:rPr>
        <w:t>MODS</w:t>
      </w:r>
      <w:r>
        <w:rPr>
          <w:spacing w:val="-10"/>
        </w:rPr>
        <w:t> 的诊断应由专科医生证实。</w:t>
      </w:r>
    </w:p>
    <w:p>
      <w:pPr>
        <w:pStyle w:val="BodyText"/>
        <w:spacing w:before="4"/>
        <w:rPr>
          <w:sz w:val="15"/>
        </w:rPr>
      </w:pPr>
    </w:p>
    <w:p>
      <w:pPr>
        <w:pStyle w:val="BodyText"/>
        <w:ind w:left="243"/>
      </w:pPr>
      <w:r>
        <w:rPr>
          <w:spacing w:val="-8"/>
        </w:rPr>
        <w:t>非败血症引起的 </w:t>
      </w:r>
      <w:r>
        <w:rPr>
          <w:spacing w:val="-2"/>
        </w:rPr>
        <w:t>MODS</w:t>
      </w:r>
      <w:r>
        <w:rPr>
          <w:spacing w:val="-10"/>
        </w:rPr>
        <w:t> 不在保障范围内</w:t>
      </w:r>
    </w:p>
    <w:p>
      <w:pPr>
        <w:spacing w:after="0"/>
        <w:sectPr>
          <w:type w:val="continuous"/>
          <w:pgSz w:w="11910" w:h="16840"/>
          <w:pgMar w:header="0" w:footer="226" w:top="240" w:bottom="420" w:left="980" w:right="400"/>
          <w:cols w:num="2" w:equalWidth="0">
            <w:col w:w="3179" w:space="40"/>
            <w:col w:w="7311"/>
          </w:cols>
        </w:sectPr>
      </w:pPr>
    </w:p>
    <w:p>
      <w:pPr>
        <w:pStyle w:val="BodyText"/>
        <w:spacing w:before="4"/>
        <w:rPr>
          <w:sz w:val="23"/>
        </w:rPr>
      </w:pPr>
    </w:p>
    <w:p>
      <w:pPr>
        <w:spacing w:after="0"/>
        <w:rPr>
          <w:sz w:val="23"/>
        </w:rPr>
        <w:sectPr>
          <w:type w:val="continuous"/>
          <w:pgSz w:w="11910" w:h="16840"/>
          <w:pgMar w:header="0" w:footer="226" w:top="240" w:bottom="420" w:left="980" w:right="400"/>
        </w:sectPr>
      </w:pPr>
    </w:p>
    <w:p>
      <w:pPr>
        <w:pStyle w:val="Heading2"/>
        <w:numPr>
          <w:ilvl w:val="0"/>
          <w:numId w:val="15"/>
        </w:numPr>
        <w:tabs>
          <w:tab w:pos="2334" w:val="left" w:leader="none"/>
        </w:tabs>
        <w:spacing w:line="196" w:lineRule="auto" w:before="52" w:after="0"/>
        <w:ind w:left="1910" w:right="0" w:firstLine="0"/>
        <w:jc w:val="left"/>
      </w:pPr>
      <w:r>
        <w:rPr>
          <w:spacing w:val="-4"/>
        </w:rPr>
        <w:t>臂动脉型</w:t>
      </w:r>
      <w:r>
        <w:rPr>
          <w:spacing w:val="-2"/>
        </w:rPr>
        <w:t>多发性大动脉</w:t>
      </w:r>
    </w:p>
    <w:p>
      <w:pPr>
        <w:pStyle w:val="BodyText"/>
        <w:spacing w:before="71"/>
        <w:ind w:left="243"/>
      </w:pPr>
      <w:r>
        <w:rPr/>
        <w:br w:type="column"/>
      </w:r>
      <w:r>
        <w:rPr>
          <w:spacing w:val="-3"/>
        </w:rPr>
        <w:t>头臂动脉型多发性大动脉炎旁路移植手术：多发性大动脉炎</w:t>
      </w:r>
    </w:p>
    <w:p>
      <w:pPr>
        <w:pStyle w:val="BodyText"/>
        <w:spacing w:before="48"/>
        <w:ind w:left="243"/>
      </w:pPr>
      <w:r>
        <w:rPr>
          <w:spacing w:val="-2"/>
        </w:rPr>
        <w:t>（高安氏动脉炎）</w:t>
      </w:r>
      <w:r>
        <w:rPr>
          <w:spacing w:val="-3"/>
        </w:rPr>
        <w:t>是一种发生在主动脉和其主要分支的慢性</w:t>
      </w:r>
    </w:p>
    <w:p>
      <w:pPr>
        <w:spacing w:after="0"/>
        <w:sectPr>
          <w:type w:val="continuous"/>
          <w:pgSz w:w="11910" w:h="16840"/>
          <w:pgMar w:header="0" w:footer="226" w:top="240" w:bottom="420" w:left="980" w:right="400"/>
          <w:cols w:num="2" w:equalWidth="0">
            <w:col w:w="3179" w:space="40"/>
            <w:col w:w="7311"/>
          </w:cols>
        </w:sectPr>
      </w:pPr>
    </w:p>
    <w:p>
      <w:pPr>
        <w:pStyle w:val="Heading2"/>
        <w:spacing w:line="194" w:lineRule="auto" w:before="41"/>
      </w:pPr>
      <w:r>
        <w:rPr>
          <w:spacing w:val="-2"/>
        </w:rPr>
        <w:t>炎旁路移植手</w:t>
      </w:r>
      <w:r>
        <w:rPr>
          <w:spacing w:val="-10"/>
        </w:rPr>
        <w:t>术</w:t>
      </w:r>
    </w:p>
    <w:p>
      <w:pPr>
        <w:pStyle w:val="BodyText"/>
        <w:spacing w:line="278" w:lineRule="auto" w:before="57"/>
        <w:ind w:left="244" w:right="1597"/>
      </w:pPr>
      <w:r>
        <w:rPr/>
        <w:br w:type="column"/>
      </w:r>
      <w:r>
        <w:rPr>
          <w:spacing w:val="-2"/>
        </w:rPr>
        <w:t>炎症性动脉疾病，表现为受累动脉狭窄或闭塞。头臂动脉型</w:t>
      </w:r>
      <w:r>
        <w:rPr/>
        <w:t>多发性大动脉炎是指多发性大动脉炎头臂动脉型（</w:t>
      </w:r>
      <w:r>
        <w:rPr>
          <w:rFonts w:ascii="Calibri" w:eastAsia="Calibri"/>
        </w:rPr>
        <w:t>I </w:t>
      </w:r>
      <w:r>
        <w:rPr/>
        <w:t>型），</w:t>
      </w:r>
      <w:r>
        <w:rPr>
          <w:spacing w:val="-2"/>
        </w:rPr>
        <w:t>又称为无脉症。被保险人被明确诊断为头臂动脉型多发性大</w:t>
      </w:r>
      <w:r>
        <w:rPr>
          <w:spacing w:val="-2"/>
        </w:rPr>
        <w:t>动脉炎并且实际接受了经胸部切开进行的无名动脉（头臂</w:t>
      </w:r>
      <w:r>
        <w:rPr/>
        <w:t> </w:t>
      </w:r>
      <w:r>
        <w:rPr>
          <w:spacing w:val="-2"/>
        </w:rPr>
        <w:t>干）、颈总动脉、锁骨下动脉旁路移植手术。</w:t>
      </w:r>
    </w:p>
    <w:p>
      <w:pPr>
        <w:pStyle w:val="BodyText"/>
        <w:spacing w:line="278" w:lineRule="auto" w:before="154"/>
        <w:ind w:left="244" w:right="1597"/>
        <w:jc w:val="both"/>
      </w:pPr>
      <w:r>
        <w:rPr>
          <w:spacing w:val="-2"/>
        </w:rPr>
        <w:t>非开胸的血管旁路移植手术、因其他病因而进行的旁路移植</w:t>
      </w:r>
      <w:r>
        <w:rPr>
          <w:spacing w:val="-2"/>
        </w:rPr>
        <w:t>手术，对其他动脉进行的旁路移植手术，经皮经导管进行的</w:t>
      </w:r>
      <w:r>
        <w:rPr>
          <w:spacing w:val="-2"/>
        </w:rPr>
        <w:t>血管内手术不在本保障范围内。</w:t>
      </w:r>
    </w:p>
    <w:p>
      <w:pPr>
        <w:spacing w:after="0" w:line="278" w:lineRule="auto"/>
        <w:jc w:val="both"/>
        <w:sectPr>
          <w:pgSz w:w="11910" w:h="16840"/>
          <w:pgMar w:header="0" w:footer="226" w:top="660" w:bottom="420" w:left="980" w:right="400"/>
          <w:cols w:num="2" w:equalWidth="0">
            <w:col w:w="3178" w:space="40"/>
            <w:col w:w="7312"/>
          </w:cols>
        </w:sectPr>
      </w:pPr>
    </w:p>
    <w:p>
      <w:pPr>
        <w:pStyle w:val="BodyText"/>
        <w:spacing w:before="11"/>
        <w:rPr>
          <w:sz w:val="19"/>
        </w:rPr>
      </w:pPr>
    </w:p>
    <w:p>
      <w:pPr>
        <w:spacing w:after="0"/>
        <w:rPr>
          <w:sz w:val="19"/>
        </w:rPr>
        <w:sectPr>
          <w:type w:val="continuous"/>
          <w:pgSz w:w="11910" w:h="16840"/>
          <w:pgMar w:header="0" w:footer="226" w:top="240" w:bottom="420" w:left="980" w:right="400"/>
        </w:sectPr>
      </w:pPr>
    </w:p>
    <w:p>
      <w:pPr>
        <w:pStyle w:val="Heading2"/>
        <w:numPr>
          <w:ilvl w:val="0"/>
          <w:numId w:val="15"/>
        </w:numPr>
        <w:tabs>
          <w:tab w:pos="2334" w:val="left" w:leader="none"/>
        </w:tabs>
        <w:spacing w:line="194" w:lineRule="auto" w:before="55" w:after="0"/>
        <w:ind w:left="1910" w:right="0" w:firstLine="0"/>
        <w:jc w:val="left"/>
      </w:pPr>
      <w:r>
        <w:rPr>
          <w:spacing w:val="-4"/>
        </w:rPr>
        <w:t>范可尼综</w:t>
      </w:r>
      <w:r>
        <w:rPr>
          <w:spacing w:val="-6"/>
        </w:rPr>
        <w:t>合征</w:t>
      </w:r>
    </w:p>
    <w:p>
      <w:pPr>
        <w:pStyle w:val="BodyText"/>
        <w:spacing w:line="278" w:lineRule="auto" w:before="72"/>
        <w:ind w:left="243" w:right="1597"/>
      </w:pPr>
      <w:r>
        <w:rPr/>
        <w:br w:type="column"/>
      </w:r>
      <w:r>
        <w:rPr>
          <w:spacing w:val="-2"/>
        </w:rPr>
        <w:t>指近端肾小管的功能异常引起的一组症候群。须满足下列至</w:t>
      </w:r>
      <w:r>
        <w:rPr>
          <w:spacing w:val="-2"/>
        </w:rPr>
        <w:t>少两个条件：</w:t>
      </w:r>
    </w:p>
    <w:p>
      <w:pPr>
        <w:pStyle w:val="ListParagraph"/>
        <w:numPr>
          <w:ilvl w:val="0"/>
          <w:numId w:val="56"/>
        </w:numPr>
        <w:tabs>
          <w:tab w:pos="773" w:val="left" w:leader="none"/>
        </w:tabs>
        <w:spacing w:line="240" w:lineRule="auto" w:before="153" w:after="0"/>
        <w:ind w:left="772" w:right="0" w:hanging="530"/>
        <w:jc w:val="left"/>
        <w:rPr>
          <w:sz w:val="21"/>
        </w:rPr>
      </w:pPr>
      <w:r>
        <w:rPr>
          <w:spacing w:val="-3"/>
          <w:sz w:val="21"/>
        </w:rPr>
        <w:t>尿液检查出现肾性糖尿、全氨基酸糖尿或磷酸盐尿；</w:t>
      </w:r>
    </w:p>
    <w:p>
      <w:pPr>
        <w:pStyle w:val="ListParagraph"/>
        <w:numPr>
          <w:ilvl w:val="0"/>
          <w:numId w:val="56"/>
        </w:numPr>
        <w:tabs>
          <w:tab w:pos="773" w:val="left" w:leader="none"/>
        </w:tabs>
        <w:spacing w:line="278" w:lineRule="auto" w:before="48" w:after="0"/>
        <w:ind w:left="243" w:right="1703" w:firstLine="0"/>
        <w:jc w:val="left"/>
        <w:rPr>
          <w:sz w:val="21"/>
        </w:rPr>
      </w:pPr>
      <w:r>
        <w:rPr>
          <w:spacing w:val="-2"/>
          <w:sz w:val="21"/>
        </w:rPr>
        <w:t>血液检查出现低磷血症、低尿酸血症或近端肾小管酸</w:t>
      </w:r>
      <w:r>
        <w:rPr>
          <w:spacing w:val="-4"/>
          <w:sz w:val="21"/>
        </w:rPr>
        <w:t>中毒；</w:t>
      </w:r>
    </w:p>
    <w:p>
      <w:pPr>
        <w:pStyle w:val="ListParagraph"/>
        <w:numPr>
          <w:ilvl w:val="0"/>
          <w:numId w:val="56"/>
        </w:numPr>
        <w:tabs>
          <w:tab w:pos="773" w:val="left" w:leader="none"/>
        </w:tabs>
        <w:spacing w:line="240" w:lineRule="auto" w:before="0" w:after="0"/>
        <w:ind w:left="772" w:right="0" w:hanging="530"/>
        <w:jc w:val="left"/>
        <w:rPr>
          <w:sz w:val="21"/>
        </w:rPr>
      </w:pPr>
      <w:r>
        <w:rPr>
          <w:spacing w:val="-3"/>
          <w:sz w:val="21"/>
        </w:rPr>
        <w:t>出现骨质疏松、骨骼畸形或尿路结石；</w:t>
      </w:r>
    </w:p>
    <w:p>
      <w:pPr>
        <w:pStyle w:val="ListParagraph"/>
        <w:numPr>
          <w:ilvl w:val="0"/>
          <w:numId w:val="56"/>
        </w:numPr>
        <w:tabs>
          <w:tab w:pos="773" w:val="left" w:leader="none"/>
        </w:tabs>
        <w:spacing w:line="278" w:lineRule="auto" w:before="43" w:after="0"/>
        <w:ind w:left="243" w:right="1703" w:firstLine="0"/>
        <w:jc w:val="left"/>
        <w:rPr>
          <w:sz w:val="21"/>
        </w:rPr>
      </w:pPr>
      <w:r>
        <w:rPr>
          <w:spacing w:val="-2"/>
          <w:sz w:val="21"/>
        </w:rPr>
        <w:t>通过骨髓片、白细胞、直肠黏膜中的结晶分析或裂隙</w:t>
      </w:r>
      <w:r>
        <w:rPr>
          <w:spacing w:val="-2"/>
          <w:sz w:val="21"/>
        </w:rPr>
        <w:t>灯检查角膜有胱氨酸结晶。</w:t>
      </w:r>
    </w:p>
    <w:p>
      <w:pPr>
        <w:spacing w:after="0" w:line="278" w:lineRule="auto"/>
        <w:jc w:val="left"/>
        <w:rPr>
          <w:sz w:val="21"/>
        </w:rPr>
        <w:sectPr>
          <w:type w:val="continuous"/>
          <w:pgSz w:w="11910" w:h="16840"/>
          <w:pgMar w:header="0" w:footer="226" w:top="240" w:bottom="420" w:left="980" w:right="400"/>
          <w:cols w:num="2" w:equalWidth="0">
            <w:col w:w="3179" w:space="40"/>
            <w:col w:w="7311"/>
          </w:cols>
        </w:sectPr>
      </w:pPr>
    </w:p>
    <w:p>
      <w:pPr>
        <w:pStyle w:val="BodyText"/>
        <w:spacing w:before="11"/>
        <w:rPr>
          <w:sz w:val="25"/>
        </w:rPr>
      </w:pPr>
    </w:p>
    <w:p>
      <w:pPr>
        <w:spacing w:after="0"/>
        <w:rPr>
          <w:sz w:val="25"/>
        </w:rPr>
        <w:sectPr>
          <w:type w:val="continuous"/>
          <w:pgSz w:w="11910" w:h="16840"/>
          <w:pgMar w:header="0" w:footer="226" w:top="240" w:bottom="420" w:left="980" w:right="400"/>
        </w:sectPr>
      </w:pPr>
    </w:p>
    <w:p>
      <w:pPr>
        <w:pStyle w:val="Heading2"/>
        <w:numPr>
          <w:ilvl w:val="0"/>
          <w:numId w:val="15"/>
        </w:numPr>
        <w:tabs>
          <w:tab w:pos="2334" w:val="left" w:leader="none"/>
        </w:tabs>
        <w:spacing w:line="194" w:lineRule="auto" w:before="56" w:after="0"/>
        <w:ind w:left="1910" w:right="0" w:firstLine="0"/>
        <w:jc w:val="left"/>
      </w:pPr>
      <w:r>
        <w:rPr>
          <w:spacing w:val="-2"/>
          <w:w w:val="55"/>
        </w:rPr>
        <w:t>Brugada</w:t>
      </w:r>
      <w:r>
        <w:rPr>
          <w:spacing w:val="-2"/>
          <w:w w:val="55"/>
        </w:rPr>
        <w:t>综</w:t>
      </w:r>
      <w:r>
        <w:rPr>
          <w:spacing w:val="-2"/>
          <w:w w:val="55"/>
        </w:rPr>
        <w:t>合</w:t>
      </w:r>
      <w:r>
        <w:rPr>
          <w:spacing w:val="-10"/>
        </w:rPr>
        <w:t>征</w:t>
      </w:r>
    </w:p>
    <w:p>
      <w:pPr>
        <w:pStyle w:val="BodyText"/>
        <w:spacing w:line="278" w:lineRule="auto" w:before="72"/>
        <w:ind w:left="349" w:right="1597"/>
      </w:pPr>
      <w:r>
        <w:rPr/>
        <w:br w:type="column"/>
      </w:r>
      <w:r>
        <w:rPr>
          <w:spacing w:val="-2"/>
        </w:rPr>
        <w:t>由心脏科专科医生根据临床症状和典型心电图表现明确诊</w:t>
      </w:r>
      <w:r>
        <w:rPr>
          <w:spacing w:val="-2"/>
        </w:rPr>
        <w:t> </w:t>
      </w:r>
      <w:r>
        <w:rPr>
          <w:spacing w:val="-5"/>
        </w:rPr>
        <w:t>断, 并且经专科医生判断认为必须安装且实际已安装了永久</w:t>
      </w:r>
      <w:r>
        <w:rPr>
          <w:spacing w:val="-2"/>
        </w:rPr>
        <w:t>性心脏除颤器。</w:t>
      </w:r>
    </w:p>
    <w:p>
      <w:pPr>
        <w:spacing w:after="0" w:line="278" w:lineRule="auto"/>
        <w:sectPr>
          <w:type w:val="continuous"/>
          <w:pgSz w:w="11910" w:h="16840"/>
          <w:pgMar w:header="0" w:footer="226" w:top="240" w:bottom="420" w:left="980" w:right="400"/>
          <w:cols w:num="2" w:equalWidth="0">
            <w:col w:w="3073" w:space="40"/>
            <w:col w:w="7417"/>
          </w:cols>
        </w:sectPr>
      </w:pPr>
    </w:p>
    <w:p>
      <w:pPr>
        <w:pStyle w:val="BodyText"/>
      </w:pPr>
    </w:p>
    <w:p>
      <w:pPr>
        <w:tabs>
          <w:tab w:pos="1910" w:val="left" w:leader="none"/>
          <w:tab w:pos="3461" w:val="left" w:leader="none"/>
        </w:tabs>
        <w:spacing w:before="3"/>
        <w:ind w:left="926" w:right="0" w:firstLine="0"/>
        <w:jc w:val="left"/>
        <w:rPr>
          <w:sz w:val="21"/>
        </w:rPr>
      </w:pPr>
      <w:r>
        <w:rPr>
          <w:rFonts w:ascii="Microsoft JhengHei" w:eastAsia="Microsoft JhengHei"/>
          <w:b/>
          <w:spacing w:val="-5"/>
          <w:sz w:val="21"/>
        </w:rPr>
        <w:t>9.2</w:t>
      </w:r>
      <w:r>
        <w:rPr>
          <w:rFonts w:ascii="Microsoft JhengHei" w:eastAsia="Microsoft JhengHei"/>
          <w:b/>
          <w:sz w:val="21"/>
        </w:rPr>
        <w:tab/>
        <w:t>重度疾病分</w:t>
      </w:r>
      <w:r>
        <w:rPr>
          <w:rFonts w:ascii="Microsoft JhengHei" w:eastAsia="Microsoft JhengHei"/>
          <w:b/>
          <w:spacing w:val="-10"/>
          <w:sz w:val="21"/>
        </w:rPr>
        <w:t>组</w:t>
      </w:r>
      <w:r>
        <w:rPr>
          <w:rFonts w:ascii="Microsoft JhengHei" w:eastAsia="Microsoft JhengHei"/>
          <w:b/>
          <w:sz w:val="21"/>
        </w:rPr>
        <w:tab/>
      </w:r>
      <w:r>
        <w:rPr>
          <w:spacing w:val="-2"/>
          <w:sz w:val="21"/>
        </w:rPr>
        <w:t>本</w:t>
      </w:r>
      <w:r>
        <w:rPr>
          <w:spacing w:val="-2"/>
          <w:sz w:val="21"/>
        </w:rPr>
        <w:t>合</w:t>
      </w:r>
      <w:r>
        <w:rPr>
          <w:spacing w:val="-2"/>
          <w:sz w:val="21"/>
        </w:rPr>
        <w:t>同</w:t>
      </w:r>
      <w:r>
        <w:rPr>
          <w:spacing w:val="-2"/>
          <w:sz w:val="21"/>
        </w:rPr>
        <w:t>所</w:t>
      </w:r>
      <w:r>
        <w:rPr>
          <w:spacing w:val="-2"/>
          <w:sz w:val="21"/>
        </w:rPr>
        <w:t>指</w:t>
      </w:r>
      <w:r>
        <w:rPr>
          <w:spacing w:val="-2"/>
          <w:sz w:val="21"/>
        </w:rPr>
        <w:t>的</w:t>
      </w:r>
      <w:r>
        <w:rPr>
          <w:spacing w:val="-2"/>
          <w:sz w:val="21"/>
        </w:rPr>
        <w:t>重</w:t>
      </w:r>
      <w:r>
        <w:rPr>
          <w:spacing w:val="-2"/>
          <w:sz w:val="21"/>
        </w:rPr>
        <w:t>度</w:t>
      </w:r>
      <w:r>
        <w:rPr>
          <w:spacing w:val="-2"/>
          <w:sz w:val="21"/>
        </w:rPr>
        <w:t>疾</w:t>
      </w:r>
      <w:r>
        <w:rPr>
          <w:spacing w:val="-2"/>
          <w:sz w:val="21"/>
        </w:rPr>
        <w:t>病</w:t>
      </w:r>
      <w:r>
        <w:rPr>
          <w:spacing w:val="-2"/>
          <w:sz w:val="21"/>
        </w:rPr>
        <w:t>分</w:t>
      </w:r>
      <w:r>
        <w:rPr>
          <w:spacing w:val="-2"/>
          <w:sz w:val="21"/>
        </w:rPr>
        <w:t>为</w:t>
      </w:r>
      <w:r>
        <w:rPr>
          <w:spacing w:val="-2"/>
          <w:sz w:val="21"/>
        </w:rPr>
        <w:t>六</w:t>
      </w:r>
      <w:r>
        <w:rPr>
          <w:spacing w:val="-2"/>
          <w:sz w:val="21"/>
        </w:rPr>
        <w:t>组</w:t>
      </w:r>
      <w:r>
        <w:rPr>
          <w:spacing w:val="-2"/>
          <w:sz w:val="21"/>
        </w:rPr>
        <w:t>，</w:t>
      </w:r>
      <w:r>
        <w:rPr>
          <w:spacing w:val="-2"/>
          <w:sz w:val="21"/>
        </w:rPr>
        <w:t>具</w:t>
      </w:r>
      <w:r>
        <w:rPr>
          <w:spacing w:val="-2"/>
          <w:sz w:val="21"/>
        </w:rPr>
        <w:t>体</w:t>
      </w:r>
      <w:r>
        <w:rPr>
          <w:spacing w:val="-2"/>
          <w:sz w:val="21"/>
        </w:rPr>
        <w:t>疾</w:t>
      </w:r>
      <w:r>
        <w:rPr>
          <w:spacing w:val="-2"/>
          <w:sz w:val="21"/>
        </w:rPr>
        <w:t>病</w:t>
      </w:r>
      <w:r>
        <w:rPr>
          <w:spacing w:val="-2"/>
          <w:sz w:val="21"/>
        </w:rPr>
        <w:t>分</w:t>
      </w:r>
      <w:r>
        <w:rPr>
          <w:spacing w:val="-2"/>
          <w:sz w:val="21"/>
        </w:rPr>
        <w:t>组情况</w:t>
      </w:r>
      <w:r>
        <w:rPr>
          <w:spacing w:val="-2"/>
          <w:sz w:val="21"/>
        </w:rPr>
        <w:t>如</w:t>
      </w:r>
      <w:r>
        <w:rPr>
          <w:spacing w:val="-2"/>
          <w:sz w:val="21"/>
        </w:rPr>
        <w:t>下</w:t>
      </w:r>
      <w:r>
        <w:rPr>
          <w:spacing w:val="-10"/>
          <w:sz w:val="21"/>
        </w:rPr>
        <w:t>：</w:t>
      </w:r>
    </w:p>
    <w:p>
      <w:pPr>
        <w:pStyle w:val="BodyText"/>
        <w:spacing w:before="9"/>
        <w:rPr>
          <w:sz w:val="19"/>
        </w:rPr>
      </w:pPr>
    </w:p>
    <w:p>
      <w:pPr>
        <w:tabs>
          <w:tab w:pos="3461" w:val="left" w:leader="none"/>
        </w:tabs>
        <w:spacing w:line="384" w:lineRule="exact" w:before="0"/>
        <w:ind w:left="1910" w:right="0" w:firstLine="0"/>
        <w:jc w:val="left"/>
        <w:rPr>
          <w:sz w:val="21"/>
        </w:rPr>
      </w:pPr>
      <w:r>
        <w:rPr>
          <w:rFonts w:ascii="Microsoft JhengHei" w:hAnsi="Microsoft JhengHei" w:eastAsia="Microsoft JhengHei"/>
          <w:b/>
          <w:sz w:val="21"/>
        </w:rPr>
        <w:t>第一</w:t>
      </w:r>
      <w:r>
        <w:rPr>
          <w:rFonts w:ascii="Microsoft JhengHei" w:hAnsi="Microsoft JhengHei" w:eastAsia="Microsoft JhengHei"/>
          <w:b/>
          <w:spacing w:val="-10"/>
          <w:sz w:val="21"/>
        </w:rPr>
        <w:t>组</w:t>
      </w:r>
      <w:r>
        <w:rPr>
          <w:rFonts w:ascii="Microsoft JhengHei" w:hAnsi="Microsoft JhengHei" w:eastAsia="Microsoft JhengHei"/>
          <w:b/>
          <w:sz w:val="21"/>
        </w:rPr>
        <w:tab/>
      </w:r>
      <w:r>
        <w:rPr>
          <w:sz w:val="21"/>
        </w:rPr>
        <w:t>1.</w:t>
      </w:r>
      <w:r>
        <w:rPr>
          <w:spacing w:val="-5"/>
          <w:sz w:val="21"/>
        </w:rPr>
        <w:t> </w:t>
      </w:r>
      <w:r>
        <w:rPr>
          <w:sz w:val="21"/>
        </w:rPr>
        <w:t>恶性肿瘤——重</w:t>
      </w:r>
      <w:r>
        <w:rPr>
          <w:spacing w:val="-10"/>
          <w:sz w:val="21"/>
        </w:rPr>
        <w:t>度</w:t>
      </w:r>
    </w:p>
    <w:p>
      <w:pPr>
        <w:pStyle w:val="ListParagraph"/>
        <w:numPr>
          <w:ilvl w:val="0"/>
          <w:numId w:val="57"/>
        </w:numPr>
        <w:tabs>
          <w:tab w:pos="3779" w:val="left" w:leader="none"/>
        </w:tabs>
        <w:spacing w:line="267" w:lineRule="exact" w:before="0" w:after="0"/>
        <w:ind w:left="3778" w:right="0" w:hanging="317"/>
        <w:jc w:val="left"/>
        <w:rPr>
          <w:sz w:val="21"/>
        </w:rPr>
      </w:pPr>
      <w:r>
        <w:rPr>
          <w:spacing w:val="-2"/>
          <w:sz w:val="21"/>
        </w:rPr>
        <w:t>侵蚀性葡萄胎（或称恶性葡萄胎</w:t>
      </w:r>
      <w:r>
        <w:rPr>
          <w:spacing w:val="-10"/>
          <w:sz w:val="21"/>
        </w:rPr>
        <w:t>）</w:t>
      </w:r>
    </w:p>
    <w:p>
      <w:pPr>
        <w:pStyle w:val="ListParagraph"/>
        <w:numPr>
          <w:ilvl w:val="0"/>
          <w:numId w:val="57"/>
        </w:numPr>
        <w:tabs>
          <w:tab w:pos="3779" w:val="left" w:leader="none"/>
        </w:tabs>
        <w:spacing w:line="240" w:lineRule="auto" w:before="43" w:after="0"/>
        <w:ind w:left="3778" w:right="0" w:hanging="317"/>
        <w:jc w:val="left"/>
        <w:rPr>
          <w:sz w:val="21"/>
        </w:rPr>
      </w:pPr>
      <w:r>
        <w:rPr>
          <w:spacing w:val="-4"/>
          <w:sz w:val="21"/>
        </w:rPr>
        <w:t>原发性骨髓纤维化</w:t>
      </w:r>
    </w:p>
    <w:p>
      <w:pPr>
        <w:pStyle w:val="ListParagraph"/>
        <w:numPr>
          <w:ilvl w:val="0"/>
          <w:numId w:val="57"/>
        </w:numPr>
        <w:tabs>
          <w:tab w:pos="3779" w:val="left" w:leader="none"/>
        </w:tabs>
        <w:spacing w:line="240" w:lineRule="auto" w:before="43" w:after="0"/>
        <w:ind w:left="3778" w:right="0" w:hanging="317"/>
        <w:jc w:val="left"/>
        <w:rPr>
          <w:sz w:val="21"/>
        </w:rPr>
      </w:pPr>
      <w:r>
        <w:rPr>
          <w:spacing w:val="-3"/>
          <w:sz w:val="21"/>
        </w:rPr>
        <w:t>严重骨髓异常增生综合征</w:t>
      </w:r>
    </w:p>
    <w:p>
      <w:pPr>
        <w:pStyle w:val="ListParagraph"/>
        <w:numPr>
          <w:ilvl w:val="0"/>
          <w:numId w:val="57"/>
        </w:numPr>
        <w:tabs>
          <w:tab w:pos="3779" w:val="left" w:leader="none"/>
        </w:tabs>
        <w:spacing w:line="240" w:lineRule="auto" w:before="43" w:after="0"/>
        <w:ind w:left="3778" w:right="0" w:hanging="317"/>
        <w:jc w:val="left"/>
        <w:rPr>
          <w:sz w:val="21"/>
        </w:rPr>
      </w:pPr>
      <w:r>
        <w:rPr>
          <w:spacing w:val="-8"/>
          <w:sz w:val="21"/>
        </w:rPr>
        <w:t>器官移植导致的 </w:t>
      </w:r>
      <w:r>
        <w:rPr>
          <w:spacing w:val="-2"/>
          <w:sz w:val="21"/>
        </w:rPr>
        <w:t>HIV</w:t>
      </w:r>
      <w:r>
        <w:rPr>
          <w:spacing w:val="-20"/>
          <w:sz w:val="21"/>
        </w:rPr>
        <w:t> 感染</w:t>
      </w:r>
    </w:p>
    <w:p>
      <w:pPr>
        <w:pStyle w:val="ListParagraph"/>
        <w:numPr>
          <w:ilvl w:val="0"/>
          <w:numId w:val="57"/>
        </w:numPr>
        <w:tabs>
          <w:tab w:pos="3779" w:val="left" w:leader="none"/>
        </w:tabs>
        <w:spacing w:line="240" w:lineRule="auto" w:before="43" w:after="0"/>
        <w:ind w:left="3778" w:right="0" w:hanging="317"/>
        <w:jc w:val="left"/>
        <w:rPr>
          <w:sz w:val="21"/>
        </w:rPr>
      </w:pPr>
      <w:r>
        <w:rPr>
          <w:spacing w:val="-9"/>
          <w:sz w:val="21"/>
        </w:rPr>
        <w:t>经输血导致的 </w:t>
      </w:r>
      <w:r>
        <w:rPr>
          <w:spacing w:val="-2"/>
          <w:sz w:val="21"/>
        </w:rPr>
        <w:t>HIV</w:t>
      </w:r>
      <w:r>
        <w:rPr>
          <w:spacing w:val="-21"/>
          <w:sz w:val="21"/>
        </w:rPr>
        <w:t> 感染</w:t>
      </w:r>
    </w:p>
    <w:p>
      <w:pPr>
        <w:pStyle w:val="ListParagraph"/>
        <w:numPr>
          <w:ilvl w:val="0"/>
          <w:numId w:val="57"/>
        </w:numPr>
        <w:tabs>
          <w:tab w:pos="3779" w:val="left" w:leader="none"/>
        </w:tabs>
        <w:spacing w:line="240" w:lineRule="auto" w:before="43" w:after="0"/>
        <w:ind w:left="3778" w:right="0" w:hanging="317"/>
        <w:jc w:val="left"/>
        <w:rPr>
          <w:sz w:val="21"/>
        </w:rPr>
      </w:pPr>
      <w:r>
        <w:rPr>
          <w:spacing w:val="-7"/>
          <w:sz w:val="21"/>
        </w:rPr>
        <w:t>因职业关系导致的 </w:t>
      </w:r>
      <w:r>
        <w:rPr>
          <w:spacing w:val="-2"/>
          <w:sz w:val="21"/>
        </w:rPr>
        <w:t>HIV</w:t>
      </w:r>
      <w:r>
        <w:rPr>
          <w:spacing w:val="-20"/>
          <w:sz w:val="21"/>
        </w:rPr>
        <w:t> 感染</w:t>
      </w:r>
    </w:p>
    <w:p>
      <w:pPr>
        <w:pStyle w:val="BodyText"/>
        <w:spacing w:before="5"/>
        <w:rPr>
          <w:sz w:val="23"/>
        </w:rPr>
      </w:pPr>
    </w:p>
    <w:p>
      <w:pPr>
        <w:tabs>
          <w:tab w:pos="3461" w:val="left" w:leader="none"/>
        </w:tabs>
        <w:spacing w:line="384" w:lineRule="exact" w:before="0"/>
        <w:ind w:left="1910" w:right="0" w:firstLine="0"/>
        <w:jc w:val="left"/>
        <w:rPr>
          <w:sz w:val="21"/>
        </w:rPr>
      </w:pPr>
      <w:r>
        <w:rPr>
          <w:rFonts w:ascii="Microsoft JhengHei" w:eastAsia="Microsoft JhengHei"/>
          <w:b/>
          <w:sz w:val="21"/>
        </w:rPr>
        <w:t>第二</w:t>
      </w:r>
      <w:r>
        <w:rPr>
          <w:rFonts w:ascii="Microsoft JhengHei" w:eastAsia="Microsoft JhengHei"/>
          <w:b/>
          <w:spacing w:val="-10"/>
          <w:sz w:val="21"/>
        </w:rPr>
        <w:t>组</w:t>
      </w:r>
      <w:r>
        <w:rPr>
          <w:rFonts w:ascii="Microsoft JhengHei" w:eastAsia="Microsoft JhengHei"/>
          <w:b/>
          <w:sz w:val="21"/>
        </w:rPr>
        <w:tab/>
      </w:r>
      <w:r>
        <w:rPr>
          <w:sz w:val="21"/>
        </w:rPr>
        <w:t>1.</w:t>
      </w:r>
      <w:r>
        <w:rPr>
          <w:spacing w:val="-5"/>
          <w:sz w:val="21"/>
        </w:rPr>
        <w:t> </w:t>
      </w:r>
      <w:r>
        <w:rPr>
          <w:sz w:val="21"/>
        </w:rPr>
        <w:t>较重急性</w:t>
      </w:r>
      <w:r>
        <w:rPr>
          <w:sz w:val="21"/>
        </w:rPr>
        <w:t>心肌梗</w:t>
      </w:r>
      <w:r>
        <w:rPr>
          <w:spacing w:val="-10"/>
          <w:sz w:val="21"/>
        </w:rPr>
        <w:t>死</w:t>
      </w:r>
    </w:p>
    <w:p>
      <w:pPr>
        <w:pStyle w:val="ListParagraph"/>
        <w:numPr>
          <w:ilvl w:val="0"/>
          <w:numId w:val="58"/>
        </w:numPr>
        <w:tabs>
          <w:tab w:pos="3779" w:val="left" w:leader="none"/>
        </w:tabs>
        <w:spacing w:line="267" w:lineRule="exact" w:before="0" w:after="0"/>
        <w:ind w:left="3778" w:right="0" w:hanging="317"/>
        <w:jc w:val="left"/>
        <w:rPr>
          <w:sz w:val="21"/>
        </w:rPr>
      </w:pPr>
      <w:r>
        <w:rPr>
          <w:spacing w:val="-2"/>
          <w:sz w:val="21"/>
        </w:rPr>
        <w:t>冠状动脉搭桥术（或称冠状动脉旁路移植术</w:t>
      </w:r>
      <w:r>
        <w:rPr>
          <w:spacing w:val="-10"/>
          <w:sz w:val="21"/>
        </w:rPr>
        <w:t>）</w:t>
      </w:r>
    </w:p>
    <w:p>
      <w:pPr>
        <w:pStyle w:val="ListParagraph"/>
        <w:numPr>
          <w:ilvl w:val="0"/>
          <w:numId w:val="58"/>
        </w:numPr>
        <w:tabs>
          <w:tab w:pos="3779" w:val="left" w:leader="none"/>
        </w:tabs>
        <w:spacing w:line="240" w:lineRule="auto" w:before="43" w:after="0"/>
        <w:ind w:left="3778" w:right="0" w:hanging="317"/>
        <w:jc w:val="left"/>
        <w:rPr>
          <w:sz w:val="21"/>
        </w:rPr>
      </w:pPr>
      <w:r>
        <w:rPr>
          <w:spacing w:val="-4"/>
          <w:sz w:val="21"/>
        </w:rPr>
        <w:t>心脏瓣膜手术</w:t>
      </w:r>
    </w:p>
    <w:p>
      <w:pPr>
        <w:pStyle w:val="ListParagraph"/>
        <w:numPr>
          <w:ilvl w:val="0"/>
          <w:numId w:val="58"/>
        </w:numPr>
        <w:tabs>
          <w:tab w:pos="3779" w:val="left" w:leader="none"/>
        </w:tabs>
        <w:spacing w:line="240" w:lineRule="auto" w:before="44" w:after="0"/>
        <w:ind w:left="3778" w:right="0" w:hanging="317"/>
        <w:jc w:val="left"/>
        <w:rPr>
          <w:sz w:val="21"/>
        </w:rPr>
      </w:pPr>
      <w:r>
        <w:rPr>
          <w:spacing w:val="-3"/>
          <w:sz w:val="21"/>
        </w:rPr>
        <w:t>严重特发性肺动脉高压</w:t>
      </w:r>
    </w:p>
    <w:p>
      <w:pPr>
        <w:pStyle w:val="ListParagraph"/>
        <w:numPr>
          <w:ilvl w:val="0"/>
          <w:numId w:val="58"/>
        </w:numPr>
        <w:tabs>
          <w:tab w:pos="3779" w:val="left" w:leader="none"/>
        </w:tabs>
        <w:spacing w:line="240" w:lineRule="auto" w:before="43" w:after="0"/>
        <w:ind w:left="3778" w:right="0" w:hanging="317"/>
        <w:jc w:val="left"/>
        <w:rPr>
          <w:sz w:val="21"/>
        </w:rPr>
      </w:pPr>
      <w:r>
        <w:rPr>
          <w:spacing w:val="-4"/>
          <w:sz w:val="21"/>
        </w:rPr>
        <w:t>主动脉手术</w:t>
      </w:r>
    </w:p>
    <w:p>
      <w:pPr>
        <w:pStyle w:val="ListParagraph"/>
        <w:numPr>
          <w:ilvl w:val="0"/>
          <w:numId w:val="58"/>
        </w:numPr>
        <w:tabs>
          <w:tab w:pos="3779" w:val="left" w:leader="none"/>
        </w:tabs>
        <w:spacing w:line="240" w:lineRule="auto" w:before="43" w:after="0"/>
        <w:ind w:left="3778" w:right="0" w:hanging="317"/>
        <w:jc w:val="left"/>
        <w:rPr>
          <w:sz w:val="21"/>
        </w:rPr>
      </w:pPr>
      <w:r>
        <w:rPr>
          <w:spacing w:val="-4"/>
          <w:sz w:val="21"/>
        </w:rPr>
        <w:t>严重心肌炎</w:t>
      </w:r>
    </w:p>
    <w:p>
      <w:pPr>
        <w:pStyle w:val="ListParagraph"/>
        <w:numPr>
          <w:ilvl w:val="0"/>
          <w:numId w:val="58"/>
        </w:numPr>
        <w:tabs>
          <w:tab w:pos="3779" w:val="left" w:leader="none"/>
        </w:tabs>
        <w:spacing w:line="240" w:lineRule="auto" w:before="42" w:after="0"/>
        <w:ind w:left="3778" w:right="0" w:hanging="317"/>
        <w:jc w:val="left"/>
        <w:rPr>
          <w:sz w:val="21"/>
        </w:rPr>
      </w:pPr>
      <w:r>
        <w:rPr>
          <w:spacing w:val="-4"/>
          <w:sz w:val="21"/>
        </w:rPr>
        <w:t>肺源性心脏病</w:t>
      </w:r>
    </w:p>
    <w:p>
      <w:pPr>
        <w:pStyle w:val="ListParagraph"/>
        <w:numPr>
          <w:ilvl w:val="0"/>
          <w:numId w:val="58"/>
        </w:numPr>
        <w:tabs>
          <w:tab w:pos="3779" w:val="left" w:leader="none"/>
        </w:tabs>
        <w:spacing w:line="240" w:lineRule="auto" w:before="43" w:after="0"/>
        <w:ind w:left="3778" w:right="0" w:hanging="317"/>
        <w:jc w:val="left"/>
        <w:rPr>
          <w:sz w:val="21"/>
        </w:rPr>
      </w:pPr>
      <w:r>
        <w:rPr>
          <w:spacing w:val="-4"/>
          <w:sz w:val="21"/>
        </w:rPr>
        <w:t>感染性心内膜炎</w:t>
      </w:r>
    </w:p>
    <w:p>
      <w:pPr>
        <w:pStyle w:val="ListParagraph"/>
        <w:numPr>
          <w:ilvl w:val="0"/>
          <w:numId w:val="58"/>
        </w:numPr>
        <w:tabs>
          <w:tab w:pos="3779" w:val="left" w:leader="none"/>
        </w:tabs>
        <w:spacing w:line="240" w:lineRule="auto" w:before="44" w:after="0"/>
        <w:ind w:left="3778" w:right="0" w:hanging="317"/>
        <w:jc w:val="left"/>
        <w:rPr>
          <w:sz w:val="21"/>
        </w:rPr>
      </w:pPr>
      <w:r>
        <w:rPr>
          <w:spacing w:val="-3"/>
          <w:sz w:val="21"/>
        </w:rPr>
        <w:t>严重慢性缩窄性心包炎</w:t>
      </w:r>
    </w:p>
    <w:p>
      <w:pPr>
        <w:pStyle w:val="ListParagraph"/>
        <w:numPr>
          <w:ilvl w:val="0"/>
          <w:numId w:val="58"/>
        </w:numPr>
        <w:tabs>
          <w:tab w:pos="3885" w:val="left" w:leader="none"/>
        </w:tabs>
        <w:spacing w:line="240" w:lineRule="auto" w:before="43" w:after="0"/>
        <w:ind w:left="3884" w:right="0" w:hanging="423"/>
        <w:jc w:val="left"/>
        <w:rPr>
          <w:sz w:val="21"/>
        </w:rPr>
      </w:pPr>
      <w:r>
        <w:rPr>
          <w:spacing w:val="-4"/>
          <w:sz w:val="21"/>
        </w:rPr>
        <w:t>心脏粘液瘤</w:t>
      </w:r>
    </w:p>
    <w:p>
      <w:pPr>
        <w:pStyle w:val="ListParagraph"/>
        <w:numPr>
          <w:ilvl w:val="0"/>
          <w:numId w:val="58"/>
        </w:numPr>
        <w:tabs>
          <w:tab w:pos="3885" w:val="left" w:leader="none"/>
        </w:tabs>
        <w:spacing w:line="240" w:lineRule="auto" w:before="43" w:after="0"/>
        <w:ind w:left="3884" w:right="0" w:hanging="423"/>
        <w:jc w:val="left"/>
        <w:rPr>
          <w:sz w:val="21"/>
        </w:rPr>
      </w:pPr>
      <w:r>
        <w:rPr>
          <w:spacing w:val="-4"/>
          <w:sz w:val="21"/>
        </w:rPr>
        <w:t>艾森门格综合征</w:t>
      </w:r>
    </w:p>
    <w:p>
      <w:pPr>
        <w:pStyle w:val="ListParagraph"/>
        <w:numPr>
          <w:ilvl w:val="0"/>
          <w:numId w:val="58"/>
        </w:numPr>
        <w:tabs>
          <w:tab w:pos="3832" w:val="left" w:leader="none"/>
        </w:tabs>
        <w:spacing w:line="240" w:lineRule="auto" w:before="43" w:after="0"/>
        <w:ind w:left="3831" w:right="0" w:hanging="370"/>
        <w:jc w:val="left"/>
        <w:rPr>
          <w:sz w:val="21"/>
        </w:rPr>
      </w:pPr>
      <w:r>
        <w:rPr>
          <w:sz w:val="21"/>
        </w:rPr>
        <w:t>Brugada</w:t>
      </w:r>
      <w:r>
        <w:rPr>
          <w:spacing w:val="-18"/>
          <w:sz w:val="21"/>
        </w:rPr>
        <w:t> 综合征</w:t>
      </w:r>
    </w:p>
    <w:p>
      <w:pPr>
        <w:pStyle w:val="ListParagraph"/>
        <w:numPr>
          <w:ilvl w:val="0"/>
          <w:numId w:val="58"/>
        </w:numPr>
        <w:tabs>
          <w:tab w:pos="3885" w:val="left" w:leader="none"/>
        </w:tabs>
        <w:spacing w:line="240" w:lineRule="auto" w:before="43" w:after="0"/>
        <w:ind w:left="3884" w:right="0" w:hanging="423"/>
        <w:jc w:val="left"/>
        <w:rPr>
          <w:sz w:val="21"/>
        </w:rPr>
      </w:pPr>
      <w:r>
        <w:rPr>
          <w:spacing w:val="-3"/>
          <w:sz w:val="21"/>
        </w:rPr>
        <w:t>臂动脉型多发性大动脉炎旁路移植手术</w:t>
      </w:r>
    </w:p>
    <w:p>
      <w:pPr>
        <w:pStyle w:val="ListParagraph"/>
        <w:numPr>
          <w:ilvl w:val="0"/>
          <w:numId w:val="58"/>
        </w:numPr>
        <w:tabs>
          <w:tab w:pos="3885" w:val="left" w:leader="none"/>
        </w:tabs>
        <w:spacing w:line="240" w:lineRule="auto" w:before="43" w:after="0"/>
        <w:ind w:left="3884" w:right="0" w:hanging="423"/>
        <w:jc w:val="left"/>
        <w:rPr>
          <w:sz w:val="21"/>
        </w:rPr>
      </w:pPr>
      <w:r>
        <w:rPr>
          <w:spacing w:val="-4"/>
          <w:sz w:val="21"/>
        </w:rPr>
        <w:t>严重心肌病</w:t>
      </w:r>
    </w:p>
    <w:p>
      <w:pPr>
        <w:pStyle w:val="ListParagraph"/>
        <w:numPr>
          <w:ilvl w:val="0"/>
          <w:numId w:val="58"/>
        </w:numPr>
        <w:tabs>
          <w:tab w:pos="3885" w:val="left" w:leader="none"/>
        </w:tabs>
        <w:spacing w:line="240" w:lineRule="auto" w:before="43" w:after="0"/>
        <w:ind w:left="3884" w:right="0" w:hanging="423"/>
        <w:jc w:val="left"/>
        <w:rPr>
          <w:sz w:val="21"/>
        </w:rPr>
      </w:pPr>
      <w:r>
        <w:rPr>
          <w:spacing w:val="-4"/>
          <w:sz w:val="21"/>
        </w:rPr>
        <w:t>严重川崎病</w:t>
      </w:r>
    </w:p>
    <w:p>
      <w:pPr>
        <w:spacing w:after="0" w:line="240" w:lineRule="auto"/>
        <w:jc w:val="left"/>
        <w:rPr>
          <w:sz w:val="21"/>
        </w:rPr>
        <w:sectPr>
          <w:type w:val="continuous"/>
          <w:pgSz w:w="11910" w:h="16840"/>
          <w:pgMar w:header="0" w:footer="226" w:top="240" w:bottom="420" w:left="980" w:right="400"/>
        </w:sectPr>
      </w:pPr>
    </w:p>
    <w:p>
      <w:pPr>
        <w:pStyle w:val="ListParagraph"/>
        <w:numPr>
          <w:ilvl w:val="0"/>
          <w:numId w:val="58"/>
        </w:numPr>
        <w:tabs>
          <w:tab w:pos="3885" w:val="left" w:leader="none"/>
        </w:tabs>
        <w:spacing w:line="240" w:lineRule="auto" w:before="57" w:after="0"/>
        <w:ind w:left="3884" w:right="0" w:hanging="423"/>
        <w:jc w:val="left"/>
        <w:rPr>
          <w:sz w:val="21"/>
        </w:rPr>
      </w:pPr>
      <w:r>
        <w:rPr>
          <w:spacing w:val="-3"/>
          <w:sz w:val="21"/>
        </w:rPr>
        <w:t>严重冠状动脉粥样硬化性心脏病</w:t>
      </w:r>
    </w:p>
    <w:p>
      <w:pPr>
        <w:pStyle w:val="ListParagraph"/>
        <w:numPr>
          <w:ilvl w:val="0"/>
          <w:numId w:val="58"/>
        </w:numPr>
        <w:tabs>
          <w:tab w:pos="3885" w:val="left" w:leader="none"/>
        </w:tabs>
        <w:spacing w:line="240" w:lineRule="auto" w:before="43" w:after="0"/>
        <w:ind w:left="3884" w:right="0" w:hanging="423"/>
        <w:jc w:val="left"/>
        <w:rPr>
          <w:sz w:val="21"/>
        </w:rPr>
      </w:pPr>
      <w:r>
        <w:rPr>
          <w:spacing w:val="-4"/>
          <w:sz w:val="21"/>
        </w:rPr>
        <w:t>主动脉夹层血肿</w:t>
      </w:r>
    </w:p>
    <w:p>
      <w:pPr>
        <w:pStyle w:val="ListParagraph"/>
        <w:numPr>
          <w:ilvl w:val="0"/>
          <w:numId w:val="58"/>
        </w:numPr>
        <w:tabs>
          <w:tab w:pos="3885" w:val="left" w:leader="none"/>
        </w:tabs>
        <w:spacing w:line="240" w:lineRule="auto" w:before="43" w:after="0"/>
        <w:ind w:left="3884" w:right="0" w:hanging="423"/>
        <w:jc w:val="left"/>
        <w:rPr>
          <w:sz w:val="21"/>
        </w:rPr>
      </w:pPr>
      <w:r>
        <w:rPr>
          <w:spacing w:val="-3"/>
          <w:sz w:val="21"/>
        </w:rPr>
        <w:t>严重继发性肺动脉高压</w:t>
      </w:r>
    </w:p>
    <w:p>
      <w:pPr>
        <w:pStyle w:val="ListParagraph"/>
        <w:numPr>
          <w:ilvl w:val="0"/>
          <w:numId w:val="58"/>
        </w:numPr>
        <w:tabs>
          <w:tab w:pos="3885" w:val="left" w:leader="none"/>
        </w:tabs>
        <w:spacing w:line="240" w:lineRule="auto" w:before="43" w:after="0"/>
        <w:ind w:left="3884" w:right="0" w:hanging="423"/>
        <w:jc w:val="left"/>
        <w:rPr>
          <w:sz w:val="21"/>
        </w:rPr>
      </w:pPr>
      <w:r>
        <w:rPr>
          <w:spacing w:val="-4"/>
          <w:sz w:val="21"/>
        </w:rPr>
        <w:t>主动脉夹层瘤</w:t>
      </w:r>
    </w:p>
    <w:p>
      <w:pPr>
        <w:pStyle w:val="ListParagraph"/>
        <w:numPr>
          <w:ilvl w:val="0"/>
          <w:numId w:val="58"/>
        </w:numPr>
        <w:tabs>
          <w:tab w:pos="3885" w:val="left" w:leader="none"/>
        </w:tabs>
        <w:spacing w:line="240" w:lineRule="auto" w:before="43" w:after="0"/>
        <w:ind w:left="3884" w:right="0" w:hanging="423"/>
        <w:jc w:val="left"/>
        <w:rPr>
          <w:sz w:val="21"/>
        </w:rPr>
      </w:pPr>
      <w:r>
        <w:rPr>
          <w:spacing w:val="-4"/>
          <w:sz w:val="21"/>
        </w:rPr>
        <w:t>嗜铬细胞瘤</w:t>
      </w:r>
    </w:p>
    <w:p>
      <w:pPr>
        <w:pStyle w:val="BodyText"/>
        <w:spacing w:before="1"/>
        <w:rPr>
          <w:sz w:val="23"/>
        </w:rPr>
      </w:pPr>
    </w:p>
    <w:p>
      <w:pPr>
        <w:tabs>
          <w:tab w:pos="3461" w:val="left" w:leader="none"/>
        </w:tabs>
        <w:spacing w:before="0"/>
        <w:ind w:left="1910" w:right="0" w:firstLine="0"/>
        <w:jc w:val="left"/>
        <w:rPr>
          <w:sz w:val="21"/>
        </w:rPr>
      </w:pPr>
      <w:r>
        <w:rPr>
          <w:rFonts w:ascii="Microsoft JhengHei" w:eastAsia="Microsoft JhengHei"/>
          <w:b/>
          <w:sz w:val="21"/>
        </w:rPr>
        <w:t>第三</w:t>
      </w:r>
      <w:r>
        <w:rPr>
          <w:rFonts w:ascii="Microsoft JhengHei" w:eastAsia="Microsoft JhengHei"/>
          <w:b/>
          <w:spacing w:val="-10"/>
          <w:sz w:val="21"/>
        </w:rPr>
        <w:t>组</w:t>
      </w:r>
      <w:r>
        <w:rPr>
          <w:rFonts w:ascii="Microsoft JhengHei" w:eastAsia="Microsoft JhengHei"/>
          <w:b/>
          <w:sz w:val="21"/>
        </w:rPr>
        <w:tab/>
      </w:r>
      <w:r>
        <w:rPr>
          <w:sz w:val="21"/>
        </w:rPr>
        <w:t>1.</w:t>
      </w:r>
      <w:r>
        <w:rPr>
          <w:spacing w:val="-5"/>
          <w:sz w:val="21"/>
        </w:rPr>
        <w:t> </w:t>
      </w:r>
      <w:r>
        <w:rPr>
          <w:sz w:val="21"/>
        </w:rPr>
        <w:t>严重脑中</w:t>
      </w:r>
      <w:r>
        <w:rPr>
          <w:sz w:val="21"/>
        </w:rPr>
        <w:t>风后遗</w:t>
      </w:r>
      <w:r>
        <w:rPr>
          <w:spacing w:val="-10"/>
          <w:sz w:val="21"/>
        </w:rPr>
        <w:t>症</w:t>
      </w:r>
    </w:p>
    <w:p>
      <w:pPr>
        <w:pStyle w:val="ListParagraph"/>
        <w:numPr>
          <w:ilvl w:val="0"/>
          <w:numId w:val="59"/>
        </w:numPr>
        <w:tabs>
          <w:tab w:pos="3779" w:val="left" w:leader="none"/>
        </w:tabs>
        <w:spacing w:line="240" w:lineRule="auto" w:before="0" w:after="0"/>
        <w:ind w:left="3778" w:right="0" w:hanging="317"/>
        <w:jc w:val="left"/>
        <w:rPr>
          <w:sz w:val="21"/>
        </w:rPr>
      </w:pPr>
      <w:r>
        <w:rPr>
          <w:spacing w:val="-3"/>
          <w:sz w:val="21"/>
        </w:rPr>
        <w:t>严重非恶性颅内肿瘤</w:t>
      </w:r>
    </w:p>
    <w:p>
      <w:pPr>
        <w:pStyle w:val="ListParagraph"/>
        <w:numPr>
          <w:ilvl w:val="0"/>
          <w:numId w:val="59"/>
        </w:numPr>
        <w:tabs>
          <w:tab w:pos="3779" w:val="left" w:leader="none"/>
        </w:tabs>
        <w:spacing w:line="240" w:lineRule="auto" w:before="43" w:after="0"/>
        <w:ind w:left="3778" w:right="0" w:hanging="317"/>
        <w:jc w:val="left"/>
        <w:rPr>
          <w:sz w:val="21"/>
        </w:rPr>
      </w:pPr>
      <w:r>
        <w:rPr>
          <w:spacing w:val="-3"/>
          <w:sz w:val="21"/>
        </w:rPr>
        <w:t>严重脑炎后遗症或严重脑膜炎后遗症</w:t>
      </w:r>
    </w:p>
    <w:p>
      <w:pPr>
        <w:pStyle w:val="ListParagraph"/>
        <w:numPr>
          <w:ilvl w:val="0"/>
          <w:numId w:val="59"/>
        </w:numPr>
        <w:tabs>
          <w:tab w:pos="3779" w:val="left" w:leader="none"/>
        </w:tabs>
        <w:spacing w:line="240" w:lineRule="auto" w:before="43" w:after="0"/>
        <w:ind w:left="3778" w:right="0" w:hanging="317"/>
        <w:jc w:val="left"/>
        <w:rPr>
          <w:sz w:val="21"/>
        </w:rPr>
      </w:pPr>
      <w:r>
        <w:rPr>
          <w:spacing w:val="-3"/>
          <w:sz w:val="21"/>
        </w:rPr>
        <w:t>深度昏迷</w:t>
      </w:r>
    </w:p>
    <w:p>
      <w:pPr>
        <w:pStyle w:val="ListParagraph"/>
        <w:numPr>
          <w:ilvl w:val="0"/>
          <w:numId w:val="59"/>
        </w:numPr>
        <w:tabs>
          <w:tab w:pos="3779" w:val="left" w:leader="none"/>
        </w:tabs>
        <w:spacing w:line="240" w:lineRule="auto" w:before="43" w:after="0"/>
        <w:ind w:left="3778" w:right="0" w:hanging="317"/>
        <w:jc w:val="left"/>
        <w:rPr>
          <w:sz w:val="21"/>
        </w:rPr>
      </w:pPr>
      <w:r>
        <w:rPr>
          <w:spacing w:val="-5"/>
          <w:sz w:val="21"/>
        </w:rPr>
        <w:t>瘫痪</w:t>
      </w:r>
    </w:p>
    <w:p>
      <w:pPr>
        <w:pStyle w:val="ListParagraph"/>
        <w:numPr>
          <w:ilvl w:val="0"/>
          <w:numId w:val="59"/>
        </w:numPr>
        <w:tabs>
          <w:tab w:pos="3779" w:val="left" w:leader="none"/>
        </w:tabs>
        <w:spacing w:line="240" w:lineRule="auto" w:before="43" w:after="0"/>
        <w:ind w:left="3778" w:right="0" w:hanging="317"/>
        <w:jc w:val="left"/>
        <w:rPr>
          <w:sz w:val="21"/>
        </w:rPr>
      </w:pPr>
      <w:r>
        <w:rPr>
          <w:spacing w:val="-4"/>
          <w:sz w:val="21"/>
        </w:rPr>
        <w:t>严重阿尔茨海默病</w:t>
      </w:r>
    </w:p>
    <w:p>
      <w:pPr>
        <w:pStyle w:val="ListParagraph"/>
        <w:numPr>
          <w:ilvl w:val="0"/>
          <w:numId w:val="59"/>
        </w:numPr>
        <w:tabs>
          <w:tab w:pos="3779" w:val="left" w:leader="none"/>
        </w:tabs>
        <w:spacing w:line="240" w:lineRule="auto" w:before="43" w:after="0"/>
        <w:ind w:left="3778" w:right="0" w:hanging="317"/>
        <w:jc w:val="left"/>
        <w:rPr>
          <w:sz w:val="21"/>
        </w:rPr>
      </w:pPr>
      <w:r>
        <w:rPr>
          <w:spacing w:val="-4"/>
          <w:sz w:val="21"/>
        </w:rPr>
        <w:t>严重脑损伤</w:t>
      </w:r>
    </w:p>
    <w:p>
      <w:pPr>
        <w:pStyle w:val="ListParagraph"/>
        <w:numPr>
          <w:ilvl w:val="0"/>
          <w:numId w:val="59"/>
        </w:numPr>
        <w:tabs>
          <w:tab w:pos="3779" w:val="left" w:leader="none"/>
        </w:tabs>
        <w:spacing w:line="240" w:lineRule="auto" w:before="43" w:after="0"/>
        <w:ind w:left="3778" w:right="0" w:hanging="317"/>
        <w:jc w:val="left"/>
        <w:rPr>
          <w:sz w:val="21"/>
        </w:rPr>
      </w:pPr>
      <w:r>
        <w:rPr>
          <w:spacing w:val="-3"/>
          <w:sz w:val="21"/>
        </w:rPr>
        <w:t>严重原发性帕金森病</w:t>
      </w:r>
    </w:p>
    <w:p>
      <w:pPr>
        <w:pStyle w:val="ListParagraph"/>
        <w:numPr>
          <w:ilvl w:val="0"/>
          <w:numId w:val="59"/>
        </w:numPr>
        <w:tabs>
          <w:tab w:pos="3779" w:val="left" w:leader="none"/>
        </w:tabs>
        <w:spacing w:line="240" w:lineRule="auto" w:before="43" w:after="0"/>
        <w:ind w:left="3778" w:right="0" w:hanging="317"/>
        <w:jc w:val="left"/>
        <w:rPr>
          <w:sz w:val="21"/>
        </w:rPr>
      </w:pPr>
      <w:r>
        <w:rPr>
          <w:spacing w:val="-4"/>
          <w:sz w:val="21"/>
        </w:rPr>
        <w:t>严重运动神经元病</w:t>
      </w:r>
    </w:p>
    <w:p>
      <w:pPr>
        <w:pStyle w:val="ListParagraph"/>
        <w:numPr>
          <w:ilvl w:val="0"/>
          <w:numId w:val="59"/>
        </w:numPr>
        <w:tabs>
          <w:tab w:pos="3885" w:val="left" w:leader="none"/>
        </w:tabs>
        <w:spacing w:line="240" w:lineRule="auto" w:before="44" w:after="0"/>
        <w:ind w:left="3884" w:right="0" w:hanging="423"/>
        <w:jc w:val="left"/>
        <w:rPr>
          <w:sz w:val="21"/>
        </w:rPr>
      </w:pPr>
      <w:r>
        <w:rPr>
          <w:spacing w:val="-3"/>
          <w:sz w:val="21"/>
        </w:rPr>
        <w:t>语言能力丧失——三周岁始理赔</w:t>
      </w:r>
    </w:p>
    <w:p>
      <w:pPr>
        <w:pStyle w:val="ListParagraph"/>
        <w:numPr>
          <w:ilvl w:val="0"/>
          <w:numId w:val="59"/>
        </w:numPr>
        <w:tabs>
          <w:tab w:pos="3885" w:val="left" w:leader="none"/>
        </w:tabs>
        <w:spacing w:line="240" w:lineRule="auto" w:before="43" w:after="0"/>
        <w:ind w:left="3884" w:right="0" w:hanging="423"/>
        <w:jc w:val="left"/>
        <w:rPr>
          <w:sz w:val="21"/>
        </w:rPr>
      </w:pPr>
      <w:r>
        <w:rPr>
          <w:spacing w:val="-4"/>
          <w:sz w:val="21"/>
        </w:rPr>
        <w:t>克雅氏病</w:t>
      </w:r>
    </w:p>
    <w:p>
      <w:pPr>
        <w:pStyle w:val="ListParagraph"/>
        <w:numPr>
          <w:ilvl w:val="0"/>
          <w:numId w:val="59"/>
        </w:numPr>
        <w:tabs>
          <w:tab w:pos="3885" w:val="left" w:leader="none"/>
        </w:tabs>
        <w:spacing w:line="240" w:lineRule="auto" w:before="43" w:after="0"/>
        <w:ind w:left="3884" w:right="0" w:hanging="423"/>
        <w:jc w:val="left"/>
        <w:rPr>
          <w:sz w:val="21"/>
        </w:rPr>
      </w:pPr>
      <w:r>
        <w:rPr>
          <w:spacing w:val="-4"/>
          <w:sz w:val="21"/>
        </w:rPr>
        <w:t>多发性硬化</w:t>
      </w:r>
    </w:p>
    <w:p>
      <w:pPr>
        <w:pStyle w:val="ListParagraph"/>
        <w:numPr>
          <w:ilvl w:val="0"/>
          <w:numId w:val="59"/>
        </w:numPr>
        <w:tabs>
          <w:tab w:pos="3885" w:val="left" w:leader="none"/>
        </w:tabs>
        <w:spacing w:line="240" w:lineRule="auto" w:before="42" w:after="0"/>
        <w:ind w:left="3884" w:right="0" w:hanging="423"/>
        <w:jc w:val="left"/>
        <w:rPr>
          <w:sz w:val="21"/>
        </w:rPr>
      </w:pPr>
      <w:r>
        <w:rPr>
          <w:spacing w:val="-2"/>
          <w:sz w:val="21"/>
        </w:rPr>
        <w:t>全身性（型）</w:t>
      </w:r>
      <w:r>
        <w:rPr>
          <w:spacing w:val="-4"/>
          <w:sz w:val="21"/>
        </w:rPr>
        <w:t>重症肌无力</w:t>
      </w:r>
    </w:p>
    <w:p>
      <w:pPr>
        <w:pStyle w:val="ListParagraph"/>
        <w:numPr>
          <w:ilvl w:val="0"/>
          <w:numId w:val="59"/>
        </w:numPr>
        <w:tabs>
          <w:tab w:pos="3885" w:val="left" w:leader="none"/>
        </w:tabs>
        <w:spacing w:line="240" w:lineRule="auto" w:before="43" w:after="0"/>
        <w:ind w:left="3884" w:right="0" w:hanging="423"/>
        <w:jc w:val="left"/>
        <w:rPr>
          <w:sz w:val="21"/>
        </w:rPr>
      </w:pPr>
      <w:r>
        <w:rPr>
          <w:spacing w:val="-4"/>
          <w:sz w:val="21"/>
        </w:rPr>
        <w:t>植物人状态</w:t>
      </w:r>
    </w:p>
    <w:p>
      <w:pPr>
        <w:pStyle w:val="ListParagraph"/>
        <w:numPr>
          <w:ilvl w:val="0"/>
          <w:numId w:val="59"/>
        </w:numPr>
        <w:tabs>
          <w:tab w:pos="3885" w:val="left" w:leader="none"/>
        </w:tabs>
        <w:spacing w:line="240" w:lineRule="auto" w:before="43" w:after="0"/>
        <w:ind w:left="3884" w:right="0" w:hanging="423"/>
        <w:jc w:val="left"/>
        <w:rPr>
          <w:sz w:val="21"/>
        </w:rPr>
      </w:pPr>
      <w:r>
        <w:rPr>
          <w:spacing w:val="-3"/>
          <w:sz w:val="21"/>
        </w:rPr>
        <w:t>非阿尔茨海默病所致严重痴呆</w:t>
      </w:r>
    </w:p>
    <w:p>
      <w:pPr>
        <w:pStyle w:val="ListParagraph"/>
        <w:numPr>
          <w:ilvl w:val="0"/>
          <w:numId w:val="59"/>
        </w:numPr>
        <w:tabs>
          <w:tab w:pos="3885" w:val="left" w:leader="none"/>
        </w:tabs>
        <w:spacing w:line="240" w:lineRule="auto" w:before="44" w:after="0"/>
        <w:ind w:left="3884" w:right="0" w:hanging="423"/>
        <w:jc w:val="left"/>
        <w:rPr>
          <w:sz w:val="21"/>
        </w:rPr>
      </w:pPr>
      <w:r>
        <w:rPr>
          <w:spacing w:val="-4"/>
          <w:sz w:val="21"/>
        </w:rPr>
        <w:t>进行性核上性麻痹</w:t>
      </w:r>
    </w:p>
    <w:p>
      <w:pPr>
        <w:pStyle w:val="ListParagraph"/>
        <w:numPr>
          <w:ilvl w:val="0"/>
          <w:numId w:val="59"/>
        </w:numPr>
        <w:tabs>
          <w:tab w:pos="3885" w:val="left" w:leader="none"/>
        </w:tabs>
        <w:spacing w:line="240" w:lineRule="auto" w:before="43" w:after="0"/>
        <w:ind w:left="3884" w:right="0" w:hanging="423"/>
        <w:jc w:val="left"/>
        <w:rPr>
          <w:sz w:val="21"/>
        </w:rPr>
      </w:pPr>
      <w:r>
        <w:rPr>
          <w:spacing w:val="-3"/>
          <w:sz w:val="21"/>
        </w:rPr>
        <w:t>进行性多灶性白质脑病</w:t>
      </w:r>
    </w:p>
    <w:p>
      <w:pPr>
        <w:pStyle w:val="ListParagraph"/>
        <w:numPr>
          <w:ilvl w:val="0"/>
          <w:numId w:val="59"/>
        </w:numPr>
        <w:tabs>
          <w:tab w:pos="3885" w:val="left" w:leader="none"/>
        </w:tabs>
        <w:spacing w:line="240" w:lineRule="auto" w:before="43" w:after="0"/>
        <w:ind w:left="3884" w:right="0" w:hanging="423"/>
        <w:jc w:val="left"/>
        <w:rPr>
          <w:sz w:val="21"/>
        </w:rPr>
      </w:pPr>
      <w:r>
        <w:rPr>
          <w:spacing w:val="-4"/>
          <w:sz w:val="21"/>
        </w:rPr>
        <w:t>脊髓小脑变性症</w:t>
      </w:r>
    </w:p>
    <w:p>
      <w:pPr>
        <w:pStyle w:val="ListParagraph"/>
        <w:numPr>
          <w:ilvl w:val="0"/>
          <w:numId w:val="59"/>
        </w:numPr>
        <w:tabs>
          <w:tab w:pos="3885" w:val="left" w:leader="none"/>
        </w:tabs>
        <w:spacing w:line="240" w:lineRule="auto" w:before="42" w:after="0"/>
        <w:ind w:left="3884" w:right="0" w:hanging="423"/>
        <w:jc w:val="left"/>
        <w:rPr>
          <w:sz w:val="21"/>
        </w:rPr>
      </w:pPr>
      <w:r>
        <w:rPr>
          <w:spacing w:val="-4"/>
          <w:sz w:val="21"/>
        </w:rPr>
        <w:t>颅脑手术</w:t>
      </w:r>
    </w:p>
    <w:p>
      <w:pPr>
        <w:pStyle w:val="ListParagraph"/>
        <w:numPr>
          <w:ilvl w:val="0"/>
          <w:numId w:val="59"/>
        </w:numPr>
        <w:tabs>
          <w:tab w:pos="3885" w:val="left" w:leader="none"/>
        </w:tabs>
        <w:spacing w:line="240" w:lineRule="auto" w:before="43" w:after="0"/>
        <w:ind w:left="3884" w:right="0" w:hanging="423"/>
        <w:jc w:val="left"/>
        <w:rPr>
          <w:sz w:val="21"/>
        </w:rPr>
      </w:pPr>
      <w:r>
        <w:rPr>
          <w:spacing w:val="-4"/>
          <w:sz w:val="21"/>
        </w:rPr>
        <w:t>脑型疟疾</w:t>
      </w:r>
    </w:p>
    <w:p>
      <w:pPr>
        <w:pStyle w:val="ListParagraph"/>
        <w:numPr>
          <w:ilvl w:val="0"/>
          <w:numId w:val="59"/>
        </w:numPr>
        <w:tabs>
          <w:tab w:pos="3885" w:val="left" w:leader="none"/>
        </w:tabs>
        <w:spacing w:line="240" w:lineRule="auto" w:before="44" w:after="0"/>
        <w:ind w:left="3884" w:right="0" w:hanging="423"/>
        <w:jc w:val="left"/>
        <w:rPr>
          <w:sz w:val="21"/>
        </w:rPr>
      </w:pPr>
      <w:r>
        <w:rPr>
          <w:spacing w:val="-3"/>
          <w:sz w:val="21"/>
        </w:rPr>
        <w:t>破裂脑动脉瘤夹闭手术</w:t>
      </w:r>
    </w:p>
    <w:p>
      <w:pPr>
        <w:pStyle w:val="ListParagraph"/>
        <w:numPr>
          <w:ilvl w:val="0"/>
          <w:numId w:val="59"/>
        </w:numPr>
        <w:tabs>
          <w:tab w:pos="3885" w:val="left" w:leader="none"/>
        </w:tabs>
        <w:spacing w:line="240" w:lineRule="auto" w:before="43" w:after="0"/>
        <w:ind w:left="3884" w:right="0" w:hanging="423"/>
        <w:jc w:val="left"/>
        <w:rPr>
          <w:sz w:val="21"/>
        </w:rPr>
      </w:pPr>
      <w:r>
        <w:rPr>
          <w:spacing w:val="-3"/>
          <w:sz w:val="21"/>
        </w:rPr>
        <w:t>婴儿进行性脊肌萎缩症</w:t>
      </w:r>
    </w:p>
    <w:p>
      <w:pPr>
        <w:pStyle w:val="ListParagraph"/>
        <w:numPr>
          <w:ilvl w:val="0"/>
          <w:numId w:val="59"/>
        </w:numPr>
        <w:tabs>
          <w:tab w:pos="3885" w:val="left" w:leader="none"/>
        </w:tabs>
        <w:spacing w:line="240" w:lineRule="auto" w:before="43" w:after="0"/>
        <w:ind w:left="3884" w:right="0" w:hanging="423"/>
        <w:jc w:val="left"/>
        <w:rPr>
          <w:sz w:val="21"/>
        </w:rPr>
      </w:pPr>
      <w:r>
        <w:rPr>
          <w:spacing w:val="-4"/>
          <w:sz w:val="21"/>
        </w:rPr>
        <w:t>细菌性脑脊髓膜炎</w:t>
      </w:r>
    </w:p>
    <w:p>
      <w:pPr>
        <w:pStyle w:val="ListParagraph"/>
        <w:numPr>
          <w:ilvl w:val="0"/>
          <w:numId w:val="59"/>
        </w:numPr>
        <w:tabs>
          <w:tab w:pos="3885" w:val="left" w:leader="none"/>
        </w:tabs>
        <w:spacing w:line="240" w:lineRule="auto" w:before="43" w:after="0"/>
        <w:ind w:left="3884" w:right="0" w:hanging="423"/>
        <w:jc w:val="left"/>
        <w:rPr>
          <w:sz w:val="21"/>
        </w:rPr>
      </w:pPr>
      <w:r>
        <w:rPr>
          <w:spacing w:val="-4"/>
          <w:sz w:val="21"/>
        </w:rPr>
        <w:t>血管性痴呆</w:t>
      </w:r>
    </w:p>
    <w:p>
      <w:pPr>
        <w:pStyle w:val="ListParagraph"/>
        <w:numPr>
          <w:ilvl w:val="0"/>
          <w:numId w:val="59"/>
        </w:numPr>
        <w:tabs>
          <w:tab w:pos="3885" w:val="left" w:leader="none"/>
        </w:tabs>
        <w:spacing w:line="240" w:lineRule="auto" w:before="43" w:after="0"/>
        <w:ind w:left="3884" w:right="0" w:hanging="423"/>
        <w:jc w:val="left"/>
        <w:rPr>
          <w:sz w:val="21"/>
        </w:rPr>
      </w:pPr>
      <w:r>
        <w:rPr>
          <w:spacing w:val="-4"/>
          <w:sz w:val="21"/>
        </w:rPr>
        <w:t>路易体痴呆</w:t>
      </w:r>
    </w:p>
    <w:p>
      <w:pPr>
        <w:pStyle w:val="ListParagraph"/>
        <w:numPr>
          <w:ilvl w:val="0"/>
          <w:numId w:val="59"/>
        </w:numPr>
        <w:tabs>
          <w:tab w:pos="3885" w:val="left" w:leader="none"/>
        </w:tabs>
        <w:spacing w:line="240" w:lineRule="auto" w:before="43" w:after="0"/>
        <w:ind w:left="3884" w:right="0" w:hanging="423"/>
        <w:jc w:val="left"/>
        <w:rPr>
          <w:sz w:val="21"/>
        </w:rPr>
      </w:pPr>
      <w:r>
        <w:rPr>
          <w:spacing w:val="-4"/>
          <w:sz w:val="21"/>
        </w:rPr>
        <w:t>额颞叶痴呆</w:t>
      </w:r>
    </w:p>
    <w:p>
      <w:pPr>
        <w:pStyle w:val="ListParagraph"/>
        <w:numPr>
          <w:ilvl w:val="0"/>
          <w:numId w:val="59"/>
        </w:numPr>
        <w:tabs>
          <w:tab w:pos="3885" w:val="left" w:leader="none"/>
        </w:tabs>
        <w:spacing w:line="240" w:lineRule="auto" w:before="43" w:after="0"/>
        <w:ind w:left="3884" w:right="0" w:hanging="423"/>
        <w:jc w:val="left"/>
        <w:rPr>
          <w:sz w:val="21"/>
        </w:rPr>
      </w:pPr>
      <w:r>
        <w:rPr>
          <w:spacing w:val="-3"/>
          <w:sz w:val="21"/>
        </w:rPr>
        <w:t>亚急性硬化性全脑炎</w:t>
      </w:r>
    </w:p>
    <w:p>
      <w:pPr>
        <w:pStyle w:val="ListParagraph"/>
        <w:numPr>
          <w:ilvl w:val="0"/>
          <w:numId w:val="59"/>
        </w:numPr>
        <w:tabs>
          <w:tab w:pos="3885" w:val="left" w:leader="none"/>
        </w:tabs>
        <w:spacing w:line="240" w:lineRule="auto" w:before="43" w:after="0"/>
        <w:ind w:left="3884" w:right="0" w:hanging="423"/>
        <w:jc w:val="left"/>
        <w:rPr>
          <w:sz w:val="21"/>
        </w:rPr>
      </w:pPr>
      <w:r>
        <w:rPr>
          <w:spacing w:val="-4"/>
          <w:sz w:val="21"/>
        </w:rPr>
        <w:t>脊柱裂</w:t>
      </w:r>
    </w:p>
    <w:p>
      <w:pPr>
        <w:pStyle w:val="ListParagraph"/>
        <w:numPr>
          <w:ilvl w:val="0"/>
          <w:numId w:val="59"/>
        </w:numPr>
        <w:tabs>
          <w:tab w:pos="3885" w:val="left" w:leader="none"/>
        </w:tabs>
        <w:spacing w:line="240" w:lineRule="auto" w:before="43" w:after="0"/>
        <w:ind w:left="3884" w:right="0" w:hanging="423"/>
        <w:jc w:val="left"/>
        <w:rPr>
          <w:sz w:val="21"/>
        </w:rPr>
      </w:pPr>
      <w:r>
        <w:rPr>
          <w:spacing w:val="-3"/>
          <w:sz w:val="21"/>
        </w:rPr>
        <w:t>肌萎缩脊髓侧索硬化后遗症</w:t>
      </w:r>
    </w:p>
    <w:p>
      <w:pPr>
        <w:pStyle w:val="ListParagraph"/>
        <w:numPr>
          <w:ilvl w:val="0"/>
          <w:numId w:val="59"/>
        </w:numPr>
        <w:tabs>
          <w:tab w:pos="3885" w:val="left" w:leader="none"/>
        </w:tabs>
        <w:spacing w:line="240" w:lineRule="auto" w:before="43" w:after="0"/>
        <w:ind w:left="3884" w:right="0" w:hanging="423"/>
        <w:jc w:val="left"/>
        <w:rPr>
          <w:sz w:val="21"/>
        </w:rPr>
      </w:pPr>
      <w:r>
        <w:rPr>
          <w:spacing w:val="-4"/>
          <w:sz w:val="21"/>
        </w:rPr>
        <w:t>严重结核性脑膜炎</w:t>
      </w:r>
    </w:p>
    <w:p>
      <w:pPr>
        <w:pStyle w:val="ListParagraph"/>
        <w:numPr>
          <w:ilvl w:val="0"/>
          <w:numId w:val="59"/>
        </w:numPr>
        <w:tabs>
          <w:tab w:pos="3885" w:val="left" w:leader="none"/>
        </w:tabs>
        <w:spacing w:line="240" w:lineRule="auto" w:before="43" w:after="0"/>
        <w:ind w:left="3884" w:right="0" w:hanging="423"/>
        <w:jc w:val="left"/>
        <w:rPr>
          <w:sz w:val="21"/>
        </w:rPr>
      </w:pPr>
      <w:r>
        <w:rPr>
          <w:spacing w:val="-4"/>
          <w:sz w:val="21"/>
        </w:rPr>
        <w:t>亚历山大病</w:t>
      </w:r>
    </w:p>
    <w:p>
      <w:pPr>
        <w:pStyle w:val="ListParagraph"/>
        <w:numPr>
          <w:ilvl w:val="0"/>
          <w:numId w:val="59"/>
        </w:numPr>
        <w:tabs>
          <w:tab w:pos="3885" w:val="left" w:leader="none"/>
        </w:tabs>
        <w:spacing w:line="240" w:lineRule="auto" w:before="43" w:after="0"/>
        <w:ind w:left="3884" w:right="0" w:hanging="423"/>
        <w:jc w:val="left"/>
        <w:rPr>
          <w:sz w:val="21"/>
        </w:rPr>
      </w:pPr>
      <w:r>
        <w:rPr>
          <w:spacing w:val="-4"/>
          <w:sz w:val="21"/>
        </w:rPr>
        <w:t>库鲁病</w:t>
      </w:r>
    </w:p>
    <w:p>
      <w:pPr>
        <w:pStyle w:val="ListParagraph"/>
        <w:numPr>
          <w:ilvl w:val="0"/>
          <w:numId w:val="59"/>
        </w:numPr>
        <w:tabs>
          <w:tab w:pos="3885" w:val="left" w:leader="none"/>
        </w:tabs>
        <w:spacing w:line="240" w:lineRule="auto" w:before="43" w:after="0"/>
        <w:ind w:left="3884" w:right="0" w:hanging="423"/>
        <w:jc w:val="left"/>
        <w:rPr>
          <w:sz w:val="21"/>
        </w:rPr>
      </w:pPr>
      <w:r>
        <w:rPr>
          <w:spacing w:val="-3"/>
          <w:sz w:val="21"/>
        </w:rPr>
        <w:t>进行性风疹性全脑炎</w:t>
      </w:r>
    </w:p>
    <w:p>
      <w:pPr>
        <w:pStyle w:val="ListParagraph"/>
        <w:numPr>
          <w:ilvl w:val="0"/>
          <w:numId w:val="59"/>
        </w:numPr>
        <w:tabs>
          <w:tab w:pos="3885" w:val="left" w:leader="none"/>
        </w:tabs>
        <w:spacing w:line="240" w:lineRule="auto" w:before="43" w:after="0"/>
        <w:ind w:left="3884" w:right="0" w:hanging="423"/>
        <w:jc w:val="left"/>
        <w:rPr>
          <w:sz w:val="21"/>
        </w:rPr>
      </w:pPr>
      <w:r>
        <w:rPr>
          <w:spacing w:val="-3"/>
          <w:sz w:val="21"/>
        </w:rPr>
        <w:t>疾病或外伤所致智力障碍</w:t>
      </w:r>
    </w:p>
    <w:p>
      <w:pPr>
        <w:pStyle w:val="ListParagraph"/>
        <w:numPr>
          <w:ilvl w:val="0"/>
          <w:numId w:val="59"/>
        </w:numPr>
        <w:tabs>
          <w:tab w:pos="3885" w:val="left" w:leader="none"/>
        </w:tabs>
        <w:spacing w:line="240" w:lineRule="auto" w:before="43" w:after="0"/>
        <w:ind w:left="3884" w:right="0" w:hanging="423"/>
        <w:jc w:val="left"/>
        <w:rPr>
          <w:sz w:val="21"/>
        </w:rPr>
      </w:pPr>
      <w:r>
        <w:rPr>
          <w:spacing w:val="-4"/>
          <w:sz w:val="21"/>
        </w:rPr>
        <w:t>瑞氏综合征</w:t>
      </w:r>
    </w:p>
    <w:p>
      <w:pPr>
        <w:pStyle w:val="ListParagraph"/>
        <w:numPr>
          <w:ilvl w:val="0"/>
          <w:numId w:val="59"/>
        </w:numPr>
        <w:tabs>
          <w:tab w:pos="3885" w:val="left" w:leader="none"/>
        </w:tabs>
        <w:spacing w:line="240" w:lineRule="auto" w:before="43" w:after="0"/>
        <w:ind w:left="3884" w:right="0" w:hanging="423"/>
        <w:jc w:val="left"/>
        <w:rPr>
          <w:sz w:val="21"/>
        </w:rPr>
      </w:pPr>
      <w:r>
        <w:rPr>
          <w:spacing w:val="-4"/>
          <w:sz w:val="21"/>
        </w:rPr>
        <w:t>严重肌营养不良症</w:t>
      </w:r>
    </w:p>
    <w:p>
      <w:pPr>
        <w:pStyle w:val="ListParagraph"/>
        <w:numPr>
          <w:ilvl w:val="0"/>
          <w:numId w:val="59"/>
        </w:numPr>
        <w:tabs>
          <w:tab w:pos="3885" w:val="left" w:leader="none"/>
        </w:tabs>
        <w:spacing w:line="240" w:lineRule="auto" w:before="43" w:after="0"/>
        <w:ind w:left="3884" w:right="0" w:hanging="423"/>
        <w:jc w:val="left"/>
        <w:rPr>
          <w:sz w:val="21"/>
        </w:rPr>
      </w:pPr>
      <w:r>
        <w:rPr>
          <w:spacing w:val="-4"/>
          <w:sz w:val="21"/>
        </w:rPr>
        <w:t>重症手足口病</w:t>
      </w:r>
    </w:p>
    <w:p>
      <w:pPr>
        <w:pStyle w:val="BodyText"/>
        <w:spacing w:before="1"/>
        <w:rPr>
          <w:sz w:val="23"/>
        </w:rPr>
      </w:pPr>
    </w:p>
    <w:p>
      <w:pPr>
        <w:tabs>
          <w:tab w:pos="3461" w:val="left" w:leader="none"/>
        </w:tabs>
        <w:spacing w:before="0"/>
        <w:ind w:left="1910" w:right="0" w:firstLine="0"/>
        <w:jc w:val="left"/>
        <w:rPr>
          <w:sz w:val="21"/>
        </w:rPr>
      </w:pPr>
      <w:r>
        <w:rPr>
          <w:rFonts w:ascii="Microsoft JhengHei" w:eastAsia="Microsoft JhengHei"/>
          <w:b/>
          <w:sz w:val="21"/>
        </w:rPr>
        <w:t>第四</w:t>
      </w:r>
      <w:r>
        <w:rPr>
          <w:rFonts w:ascii="Microsoft JhengHei" w:eastAsia="Microsoft JhengHei"/>
          <w:b/>
          <w:spacing w:val="-10"/>
          <w:sz w:val="21"/>
        </w:rPr>
        <w:t>组</w:t>
      </w:r>
      <w:r>
        <w:rPr>
          <w:rFonts w:ascii="Microsoft JhengHei" w:eastAsia="Microsoft JhengHei"/>
          <w:b/>
          <w:sz w:val="21"/>
        </w:rPr>
        <w:tab/>
      </w:r>
      <w:r>
        <w:rPr>
          <w:sz w:val="21"/>
        </w:rPr>
        <w:t>1.</w:t>
      </w:r>
      <w:r>
        <w:rPr>
          <w:spacing w:val="-5"/>
          <w:sz w:val="21"/>
        </w:rPr>
        <w:t> </w:t>
      </w:r>
      <w:r>
        <w:rPr>
          <w:sz w:val="21"/>
        </w:rPr>
        <w:t>多个肢体</w:t>
      </w:r>
      <w:r>
        <w:rPr>
          <w:sz w:val="21"/>
        </w:rPr>
        <w:t>缺</w:t>
      </w:r>
      <w:r>
        <w:rPr>
          <w:spacing w:val="-10"/>
          <w:sz w:val="21"/>
        </w:rPr>
        <w:t>失</w:t>
      </w:r>
    </w:p>
    <w:p>
      <w:pPr>
        <w:pStyle w:val="ListParagraph"/>
        <w:numPr>
          <w:ilvl w:val="0"/>
          <w:numId w:val="60"/>
        </w:numPr>
        <w:tabs>
          <w:tab w:pos="3779" w:val="left" w:leader="none"/>
        </w:tabs>
        <w:spacing w:line="240" w:lineRule="auto" w:before="0" w:after="0"/>
        <w:ind w:left="3778" w:right="0" w:hanging="317"/>
        <w:jc w:val="left"/>
        <w:rPr>
          <w:sz w:val="21"/>
        </w:rPr>
      </w:pPr>
      <w:r>
        <w:rPr>
          <w:spacing w:val="-3"/>
          <w:sz w:val="21"/>
        </w:rPr>
        <w:t>双耳失聪——三周岁始理赔</w:t>
      </w:r>
    </w:p>
    <w:p>
      <w:pPr>
        <w:pStyle w:val="ListParagraph"/>
        <w:numPr>
          <w:ilvl w:val="0"/>
          <w:numId w:val="60"/>
        </w:numPr>
        <w:tabs>
          <w:tab w:pos="3779" w:val="left" w:leader="none"/>
        </w:tabs>
        <w:spacing w:line="240" w:lineRule="auto" w:before="43" w:after="0"/>
        <w:ind w:left="3778" w:right="0" w:hanging="317"/>
        <w:jc w:val="left"/>
        <w:rPr>
          <w:sz w:val="21"/>
        </w:rPr>
      </w:pPr>
      <w:r>
        <w:rPr>
          <w:spacing w:val="-3"/>
          <w:sz w:val="21"/>
        </w:rPr>
        <w:t>双目失明——三周岁始理赔</w:t>
      </w:r>
    </w:p>
    <w:p>
      <w:pPr>
        <w:pStyle w:val="ListParagraph"/>
        <w:numPr>
          <w:ilvl w:val="0"/>
          <w:numId w:val="60"/>
        </w:numPr>
        <w:tabs>
          <w:tab w:pos="3779" w:val="left" w:leader="none"/>
        </w:tabs>
        <w:spacing w:line="240" w:lineRule="auto" w:before="43" w:after="0"/>
        <w:ind w:left="3778" w:right="0" w:hanging="317"/>
        <w:jc w:val="left"/>
        <w:rPr>
          <w:sz w:val="21"/>
        </w:rPr>
      </w:pPr>
      <w:r>
        <w:rPr>
          <w:spacing w:val="-4"/>
          <w:sz w:val="21"/>
        </w:rPr>
        <w:t>严重Ⅲ度烧伤</w:t>
      </w:r>
    </w:p>
    <w:p>
      <w:pPr>
        <w:pStyle w:val="ListParagraph"/>
        <w:numPr>
          <w:ilvl w:val="0"/>
          <w:numId w:val="60"/>
        </w:numPr>
        <w:tabs>
          <w:tab w:pos="3779" w:val="left" w:leader="none"/>
        </w:tabs>
        <w:spacing w:line="240" w:lineRule="auto" w:before="43" w:after="0"/>
        <w:ind w:left="3778" w:right="0" w:hanging="317"/>
        <w:jc w:val="left"/>
        <w:rPr>
          <w:sz w:val="21"/>
        </w:rPr>
      </w:pPr>
      <w:r>
        <w:rPr>
          <w:spacing w:val="-3"/>
          <w:sz w:val="21"/>
        </w:rPr>
        <w:t>严重类风湿性关节炎</w:t>
      </w:r>
    </w:p>
    <w:p>
      <w:pPr>
        <w:spacing w:after="0" w:line="240" w:lineRule="auto"/>
        <w:jc w:val="left"/>
        <w:rPr>
          <w:sz w:val="21"/>
        </w:rPr>
        <w:sectPr>
          <w:pgSz w:w="11910" w:h="16840"/>
          <w:pgMar w:header="0" w:footer="226" w:top="660" w:bottom="420" w:left="980" w:right="400"/>
        </w:sectPr>
      </w:pPr>
    </w:p>
    <w:p>
      <w:pPr>
        <w:pStyle w:val="ListParagraph"/>
        <w:numPr>
          <w:ilvl w:val="0"/>
          <w:numId w:val="60"/>
        </w:numPr>
        <w:tabs>
          <w:tab w:pos="3779" w:val="left" w:leader="none"/>
        </w:tabs>
        <w:spacing w:line="240" w:lineRule="auto" w:before="57" w:after="0"/>
        <w:ind w:left="3778" w:right="0" w:hanging="317"/>
        <w:jc w:val="left"/>
        <w:rPr>
          <w:sz w:val="21"/>
        </w:rPr>
      </w:pPr>
      <w:r>
        <w:rPr>
          <w:spacing w:val="-4"/>
          <w:sz w:val="21"/>
        </w:rPr>
        <w:t>失去一肢及一眼</w:t>
      </w:r>
    </w:p>
    <w:p>
      <w:pPr>
        <w:pStyle w:val="ListParagraph"/>
        <w:numPr>
          <w:ilvl w:val="0"/>
          <w:numId w:val="60"/>
        </w:numPr>
        <w:tabs>
          <w:tab w:pos="3779" w:val="left" w:leader="none"/>
        </w:tabs>
        <w:spacing w:line="240" w:lineRule="auto" w:before="43" w:after="0"/>
        <w:ind w:left="3778" w:right="0" w:hanging="317"/>
        <w:jc w:val="left"/>
        <w:rPr>
          <w:sz w:val="21"/>
        </w:rPr>
      </w:pPr>
      <w:r>
        <w:rPr>
          <w:spacing w:val="-4"/>
          <w:sz w:val="21"/>
        </w:rPr>
        <w:t>严重面部烧伤</w:t>
      </w:r>
    </w:p>
    <w:p>
      <w:pPr>
        <w:pStyle w:val="ListParagraph"/>
        <w:numPr>
          <w:ilvl w:val="0"/>
          <w:numId w:val="60"/>
        </w:numPr>
        <w:tabs>
          <w:tab w:pos="3779" w:val="left" w:leader="none"/>
        </w:tabs>
        <w:spacing w:line="240" w:lineRule="auto" w:before="43" w:after="0"/>
        <w:ind w:left="3778" w:right="0" w:hanging="317"/>
        <w:jc w:val="left"/>
        <w:rPr>
          <w:sz w:val="21"/>
        </w:rPr>
      </w:pPr>
      <w:r>
        <w:rPr>
          <w:spacing w:val="-3"/>
          <w:sz w:val="21"/>
        </w:rPr>
        <w:t>多处臂丛神经根性撕脱</w:t>
      </w:r>
    </w:p>
    <w:p>
      <w:pPr>
        <w:pStyle w:val="ListParagraph"/>
        <w:numPr>
          <w:ilvl w:val="0"/>
          <w:numId w:val="60"/>
        </w:numPr>
        <w:tabs>
          <w:tab w:pos="3779" w:val="left" w:leader="none"/>
        </w:tabs>
        <w:spacing w:line="240" w:lineRule="auto" w:before="43" w:after="0"/>
        <w:ind w:left="3778" w:right="0" w:hanging="317"/>
        <w:jc w:val="left"/>
        <w:rPr>
          <w:sz w:val="21"/>
        </w:rPr>
      </w:pPr>
      <w:r>
        <w:rPr>
          <w:spacing w:val="-3"/>
          <w:sz w:val="21"/>
        </w:rPr>
        <w:t>重幼年型类风湿性关节炎——十八周岁前理赔</w:t>
      </w:r>
    </w:p>
    <w:p>
      <w:pPr>
        <w:pStyle w:val="BodyText"/>
        <w:spacing w:before="1"/>
        <w:rPr>
          <w:sz w:val="23"/>
        </w:rPr>
      </w:pPr>
    </w:p>
    <w:p>
      <w:pPr>
        <w:pStyle w:val="BodyText"/>
        <w:tabs>
          <w:tab w:pos="3461" w:val="left" w:leader="none"/>
        </w:tabs>
        <w:ind w:left="1910"/>
      </w:pPr>
      <w:r>
        <w:rPr>
          <w:rFonts w:ascii="Microsoft JhengHei" w:eastAsia="Microsoft JhengHei"/>
          <w:b/>
        </w:rPr>
        <w:t>第五</w:t>
      </w:r>
      <w:r>
        <w:rPr>
          <w:rFonts w:ascii="Microsoft JhengHei" w:eastAsia="Microsoft JhengHei"/>
          <w:b/>
          <w:spacing w:val="-10"/>
        </w:rPr>
        <w:t>组</w:t>
      </w:r>
      <w:r>
        <w:rPr>
          <w:rFonts w:ascii="Microsoft JhengHei" w:eastAsia="Microsoft JhengHei"/>
          <w:b/>
        </w:rPr>
        <w:tab/>
      </w:r>
      <w:r>
        <w:rPr/>
        <w:t>1.</w:t>
      </w:r>
      <w:r>
        <w:rPr>
          <w:spacing w:val="-15"/>
        </w:rPr>
        <w:t> </w:t>
      </w:r>
      <w:r>
        <w:rPr/>
        <w:t>重大器官</w:t>
      </w:r>
      <w:r>
        <w:rPr/>
        <w:t>移植术或</w:t>
      </w:r>
      <w:r>
        <w:rPr/>
        <w:t>造血干细</w:t>
      </w:r>
      <w:r>
        <w:rPr/>
        <w:t>胞移植</w:t>
      </w:r>
      <w:r>
        <w:rPr>
          <w:spacing w:val="-10"/>
        </w:rPr>
        <w:t>术</w:t>
      </w:r>
    </w:p>
    <w:p>
      <w:pPr>
        <w:pStyle w:val="ListParagraph"/>
        <w:numPr>
          <w:ilvl w:val="0"/>
          <w:numId w:val="61"/>
        </w:numPr>
        <w:tabs>
          <w:tab w:pos="3779" w:val="left" w:leader="none"/>
        </w:tabs>
        <w:spacing w:line="240" w:lineRule="auto" w:before="0" w:after="0"/>
        <w:ind w:left="3778" w:right="0" w:hanging="317"/>
        <w:jc w:val="left"/>
        <w:rPr>
          <w:sz w:val="21"/>
        </w:rPr>
      </w:pPr>
      <w:r>
        <w:rPr>
          <w:spacing w:val="-4"/>
          <w:sz w:val="21"/>
        </w:rPr>
        <w:t>严重慢性肾衰竭</w:t>
      </w:r>
    </w:p>
    <w:p>
      <w:pPr>
        <w:pStyle w:val="ListParagraph"/>
        <w:numPr>
          <w:ilvl w:val="0"/>
          <w:numId w:val="61"/>
        </w:numPr>
        <w:tabs>
          <w:tab w:pos="3779" w:val="left" w:leader="none"/>
        </w:tabs>
        <w:spacing w:line="240" w:lineRule="auto" w:before="43" w:after="0"/>
        <w:ind w:left="3778" w:right="0" w:hanging="317"/>
        <w:jc w:val="left"/>
        <w:rPr>
          <w:sz w:val="21"/>
        </w:rPr>
      </w:pPr>
      <w:r>
        <w:rPr>
          <w:spacing w:val="-3"/>
          <w:sz w:val="21"/>
        </w:rPr>
        <w:t>急性重症肝炎或亚急性重症肝炎</w:t>
      </w:r>
    </w:p>
    <w:p>
      <w:pPr>
        <w:pStyle w:val="ListParagraph"/>
        <w:numPr>
          <w:ilvl w:val="0"/>
          <w:numId w:val="61"/>
        </w:numPr>
        <w:tabs>
          <w:tab w:pos="3779" w:val="left" w:leader="none"/>
        </w:tabs>
        <w:spacing w:line="240" w:lineRule="auto" w:before="43" w:after="0"/>
        <w:ind w:left="3778" w:right="0" w:hanging="317"/>
        <w:jc w:val="left"/>
        <w:rPr>
          <w:sz w:val="21"/>
        </w:rPr>
      </w:pPr>
      <w:r>
        <w:rPr>
          <w:spacing w:val="-4"/>
          <w:sz w:val="21"/>
        </w:rPr>
        <w:t>严重慢性肝衰竭</w:t>
      </w:r>
    </w:p>
    <w:p>
      <w:pPr>
        <w:pStyle w:val="ListParagraph"/>
        <w:numPr>
          <w:ilvl w:val="0"/>
          <w:numId w:val="61"/>
        </w:numPr>
        <w:tabs>
          <w:tab w:pos="3779" w:val="left" w:leader="none"/>
        </w:tabs>
        <w:spacing w:line="240" w:lineRule="auto" w:before="43" w:after="0"/>
        <w:ind w:left="3778" w:right="0" w:hanging="317"/>
        <w:jc w:val="left"/>
        <w:rPr>
          <w:sz w:val="21"/>
        </w:rPr>
      </w:pPr>
      <w:r>
        <w:rPr>
          <w:spacing w:val="-3"/>
          <w:sz w:val="21"/>
        </w:rPr>
        <w:t>重型再生障碍性贫血</w:t>
      </w:r>
    </w:p>
    <w:p>
      <w:pPr>
        <w:pStyle w:val="ListParagraph"/>
        <w:numPr>
          <w:ilvl w:val="0"/>
          <w:numId w:val="61"/>
        </w:numPr>
        <w:tabs>
          <w:tab w:pos="3779" w:val="left" w:leader="none"/>
        </w:tabs>
        <w:spacing w:line="240" w:lineRule="auto" w:before="43" w:after="0"/>
        <w:ind w:left="3778" w:right="0" w:hanging="317"/>
        <w:jc w:val="left"/>
        <w:rPr>
          <w:sz w:val="21"/>
        </w:rPr>
      </w:pPr>
      <w:r>
        <w:rPr>
          <w:spacing w:val="-4"/>
          <w:sz w:val="21"/>
        </w:rPr>
        <w:t>严重慢性呼吸衰竭</w:t>
      </w:r>
    </w:p>
    <w:p>
      <w:pPr>
        <w:pStyle w:val="ListParagraph"/>
        <w:numPr>
          <w:ilvl w:val="0"/>
          <w:numId w:val="61"/>
        </w:numPr>
        <w:tabs>
          <w:tab w:pos="3779" w:val="left" w:leader="none"/>
        </w:tabs>
        <w:spacing w:line="240" w:lineRule="auto" w:before="43" w:after="0"/>
        <w:ind w:left="3778" w:right="0" w:hanging="317"/>
        <w:jc w:val="left"/>
        <w:rPr>
          <w:sz w:val="21"/>
        </w:rPr>
      </w:pPr>
      <w:r>
        <w:rPr>
          <w:spacing w:val="-4"/>
          <w:sz w:val="21"/>
        </w:rPr>
        <w:t>严重克罗恩病</w:t>
      </w:r>
    </w:p>
    <w:p>
      <w:pPr>
        <w:pStyle w:val="ListParagraph"/>
        <w:numPr>
          <w:ilvl w:val="0"/>
          <w:numId w:val="61"/>
        </w:numPr>
        <w:tabs>
          <w:tab w:pos="3779" w:val="left" w:leader="none"/>
        </w:tabs>
        <w:spacing w:line="240" w:lineRule="auto" w:before="43" w:after="0"/>
        <w:ind w:left="3778" w:right="0" w:hanging="317"/>
        <w:jc w:val="left"/>
        <w:rPr>
          <w:sz w:val="21"/>
        </w:rPr>
      </w:pPr>
      <w:r>
        <w:rPr>
          <w:spacing w:val="-4"/>
          <w:sz w:val="21"/>
        </w:rPr>
        <w:t>严重溃疡性结肠炎</w:t>
      </w:r>
    </w:p>
    <w:p>
      <w:pPr>
        <w:pStyle w:val="ListParagraph"/>
        <w:numPr>
          <w:ilvl w:val="0"/>
          <w:numId w:val="61"/>
        </w:numPr>
        <w:tabs>
          <w:tab w:pos="3779" w:val="left" w:leader="none"/>
        </w:tabs>
        <w:spacing w:line="240" w:lineRule="auto" w:before="43" w:after="0"/>
        <w:ind w:left="3778" w:right="0" w:hanging="317"/>
        <w:jc w:val="left"/>
        <w:rPr>
          <w:sz w:val="21"/>
        </w:rPr>
      </w:pPr>
      <w:r>
        <w:rPr>
          <w:spacing w:val="-1"/>
          <w:sz w:val="21"/>
        </w:rPr>
        <w:t>系统性红斑狼疮 </w:t>
      </w:r>
      <w:r>
        <w:rPr>
          <w:spacing w:val="-2"/>
          <w:sz w:val="21"/>
        </w:rPr>
        <w:t>－（并发）Ⅲ</w:t>
      </w:r>
      <w:r>
        <w:rPr>
          <w:spacing w:val="-3"/>
          <w:sz w:val="21"/>
        </w:rPr>
        <w:t>型或以上狼疮性肾炎</w:t>
      </w:r>
    </w:p>
    <w:p>
      <w:pPr>
        <w:pStyle w:val="ListParagraph"/>
        <w:numPr>
          <w:ilvl w:val="0"/>
          <w:numId w:val="61"/>
        </w:numPr>
        <w:tabs>
          <w:tab w:pos="3885" w:val="left" w:leader="none"/>
        </w:tabs>
        <w:spacing w:line="240" w:lineRule="auto" w:before="43" w:after="0"/>
        <w:ind w:left="3884" w:right="0" w:hanging="423"/>
        <w:jc w:val="left"/>
        <w:rPr>
          <w:sz w:val="21"/>
        </w:rPr>
      </w:pPr>
      <w:r>
        <w:rPr>
          <w:spacing w:val="-4"/>
          <w:sz w:val="21"/>
        </w:rPr>
        <w:t>肾髓质囊性病</w:t>
      </w:r>
    </w:p>
    <w:p>
      <w:pPr>
        <w:pStyle w:val="ListParagraph"/>
        <w:numPr>
          <w:ilvl w:val="0"/>
          <w:numId w:val="61"/>
        </w:numPr>
        <w:tabs>
          <w:tab w:pos="3885" w:val="left" w:leader="none"/>
        </w:tabs>
        <w:spacing w:line="240" w:lineRule="auto" w:before="44" w:after="0"/>
        <w:ind w:left="3884" w:right="0" w:hanging="423"/>
        <w:jc w:val="left"/>
        <w:rPr>
          <w:sz w:val="21"/>
        </w:rPr>
      </w:pPr>
      <w:r>
        <w:rPr>
          <w:spacing w:val="-3"/>
          <w:sz w:val="21"/>
        </w:rPr>
        <w:t>特发性慢性肾上腺皮质功能减退</w:t>
      </w:r>
    </w:p>
    <w:p>
      <w:pPr>
        <w:pStyle w:val="ListParagraph"/>
        <w:numPr>
          <w:ilvl w:val="0"/>
          <w:numId w:val="61"/>
        </w:numPr>
        <w:tabs>
          <w:tab w:pos="3885" w:val="left" w:leader="none"/>
        </w:tabs>
        <w:spacing w:line="240" w:lineRule="auto" w:before="43" w:after="0"/>
        <w:ind w:left="3884" w:right="0" w:hanging="423"/>
        <w:jc w:val="left"/>
        <w:rPr>
          <w:sz w:val="21"/>
        </w:rPr>
      </w:pPr>
      <w:r>
        <w:rPr>
          <w:spacing w:val="-4"/>
          <w:sz w:val="21"/>
        </w:rPr>
        <w:t>系统性硬皮病</w:t>
      </w:r>
    </w:p>
    <w:p>
      <w:pPr>
        <w:pStyle w:val="ListParagraph"/>
        <w:numPr>
          <w:ilvl w:val="0"/>
          <w:numId w:val="61"/>
        </w:numPr>
        <w:tabs>
          <w:tab w:pos="3885" w:val="left" w:leader="none"/>
        </w:tabs>
        <w:spacing w:line="240" w:lineRule="auto" w:before="43" w:after="0"/>
        <w:ind w:left="3884" w:right="0" w:hanging="423"/>
        <w:jc w:val="left"/>
        <w:rPr>
          <w:sz w:val="21"/>
        </w:rPr>
      </w:pPr>
      <w:r>
        <w:rPr>
          <w:spacing w:val="-3"/>
          <w:sz w:val="21"/>
        </w:rPr>
        <w:t>原发性硬化性胆管炎</w:t>
      </w:r>
    </w:p>
    <w:p>
      <w:pPr>
        <w:pStyle w:val="ListParagraph"/>
        <w:numPr>
          <w:ilvl w:val="0"/>
          <w:numId w:val="61"/>
        </w:numPr>
        <w:tabs>
          <w:tab w:pos="3885" w:val="left" w:leader="none"/>
        </w:tabs>
        <w:spacing w:line="240" w:lineRule="auto" w:before="42" w:after="0"/>
        <w:ind w:left="3884" w:right="0" w:hanging="423"/>
        <w:jc w:val="left"/>
        <w:rPr>
          <w:sz w:val="21"/>
        </w:rPr>
      </w:pPr>
      <w:r>
        <w:rPr>
          <w:spacing w:val="-3"/>
          <w:sz w:val="21"/>
        </w:rPr>
        <w:t>严重肠道疾病并发症</w:t>
      </w:r>
    </w:p>
    <w:p>
      <w:pPr>
        <w:pStyle w:val="ListParagraph"/>
        <w:numPr>
          <w:ilvl w:val="0"/>
          <w:numId w:val="61"/>
        </w:numPr>
        <w:tabs>
          <w:tab w:pos="3885" w:val="left" w:leader="none"/>
        </w:tabs>
        <w:spacing w:line="240" w:lineRule="auto" w:before="43" w:after="0"/>
        <w:ind w:left="3884" w:right="0" w:hanging="423"/>
        <w:jc w:val="left"/>
        <w:rPr>
          <w:sz w:val="21"/>
        </w:rPr>
      </w:pPr>
      <w:r>
        <w:rPr>
          <w:spacing w:val="-4"/>
          <w:sz w:val="21"/>
        </w:rPr>
        <w:t>范可尼综合征</w:t>
      </w:r>
    </w:p>
    <w:p>
      <w:pPr>
        <w:pStyle w:val="ListParagraph"/>
        <w:numPr>
          <w:ilvl w:val="0"/>
          <w:numId w:val="61"/>
        </w:numPr>
        <w:tabs>
          <w:tab w:pos="3885" w:val="left" w:leader="none"/>
        </w:tabs>
        <w:spacing w:line="240" w:lineRule="auto" w:before="43" w:after="0"/>
        <w:ind w:left="3884" w:right="0" w:hanging="423"/>
        <w:jc w:val="left"/>
        <w:rPr>
          <w:sz w:val="21"/>
        </w:rPr>
      </w:pPr>
      <w:r>
        <w:rPr>
          <w:spacing w:val="-4"/>
          <w:sz w:val="21"/>
        </w:rPr>
        <w:t>肝豆状核变性</w:t>
      </w:r>
    </w:p>
    <w:p>
      <w:pPr>
        <w:pStyle w:val="ListParagraph"/>
        <w:numPr>
          <w:ilvl w:val="0"/>
          <w:numId w:val="61"/>
        </w:numPr>
        <w:tabs>
          <w:tab w:pos="3885" w:val="left" w:leader="none"/>
        </w:tabs>
        <w:spacing w:line="240" w:lineRule="auto" w:before="44" w:after="0"/>
        <w:ind w:left="3884" w:right="0" w:hanging="423"/>
        <w:jc w:val="left"/>
        <w:rPr>
          <w:sz w:val="21"/>
        </w:rPr>
      </w:pPr>
      <w:r>
        <w:rPr>
          <w:spacing w:val="-4"/>
          <w:sz w:val="21"/>
        </w:rPr>
        <w:t>弥漫性血管内凝血</w:t>
      </w:r>
    </w:p>
    <w:p>
      <w:pPr>
        <w:pStyle w:val="ListParagraph"/>
        <w:numPr>
          <w:ilvl w:val="0"/>
          <w:numId w:val="61"/>
        </w:numPr>
        <w:tabs>
          <w:tab w:pos="3885" w:val="left" w:leader="none"/>
        </w:tabs>
        <w:spacing w:line="240" w:lineRule="auto" w:before="43" w:after="0"/>
        <w:ind w:left="3884" w:right="0" w:hanging="423"/>
        <w:jc w:val="left"/>
        <w:rPr>
          <w:sz w:val="21"/>
        </w:rPr>
      </w:pPr>
      <w:r>
        <w:rPr>
          <w:spacing w:val="-3"/>
          <w:sz w:val="21"/>
        </w:rPr>
        <w:t>严重哮喘——二十五周岁前理赔</w:t>
      </w:r>
    </w:p>
    <w:p>
      <w:pPr>
        <w:pStyle w:val="ListParagraph"/>
        <w:numPr>
          <w:ilvl w:val="0"/>
          <w:numId w:val="61"/>
        </w:numPr>
        <w:tabs>
          <w:tab w:pos="3885" w:val="left" w:leader="none"/>
        </w:tabs>
        <w:spacing w:line="240" w:lineRule="auto" w:before="43" w:after="0"/>
        <w:ind w:left="3884" w:right="0" w:hanging="423"/>
        <w:jc w:val="left"/>
        <w:rPr>
          <w:sz w:val="21"/>
        </w:rPr>
      </w:pPr>
      <w:r>
        <w:rPr>
          <w:spacing w:val="-3"/>
          <w:sz w:val="21"/>
        </w:rPr>
        <w:t>败血症导致的多器官功能障碍综合症</w:t>
      </w:r>
    </w:p>
    <w:p>
      <w:pPr>
        <w:pStyle w:val="ListParagraph"/>
        <w:numPr>
          <w:ilvl w:val="0"/>
          <w:numId w:val="61"/>
        </w:numPr>
        <w:tabs>
          <w:tab w:pos="3885" w:val="left" w:leader="none"/>
        </w:tabs>
        <w:spacing w:line="240" w:lineRule="auto" w:before="42" w:after="0"/>
        <w:ind w:left="3884" w:right="0" w:hanging="423"/>
        <w:jc w:val="left"/>
        <w:rPr>
          <w:sz w:val="21"/>
        </w:rPr>
      </w:pPr>
      <w:r>
        <w:rPr>
          <w:spacing w:val="-3"/>
          <w:sz w:val="21"/>
        </w:rPr>
        <w:t>严重获得性或继发性肺泡蛋白质沉积症</w:t>
      </w:r>
    </w:p>
    <w:p>
      <w:pPr>
        <w:pStyle w:val="ListParagraph"/>
        <w:numPr>
          <w:ilvl w:val="0"/>
          <w:numId w:val="61"/>
        </w:numPr>
        <w:tabs>
          <w:tab w:pos="3885" w:val="left" w:leader="none"/>
        </w:tabs>
        <w:spacing w:line="240" w:lineRule="auto" w:before="43" w:after="0"/>
        <w:ind w:left="3884" w:right="0" w:hanging="423"/>
        <w:jc w:val="left"/>
        <w:rPr>
          <w:sz w:val="21"/>
        </w:rPr>
      </w:pPr>
      <w:r>
        <w:rPr>
          <w:spacing w:val="-4"/>
          <w:sz w:val="21"/>
        </w:rPr>
        <w:t>肺淋巴管肌瘤病</w:t>
      </w:r>
    </w:p>
    <w:p>
      <w:pPr>
        <w:pStyle w:val="ListParagraph"/>
        <w:numPr>
          <w:ilvl w:val="0"/>
          <w:numId w:val="61"/>
        </w:numPr>
        <w:tabs>
          <w:tab w:pos="3885" w:val="left" w:leader="none"/>
        </w:tabs>
        <w:spacing w:line="240" w:lineRule="auto" w:before="44" w:after="0"/>
        <w:ind w:left="3884" w:right="0" w:hanging="423"/>
        <w:jc w:val="left"/>
        <w:rPr>
          <w:sz w:val="21"/>
        </w:rPr>
      </w:pPr>
      <w:r>
        <w:rPr>
          <w:spacing w:val="-4"/>
          <w:sz w:val="21"/>
        </w:rPr>
        <w:t>胰腺移植</w:t>
      </w:r>
    </w:p>
    <w:p>
      <w:pPr>
        <w:pStyle w:val="ListParagraph"/>
        <w:numPr>
          <w:ilvl w:val="0"/>
          <w:numId w:val="61"/>
        </w:numPr>
        <w:tabs>
          <w:tab w:pos="3885" w:val="left" w:leader="none"/>
        </w:tabs>
        <w:spacing w:line="240" w:lineRule="auto" w:before="43" w:after="0"/>
        <w:ind w:left="3884" w:right="0" w:hanging="423"/>
        <w:jc w:val="left"/>
        <w:rPr>
          <w:sz w:val="21"/>
        </w:rPr>
      </w:pPr>
      <w:r>
        <w:rPr>
          <w:spacing w:val="-3"/>
          <w:sz w:val="21"/>
        </w:rPr>
        <w:t>急性坏死性胰腺炎开腹手术</w:t>
      </w:r>
    </w:p>
    <w:p>
      <w:pPr>
        <w:pStyle w:val="ListParagraph"/>
        <w:numPr>
          <w:ilvl w:val="0"/>
          <w:numId w:val="61"/>
        </w:numPr>
        <w:tabs>
          <w:tab w:pos="3885" w:val="left" w:leader="none"/>
        </w:tabs>
        <w:spacing w:line="240" w:lineRule="auto" w:before="43" w:after="0"/>
        <w:ind w:left="3884" w:right="0" w:hanging="423"/>
        <w:jc w:val="left"/>
        <w:rPr>
          <w:sz w:val="21"/>
        </w:rPr>
      </w:pPr>
      <w:r>
        <w:rPr>
          <w:spacing w:val="-4"/>
          <w:sz w:val="21"/>
        </w:rPr>
        <w:t>慢性复发性胰腺炎</w:t>
      </w:r>
    </w:p>
    <w:p>
      <w:pPr>
        <w:pStyle w:val="ListParagraph"/>
        <w:numPr>
          <w:ilvl w:val="0"/>
          <w:numId w:val="61"/>
        </w:numPr>
        <w:tabs>
          <w:tab w:pos="3885" w:val="left" w:leader="none"/>
        </w:tabs>
        <w:spacing w:line="240" w:lineRule="auto" w:before="43" w:after="0"/>
        <w:ind w:left="3884" w:right="0" w:hanging="423"/>
        <w:jc w:val="left"/>
        <w:rPr>
          <w:sz w:val="21"/>
        </w:rPr>
      </w:pPr>
      <w:r>
        <w:rPr>
          <w:spacing w:val="-3"/>
          <w:sz w:val="21"/>
        </w:rPr>
        <w:t>严重自身免疫性肝炎</w:t>
      </w:r>
    </w:p>
    <w:p>
      <w:pPr>
        <w:pStyle w:val="ListParagraph"/>
        <w:numPr>
          <w:ilvl w:val="0"/>
          <w:numId w:val="61"/>
        </w:numPr>
        <w:tabs>
          <w:tab w:pos="3885" w:val="left" w:leader="none"/>
        </w:tabs>
        <w:spacing w:line="240" w:lineRule="auto" w:before="43" w:after="0"/>
        <w:ind w:left="3884" w:right="0" w:hanging="423"/>
        <w:jc w:val="left"/>
        <w:rPr>
          <w:sz w:val="21"/>
        </w:rPr>
      </w:pPr>
      <w:r>
        <w:rPr>
          <w:spacing w:val="-4"/>
          <w:sz w:val="21"/>
        </w:rPr>
        <w:t>胆道重建手术</w:t>
      </w:r>
    </w:p>
    <w:p>
      <w:pPr>
        <w:pStyle w:val="ListParagraph"/>
        <w:numPr>
          <w:ilvl w:val="0"/>
          <w:numId w:val="61"/>
        </w:numPr>
        <w:tabs>
          <w:tab w:pos="3885" w:val="left" w:leader="none"/>
        </w:tabs>
        <w:spacing w:line="240" w:lineRule="auto" w:before="43" w:after="0"/>
        <w:ind w:left="3884" w:right="0" w:hanging="423"/>
        <w:jc w:val="left"/>
        <w:rPr>
          <w:sz w:val="21"/>
        </w:rPr>
      </w:pPr>
      <w:r>
        <w:rPr>
          <w:spacing w:val="-4"/>
          <w:sz w:val="21"/>
        </w:rPr>
        <w:t>席汉氏综合征</w:t>
      </w:r>
    </w:p>
    <w:p>
      <w:pPr>
        <w:pStyle w:val="BodyText"/>
        <w:rPr>
          <w:sz w:val="23"/>
        </w:rPr>
      </w:pPr>
    </w:p>
    <w:p>
      <w:pPr>
        <w:tabs>
          <w:tab w:pos="3461" w:val="left" w:leader="none"/>
        </w:tabs>
        <w:spacing w:before="1"/>
        <w:ind w:left="1910" w:right="0" w:firstLine="0"/>
        <w:jc w:val="left"/>
        <w:rPr>
          <w:sz w:val="21"/>
        </w:rPr>
      </w:pPr>
      <w:r>
        <w:rPr>
          <w:rFonts w:ascii="Microsoft JhengHei" w:eastAsia="Microsoft JhengHei"/>
          <w:b/>
          <w:sz w:val="21"/>
        </w:rPr>
        <w:t>第六</w:t>
      </w:r>
      <w:r>
        <w:rPr>
          <w:rFonts w:ascii="Microsoft JhengHei" w:eastAsia="Microsoft JhengHei"/>
          <w:b/>
          <w:spacing w:val="-10"/>
          <w:sz w:val="21"/>
        </w:rPr>
        <w:t>组</w:t>
      </w:r>
      <w:r>
        <w:rPr>
          <w:rFonts w:ascii="Microsoft JhengHei" w:eastAsia="Microsoft JhengHei"/>
          <w:b/>
          <w:sz w:val="21"/>
        </w:rPr>
        <w:tab/>
      </w:r>
      <w:r>
        <w:rPr>
          <w:sz w:val="21"/>
        </w:rPr>
        <w:t>1.</w:t>
      </w:r>
      <w:r>
        <w:rPr>
          <w:spacing w:val="-10"/>
          <w:sz w:val="21"/>
        </w:rPr>
        <w:t> </w:t>
      </w:r>
      <w:r>
        <w:rPr>
          <w:sz w:val="21"/>
        </w:rPr>
        <w:t>重症急性</w:t>
      </w:r>
      <w:r>
        <w:rPr>
          <w:sz w:val="21"/>
        </w:rPr>
        <w:t>坏死性筋</w:t>
      </w:r>
      <w:r>
        <w:rPr>
          <w:sz w:val="21"/>
        </w:rPr>
        <w:t>膜</w:t>
      </w:r>
      <w:r>
        <w:rPr>
          <w:spacing w:val="-10"/>
          <w:sz w:val="21"/>
        </w:rPr>
        <w:t>炎</w:t>
      </w:r>
    </w:p>
    <w:p>
      <w:pPr>
        <w:pStyle w:val="ListParagraph"/>
        <w:numPr>
          <w:ilvl w:val="0"/>
          <w:numId w:val="62"/>
        </w:numPr>
        <w:tabs>
          <w:tab w:pos="3779" w:val="left" w:leader="none"/>
        </w:tabs>
        <w:spacing w:line="240" w:lineRule="auto" w:before="0" w:after="0"/>
        <w:ind w:left="3778" w:right="0" w:hanging="317"/>
        <w:jc w:val="left"/>
        <w:rPr>
          <w:sz w:val="21"/>
        </w:rPr>
      </w:pPr>
      <w:r>
        <w:rPr>
          <w:spacing w:val="-4"/>
          <w:sz w:val="21"/>
        </w:rPr>
        <w:t>骨生长不全症</w:t>
      </w:r>
    </w:p>
    <w:p>
      <w:pPr>
        <w:pStyle w:val="ListParagraph"/>
        <w:numPr>
          <w:ilvl w:val="0"/>
          <w:numId w:val="62"/>
        </w:numPr>
        <w:tabs>
          <w:tab w:pos="3779" w:val="left" w:leader="none"/>
        </w:tabs>
        <w:spacing w:line="240" w:lineRule="auto" w:before="42" w:after="0"/>
        <w:ind w:left="3778" w:right="0" w:hanging="317"/>
        <w:jc w:val="left"/>
        <w:rPr>
          <w:sz w:val="21"/>
        </w:rPr>
      </w:pPr>
      <w:r>
        <w:rPr>
          <w:spacing w:val="-3"/>
          <w:sz w:val="21"/>
        </w:rPr>
        <w:t>溶血性链球菌引起的坏疽</w:t>
      </w:r>
    </w:p>
    <w:p>
      <w:pPr>
        <w:pStyle w:val="ListParagraph"/>
        <w:numPr>
          <w:ilvl w:val="0"/>
          <w:numId w:val="62"/>
        </w:numPr>
        <w:tabs>
          <w:tab w:pos="3779" w:val="left" w:leader="none"/>
        </w:tabs>
        <w:spacing w:line="240" w:lineRule="auto" w:before="44" w:after="0"/>
        <w:ind w:left="3778" w:right="0" w:hanging="317"/>
        <w:jc w:val="left"/>
        <w:rPr>
          <w:sz w:val="21"/>
        </w:rPr>
      </w:pPr>
      <w:r>
        <w:rPr>
          <w:spacing w:val="-4"/>
          <w:sz w:val="21"/>
        </w:rPr>
        <w:t>埃博拉病毒感染</w:t>
      </w:r>
    </w:p>
    <w:p>
      <w:pPr>
        <w:pStyle w:val="ListParagraph"/>
        <w:numPr>
          <w:ilvl w:val="0"/>
          <w:numId w:val="62"/>
        </w:numPr>
        <w:tabs>
          <w:tab w:pos="3779" w:val="left" w:leader="none"/>
        </w:tabs>
        <w:spacing w:line="240" w:lineRule="auto" w:before="43" w:after="0"/>
        <w:ind w:left="3778" w:right="0" w:hanging="317"/>
        <w:jc w:val="left"/>
        <w:rPr>
          <w:sz w:val="21"/>
        </w:rPr>
      </w:pPr>
      <w:r>
        <w:rPr>
          <w:spacing w:val="-4"/>
          <w:sz w:val="21"/>
        </w:rPr>
        <w:t>丝虫病所致象皮肿</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6"/>
        <w:rPr>
          <w:sz w:val="27"/>
        </w:rPr>
      </w:pPr>
    </w:p>
    <w:p>
      <w:pPr>
        <w:pStyle w:val="Heading1"/>
        <w:numPr>
          <w:ilvl w:val="0"/>
          <w:numId w:val="63"/>
        </w:numPr>
        <w:tabs>
          <w:tab w:pos="1910" w:val="left" w:leader="none"/>
          <w:tab w:pos="1911" w:val="left" w:leader="none"/>
        </w:tabs>
        <w:spacing w:line="240" w:lineRule="auto" w:before="0" w:after="0"/>
        <w:ind w:left="1910" w:right="0" w:hanging="985"/>
        <w:jc w:val="left"/>
      </w:pPr>
      <w:r>
        <w:rPr/>
        <w:drawing>
          <wp:anchor distT="0" distB="0" distL="0" distR="0" allowOverlap="1" layoutInCell="1" locked="0" behindDoc="1" simplePos="0" relativeHeight="485346304">
            <wp:simplePos x="0" y="0"/>
            <wp:positionH relativeFrom="page">
              <wp:posOffset>1143609</wp:posOffset>
            </wp:positionH>
            <wp:positionV relativeFrom="paragraph">
              <wp:posOffset>245376</wp:posOffset>
            </wp:positionV>
            <wp:extent cx="5274970" cy="12191"/>
            <wp:effectExtent l="0" t="0" r="0" b="0"/>
            <wp:wrapNone/>
            <wp:docPr id="19" name="image4.png"/>
            <wp:cNvGraphicFramePr>
              <a:graphicFrameLocks noChangeAspect="1"/>
            </wp:cNvGraphicFramePr>
            <a:graphic>
              <a:graphicData uri="http://schemas.openxmlformats.org/drawingml/2006/picture">
                <pic:pic>
                  <pic:nvPicPr>
                    <pic:cNvPr id="20" name="image4.png"/>
                    <pic:cNvPicPr/>
                  </pic:nvPicPr>
                  <pic:blipFill>
                    <a:blip r:embed="rId9" cstate="print"/>
                    <a:stretch>
                      <a:fillRect/>
                    </a:stretch>
                  </pic:blipFill>
                  <pic:spPr>
                    <a:xfrm>
                      <a:off x="0" y="0"/>
                      <a:ext cx="5274970" cy="12191"/>
                    </a:xfrm>
                    <a:prstGeom prst="rect">
                      <a:avLst/>
                    </a:prstGeom>
                  </pic:spPr>
                </pic:pic>
              </a:graphicData>
            </a:graphic>
          </wp:anchor>
        </w:drawing>
      </w:r>
      <w:r>
        <w:rPr>
          <w:spacing w:val="-2"/>
        </w:rPr>
        <w:t>中度疾病定义</w:t>
      </w:r>
    </w:p>
    <w:p>
      <w:pPr>
        <w:pStyle w:val="BodyText"/>
        <w:spacing w:before="2"/>
        <w:rPr>
          <w:rFonts w:ascii="Microsoft JhengHei"/>
          <w:b/>
          <w:sz w:val="12"/>
        </w:rPr>
      </w:pPr>
    </w:p>
    <w:p>
      <w:pPr>
        <w:pStyle w:val="ListParagraph"/>
        <w:numPr>
          <w:ilvl w:val="1"/>
          <w:numId w:val="63"/>
        </w:numPr>
        <w:tabs>
          <w:tab w:pos="1910" w:val="left" w:leader="none"/>
          <w:tab w:pos="1911" w:val="left" w:leader="none"/>
          <w:tab w:pos="3461" w:val="left" w:leader="none"/>
        </w:tabs>
        <w:spacing w:line="240" w:lineRule="auto" w:before="0" w:after="0"/>
        <w:ind w:left="1910" w:right="0" w:hanging="985"/>
        <w:jc w:val="left"/>
        <w:rPr>
          <w:rFonts w:ascii="Times New Roman" w:eastAsia="Times New Roman"/>
          <w:sz w:val="21"/>
        </w:rPr>
      </w:pPr>
      <w:r>
        <w:rPr>
          <w:rFonts w:ascii="Microsoft JhengHei" w:eastAsia="Microsoft JhengHei"/>
          <w:b/>
          <w:sz w:val="21"/>
        </w:rPr>
        <w:t>中度疾</w:t>
      </w:r>
      <w:r>
        <w:rPr>
          <w:rFonts w:ascii="Microsoft JhengHei" w:eastAsia="Microsoft JhengHei"/>
          <w:b/>
          <w:spacing w:val="-10"/>
          <w:sz w:val="21"/>
        </w:rPr>
        <w:t>病</w:t>
      </w:r>
      <w:r>
        <w:rPr>
          <w:rFonts w:ascii="Microsoft JhengHei" w:eastAsia="Microsoft JhengHei"/>
          <w:b/>
          <w:sz w:val="21"/>
        </w:rPr>
        <w:tab/>
      </w:r>
      <w:r>
        <w:rPr>
          <w:spacing w:val="-2"/>
          <w:sz w:val="21"/>
        </w:rPr>
        <w:t>指</w:t>
      </w:r>
      <w:r>
        <w:rPr>
          <w:spacing w:val="-2"/>
          <w:sz w:val="21"/>
        </w:rPr>
        <w:t>被</w:t>
      </w:r>
      <w:r>
        <w:rPr>
          <w:spacing w:val="-2"/>
          <w:sz w:val="21"/>
        </w:rPr>
        <w:t>保</w:t>
      </w:r>
      <w:r>
        <w:rPr>
          <w:spacing w:val="-2"/>
          <w:sz w:val="21"/>
        </w:rPr>
        <w:t>险</w:t>
      </w:r>
      <w:r>
        <w:rPr>
          <w:spacing w:val="-2"/>
          <w:sz w:val="21"/>
        </w:rPr>
        <w:t>人</w:t>
      </w:r>
      <w:r>
        <w:rPr>
          <w:spacing w:val="-2"/>
          <w:sz w:val="21"/>
        </w:rPr>
        <w:t>发</w:t>
      </w:r>
      <w:r>
        <w:rPr>
          <w:spacing w:val="-2"/>
          <w:sz w:val="21"/>
        </w:rPr>
        <w:t>生</w:t>
      </w:r>
      <w:r>
        <w:rPr>
          <w:spacing w:val="-2"/>
          <w:sz w:val="21"/>
        </w:rPr>
        <w:t>符</w:t>
      </w:r>
      <w:r>
        <w:rPr>
          <w:spacing w:val="-2"/>
          <w:sz w:val="21"/>
        </w:rPr>
        <w:t>合</w:t>
      </w:r>
      <w:r>
        <w:rPr>
          <w:spacing w:val="-2"/>
          <w:sz w:val="21"/>
        </w:rPr>
        <w:t>以</w:t>
      </w:r>
      <w:r>
        <w:rPr>
          <w:spacing w:val="-2"/>
          <w:sz w:val="21"/>
        </w:rPr>
        <w:t>下</w:t>
      </w:r>
      <w:r>
        <w:rPr>
          <w:spacing w:val="-2"/>
          <w:sz w:val="21"/>
        </w:rPr>
        <w:t>疾</w:t>
      </w:r>
      <w:r>
        <w:rPr>
          <w:spacing w:val="-2"/>
          <w:sz w:val="21"/>
        </w:rPr>
        <w:t>病</w:t>
      </w:r>
      <w:r>
        <w:rPr>
          <w:spacing w:val="-2"/>
          <w:sz w:val="21"/>
        </w:rPr>
        <w:t>定</w:t>
      </w:r>
      <w:r>
        <w:rPr>
          <w:spacing w:val="-2"/>
          <w:sz w:val="21"/>
        </w:rPr>
        <w:t>义</w:t>
      </w:r>
      <w:r>
        <w:rPr>
          <w:spacing w:val="-2"/>
          <w:sz w:val="21"/>
        </w:rPr>
        <w:t>所</w:t>
      </w:r>
      <w:r>
        <w:rPr>
          <w:spacing w:val="-2"/>
          <w:sz w:val="21"/>
        </w:rPr>
        <w:t>述</w:t>
      </w:r>
      <w:r>
        <w:rPr>
          <w:spacing w:val="-2"/>
          <w:sz w:val="21"/>
        </w:rPr>
        <w:t>条</w:t>
      </w:r>
      <w:r>
        <w:rPr>
          <w:spacing w:val="-2"/>
          <w:sz w:val="21"/>
        </w:rPr>
        <w:t>件</w:t>
      </w:r>
      <w:r>
        <w:rPr>
          <w:spacing w:val="-2"/>
          <w:sz w:val="21"/>
        </w:rPr>
        <w:t>的</w:t>
      </w:r>
      <w:r>
        <w:rPr>
          <w:spacing w:val="-2"/>
          <w:sz w:val="21"/>
        </w:rPr>
        <w:t>疾病（共</w:t>
      </w:r>
      <w:r>
        <w:rPr>
          <w:spacing w:val="-35"/>
          <w:sz w:val="21"/>
        </w:rPr>
        <w:t> </w:t>
      </w:r>
      <w:r>
        <w:rPr>
          <w:rFonts w:ascii="Times New Roman" w:eastAsia="Times New Roman"/>
          <w:spacing w:val="-5"/>
          <w:sz w:val="21"/>
        </w:rPr>
        <w:t>20</w:t>
      </w:r>
    </w:p>
    <w:p>
      <w:pPr>
        <w:pStyle w:val="BodyText"/>
        <w:ind w:left="3462"/>
      </w:pPr>
      <w:r>
        <w:rPr/>
        <w:t>种</w:t>
      </w:r>
      <w:r>
        <w:rPr>
          <w:spacing w:val="-106"/>
        </w:rPr>
        <w:t>）</w:t>
      </w:r>
      <w:r>
        <w:rPr>
          <w:spacing w:val="-10"/>
        </w:rPr>
        <w:t>。</w:t>
      </w:r>
    </w:p>
    <w:p>
      <w:pPr>
        <w:spacing w:after="0"/>
        <w:sectPr>
          <w:pgSz w:w="11910" w:h="16840"/>
          <w:pgMar w:header="0" w:footer="226" w:top="660" w:bottom="420" w:left="980" w:right="400"/>
        </w:sectPr>
      </w:pPr>
    </w:p>
    <w:p>
      <w:pPr>
        <w:pStyle w:val="BodyText"/>
        <w:spacing w:line="278" w:lineRule="auto" w:before="51"/>
        <w:ind w:left="3462" w:right="1597"/>
      </w:pPr>
      <w:r>
        <w:rPr>
          <w:spacing w:val="-2"/>
        </w:rPr>
        <w:t>被保险人发生符合以下疾病定义所述条件的疾病，应当由专</w:t>
      </w:r>
      <w:r>
        <w:rPr>
          <w:spacing w:val="-2"/>
        </w:rPr>
        <w:t>科医生明确诊断。</w:t>
      </w:r>
    </w:p>
    <w:p>
      <w:pPr>
        <w:pStyle w:val="BodyText"/>
        <w:spacing w:line="283" w:lineRule="auto" w:before="153"/>
        <w:ind w:left="3462" w:right="1597"/>
      </w:pPr>
      <w:r>
        <w:rPr>
          <w:spacing w:val="-2"/>
        </w:rPr>
        <w:t>以下疾病名称仅供理解使用，具体保障范围以每项疾病具体</w:t>
      </w:r>
      <w:r>
        <w:rPr>
          <w:spacing w:val="-2"/>
        </w:rPr>
        <w:t>定义为准。</w:t>
      </w:r>
    </w:p>
    <w:p>
      <w:pPr>
        <w:pStyle w:val="BodyText"/>
        <w:spacing w:before="3"/>
        <w:rPr>
          <w:sz w:val="19"/>
        </w:rPr>
      </w:pPr>
    </w:p>
    <w:p>
      <w:pPr>
        <w:pStyle w:val="ListParagraph"/>
        <w:numPr>
          <w:ilvl w:val="2"/>
          <w:numId w:val="63"/>
        </w:numPr>
        <w:tabs>
          <w:tab w:pos="2123" w:val="left" w:leader="none"/>
          <w:tab w:pos="3461" w:val="left" w:leader="none"/>
        </w:tabs>
        <w:spacing w:line="240" w:lineRule="auto" w:before="1" w:after="0"/>
        <w:ind w:left="3462" w:right="1596" w:hanging="1552"/>
        <w:jc w:val="left"/>
        <w:rPr>
          <w:sz w:val="21"/>
        </w:rPr>
      </w:pPr>
      <w:r>
        <w:rPr>
          <w:rFonts w:ascii="Microsoft JhengHei" w:eastAsia="Microsoft JhengHei"/>
          <w:b/>
          <w:spacing w:val="-2"/>
          <w:sz w:val="21"/>
        </w:rPr>
        <w:t>中</w:t>
      </w:r>
      <w:r>
        <w:rPr>
          <w:rFonts w:ascii="Microsoft JhengHei" w:eastAsia="Microsoft JhengHei"/>
          <w:b/>
          <w:spacing w:val="-2"/>
          <w:sz w:val="21"/>
        </w:rPr>
        <w:t>度</w:t>
      </w:r>
      <w:r>
        <w:rPr>
          <w:rFonts w:ascii="Microsoft JhengHei" w:eastAsia="Microsoft JhengHei"/>
          <w:b/>
          <w:spacing w:val="-2"/>
          <w:sz w:val="21"/>
        </w:rPr>
        <w:t>脑</w:t>
      </w:r>
      <w:r>
        <w:rPr>
          <w:rFonts w:ascii="Microsoft JhengHei" w:eastAsia="Microsoft JhengHei"/>
          <w:b/>
          <w:spacing w:val="-2"/>
          <w:sz w:val="21"/>
        </w:rPr>
        <w:t>损</w:t>
      </w:r>
      <w:r>
        <w:rPr>
          <w:rFonts w:ascii="Microsoft JhengHei" w:eastAsia="Microsoft JhengHei"/>
          <w:b/>
          <w:spacing w:val="-2"/>
          <w:sz w:val="21"/>
        </w:rPr>
        <w:t>伤</w:t>
      </w:r>
      <w:r>
        <w:rPr>
          <w:rFonts w:ascii="Microsoft JhengHei" w:eastAsia="Microsoft JhengHei"/>
          <w:b/>
          <w:sz w:val="21"/>
        </w:rPr>
        <w:tab/>
      </w:r>
      <w:r>
        <w:rPr>
          <w:spacing w:val="-2"/>
          <w:sz w:val="21"/>
        </w:rPr>
        <w:t>指</w:t>
      </w:r>
      <w:r>
        <w:rPr>
          <w:spacing w:val="-2"/>
          <w:sz w:val="21"/>
        </w:rPr>
        <w:t>因</w:t>
      </w:r>
      <w:r>
        <w:rPr>
          <w:spacing w:val="-2"/>
          <w:sz w:val="21"/>
        </w:rPr>
        <w:t>头</w:t>
      </w:r>
      <w:r>
        <w:rPr>
          <w:spacing w:val="-2"/>
          <w:sz w:val="21"/>
        </w:rPr>
        <w:t>部</w:t>
      </w:r>
      <w:r>
        <w:rPr>
          <w:spacing w:val="-2"/>
          <w:sz w:val="21"/>
        </w:rPr>
        <w:t>遭</w:t>
      </w:r>
      <w:r>
        <w:rPr>
          <w:spacing w:val="-2"/>
          <w:sz w:val="21"/>
        </w:rPr>
        <w:t>受</w:t>
      </w:r>
      <w:r>
        <w:rPr>
          <w:spacing w:val="-2"/>
          <w:sz w:val="21"/>
        </w:rPr>
        <w:t>机</w:t>
      </w:r>
      <w:r>
        <w:rPr>
          <w:spacing w:val="-2"/>
          <w:sz w:val="21"/>
        </w:rPr>
        <w:t>械</w:t>
      </w:r>
      <w:r>
        <w:rPr>
          <w:spacing w:val="-2"/>
          <w:sz w:val="21"/>
        </w:rPr>
        <w:t>性</w:t>
      </w:r>
      <w:r>
        <w:rPr>
          <w:spacing w:val="-2"/>
          <w:sz w:val="21"/>
        </w:rPr>
        <w:t>外</w:t>
      </w:r>
      <w:r>
        <w:rPr>
          <w:spacing w:val="-2"/>
          <w:sz w:val="21"/>
        </w:rPr>
        <w:t>力</w:t>
      </w:r>
      <w:r>
        <w:rPr>
          <w:spacing w:val="-2"/>
          <w:sz w:val="21"/>
        </w:rPr>
        <w:t>，引</w:t>
      </w:r>
      <w:r>
        <w:rPr>
          <w:spacing w:val="-2"/>
          <w:sz w:val="21"/>
        </w:rPr>
        <w:t>起</w:t>
      </w:r>
      <w:r>
        <w:rPr>
          <w:spacing w:val="-2"/>
          <w:sz w:val="21"/>
        </w:rPr>
        <w:t>脑</w:t>
      </w:r>
      <w:r>
        <w:rPr>
          <w:spacing w:val="-2"/>
          <w:sz w:val="21"/>
        </w:rPr>
        <w:t>重</w:t>
      </w:r>
      <w:r>
        <w:rPr>
          <w:spacing w:val="-2"/>
          <w:sz w:val="21"/>
        </w:rPr>
        <w:t>要</w:t>
      </w:r>
      <w:r>
        <w:rPr>
          <w:spacing w:val="-2"/>
          <w:sz w:val="21"/>
        </w:rPr>
        <w:t>部</w:t>
      </w:r>
      <w:r>
        <w:rPr>
          <w:spacing w:val="-2"/>
          <w:sz w:val="21"/>
        </w:rPr>
        <w:t>位</w:t>
      </w:r>
      <w:r>
        <w:rPr>
          <w:spacing w:val="-2"/>
          <w:sz w:val="21"/>
        </w:rPr>
        <w:t>损</w:t>
      </w:r>
      <w:r>
        <w:rPr>
          <w:spacing w:val="-2"/>
          <w:sz w:val="21"/>
        </w:rPr>
        <w:t>伤，导</w:t>
      </w:r>
      <w:r>
        <w:rPr>
          <w:spacing w:val="-2"/>
          <w:sz w:val="21"/>
        </w:rPr>
        <w:t>致</w:t>
      </w:r>
      <w:r>
        <w:rPr>
          <w:spacing w:val="-2"/>
          <w:sz w:val="21"/>
        </w:rPr>
        <w:t>神</w:t>
      </w:r>
      <w:r>
        <w:rPr>
          <w:spacing w:val="-2"/>
          <w:sz w:val="21"/>
        </w:rPr>
        <w:t>经</w:t>
      </w:r>
      <w:r>
        <w:rPr>
          <w:spacing w:val="-2"/>
          <w:sz w:val="21"/>
        </w:rPr>
        <w:t>系</w:t>
      </w:r>
      <w:r>
        <w:rPr>
          <w:spacing w:val="-2"/>
          <w:sz w:val="21"/>
        </w:rPr>
        <w:t>统</w:t>
      </w:r>
      <w:r>
        <w:rPr>
          <w:spacing w:val="-2"/>
          <w:sz w:val="21"/>
        </w:rPr>
        <w:t>永</w:t>
      </w:r>
      <w:r>
        <w:rPr>
          <w:spacing w:val="-2"/>
          <w:sz w:val="21"/>
        </w:rPr>
        <w:t>久</w:t>
      </w:r>
      <w:r>
        <w:rPr>
          <w:spacing w:val="-2"/>
          <w:sz w:val="21"/>
        </w:rPr>
        <w:t>性</w:t>
      </w:r>
      <w:r>
        <w:rPr>
          <w:spacing w:val="-2"/>
          <w:sz w:val="21"/>
        </w:rPr>
        <w:t>的</w:t>
      </w:r>
      <w:r>
        <w:rPr>
          <w:spacing w:val="-2"/>
          <w:sz w:val="21"/>
        </w:rPr>
        <w:t>功</w:t>
      </w:r>
      <w:r>
        <w:rPr>
          <w:spacing w:val="-2"/>
          <w:sz w:val="21"/>
        </w:rPr>
        <w:t>能</w:t>
      </w:r>
      <w:r>
        <w:rPr>
          <w:spacing w:val="-2"/>
          <w:sz w:val="21"/>
        </w:rPr>
        <w:t>障</w:t>
      </w:r>
      <w:r>
        <w:rPr>
          <w:spacing w:val="-2"/>
          <w:sz w:val="21"/>
        </w:rPr>
        <w:t>碍</w:t>
      </w:r>
      <w:r>
        <w:rPr>
          <w:spacing w:val="-2"/>
          <w:sz w:val="21"/>
        </w:rPr>
        <w:t>。</w:t>
      </w:r>
      <w:r>
        <w:rPr>
          <w:spacing w:val="-2"/>
          <w:sz w:val="21"/>
        </w:rPr>
        <w:t>须</w:t>
      </w:r>
      <w:r>
        <w:rPr>
          <w:spacing w:val="-2"/>
          <w:sz w:val="21"/>
        </w:rPr>
        <w:t>由</w:t>
      </w:r>
      <w:r>
        <w:rPr>
          <w:spacing w:val="-2"/>
          <w:sz w:val="21"/>
        </w:rPr>
        <w:t>头</w:t>
      </w:r>
      <w:r>
        <w:rPr>
          <w:spacing w:val="-2"/>
          <w:sz w:val="21"/>
        </w:rPr>
        <w:t>颅</w:t>
      </w:r>
      <w:r>
        <w:rPr>
          <w:spacing w:val="-2"/>
          <w:sz w:val="21"/>
        </w:rPr>
        <w:t>断</w:t>
      </w:r>
      <w:r>
        <w:rPr>
          <w:spacing w:val="-2"/>
          <w:sz w:val="21"/>
        </w:rPr>
        <w:t>层</w:t>
      </w:r>
      <w:r>
        <w:rPr>
          <w:spacing w:val="-2"/>
          <w:sz w:val="21"/>
        </w:rPr>
        <w:t>扫</w:t>
      </w:r>
      <w:r>
        <w:rPr>
          <w:spacing w:val="-2"/>
          <w:sz w:val="21"/>
        </w:rPr>
        <w:t>描</w:t>
      </w:r>
      <w:r>
        <w:rPr>
          <w:spacing w:val="26"/>
          <w:sz w:val="21"/>
        </w:rPr>
        <w:t>（</w:t>
      </w:r>
      <w:r>
        <w:rPr>
          <w:spacing w:val="25"/>
          <w:sz w:val="21"/>
        </w:rPr>
        <w:t>C</w:t>
      </w:r>
      <w:r>
        <w:rPr>
          <w:spacing w:val="20"/>
          <w:sz w:val="21"/>
        </w:rPr>
        <w:t>T</w:t>
      </w:r>
      <w:r>
        <w:rPr>
          <w:spacing w:val="-81"/>
          <w:sz w:val="21"/>
        </w:rPr>
        <w:t>）</w:t>
      </w:r>
      <w:r>
        <w:rPr>
          <w:spacing w:val="-2"/>
          <w:sz w:val="21"/>
        </w:rPr>
        <w:t>、</w:t>
      </w:r>
      <w:r>
        <w:rPr>
          <w:spacing w:val="-2"/>
          <w:sz w:val="21"/>
        </w:rPr>
        <w:t>核</w:t>
      </w:r>
      <w:r>
        <w:rPr>
          <w:spacing w:val="-2"/>
          <w:sz w:val="21"/>
        </w:rPr>
        <w:t>磁</w:t>
      </w:r>
      <w:r>
        <w:rPr>
          <w:spacing w:val="-2"/>
          <w:sz w:val="21"/>
        </w:rPr>
        <w:t>共</w:t>
      </w:r>
    </w:p>
    <w:p>
      <w:pPr>
        <w:pStyle w:val="BodyText"/>
        <w:spacing w:line="278" w:lineRule="auto" w:before="42"/>
        <w:ind w:left="3462" w:right="1596"/>
      </w:pPr>
      <w:r>
        <w:rPr>
          <w:spacing w:val="-2"/>
        </w:rPr>
        <w:t>振检查（MRI）或正电子发射断层扫描（PET）等影像学检查</w:t>
      </w:r>
      <w:r>
        <w:rPr>
          <w:spacing w:val="-4"/>
        </w:rPr>
        <w:t>证实。</w:t>
      </w:r>
    </w:p>
    <w:p>
      <w:pPr>
        <w:pStyle w:val="BodyText"/>
        <w:spacing w:line="278" w:lineRule="auto" w:before="154"/>
        <w:ind w:left="3462" w:right="1596"/>
        <w:jc w:val="both"/>
      </w:pPr>
      <w:r>
        <w:rPr>
          <w:spacing w:val="-5"/>
        </w:rPr>
        <w:t>神经系统永久性的功能障碍，指脑损伤 </w:t>
      </w:r>
      <w:r>
        <w:rPr>
          <w:spacing w:val="-4"/>
        </w:rPr>
        <w:t>180</w:t>
      </w:r>
      <w:r>
        <w:rPr>
          <w:spacing w:val="-6"/>
        </w:rPr>
        <w:t> 天后，仍完全丧</w:t>
      </w:r>
      <w:r>
        <w:rPr>
          <w:spacing w:val="-2"/>
        </w:rPr>
        <w:t>失自主生活能力，经鉴定无法独立完成六项基本日常生活活</w:t>
      </w:r>
      <w:r>
        <w:rPr>
          <w:spacing w:val="-2"/>
        </w:rPr>
        <w:t>动中的两项或以上，但未达到本合同所定义的重度疾病“严</w:t>
      </w:r>
      <w:r>
        <w:rPr>
          <w:spacing w:val="-2"/>
        </w:rPr>
        <w:t>重脑损伤”或“瘫痪”的给付标准。</w:t>
      </w:r>
    </w:p>
    <w:p>
      <w:pPr>
        <w:pStyle w:val="BodyText"/>
        <w:spacing w:before="12"/>
        <w:rPr>
          <w:sz w:val="19"/>
        </w:rPr>
      </w:pPr>
    </w:p>
    <w:p>
      <w:pPr>
        <w:spacing w:after="0"/>
        <w:rPr>
          <w:sz w:val="19"/>
        </w:rPr>
        <w:sectPr>
          <w:pgSz w:w="11910" w:h="16840"/>
          <w:pgMar w:header="0" w:footer="226" w:top="820" w:bottom="420" w:left="980" w:right="400"/>
        </w:sectPr>
      </w:pPr>
    </w:p>
    <w:p>
      <w:pPr>
        <w:pStyle w:val="Heading2"/>
        <w:numPr>
          <w:ilvl w:val="2"/>
          <w:numId w:val="63"/>
        </w:numPr>
        <w:tabs>
          <w:tab w:pos="2123" w:val="left" w:leader="none"/>
        </w:tabs>
        <w:spacing w:line="194" w:lineRule="auto" w:before="55" w:after="0"/>
        <w:ind w:left="1910" w:right="0" w:firstLine="0"/>
        <w:jc w:val="left"/>
      </w:pPr>
      <w:r>
        <w:rPr>
          <w:spacing w:val="-2"/>
        </w:rPr>
        <w:t>中度溃疡性</w:t>
      </w:r>
      <w:r>
        <w:rPr>
          <w:spacing w:val="-4"/>
        </w:rPr>
        <w:t>结肠炎</w:t>
      </w:r>
    </w:p>
    <w:p>
      <w:pPr>
        <w:pStyle w:val="BodyText"/>
        <w:spacing w:line="278" w:lineRule="auto" w:before="71"/>
        <w:ind w:left="243" w:right="1496"/>
        <w:jc w:val="both"/>
      </w:pPr>
      <w:r>
        <w:rPr/>
        <w:br w:type="column"/>
      </w:r>
      <w:r>
        <w:rPr>
          <w:spacing w:val="-2"/>
        </w:rPr>
        <w:t>本合同所保障的溃疡性结肠炎是指伴有致命性电解质紊乱的</w:t>
      </w:r>
      <w:r>
        <w:rPr>
          <w:spacing w:val="-10"/>
        </w:rPr>
        <w:t>急性暴发性溃疡性结肠炎，病变累及全结肠，表现为严重的血</w:t>
      </w:r>
      <w:r>
        <w:rPr>
          <w:spacing w:val="-2"/>
        </w:rPr>
        <w:t>便和系统性症状体征和肠破裂的风险，本疾病的确诊必须经</w:t>
      </w:r>
      <w:r>
        <w:rPr>
          <w:spacing w:val="-2"/>
        </w:rPr>
        <w:t>由内窥镜检查证实该疾病侵犯全部结肠及直肠及活体切片检</w:t>
      </w:r>
      <w:r>
        <w:rPr>
          <w:spacing w:val="-2"/>
        </w:rPr>
        <w:t>查证实为溃疡性结肠炎。且须经肠胃专科医生连续以系统性</w:t>
      </w:r>
      <w:r>
        <w:rPr>
          <w:spacing w:val="-2"/>
        </w:rPr>
        <w:t>免疫抑制剂或免疫调节剂持续治疗最少90天，但未达到本合</w:t>
      </w:r>
      <w:r>
        <w:rPr>
          <w:spacing w:val="-6"/>
        </w:rPr>
        <w:t>同所定义的重度疾病“严重溃疡性结肠炎”的标准，才符合本</w:t>
      </w:r>
      <w:r>
        <w:rPr>
          <w:spacing w:val="-2"/>
        </w:rPr>
        <w:t>保障范围。</w:t>
      </w:r>
    </w:p>
    <w:p>
      <w:pPr>
        <w:pStyle w:val="BodyText"/>
        <w:spacing w:line="283" w:lineRule="auto" w:before="153"/>
        <w:ind w:left="243" w:right="1499"/>
      </w:pPr>
      <w:r>
        <w:rPr>
          <w:spacing w:val="3"/>
          <w:w w:val="100"/>
        </w:rPr>
        <w:t>其他种类的炎性结肠炎,只发生在直肠的溃疡性结肠炎均不</w:t>
      </w:r>
      <w:r>
        <w:rPr>
          <w:w w:val="100"/>
        </w:rPr>
        <w:t>在保障范围内。</w:t>
      </w:r>
    </w:p>
    <w:p>
      <w:pPr>
        <w:spacing w:after="0" w:line="283" w:lineRule="auto"/>
        <w:sectPr>
          <w:type w:val="continuous"/>
          <w:pgSz w:w="11910" w:h="16840"/>
          <w:pgMar w:header="0" w:footer="226" w:top="240" w:bottom="420" w:left="980" w:right="400"/>
          <w:cols w:num="2" w:equalWidth="0">
            <w:col w:w="3179" w:space="40"/>
            <w:col w:w="7311"/>
          </w:cols>
        </w:sectPr>
      </w:pPr>
    </w:p>
    <w:p>
      <w:pPr>
        <w:pStyle w:val="BodyText"/>
        <w:spacing w:before="1"/>
        <w:rPr>
          <w:sz w:val="19"/>
        </w:rPr>
      </w:pPr>
    </w:p>
    <w:p>
      <w:pPr>
        <w:pStyle w:val="ListParagraph"/>
        <w:numPr>
          <w:ilvl w:val="2"/>
          <w:numId w:val="63"/>
        </w:numPr>
        <w:tabs>
          <w:tab w:pos="2123" w:val="left" w:leader="none"/>
          <w:tab w:pos="3461" w:val="left" w:leader="none"/>
        </w:tabs>
        <w:spacing w:line="235" w:lineRule="auto" w:before="8" w:after="0"/>
        <w:ind w:left="3462" w:right="1597" w:hanging="1552"/>
        <w:jc w:val="left"/>
        <w:rPr>
          <w:sz w:val="21"/>
        </w:rPr>
      </w:pPr>
      <w:r>
        <w:rPr>
          <w:rFonts w:ascii="Microsoft JhengHei" w:eastAsia="Microsoft JhengHei"/>
          <w:b/>
          <w:spacing w:val="-4"/>
          <w:sz w:val="21"/>
        </w:rPr>
        <w:t>肾</w:t>
      </w:r>
      <w:r>
        <w:rPr>
          <w:rFonts w:ascii="Microsoft JhengHei" w:eastAsia="Microsoft JhengHei"/>
          <w:b/>
          <w:spacing w:val="-4"/>
          <w:sz w:val="21"/>
        </w:rPr>
        <w:t>脏</w:t>
      </w:r>
      <w:r>
        <w:rPr>
          <w:rFonts w:ascii="Microsoft JhengHei" w:eastAsia="Microsoft JhengHei"/>
          <w:b/>
          <w:spacing w:val="-4"/>
          <w:sz w:val="21"/>
        </w:rPr>
        <w:t>切</w:t>
      </w:r>
      <w:r>
        <w:rPr>
          <w:rFonts w:ascii="Microsoft JhengHei" w:eastAsia="Microsoft JhengHei"/>
          <w:b/>
          <w:spacing w:val="-4"/>
          <w:sz w:val="21"/>
        </w:rPr>
        <w:t>除</w:t>
      </w:r>
      <w:r>
        <w:rPr>
          <w:rFonts w:ascii="Microsoft JhengHei" w:eastAsia="Microsoft JhengHei"/>
          <w:b/>
          <w:sz w:val="21"/>
        </w:rPr>
        <w:tab/>
      </w:r>
      <w:r>
        <w:rPr>
          <w:spacing w:val="-2"/>
          <w:sz w:val="21"/>
        </w:rPr>
        <w:t>指</w:t>
      </w:r>
      <w:r>
        <w:rPr>
          <w:spacing w:val="-2"/>
          <w:sz w:val="21"/>
        </w:rPr>
        <w:t>因</w:t>
      </w:r>
      <w:r>
        <w:rPr>
          <w:spacing w:val="-2"/>
          <w:sz w:val="21"/>
        </w:rPr>
        <w:t>疾</w:t>
      </w:r>
      <w:r>
        <w:rPr>
          <w:spacing w:val="-2"/>
          <w:sz w:val="21"/>
        </w:rPr>
        <w:t>病</w:t>
      </w:r>
      <w:r>
        <w:rPr>
          <w:spacing w:val="-2"/>
          <w:sz w:val="21"/>
        </w:rPr>
        <w:t>或</w:t>
      </w:r>
      <w:r>
        <w:rPr>
          <w:spacing w:val="-2"/>
          <w:sz w:val="21"/>
        </w:rPr>
        <w:t>意</w:t>
      </w:r>
      <w:r>
        <w:rPr>
          <w:spacing w:val="-2"/>
          <w:sz w:val="21"/>
        </w:rPr>
        <w:t>外</w:t>
      </w:r>
      <w:r>
        <w:rPr>
          <w:spacing w:val="-2"/>
          <w:sz w:val="21"/>
        </w:rPr>
        <w:t>伤</w:t>
      </w:r>
      <w:r>
        <w:rPr>
          <w:spacing w:val="-2"/>
          <w:sz w:val="21"/>
        </w:rPr>
        <w:t>害</w:t>
      </w:r>
      <w:r>
        <w:rPr>
          <w:spacing w:val="-2"/>
          <w:sz w:val="21"/>
        </w:rPr>
        <w:t>导</w:t>
      </w:r>
      <w:r>
        <w:rPr>
          <w:spacing w:val="-2"/>
          <w:sz w:val="21"/>
        </w:rPr>
        <w:t>致</w:t>
      </w:r>
      <w:r>
        <w:rPr>
          <w:spacing w:val="-2"/>
          <w:sz w:val="21"/>
        </w:rPr>
        <w:t>肾</w:t>
      </w:r>
      <w:r>
        <w:rPr>
          <w:spacing w:val="-2"/>
          <w:sz w:val="21"/>
        </w:rPr>
        <w:t>脏</w:t>
      </w:r>
      <w:r>
        <w:rPr>
          <w:spacing w:val="-2"/>
          <w:sz w:val="21"/>
        </w:rPr>
        <w:t>严</w:t>
      </w:r>
      <w:r>
        <w:rPr>
          <w:spacing w:val="-2"/>
          <w:sz w:val="21"/>
        </w:rPr>
        <w:t>重</w:t>
      </w:r>
      <w:r>
        <w:rPr>
          <w:spacing w:val="-2"/>
          <w:sz w:val="21"/>
        </w:rPr>
        <w:t>损</w:t>
      </w:r>
      <w:r>
        <w:rPr>
          <w:spacing w:val="-2"/>
          <w:sz w:val="21"/>
        </w:rPr>
        <w:t>害，</w:t>
      </w:r>
      <w:r>
        <w:rPr>
          <w:spacing w:val="-2"/>
          <w:sz w:val="21"/>
        </w:rPr>
        <w:t>已</w:t>
      </w:r>
      <w:r>
        <w:rPr>
          <w:spacing w:val="-2"/>
          <w:sz w:val="21"/>
        </w:rPr>
        <w:t>经</w:t>
      </w:r>
      <w:r>
        <w:rPr>
          <w:spacing w:val="-2"/>
          <w:sz w:val="21"/>
        </w:rPr>
        <w:t>实施了</w:t>
      </w:r>
      <w:r>
        <w:rPr>
          <w:spacing w:val="-2"/>
          <w:sz w:val="21"/>
        </w:rPr>
        <w:t>至</w:t>
      </w:r>
      <w:r>
        <w:rPr>
          <w:spacing w:val="-2"/>
          <w:sz w:val="21"/>
        </w:rPr>
        <w:t>少</w:t>
      </w:r>
      <w:r>
        <w:rPr>
          <w:spacing w:val="-2"/>
          <w:sz w:val="21"/>
        </w:rPr>
        <w:t>单</w:t>
      </w:r>
      <w:r>
        <w:rPr>
          <w:spacing w:val="-2"/>
          <w:sz w:val="21"/>
        </w:rPr>
        <w:t>侧</w:t>
      </w:r>
      <w:r>
        <w:rPr>
          <w:spacing w:val="-2"/>
          <w:sz w:val="21"/>
        </w:rPr>
        <w:t>全</w:t>
      </w:r>
      <w:r>
        <w:rPr>
          <w:spacing w:val="-2"/>
          <w:sz w:val="21"/>
        </w:rPr>
        <w:t>肾</w:t>
      </w:r>
      <w:r>
        <w:rPr>
          <w:spacing w:val="-2"/>
          <w:sz w:val="21"/>
        </w:rPr>
        <w:t>的</w:t>
      </w:r>
      <w:r>
        <w:rPr>
          <w:spacing w:val="-2"/>
          <w:sz w:val="21"/>
        </w:rPr>
        <w:t>切</w:t>
      </w:r>
      <w:r>
        <w:rPr>
          <w:spacing w:val="-2"/>
          <w:sz w:val="21"/>
        </w:rPr>
        <w:t>除</w:t>
      </w:r>
      <w:r>
        <w:rPr>
          <w:spacing w:val="-2"/>
          <w:sz w:val="21"/>
        </w:rPr>
        <w:t>手</w:t>
      </w:r>
      <w:r>
        <w:rPr>
          <w:spacing w:val="-2"/>
          <w:sz w:val="21"/>
        </w:rPr>
        <w:t>术</w:t>
      </w:r>
      <w:r>
        <w:rPr>
          <w:spacing w:val="-2"/>
          <w:sz w:val="21"/>
        </w:rPr>
        <w:t>。</w:t>
      </w:r>
    </w:p>
    <w:p>
      <w:pPr>
        <w:pStyle w:val="BodyText"/>
        <w:spacing w:before="7"/>
        <w:rPr>
          <w:sz w:val="15"/>
        </w:rPr>
      </w:pPr>
    </w:p>
    <w:p>
      <w:pPr>
        <w:pStyle w:val="BodyText"/>
        <w:ind w:left="3462"/>
      </w:pPr>
      <w:r>
        <w:rPr>
          <w:spacing w:val="-3"/>
        </w:rPr>
        <w:t>下列情况不在保障范围内：</w:t>
      </w:r>
    </w:p>
    <w:p>
      <w:pPr>
        <w:pStyle w:val="BodyText"/>
        <w:spacing w:before="10"/>
        <w:rPr>
          <w:sz w:val="15"/>
        </w:rPr>
      </w:pPr>
    </w:p>
    <w:p>
      <w:pPr>
        <w:pStyle w:val="ListParagraph"/>
        <w:numPr>
          <w:ilvl w:val="3"/>
          <w:numId w:val="63"/>
        </w:numPr>
        <w:tabs>
          <w:tab w:pos="3991" w:val="left" w:leader="none"/>
        </w:tabs>
        <w:spacing w:line="240" w:lineRule="auto" w:before="0" w:after="0"/>
        <w:ind w:left="3991" w:right="0" w:hanging="529"/>
        <w:jc w:val="left"/>
        <w:rPr>
          <w:sz w:val="21"/>
        </w:rPr>
      </w:pPr>
      <w:r>
        <w:rPr>
          <w:spacing w:val="-4"/>
          <w:sz w:val="21"/>
        </w:rPr>
        <w:t>部分肾切除手术；</w:t>
      </w:r>
    </w:p>
    <w:p>
      <w:pPr>
        <w:pStyle w:val="ListParagraph"/>
        <w:numPr>
          <w:ilvl w:val="3"/>
          <w:numId w:val="63"/>
        </w:numPr>
        <w:tabs>
          <w:tab w:pos="3991" w:val="left" w:leader="none"/>
        </w:tabs>
        <w:spacing w:line="240" w:lineRule="auto" w:before="43" w:after="0"/>
        <w:ind w:left="3991" w:right="0" w:hanging="529"/>
        <w:jc w:val="left"/>
        <w:rPr>
          <w:sz w:val="21"/>
        </w:rPr>
      </w:pPr>
      <w:r>
        <w:rPr>
          <w:spacing w:val="-3"/>
          <w:sz w:val="21"/>
        </w:rPr>
        <w:t>因恶性肿瘤进行的肾切除手术；</w:t>
      </w:r>
    </w:p>
    <w:p>
      <w:pPr>
        <w:pStyle w:val="ListParagraph"/>
        <w:numPr>
          <w:ilvl w:val="3"/>
          <w:numId w:val="63"/>
        </w:numPr>
        <w:tabs>
          <w:tab w:pos="3991" w:val="left" w:leader="none"/>
        </w:tabs>
        <w:spacing w:line="240" w:lineRule="auto" w:before="43" w:after="0"/>
        <w:ind w:left="3991" w:right="0" w:hanging="529"/>
        <w:jc w:val="left"/>
        <w:rPr>
          <w:sz w:val="21"/>
        </w:rPr>
      </w:pPr>
      <w:r>
        <w:rPr>
          <w:spacing w:val="-3"/>
          <w:sz w:val="21"/>
        </w:rPr>
        <w:t>作为器官捐献者而实施的肾切除手术。</w:t>
      </w:r>
    </w:p>
    <w:p>
      <w:pPr>
        <w:pStyle w:val="BodyText"/>
        <w:spacing w:before="3"/>
        <w:rPr>
          <w:sz w:val="23"/>
        </w:rPr>
      </w:pPr>
    </w:p>
    <w:p>
      <w:pPr>
        <w:spacing w:after="0"/>
        <w:rPr>
          <w:sz w:val="23"/>
        </w:rPr>
        <w:sectPr>
          <w:type w:val="continuous"/>
          <w:pgSz w:w="11910" w:h="16840"/>
          <w:pgMar w:header="0" w:footer="226" w:top="240" w:bottom="420" w:left="980" w:right="400"/>
        </w:sectPr>
      </w:pPr>
    </w:p>
    <w:p>
      <w:pPr>
        <w:pStyle w:val="Heading2"/>
        <w:numPr>
          <w:ilvl w:val="2"/>
          <w:numId w:val="63"/>
        </w:numPr>
        <w:tabs>
          <w:tab w:pos="2123" w:val="left" w:leader="none"/>
        </w:tabs>
        <w:spacing w:line="194" w:lineRule="auto" w:before="55" w:after="0"/>
        <w:ind w:left="1910" w:right="0" w:firstLine="0"/>
        <w:jc w:val="left"/>
      </w:pPr>
      <w:r>
        <w:rPr>
          <w:spacing w:val="-2"/>
        </w:rPr>
        <w:t>中度重症肌</w:t>
      </w:r>
      <w:r>
        <w:rPr>
          <w:spacing w:val="-6"/>
        </w:rPr>
        <w:t>无力</w:t>
      </w:r>
    </w:p>
    <w:p>
      <w:pPr>
        <w:pStyle w:val="BodyText"/>
        <w:spacing w:line="278" w:lineRule="auto" w:before="71"/>
        <w:ind w:left="243" w:right="1496"/>
        <w:jc w:val="both"/>
      </w:pPr>
      <w:r>
        <w:rPr/>
        <w:br w:type="column"/>
      </w:r>
      <w:r>
        <w:rPr>
          <w:spacing w:val="-2"/>
        </w:rPr>
        <w:t>是一种神经与肌肉接头部位传递障碍的自身免疫性疾病，临</w:t>
      </w:r>
      <w:r>
        <w:rPr>
          <w:spacing w:val="-2"/>
        </w:rPr>
        <w:t>床特征是局部或全身横纹肌于活动时易于疲劳无力，颅神经</w:t>
      </w:r>
      <w:r>
        <w:rPr>
          <w:spacing w:val="-13"/>
        </w:rPr>
        <w:t>眼外肌最易累及，也可涉及呼吸肌、下肢近端肌群以至全身肌</w:t>
      </w:r>
      <w:r>
        <w:rPr>
          <w:spacing w:val="-12"/>
        </w:rPr>
        <w:t>肉。该病必须由本公司认可医院的专科医生明确诊断，且疾病</w:t>
      </w:r>
      <w:r>
        <w:rPr>
          <w:spacing w:val="-2"/>
        </w:rPr>
        <w:t>确诊180天后，仍然存在自主生活能力部分丧失，经鉴定无法</w:t>
      </w:r>
      <w:r>
        <w:rPr>
          <w:spacing w:val="-2"/>
        </w:rPr>
        <w:t>独立完成六项基本日常生活活动中的二项，但未达到本合同</w:t>
      </w:r>
      <w:r>
        <w:rPr>
          <w:spacing w:val="-6"/>
        </w:rPr>
        <w:t>所定义的重度疾病“全身性（型）重症肌无力”或“瘫痪”的</w:t>
      </w:r>
      <w:r>
        <w:rPr>
          <w:spacing w:val="-4"/>
        </w:rPr>
        <w:t>标准。</w:t>
      </w:r>
    </w:p>
    <w:p>
      <w:pPr>
        <w:spacing w:after="0" w:line="278" w:lineRule="auto"/>
        <w:jc w:val="both"/>
        <w:sectPr>
          <w:type w:val="continuous"/>
          <w:pgSz w:w="11910" w:h="16840"/>
          <w:pgMar w:header="0" w:footer="226" w:top="240" w:bottom="420" w:left="980" w:right="400"/>
          <w:cols w:num="2" w:equalWidth="0">
            <w:col w:w="3179" w:space="40"/>
            <w:col w:w="7311"/>
          </w:cols>
        </w:sectPr>
      </w:pPr>
    </w:p>
    <w:p>
      <w:pPr>
        <w:pStyle w:val="BodyText"/>
        <w:spacing w:before="12"/>
        <w:rPr>
          <w:sz w:val="19"/>
        </w:rPr>
      </w:pPr>
    </w:p>
    <w:p>
      <w:pPr>
        <w:spacing w:after="0"/>
        <w:rPr>
          <w:sz w:val="19"/>
        </w:rPr>
        <w:sectPr>
          <w:type w:val="continuous"/>
          <w:pgSz w:w="11910" w:h="16840"/>
          <w:pgMar w:header="0" w:footer="226" w:top="240" w:bottom="420" w:left="980" w:right="400"/>
        </w:sectPr>
      </w:pPr>
    </w:p>
    <w:p>
      <w:pPr>
        <w:pStyle w:val="Heading2"/>
        <w:numPr>
          <w:ilvl w:val="2"/>
          <w:numId w:val="63"/>
        </w:numPr>
        <w:tabs>
          <w:tab w:pos="2123" w:val="left" w:leader="none"/>
        </w:tabs>
        <w:spacing w:line="194" w:lineRule="auto" w:before="55" w:after="0"/>
        <w:ind w:left="1910" w:right="0" w:firstLine="0"/>
        <w:jc w:val="left"/>
      </w:pPr>
      <w:r>
        <w:rPr>
          <w:spacing w:val="-2"/>
        </w:rPr>
        <w:t>单侧肺脏切</w:t>
      </w:r>
      <w:r>
        <w:rPr>
          <w:spacing w:val="-10"/>
        </w:rPr>
        <w:t>除</w:t>
      </w:r>
    </w:p>
    <w:p>
      <w:pPr>
        <w:pStyle w:val="BodyText"/>
        <w:spacing w:line="278" w:lineRule="auto" w:before="71"/>
        <w:ind w:left="243" w:right="1503"/>
      </w:pPr>
      <w:r>
        <w:rPr/>
        <w:br w:type="column"/>
      </w:r>
      <w:r>
        <w:rPr>
          <w:spacing w:val="-2"/>
        </w:rPr>
        <w:t>指因疾病或意外伤害导致肺部严重损害，已经实施了单侧全</w:t>
      </w:r>
      <w:r>
        <w:rPr>
          <w:spacing w:val="-2"/>
        </w:rPr>
        <w:t>肺切除手术。</w:t>
      </w:r>
    </w:p>
    <w:p>
      <w:pPr>
        <w:pStyle w:val="BodyText"/>
        <w:spacing w:before="154"/>
        <w:ind w:left="243"/>
      </w:pPr>
      <w:r>
        <w:rPr>
          <w:spacing w:val="-3"/>
        </w:rPr>
        <w:t>下列情况不在保障范围内：</w:t>
      </w:r>
    </w:p>
    <w:p>
      <w:pPr>
        <w:pStyle w:val="BodyText"/>
        <w:spacing w:before="9"/>
        <w:rPr>
          <w:sz w:val="15"/>
        </w:rPr>
      </w:pPr>
    </w:p>
    <w:p>
      <w:pPr>
        <w:pStyle w:val="ListParagraph"/>
        <w:numPr>
          <w:ilvl w:val="0"/>
          <w:numId w:val="64"/>
        </w:numPr>
        <w:tabs>
          <w:tab w:pos="773" w:val="left" w:leader="none"/>
        </w:tabs>
        <w:spacing w:line="240" w:lineRule="auto" w:before="0" w:after="0"/>
        <w:ind w:left="772" w:right="0" w:hanging="530"/>
        <w:jc w:val="left"/>
        <w:rPr>
          <w:sz w:val="21"/>
        </w:rPr>
      </w:pPr>
      <w:r>
        <w:rPr>
          <w:spacing w:val="-3"/>
          <w:sz w:val="21"/>
        </w:rPr>
        <w:t>肺叶切除、肺段切除手术；</w:t>
      </w:r>
    </w:p>
    <w:p>
      <w:pPr>
        <w:spacing w:after="0" w:line="240" w:lineRule="auto"/>
        <w:jc w:val="left"/>
        <w:rPr>
          <w:sz w:val="21"/>
        </w:rPr>
        <w:sectPr>
          <w:type w:val="continuous"/>
          <w:pgSz w:w="11910" w:h="16840"/>
          <w:pgMar w:header="0" w:footer="226" w:top="240" w:bottom="420" w:left="980" w:right="400"/>
          <w:cols w:num="2" w:equalWidth="0">
            <w:col w:w="3179" w:space="40"/>
            <w:col w:w="7311"/>
          </w:cols>
        </w:sectPr>
      </w:pPr>
    </w:p>
    <w:p>
      <w:pPr>
        <w:pStyle w:val="ListParagraph"/>
        <w:numPr>
          <w:ilvl w:val="1"/>
          <w:numId w:val="64"/>
        </w:numPr>
        <w:tabs>
          <w:tab w:pos="3991" w:val="left" w:leader="none"/>
        </w:tabs>
        <w:spacing w:line="240" w:lineRule="auto" w:before="57" w:after="0"/>
        <w:ind w:left="3991" w:right="0" w:hanging="529"/>
        <w:jc w:val="left"/>
        <w:rPr>
          <w:sz w:val="21"/>
        </w:rPr>
      </w:pPr>
      <w:r>
        <w:rPr>
          <w:spacing w:val="-3"/>
          <w:sz w:val="21"/>
        </w:rPr>
        <w:t>因恶性肿瘤进行的肺切除手术；</w:t>
      </w:r>
    </w:p>
    <w:p>
      <w:pPr>
        <w:pStyle w:val="ListParagraph"/>
        <w:numPr>
          <w:ilvl w:val="1"/>
          <w:numId w:val="64"/>
        </w:numPr>
        <w:tabs>
          <w:tab w:pos="3991" w:val="left" w:leader="none"/>
        </w:tabs>
        <w:spacing w:line="240" w:lineRule="auto" w:before="43" w:after="0"/>
        <w:ind w:left="3991" w:right="0" w:hanging="529"/>
        <w:jc w:val="left"/>
        <w:rPr>
          <w:sz w:val="21"/>
        </w:rPr>
      </w:pPr>
      <w:r>
        <w:rPr>
          <w:spacing w:val="-3"/>
          <w:sz w:val="21"/>
        </w:rPr>
        <w:t>作为器官捐献者而实施的肺切除手术。</w:t>
      </w:r>
    </w:p>
    <w:p>
      <w:pPr>
        <w:pStyle w:val="BodyText"/>
        <w:spacing w:before="11"/>
        <w:rPr>
          <w:sz w:val="22"/>
        </w:rPr>
      </w:pPr>
    </w:p>
    <w:p>
      <w:pPr>
        <w:spacing w:after="0"/>
        <w:rPr>
          <w:sz w:val="22"/>
        </w:rPr>
        <w:sectPr>
          <w:pgSz w:w="11910" w:h="16840"/>
          <w:pgMar w:header="0" w:footer="226" w:top="660" w:bottom="420" w:left="980" w:right="400"/>
        </w:sectPr>
      </w:pPr>
    </w:p>
    <w:p>
      <w:pPr>
        <w:pStyle w:val="Heading2"/>
        <w:numPr>
          <w:ilvl w:val="2"/>
          <w:numId w:val="63"/>
        </w:numPr>
        <w:tabs>
          <w:tab w:pos="2123" w:val="left" w:leader="none"/>
        </w:tabs>
        <w:spacing w:line="196" w:lineRule="auto" w:before="53" w:after="0"/>
        <w:ind w:left="1910" w:right="0" w:firstLine="0"/>
        <w:jc w:val="left"/>
      </w:pPr>
      <w:r>
        <w:rPr>
          <w:spacing w:val="-2"/>
        </w:rPr>
        <w:t>中度脑炎或</w:t>
      </w:r>
      <w:r>
        <w:rPr>
          <w:spacing w:val="-2"/>
        </w:rPr>
        <w:t>脑膜炎后遗症</w:t>
      </w:r>
    </w:p>
    <w:p>
      <w:pPr>
        <w:pStyle w:val="BodyText"/>
        <w:spacing w:line="278" w:lineRule="auto" w:before="72"/>
        <w:ind w:left="243" w:right="1391"/>
      </w:pPr>
      <w:r>
        <w:rPr/>
        <w:br w:type="column"/>
      </w:r>
      <w:r>
        <w:rPr>
          <w:w w:val="100"/>
        </w:rPr>
        <w:t>指因患脑炎或脑膜炎导致的神经系统的功能障碍。神经系统</w:t>
      </w:r>
      <w:r>
        <w:rPr>
          <w:spacing w:val="-3"/>
          <w:w w:val="100"/>
        </w:rPr>
        <w:t>的功能障碍，指疾病确诊</w:t>
      </w:r>
      <w:r>
        <w:rPr>
          <w:w w:val="100"/>
        </w:rPr>
        <w:t>180</w:t>
      </w:r>
      <w:r>
        <w:rPr>
          <w:spacing w:val="-5"/>
          <w:w w:val="100"/>
        </w:rPr>
        <w:t>天后，仍存在自主活动能力完全</w:t>
      </w:r>
      <w:r>
        <w:rPr>
          <w:spacing w:val="-6"/>
          <w:w w:val="100"/>
        </w:rPr>
        <w:t>丧失，经鉴定无法独立完成六项基本日常生活活动中的两项，</w:t>
      </w:r>
      <w:r>
        <w:rPr>
          <w:w w:val="100"/>
        </w:rPr>
        <w:t>但未达到本合同所定义的重度疾病“严重脑炎后遗症或严重</w:t>
      </w:r>
      <w:r>
        <w:rPr>
          <w:spacing w:val="-4"/>
          <w:w w:val="100"/>
        </w:rPr>
        <w:t>脑膜炎后遗症”或“瘫痪”的给付标准。</w:t>
      </w:r>
    </w:p>
    <w:p>
      <w:pPr>
        <w:spacing w:after="0" w:line="278" w:lineRule="auto"/>
        <w:sectPr>
          <w:type w:val="continuous"/>
          <w:pgSz w:w="11910" w:h="16840"/>
          <w:pgMar w:header="0" w:footer="226" w:top="240" w:bottom="420" w:left="980" w:right="400"/>
          <w:cols w:num="2" w:equalWidth="0">
            <w:col w:w="3179" w:space="40"/>
            <w:col w:w="7311"/>
          </w:cols>
        </w:sectPr>
      </w:pPr>
    </w:p>
    <w:p>
      <w:pPr>
        <w:pStyle w:val="BodyText"/>
        <w:spacing w:before="11"/>
        <w:rPr>
          <w:sz w:val="19"/>
        </w:rPr>
      </w:pPr>
    </w:p>
    <w:p>
      <w:pPr>
        <w:spacing w:after="0"/>
        <w:rPr>
          <w:sz w:val="19"/>
        </w:rPr>
        <w:sectPr>
          <w:type w:val="continuous"/>
          <w:pgSz w:w="11910" w:h="16840"/>
          <w:pgMar w:header="0" w:footer="226" w:top="240" w:bottom="420" w:left="980" w:right="400"/>
        </w:sectPr>
      </w:pPr>
    </w:p>
    <w:p>
      <w:pPr>
        <w:pStyle w:val="Heading2"/>
        <w:numPr>
          <w:ilvl w:val="2"/>
          <w:numId w:val="63"/>
        </w:numPr>
        <w:tabs>
          <w:tab w:pos="2123" w:val="left" w:leader="none"/>
        </w:tabs>
        <w:spacing w:line="196" w:lineRule="auto" w:before="53" w:after="0"/>
        <w:ind w:left="1910" w:right="0" w:firstLine="0"/>
        <w:jc w:val="left"/>
      </w:pPr>
      <w:r>
        <w:rPr>
          <w:spacing w:val="-2"/>
        </w:rPr>
        <w:t>早期系统性</w:t>
      </w:r>
      <w:r>
        <w:rPr>
          <w:spacing w:val="-4"/>
        </w:rPr>
        <w:t>硬皮病</w:t>
      </w:r>
    </w:p>
    <w:p>
      <w:pPr>
        <w:pStyle w:val="BodyText"/>
        <w:spacing w:line="280" w:lineRule="auto" w:before="72"/>
        <w:ind w:left="243" w:right="1391"/>
      </w:pPr>
      <w:r>
        <w:rPr/>
        <w:br w:type="column"/>
      </w:r>
      <w:r>
        <w:rPr>
          <w:spacing w:val="-8"/>
        </w:rPr>
        <w:t>指一种以局限性或弥漫性皮肤增厚和皮肤、血管、内脏器官异</w:t>
      </w:r>
      <w:r>
        <w:rPr>
          <w:spacing w:val="-2"/>
        </w:rPr>
        <w:t>常纤维化为特征的结缔组织病。本病须经专科医生明确诊断，</w:t>
      </w:r>
      <w:r>
        <w:rPr>
          <w:spacing w:val="-2"/>
        </w:rPr>
        <w:t>未达到本合同所定义的重度疾病“系统性硬皮病”的标准，并</w:t>
      </w:r>
      <w:r>
        <w:rPr>
          <w:spacing w:val="-2"/>
        </w:rPr>
        <w:t>须满足下列所有条件：</w:t>
      </w:r>
    </w:p>
    <w:p>
      <w:pPr>
        <w:pStyle w:val="ListParagraph"/>
        <w:numPr>
          <w:ilvl w:val="0"/>
          <w:numId w:val="65"/>
        </w:numPr>
        <w:tabs>
          <w:tab w:pos="884" w:val="left" w:leader="none"/>
        </w:tabs>
        <w:spacing w:line="278" w:lineRule="auto" w:before="0" w:after="0"/>
        <w:ind w:left="344" w:right="1498" w:firstLine="0"/>
        <w:jc w:val="both"/>
        <w:rPr>
          <w:sz w:val="21"/>
        </w:rPr>
      </w:pPr>
      <w:r>
        <w:rPr>
          <w:spacing w:val="-2"/>
          <w:sz w:val="21"/>
        </w:rPr>
        <w:t>必须是经由本公司认可医院的风湿学专科医生根据美</w:t>
      </w:r>
      <w:r>
        <w:rPr>
          <w:spacing w:val="-2"/>
          <w:sz w:val="21"/>
        </w:rPr>
        <w:t>国风湿病学会（ACR）及欧洲抗风湿病联盟(EULAR)在2013</w:t>
      </w:r>
      <w:r>
        <w:rPr>
          <w:spacing w:val="-2"/>
          <w:sz w:val="21"/>
        </w:rPr>
        <w:t>年</w:t>
      </w:r>
      <w:r>
        <w:rPr>
          <w:spacing w:val="-2"/>
          <w:sz w:val="21"/>
        </w:rPr>
        <w:t>发布的系统性硬皮病诊断标准确认达到确诊标准（总分值由</w:t>
      </w:r>
      <w:r>
        <w:rPr>
          <w:spacing w:val="-4"/>
          <w:sz w:val="21"/>
        </w:rPr>
        <w:t>每一个分类中的最高比重（分值）相加而成，总分≥9分的患</w:t>
      </w:r>
      <w:r>
        <w:rPr>
          <w:spacing w:val="-2"/>
          <w:sz w:val="21"/>
        </w:rPr>
        <w:t>者被分类为系统性硬皮病）。</w:t>
      </w:r>
    </w:p>
    <w:p>
      <w:pPr>
        <w:pStyle w:val="ListParagraph"/>
        <w:numPr>
          <w:ilvl w:val="0"/>
          <w:numId w:val="65"/>
        </w:numPr>
        <w:tabs>
          <w:tab w:pos="884" w:val="left" w:leader="none"/>
        </w:tabs>
        <w:spacing w:line="278" w:lineRule="auto" w:before="0" w:after="0"/>
        <w:ind w:left="344" w:right="1498" w:firstLine="0"/>
        <w:jc w:val="left"/>
        <w:rPr>
          <w:sz w:val="21"/>
        </w:rPr>
      </w:pPr>
      <w:r>
        <w:rPr>
          <w:spacing w:val="-2"/>
          <w:sz w:val="21"/>
        </w:rPr>
        <w:t>须提供明确的病理活检及自身抗体免疫血清学证据支</w:t>
      </w:r>
      <w:r>
        <w:rPr>
          <w:spacing w:val="-6"/>
          <w:sz w:val="21"/>
        </w:rPr>
        <w:t>持。</w:t>
      </w:r>
    </w:p>
    <w:p>
      <w:pPr>
        <w:pStyle w:val="BodyText"/>
        <w:spacing w:before="148"/>
        <w:ind w:left="243"/>
      </w:pPr>
      <w:r>
        <w:rPr>
          <w:spacing w:val="-3"/>
        </w:rPr>
        <w:t>以下情况不在保障范围内：</w:t>
      </w:r>
    </w:p>
    <w:p>
      <w:pPr>
        <w:pStyle w:val="BodyText"/>
        <w:spacing w:before="4"/>
        <w:rPr>
          <w:sz w:val="15"/>
        </w:rPr>
      </w:pPr>
    </w:p>
    <w:p>
      <w:pPr>
        <w:pStyle w:val="ListParagraph"/>
        <w:numPr>
          <w:ilvl w:val="0"/>
          <w:numId w:val="66"/>
        </w:numPr>
        <w:tabs>
          <w:tab w:pos="773" w:val="left" w:leader="none"/>
        </w:tabs>
        <w:spacing w:line="240" w:lineRule="auto" w:before="0" w:after="0"/>
        <w:ind w:left="772" w:right="0" w:hanging="530"/>
        <w:jc w:val="left"/>
        <w:rPr>
          <w:sz w:val="21"/>
        </w:rPr>
      </w:pPr>
      <w:r>
        <w:rPr>
          <w:spacing w:val="-2"/>
          <w:sz w:val="21"/>
        </w:rPr>
        <w:t>局限性硬皮病（带状硬皮病或斑状损害</w:t>
      </w:r>
      <w:r>
        <w:rPr>
          <w:spacing w:val="-10"/>
          <w:sz w:val="21"/>
        </w:rPr>
        <w:t>）</w:t>
      </w:r>
    </w:p>
    <w:p>
      <w:pPr>
        <w:pStyle w:val="ListParagraph"/>
        <w:numPr>
          <w:ilvl w:val="0"/>
          <w:numId w:val="66"/>
        </w:numPr>
        <w:tabs>
          <w:tab w:pos="773" w:val="left" w:leader="none"/>
        </w:tabs>
        <w:spacing w:line="240" w:lineRule="auto" w:before="48" w:after="0"/>
        <w:ind w:left="772" w:right="0" w:hanging="530"/>
        <w:jc w:val="left"/>
        <w:rPr>
          <w:sz w:val="21"/>
        </w:rPr>
      </w:pPr>
      <w:r>
        <w:rPr>
          <w:spacing w:val="-4"/>
          <w:sz w:val="21"/>
        </w:rPr>
        <w:t>嗜酸性筋膜炎</w:t>
      </w:r>
    </w:p>
    <w:p>
      <w:pPr>
        <w:pStyle w:val="ListParagraph"/>
        <w:numPr>
          <w:ilvl w:val="0"/>
          <w:numId w:val="66"/>
        </w:numPr>
        <w:tabs>
          <w:tab w:pos="773" w:val="left" w:leader="none"/>
        </w:tabs>
        <w:spacing w:line="240" w:lineRule="auto" w:before="43" w:after="0"/>
        <w:ind w:left="772" w:right="0" w:hanging="530"/>
        <w:jc w:val="left"/>
        <w:rPr>
          <w:sz w:val="21"/>
        </w:rPr>
      </w:pPr>
      <w:r>
        <w:rPr>
          <w:spacing w:val="-2"/>
          <w:sz w:val="21"/>
        </w:rPr>
        <w:t>CREST</w:t>
      </w:r>
      <w:r>
        <w:rPr>
          <w:spacing w:val="-5"/>
          <w:sz w:val="21"/>
        </w:rPr>
        <w:t>综合征</w:t>
      </w:r>
    </w:p>
    <w:p>
      <w:pPr>
        <w:spacing w:after="0" w:line="240" w:lineRule="auto"/>
        <w:jc w:val="left"/>
        <w:rPr>
          <w:sz w:val="21"/>
        </w:rPr>
        <w:sectPr>
          <w:type w:val="continuous"/>
          <w:pgSz w:w="11910" w:h="16840"/>
          <w:pgMar w:header="0" w:footer="226" w:top="240" w:bottom="420" w:left="980" w:right="400"/>
          <w:cols w:num="2" w:equalWidth="0">
            <w:col w:w="3179" w:space="40"/>
            <w:col w:w="7311"/>
          </w:cols>
        </w:sectPr>
      </w:pPr>
    </w:p>
    <w:p>
      <w:pPr>
        <w:pStyle w:val="BodyText"/>
        <w:spacing w:before="11"/>
        <w:rPr>
          <w:sz w:val="22"/>
        </w:rPr>
      </w:pPr>
    </w:p>
    <w:p>
      <w:pPr>
        <w:spacing w:after="0"/>
        <w:rPr>
          <w:sz w:val="22"/>
        </w:rPr>
        <w:sectPr>
          <w:type w:val="continuous"/>
          <w:pgSz w:w="11910" w:h="16840"/>
          <w:pgMar w:header="0" w:footer="226" w:top="240" w:bottom="420" w:left="980" w:right="400"/>
        </w:sectPr>
      </w:pPr>
    </w:p>
    <w:p>
      <w:pPr>
        <w:pStyle w:val="Heading2"/>
        <w:numPr>
          <w:ilvl w:val="2"/>
          <w:numId w:val="63"/>
        </w:numPr>
        <w:tabs>
          <w:tab w:pos="2123" w:val="left" w:leader="none"/>
        </w:tabs>
        <w:spacing w:line="194" w:lineRule="auto" w:before="56" w:after="0"/>
        <w:ind w:left="1910" w:right="0" w:firstLine="0"/>
        <w:jc w:val="left"/>
      </w:pPr>
      <w:r>
        <w:rPr>
          <w:spacing w:val="-2"/>
        </w:rPr>
        <w:t>中度运动神</w:t>
      </w:r>
      <w:r>
        <w:rPr>
          <w:spacing w:val="-4"/>
        </w:rPr>
        <w:t>经元病</w:t>
      </w:r>
    </w:p>
    <w:p>
      <w:pPr>
        <w:pStyle w:val="BodyText"/>
        <w:spacing w:line="278" w:lineRule="auto" w:before="72"/>
        <w:ind w:left="243" w:right="1597"/>
        <w:jc w:val="both"/>
      </w:pPr>
      <w:r>
        <w:rPr/>
        <w:br w:type="column"/>
      </w:r>
      <w:r>
        <w:rPr>
          <w:spacing w:val="-2"/>
        </w:rPr>
        <w:t>指一组中枢神经系统运动神经元的进行性变性疾病，包括进</w:t>
      </w:r>
      <w:r>
        <w:rPr>
          <w:spacing w:val="-2"/>
        </w:rPr>
        <w:t>行性脊肌萎缩症、进行性延髓麻痹症、原发性侧索硬化症、</w:t>
      </w:r>
      <w:r>
        <w:rPr>
          <w:spacing w:val="-2"/>
        </w:rPr>
        <w:t>肌萎缩性侧索硬化症。须满足自主生活能力部分丧失，经鉴</w:t>
      </w:r>
      <w:r>
        <w:rPr>
          <w:spacing w:val="-2"/>
        </w:rPr>
        <w:t>定无法独立完成六项基本日常生活活动中的两项。但未达到</w:t>
      </w:r>
      <w:r>
        <w:rPr>
          <w:spacing w:val="-2"/>
        </w:rPr>
        <w:t>本合同所定义的重度疾病“严重运动神经元病”或“瘫痪”</w:t>
      </w:r>
      <w:r>
        <w:rPr>
          <w:spacing w:val="-2"/>
        </w:rPr>
        <w:t>的给付标准。</w:t>
      </w:r>
    </w:p>
    <w:p>
      <w:pPr>
        <w:spacing w:after="0" w:line="278" w:lineRule="auto"/>
        <w:jc w:val="both"/>
        <w:sectPr>
          <w:type w:val="continuous"/>
          <w:pgSz w:w="11910" w:h="16840"/>
          <w:pgMar w:header="0" w:footer="226" w:top="240" w:bottom="420" w:left="980" w:right="400"/>
          <w:cols w:num="2" w:equalWidth="0">
            <w:col w:w="3179" w:space="40"/>
            <w:col w:w="7311"/>
          </w:cols>
        </w:sectPr>
      </w:pPr>
    </w:p>
    <w:p>
      <w:pPr>
        <w:pStyle w:val="BodyText"/>
        <w:spacing w:before="11"/>
        <w:rPr>
          <w:sz w:val="19"/>
        </w:rPr>
      </w:pPr>
    </w:p>
    <w:p>
      <w:pPr>
        <w:spacing w:after="0"/>
        <w:rPr>
          <w:sz w:val="19"/>
        </w:rPr>
        <w:sectPr>
          <w:type w:val="continuous"/>
          <w:pgSz w:w="11910" w:h="16840"/>
          <w:pgMar w:header="0" w:footer="226" w:top="240" w:bottom="420" w:left="980" w:right="400"/>
        </w:sectPr>
      </w:pPr>
    </w:p>
    <w:p>
      <w:pPr>
        <w:pStyle w:val="Heading2"/>
        <w:numPr>
          <w:ilvl w:val="2"/>
          <w:numId w:val="63"/>
        </w:numPr>
        <w:tabs>
          <w:tab w:pos="2123" w:val="left" w:leader="none"/>
        </w:tabs>
        <w:spacing w:line="194" w:lineRule="auto" w:before="55" w:after="0"/>
        <w:ind w:left="1910" w:right="0" w:firstLine="0"/>
        <w:jc w:val="left"/>
      </w:pPr>
      <w:r>
        <w:rPr>
          <w:spacing w:val="-2"/>
        </w:rPr>
        <w:t>原发性肺动</w:t>
      </w:r>
      <w:r>
        <w:rPr>
          <w:spacing w:val="-4"/>
        </w:rPr>
        <w:t>脉高压</w:t>
      </w:r>
    </w:p>
    <w:p>
      <w:pPr>
        <w:pStyle w:val="BodyText"/>
        <w:spacing w:line="278" w:lineRule="auto" w:before="72"/>
        <w:ind w:left="243" w:right="1597"/>
      </w:pPr>
      <w:r>
        <w:rPr/>
        <w:br w:type="column"/>
      </w:r>
      <w:r>
        <w:rPr>
          <w:spacing w:val="-2"/>
        </w:rPr>
        <w:t>指由于原发性肺动脉高压进行性发展，已经造成永久不可逆</w:t>
      </w:r>
      <w:r>
        <w:rPr>
          <w:spacing w:val="-2"/>
        </w:rPr>
        <w:t>性的体力活动能力受限，达到美国纽约心脏病学会心功能状</w:t>
      </w:r>
      <w:r>
        <w:rPr>
          <w:spacing w:val="-9"/>
        </w:rPr>
        <w:t>态分级 </w:t>
      </w:r>
      <w:r>
        <w:rPr/>
        <w:t>III</w:t>
      </w:r>
      <w:r>
        <w:rPr>
          <w:spacing w:val="-10"/>
        </w:rPr>
        <w:t> 级及以上，但尚未达到 </w:t>
      </w:r>
      <w:r>
        <w:rPr/>
        <w:t>IV</w:t>
      </w:r>
      <w:r>
        <w:rPr>
          <w:spacing w:val="-6"/>
        </w:rPr>
        <w:t> 级，且静息状态下肺</w:t>
      </w:r>
      <w:r>
        <w:rPr>
          <w:spacing w:val="-3"/>
        </w:rPr>
        <w:t>动脉平均压超过 </w:t>
      </w:r>
      <w:r>
        <w:rPr/>
        <w:t>25mmHg，</w:t>
      </w:r>
      <w:r>
        <w:rPr>
          <w:spacing w:val="-4"/>
        </w:rPr>
        <w:t>但尚未超过 </w:t>
      </w:r>
      <w:r>
        <w:rPr/>
        <w:t>36mmHg。</w:t>
      </w:r>
    </w:p>
    <w:p>
      <w:pPr>
        <w:spacing w:after="0" w:line="278" w:lineRule="auto"/>
        <w:sectPr>
          <w:type w:val="continuous"/>
          <w:pgSz w:w="11910" w:h="16840"/>
          <w:pgMar w:header="0" w:footer="226" w:top="240" w:bottom="420" w:left="980" w:right="400"/>
          <w:cols w:num="2" w:equalWidth="0">
            <w:col w:w="3179" w:space="40"/>
            <w:col w:w="7311"/>
          </w:cols>
        </w:sectPr>
      </w:pPr>
    </w:p>
    <w:p>
      <w:pPr>
        <w:pStyle w:val="BodyText"/>
        <w:spacing w:before="3"/>
        <w:rPr>
          <w:sz w:val="29"/>
        </w:rPr>
      </w:pPr>
    </w:p>
    <w:p>
      <w:pPr>
        <w:spacing w:after="0"/>
        <w:rPr>
          <w:sz w:val="29"/>
        </w:rPr>
        <w:sectPr>
          <w:type w:val="continuous"/>
          <w:pgSz w:w="11910" w:h="16840"/>
          <w:pgMar w:header="0" w:footer="226" w:top="240" w:bottom="420" w:left="980" w:right="400"/>
        </w:sectPr>
      </w:pPr>
    </w:p>
    <w:p>
      <w:pPr>
        <w:pStyle w:val="Heading2"/>
        <w:numPr>
          <w:ilvl w:val="2"/>
          <w:numId w:val="63"/>
        </w:numPr>
        <w:tabs>
          <w:tab w:pos="2229" w:val="left" w:leader="none"/>
        </w:tabs>
        <w:spacing w:line="194" w:lineRule="auto" w:before="55" w:after="0"/>
        <w:ind w:left="1910" w:right="0" w:firstLine="0"/>
        <w:jc w:val="left"/>
      </w:pPr>
      <w:r>
        <w:rPr>
          <w:spacing w:val="-4"/>
        </w:rPr>
        <w:t>双侧睾丸</w:t>
      </w:r>
      <w:r>
        <w:rPr>
          <w:spacing w:val="-4"/>
        </w:rPr>
        <w:t>切除术</w:t>
      </w:r>
    </w:p>
    <w:p>
      <w:pPr>
        <w:pStyle w:val="BodyText"/>
        <w:spacing w:line="278" w:lineRule="auto" w:before="71"/>
        <w:ind w:left="349" w:right="1503"/>
      </w:pPr>
      <w:r>
        <w:rPr/>
        <w:br w:type="column"/>
      </w:r>
      <w:r>
        <w:rPr>
          <w:spacing w:val="-2"/>
        </w:rPr>
        <w:t>指为治疗疾病实际接受了经腹部切开或腹腔镜进行的双侧睾</w:t>
      </w:r>
      <w:r>
        <w:rPr>
          <w:spacing w:val="-2"/>
        </w:rPr>
        <w:t>丸完全切除手术。</w:t>
      </w:r>
    </w:p>
    <w:p>
      <w:pPr>
        <w:pStyle w:val="BodyText"/>
        <w:spacing w:before="154"/>
        <w:ind w:left="349"/>
      </w:pPr>
      <w:r>
        <w:rPr>
          <w:spacing w:val="-3"/>
        </w:rPr>
        <w:t>下列情况不在保障范围内：</w:t>
      </w:r>
    </w:p>
    <w:p>
      <w:pPr>
        <w:pStyle w:val="BodyText"/>
        <w:spacing w:before="9"/>
        <w:rPr>
          <w:sz w:val="15"/>
        </w:rPr>
      </w:pPr>
    </w:p>
    <w:p>
      <w:pPr>
        <w:pStyle w:val="ListParagraph"/>
        <w:numPr>
          <w:ilvl w:val="1"/>
          <w:numId w:val="66"/>
        </w:numPr>
        <w:tabs>
          <w:tab w:pos="879" w:val="left" w:leader="none"/>
        </w:tabs>
        <w:spacing w:line="240" w:lineRule="auto" w:before="1" w:after="0"/>
        <w:ind w:left="878" w:right="0" w:hanging="530"/>
        <w:jc w:val="left"/>
        <w:rPr>
          <w:sz w:val="21"/>
        </w:rPr>
      </w:pPr>
      <w:r>
        <w:rPr>
          <w:spacing w:val="-4"/>
          <w:sz w:val="21"/>
        </w:rPr>
        <w:t>部分睾丸切除；</w:t>
      </w:r>
    </w:p>
    <w:p>
      <w:pPr>
        <w:pStyle w:val="ListParagraph"/>
        <w:numPr>
          <w:ilvl w:val="1"/>
          <w:numId w:val="66"/>
        </w:numPr>
        <w:tabs>
          <w:tab w:pos="879" w:val="left" w:leader="none"/>
        </w:tabs>
        <w:spacing w:line="240" w:lineRule="auto" w:before="43" w:after="0"/>
        <w:ind w:left="878" w:right="0" w:hanging="530"/>
        <w:jc w:val="left"/>
        <w:rPr>
          <w:sz w:val="21"/>
        </w:rPr>
      </w:pPr>
      <w:r>
        <w:rPr>
          <w:spacing w:val="-3"/>
          <w:sz w:val="21"/>
        </w:rPr>
        <w:t>因恶性肿瘤进行的睾丸切除术。</w:t>
      </w:r>
    </w:p>
    <w:p>
      <w:pPr>
        <w:spacing w:after="0" w:line="240" w:lineRule="auto"/>
        <w:jc w:val="left"/>
        <w:rPr>
          <w:sz w:val="21"/>
        </w:rPr>
        <w:sectPr>
          <w:type w:val="continuous"/>
          <w:pgSz w:w="11910" w:h="16840"/>
          <w:pgMar w:header="0" w:footer="226" w:top="240" w:bottom="420" w:left="980" w:right="400"/>
          <w:cols w:num="2" w:equalWidth="0">
            <w:col w:w="3073" w:space="40"/>
            <w:col w:w="7417"/>
          </w:cols>
        </w:sectPr>
      </w:pPr>
    </w:p>
    <w:p>
      <w:pPr>
        <w:pStyle w:val="BodyText"/>
        <w:spacing w:before="10"/>
        <w:rPr>
          <w:sz w:val="22"/>
        </w:rPr>
      </w:pPr>
    </w:p>
    <w:p>
      <w:pPr>
        <w:spacing w:after="0"/>
        <w:rPr>
          <w:sz w:val="22"/>
        </w:rPr>
        <w:sectPr>
          <w:type w:val="continuous"/>
          <w:pgSz w:w="11910" w:h="16840"/>
          <w:pgMar w:header="0" w:footer="226" w:top="240" w:bottom="420" w:left="980" w:right="400"/>
        </w:sectPr>
      </w:pPr>
    </w:p>
    <w:p>
      <w:pPr>
        <w:pStyle w:val="Heading2"/>
        <w:numPr>
          <w:ilvl w:val="2"/>
          <w:numId w:val="63"/>
        </w:numPr>
        <w:tabs>
          <w:tab w:pos="2229" w:val="left" w:leader="none"/>
        </w:tabs>
        <w:spacing w:line="196" w:lineRule="auto" w:before="53" w:after="0"/>
        <w:ind w:left="1910" w:right="0" w:firstLine="0"/>
        <w:jc w:val="left"/>
      </w:pPr>
      <w:r>
        <w:rPr>
          <w:spacing w:val="-4"/>
        </w:rPr>
        <w:t>双侧卵巢</w:t>
      </w:r>
      <w:r>
        <w:rPr>
          <w:spacing w:val="-4"/>
        </w:rPr>
        <w:t>切除术</w:t>
      </w:r>
    </w:p>
    <w:p>
      <w:pPr>
        <w:pStyle w:val="BodyText"/>
        <w:spacing w:line="283" w:lineRule="auto" w:before="72"/>
        <w:ind w:left="349" w:right="1503"/>
      </w:pPr>
      <w:r>
        <w:rPr/>
        <w:br w:type="column"/>
      </w:r>
      <w:r>
        <w:rPr>
          <w:spacing w:val="-2"/>
        </w:rPr>
        <w:t>指为治疗疾病实际接受了经腹部切开或腹腔镜进行的双侧卵</w:t>
      </w:r>
      <w:r>
        <w:rPr>
          <w:spacing w:val="-2"/>
        </w:rPr>
        <w:t>巢完全切除手术。</w:t>
      </w:r>
    </w:p>
    <w:p>
      <w:pPr>
        <w:pStyle w:val="BodyText"/>
        <w:spacing w:before="148"/>
        <w:ind w:left="349"/>
      </w:pPr>
      <w:r>
        <w:rPr>
          <w:spacing w:val="-3"/>
        </w:rPr>
        <w:t>下列情况不在保障范围内：</w:t>
      </w:r>
    </w:p>
    <w:p>
      <w:pPr>
        <w:spacing w:after="0"/>
        <w:sectPr>
          <w:type w:val="continuous"/>
          <w:pgSz w:w="11910" w:h="16840"/>
          <w:pgMar w:header="0" w:footer="226" w:top="240" w:bottom="420" w:left="980" w:right="400"/>
          <w:cols w:num="2" w:equalWidth="0">
            <w:col w:w="3073" w:space="40"/>
            <w:col w:w="7417"/>
          </w:cols>
        </w:sectPr>
      </w:pPr>
    </w:p>
    <w:p>
      <w:pPr>
        <w:pStyle w:val="ListParagraph"/>
        <w:numPr>
          <w:ilvl w:val="0"/>
          <w:numId w:val="67"/>
        </w:numPr>
        <w:tabs>
          <w:tab w:pos="3991" w:val="left" w:leader="none"/>
        </w:tabs>
        <w:spacing w:line="240" w:lineRule="auto" w:before="51" w:after="0"/>
        <w:ind w:left="3991" w:right="0" w:hanging="529"/>
        <w:jc w:val="left"/>
        <w:rPr>
          <w:sz w:val="21"/>
        </w:rPr>
      </w:pPr>
      <w:r>
        <w:rPr>
          <w:spacing w:val="-4"/>
          <w:sz w:val="21"/>
        </w:rPr>
        <w:t>部分卵巢切除；</w:t>
      </w:r>
    </w:p>
    <w:p>
      <w:pPr>
        <w:pStyle w:val="ListParagraph"/>
        <w:numPr>
          <w:ilvl w:val="0"/>
          <w:numId w:val="67"/>
        </w:numPr>
        <w:tabs>
          <w:tab w:pos="3991" w:val="left" w:leader="none"/>
        </w:tabs>
        <w:spacing w:line="240" w:lineRule="auto" w:before="43" w:after="0"/>
        <w:ind w:left="3991" w:right="0" w:hanging="529"/>
        <w:jc w:val="left"/>
        <w:rPr>
          <w:sz w:val="21"/>
        </w:rPr>
      </w:pPr>
      <w:r>
        <w:rPr>
          <w:spacing w:val="-3"/>
          <w:sz w:val="21"/>
        </w:rPr>
        <w:t>因恶性肿瘤进行的卵巢切除术；</w:t>
      </w:r>
    </w:p>
    <w:p>
      <w:pPr>
        <w:pStyle w:val="ListParagraph"/>
        <w:numPr>
          <w:ilvl w:val="0"/>
          <w:numId w:val="67"/>
        </w:numPr>
        <w:tabs>
          <w:tab w:pos="3991" w:val="left" w:leader="none"/>
        </w:tabs>
        <w:spacing w:line="240" w:lineRule="auto" w:before="43" w:after="0"/>
        <w:ind w:left="3991" w:right="0" w:hanging="529"/>
        <w:jc w:val="left"/>
        <w:rPr>
          <w:sz w:val="21"/>
        </w:rPr>
      </w:pPr>
      <w:r>
        <w:rPr>
          <w:spacing w:val="-4"/>
          <w:sz w:val="21"/>
        </w:rPr>
        <w:t>预防性卵巢切除。</w:t>
      </w:r>
    </w:p>
    <w:p>
      <w:pPr>
        <w:pStyle w:val="BodyText"/>
        <w:spacing w:before="5"/>
        <w:rPr>
          <w:sz w:val="23"/>
        </w:rPr>
      </w:pPr>
    </w:p>
    <w:p>
      <w:pPr>
        <w:pStyle w:val="ListParagraph"/>
        <w:numPr>
          <w:ilvl w:val="2"/>
          <w:numId w:val="63"/>
        </w:numPr>
        <w:tabs>
          <w:tab w:pos="2229" w:val="left" w:leader="none"/>
        </w:tabs>
        <w:spacing w:line="256" w:lineRule="auto" w:before="0" w:after="0"/>
        <w:ind w:left="3462" w:right="1497" w:hanging="1552"/>
        <w:jc w:val="both"/>
        <w:rPr>
          <w:sz w:val="21"/>
        </w:rPr>
      </w:pPr>
      <w:r>
        <w:rPr>
          <w:rFonts w:ascii="Microsoft JhengHei" w:eastAsia="Microsoft JhengHei"/>
          <w:b/>
          <w:sz w:val="21"/>
        </w:rPr>
        <w:t>肝叶切除</w:t>
      </w:r>
      <w:r>
        <w:rPr>
          <w:rFonts w:ascii="Microsoft JhengHei" w:eastAsia="Microsoft JhengHei"/>
          <w:b/>
          <w:spacing w:val="80"/>
          <w:w w:val="150"/>
          <w:sz w:val="21"/>
        </w:rPr>
        <w:t>  </w:t>
      </w:r>
      <w:r>
        <w:rPr>
          <w:sz w:val="21"/>
        </w:rPr>
        <w:t>指因疾病或意外伤害导致肝脏严重损害，已经实施了肝左叶</w:t>
      </w:r>
      <w:r>
        <w:rPr>
          <w:spacing w:val="-7"/>
          <w:sz w:val="21"/>
        </w:rPr>
        <w:t>切除手术或肝右叶切除手术</w:t>
      </w:r>
      <w:r>
        <w:rPr>
          <w:spacing w:val="-2"/>
          <w:sz w:val="21"/>
        </w:rPr>
        <w:t>（</w:t>
      </w:r>
      <w:r>
        <w:rPr>
          <w:spacing w:val="-10"/>
          <w:sz w:val="21"/>
        </w:rPr>
        <w:t>备注：本定义是按肝脏的传统解</w:t>
      </w:r>
      <w:r>
        <w:rPr>
          <w:spacing w:val="-2"/>
          <w:sz w:val="21"/>
        </w:rPr>
        <w:t>剖分段法将肝脏分为肝左叶和肝右叶）。</w:t>
      </w:r>
    </w:p>
    <w:p>
      <w:pPr>
        <w:pStyle w:val="BodyText"/>
        <w:spacing w:before="171"/>
        <w:ind w:left="3462"/>
      </w:pPr>
      <w:r>
        <w:rPr>
          <w:spacing w:val="-3"/>
        </w:rPr>
        <w:t>下列情况不在保障范围内：</w:t>
      </w:r>
    </w:p>
    <w:p>
      <w:pPr>
        <w:pStyle w:val="BodyText"/>
        <w:spacing w:before="9"/>
        <w:rPr>
          <w:sz w:val="15"/>
        </w:rPr>
      </w:pPr>
    </w:p>
    <w:p>
      <w:pPr>
        <w:pStyle w:val="ListParagraph"/>
        <w:numPr>
          <w:ilvl w:val="0"/>
          <w:numId w:val="68"/>
        </w:numPr>
        <w:tabs>
          <w:tab w:pos="3991" w:val="left" w:leader="none"/>
        </w:tabs>
        <w:spacing w:line="240" w:lineRule="auto" w:before="0" w:after="0"/>
        <w:ind w:left="3991" w:right="0" w:hanging="529"/>
        <w:jc w:val="left"/>
        <w:rPr>
          <w:sz w:val="21"/>
        </w:rPr>
      </w:pPr>
      <w:r>
        <w:rPr>
          <w:spacing w:val="-3"/>
          <w:sz w:val="21"/>
        </w:rPr>
        <w:t>肝区切除、肝段切除手术；</w:t>
      </w:r>
    </w:p>
    <w:p>
      <w:pPr>
        <w:pStyle w:val="ListParagraph"/>
        <w:numPr>
          <w:ilvl w:val="0"/>
          <w:numId w:val="68"/>
        </w:numPr>
        <w:tabs>
          <w:tab w:pos="3991" w:val="left" w:leader="none"/>
        </w:tabs>
        <w:spacing w:line="240" w:lineRule="auto" w:before="43" w:after="0"/>
        <w:ind w:left="3991" w:right="0" w:hanging="529"/>
        <w:jc w:val="left"/>
        <w:rPr>
          <w:sz w:val="21"/>
        </w:rPr>
      </w:pPr>
      <w:r>
        <w:rPr>
          <w:spacing w:val="-3"/>
          <w:sz w:val="21"/>
        </w:rPr>
        <w:t>因酒精或者滥用药物引致的疾病或者紊乱；</w:t>
      </w:r>
    </w:p>
    <w:p>
      <w:pPr>
        <w:pStyle w:val="ListParagraph"/>
        <w:numPr>
          <w:ilvl w:val="0"/>
          <w:numId w:val="68"/>
        </w:numPr>
        <w:tabs>
          <w:tab w:pos="3991" w:val="left" w:leader="none"/>
        </w:tabs>
        <w:spacing w:line="240" w:lineRule="auto" w:before="43" w:after="0"/>
        <w:ind w:left="3991" w:right="0" w:hanging="529"/>
        <w:jc w:val="left"/>
        <w:rPr>
          <w:sz w:val="21"/>
        </w:rPr>
      </w:pPr>
      <w:r>
        <w:rPr>
          <w:spacing w:val="-3"/>
          <w:sz w:val="21"/>
        </w:rPr>
        <w:t>因恶性肿瘤进行的肝切除手术；</w:t>
      </w:r>
    </w:p>
    <w:p>
      <w:pPr>
        <w:pStyle w:val="ListParagraph"/>
        <w:numPr>
          <w:ilvl w:val="0"/>
          <w:numId w:val="68"/>
        </w:numPr>
        <w:tabs>
          <w:tab w:pos="3991" w:val="left" w:leader="none"/>
        </w:tabs>
        <w:spacing w:line="240" w:lineRule="auto" w:before="43" w:after="0"/>
        <w:ind w:left="3991" w:right="0" w:hanging="529"/>
        <w:jc w:val="left"/>
        <w:rPr>
          <w:sz w:val="21"/>
        </w:rPr>
      </w:pPr>
      <w:r>
        <w:rPr>
          <w:spacing w:val="-3"/>
          <w:sz w:val="21"/>
        </w:rPr>
        <w:t>作为器官捐献者而实施的肝切除手术。</w:t>
      </w:r>
    </w:p>
    <w:p>
      <w:pPr>
        <w:pStyle w:val="BodyText"/>
        <w:spacing w:before="3"/>
        <w:rPr>
          <w:sz w:val="23"/>
        </w:rPr>
      </w:pPr>
    </w:p>
    <w:p>
      <w:pPr>
        <w:spacing w:after="0"/>
        <w:rPr>
          <w:sz w:val="23"/>
        </w:rPr>
        <w:sectPr>
          <w:pgSz w:w="11910" w:h="16840"/>
          <w:pgMar w:header="0" w:footer="226" w:top="820" w:bottom="420" w:left="980" w:right="400"/>
        </w:sectPr>
      </w:pPr>
    </w:p>
    <w:p>
      <w:pPr>
        <w:pStyle w:val="Heading2"/>
        <w:numPr>
          <w:ilvl w:val="2"/>
          <w:numId w:val="63"/>
        </w:numPr>
        <w:tabs>
          <w:tab w:pos="2229" w:val="left" w:leader="none"/>
        </w:tabs>
        <w:spacing w:line="194" w:lineRule="auto" w:before="55" w:after="0"/>
        <w:ind w:left="1910" w:right="0" w:firstLine="0"/>
        <w:jc w:val="left"/>
      </w:pPr>
      <w:r>
        <w:rPr>
          <w:spacing w:val="-4"/>
        </w:rPr>
        <w:t>中度慢性</w:t>
      </w:r>
      <w:r>
        <w:rPr>
          <w:spacing w:val="-2"/>
        </w:rPr>
        <w:t>呼吸功能衰竭</w:t>
      </w:r>
    </w:p>
    <w:p>
      <w:pPr>
        <w:pStyle w:val="BodyText"/>
        <w:spacing w:line="278" w:lineRule="auto" w:before="72"/>
        <w:ind w:left="244" w:right="1501"/>
        <w:jc w:val="both"/>
      </w:pPr>
      <w:r>
        <w:rPr/>
        <w:br w:type="column"/>
      </w:r>
      <w:r>
        <w:rPr>
          <w:spacing w:val="-2"/>
        </w:rPr>
        <w:t>指因慢性呼吸系统疾病导致永久不可逆的呼吸功能衰竭，但</w:t>
      </w:r>
      <w:r>
        <w:rPr>
          <w:spacing w:val="-6"/>
        </w:rPr>
        <w:t>未达到本合同所定义的重度疾病“严重慢性呼吸衰竭”或“严</w:t>
      </w:r>
      <w:r>
        <w:rPr>
          <w:spacing w:val="-2"/>
        </w:rPr>
        <w:t>重继发性肺动脉高压”的标准，且诊断必须满足以下所有条</w:t>
      </w:r>
      <w:r>
        <w:rPr>
          <w:spacing w:val="-6"/>
        </w:rPr>
        <w:t>件：</w:t>
      </w:r>
    </w:p>
    <w:p>
      <w:pPr>
        <w:pStyle w:val="ListParagraph"/>
        <w:numPr>
          <w:ilvl w:val="0"/>
          <w:numId w:val="69"/>
        </w:numPr>
        <w:tabs>
          <w:tab w:pos="774" w:val="left" w:leader="none"/>
        </w:tabs>
        <w:spacing w:line="240" w:lineRule="auto" w:before="153" w:after="0"/>
        <w:ind w:left="773" w:right="0" w:hanging="530"/>
        <w:jc w:val="left"/>
        <w:rPr>
          <w:sz w:val="21"/>
        </w:rPr>
      </w:pPr>
      <w:r>
        <w:rPr>
          <w:spacing w:val="-2"/>
          <w:sz w:val="21"/>
        </w:rPr>
        <w:t>第一秒末用力呼吸量（FEV1）小于1</w:t>
      </w:r>
      <w:r>
        <w:rPr>
          <w:spacing w:val="-6"/>
          <w:sz w:val="21"/>
        </w:rPr>
        <w:t>升；</w:t>
      </w:r>
    </w:p>
    <w:p>
      <w:pPr>
        <w:pStyle w:val="ListParagraph"/>
        <w:numPr>
          <w:ilvl w:val="0"/>
          <w:numId w:val="69"/>
        </w:numPr>
        <w:tabs>
          <w:tab w:pos="774" w:val="left" w:leader="none"/>
        </w:tabs>
        <w:spacing w:line="240" w:lineRule="auto" w:before="49" w:after="0"/>
        <w:ind w:left="773" w:right="0" w:hanging="530"/>
        <w:jc w:val="left"/>
        <w:rPr>
          <w:sz w:val="21"/>
        </w:rPr>
      </w:pPr>
      <w:r>
        <w:rPr>
          <w:spacing w:val="-2"/>
          <w:sz w:val="21"/>
        </w:rPr>
        <w:t>残气容积占肺总量（TLC）的50%</w:t>
      </w:r>
      <w:r>
        <w:rPr>
          <w:spacing w:val="-5"/>
          <w:sz w:val="21"/>
        </w:rPr>
        <w:t>以上；</w:t>
      </w:r>
    </w:p>
    <w:p>
      <w:pPr>
        <w:pStyle w:val="ListParagraph"/>
        <w:numPr>
          <w:ilvl w:val="0"/>
          <w:numId w:val="69"/>
        </w:numPr>
        <w:tabs>
          <w:tab w:pos="774" w:val="left" w:leader="none"/>
        </w:tabs>
        <w:spacing w:line="240" w:lineRule="auto" w:before="42" w:after="0"/>
        <w:ind w:left="773" w:right="0" w:hanging="530"/>
        <w:jc w:val="left"/>
        <w:rPr>
          <w:sz w:val="21"/>
        </w:rPr>
      </w:pPr>
      <w:r>
        <w:rPr>
          <w:spacing w:val="-2"/>
          <w:sz w:val="21"/>
        </w:rPr>
        <w:t>PaO2&lt;60mmHg，但≧50mmHg</w:t>
      </w:r>
      <w:r>
        <w:rPr>
          <w:spacing w:val="-10"/>
          <w:sz w:val="21"/>
        </w:rPr>
        <w:t>。</w:t>
      </w:r>
    </w:p>
    <w:p>
      <w:pPr>
        <w:spacing w:after="0" w:line="240" w:lineRule="auto"/>
        <w:jc w:val="left"/>
        <w:rPr>
          <w:sz w:val="21"/>
        </w:rPr>
        <w:sectPr>
          <w:type w:val="continuous"/>
          <w:pgSz w:w="11910" w:h="16840"/>
          <w:pgMar w:header="0" w:footer="226" w:top="240" w:bottom="420" w:left="980" w:right="400"/>
          <w:cols w:num="2" w:equalWidth="0">
            <w:col w:w="3178" w:space="40"/>
            <w:col w:w="7312"/>
          </w:cols>
        </w:sectPr>
      </w:pPr>
    </w:p>
    <w:p>
      <w:pPr>
        <w:pStyle w:val="BodyText"/>
        <w:spacing w:before="11"/>
        <w:rPr>
          <w:sz w:val="22"/>
        </w:rPr>
      </w:pPr>
    </w:p>
    <w:p>
      <w:pPr>
        <w:spacing w:after="0"/>
        <w:rPr>
          <w:sz w:val="22"/>
        </w:rPr>
        <w:sectPr>
          <w:type w:val="continuous"/>
          <w:pgSz w:w="11910" w:h="16840"/>
          <w:pgMar w:header="0" w:footer="226" w:top="240" w:bottom="420" w:left="980" w:right="400"/>
        </w:sectPr>
      </w:pPr>
    </w:p>
    <w:p>
      <w:pPr>
        <w:pStyle w:val="Heading2"/>
        <w:numPr>
          <w:ilvl w:val="2"/>
          <w:numId w:val="63"/>
        </w:numPr>
        <w:tabs>
          <w:tab w:pos="2229" w:val="left" w:leader="none"/>
        </w:tabs>
        <w:spacing w:line="194" w:lineRule="auto" w:before="56" w:after="0"/>
        <w:ind w:left="1910" w:right="0" w:firstLine="0"/>
        <w:jc w:val="left"/>
      </w:pPr>
      <w:r>
        <w:rPr>
          <w:spacing w:val="-4"/>
        </w:rPr>
        <w:t>中度类风</w:t>
      </w:r>
      <w:r>
        <w:rPr>
          <w:spacing w:val="-2"/>
        </w:rPr>
        <w:t>湿性关节炎</w:t>
      </w:r>
    </w:p>
    <w:p>
      <w:pPr>
        <w:pStyle w:val="BodyText"/>
        <w:spacing w:line="278" w:lineRule="auto" w:before="72"/>
        <w:ind w:left="349" w:right="1595"/>
      </w:pPr>
      <w:r>
        <w:rPr/>
        <w:br w:type="column"/>
      </w:r>
      <w:r>
        <w:rPr>
          <w:spacing w:val="-2"/>
        </w:rPr>
        <w:t>根据美国风湿病学院的诊断标准，由风湿科专科医生明确诊</w:t>
      </w:r>
      <w:r>
        <w:rPr>
          <w:spacing w:val="-2"/>
        </w:rPr>
        <w:t>断并符合下列所有理赔条件，但未达到本合同所定义的重度</w:t>
      </w:r>
      <w:r>
        <w:rPr>
          <w:spacing w:val="-2"/>
        </w:rPr>
        <w:t>疾病“严重类风湿性关节炎”或“重幼年型类风湿性关节</w:t>
      </w:r>
      <w:r>
        <w:rPr>
          <w:spacing w:val="40"/>
        </w:rPr>
        <w:t> </w:t>
      </w:r>
      <w:r>
        <w:rPr>
          <w:spacing w:val="-2"/>
        </w:rPr>
        <w:t>炎”的标准：表现为关节严重变形，侵犯至少两个主要关节</w:t>
      </w:r>
      <w:r>
        <w:rPr>
          <w:spacing w:val="-2"/>
        </w:rPr>
        <w:t>或关节组（如：双手（多手指）关节、双足（多足趾）关</w:t>
      </w:r>
      <w:r>
        <w:rPr>
          <w:spacing w:val="40"/>
        </w:rPr>
        <w:t> </w:t>
      </w:r>
      <w:r>
        <w:rPr>
          <w:spacing w:val="-2"/>
        </w:rPr>
        <w:t>节、双腕关节、双膝关节和双髋关节</w:t>
      </w:r>
      <w:r>
        <w:rPr>
          <w:spacing w:val="-106"/>
        </w:rPr>
        <w:t>）</w:t>
      </w:r>
      <w:r>
        <w:rPr>
          <w:spacing w:val="-2"/>
        </w:rPr>
        <w:t>。类风湿性关节炎必</w:t>
      </w:r>
      <w:r>
        <w:rPr>
          <w:spacing w:val="-2"/>
        </w:rPr>
        <w:t>须明确诊断并且已经达到类风湿性关节炎功能分级Ⅲ级以上</w:t>
      </w:r>
      <w:r>
        <w:rPr>
          <w:spacing w:val="-2"/>
        </w:rPr>
        <w:t>的功能障碍（关节活动严重限制，不能完成大部分的日常工</w:t>
      </w:r>
      <w:r>
        <w:rPr>
          <w:spacing w:val="-2"/>
        </w:rPr>
        <w:t>作和活动</w:t>
      </w:r>
      <w:r>
        <w:rPr>
          <w:spacing w:val="-106"/>
        </w:rPr>
        <w:t>）</w:t>
      </w:r>
      <w:r>
        <w:rPr>
          <w:spacing w:val="-2"/>
        </w:rPr>
        <w:t>。</w:t>
      </w:r>
    </w:p>
    <w:p>
      <w:pPr>
        <w:spacing w:after="0" w:line="278" w:lineRule="auto"/>
        <w:sectPr>
          <w:type w:val="continuous"/>
          <w:pgSz w:w="11910" w:h="16840"/>
          <w:pgMar w:header="0" w:footer="226" w:top="240" w:bottom="420" w:left="980" w:right="400"/>
          <w:cols w:num="2" w:equalWidth="0">
            <w:col w:w="3073" w:space="40"/>
            <w:col w:w="7417"/>
          </w:cols>
        </w:sectPr>
      </w:pPr>
    </w:p>
    <w:p>
      <w:pPr>
        <w:pStyle w:val="BodyText"/>
        <w:spacing w:before="11"/>
        <w:rPr>
          <w:sz w:val="19"/>
        </w:rPr>
      </w:pPr>
    </w:p>
    <w:p>
      <w:pPr>
        <w:spacing w:after="0"/>
        <w:rPr>
          <w:sz w:val="19"/>
        </w:rPr>
        <w:sectPr>
          <w:type w:val="continuous"/>
          <w:pgSz w:w="11910" w:h="16840"/>
          <w:pgMar w:header="0" w:footer="226" w:top="240" w:bottom="420" w:left="980" w:right="400"/>
        </w:sectPr>
      </w:pPr>
    </w:p>
    <w:p>
      <w:pPr>
        <w:pStyle w:val="Heading2"/>
        <w:numPr>
          <w:ilvl w:val="2"/>
          <w:numId w:val="63"/>
        </w:numPr>
        <w:tabs>
          <w:tab w:pos="2229" w:val="left" w:leader="none"/>
        </w:tabs>
        <w:spacing w:line="194" w:lineRule="auto" w:before="56" w:after="0"/>
        <w:ind w:left="1910" w:right="0" w:firstLine="0"/>
        <w:jc w:val="left"/>
      </w:pPr>
      <w:r>
        <w:rPr>
          <w:spacing w:val="-4"/>
        </w:rPr>
        <w:t>中度肌营</w:t>
      </w:r>
      <w:r>
        <w:rPr>
          <w:spacing w:val="-4"/>
        </w:rPr>
        <w:t>养不良症</w:t>
      </w:r>
    </w:p>
    <w:p>
      <w:pPr>
        <w:pStyle w:val="BodyText"/>
        <w:spacing w:line="278" w:lineRule="auto" w:before="72"/>
        <w:ind w:left="349" w:right="1595"/>
        <w:jc w:val="both"/>
      </w:pPr>
      <w:r>
        <w:rPr/>
        <w:br w:type="column"/>
      </w:r>
      <w:r>
        <w:rPr>
          <w:spacing w:val="-2"/>
        </w:rPr>
        <w:t>指一组原发于肌肉的遗传性疾病，临床表现为与神经系统无</w:t>
      </w:r>
      <w:r>
        <w:rPr>
          <w:spacing w:val="-2"/>
        </w:rPr>
        <w:t>关的肌肉无力和肌肉萎缩。但未达到本合同所定义的重度疾</w:t>
      </w:r>
      <w:r>
        <w:rPr>
          <w:spacing w:val="-2"/>
        </w:rPr>
        <w:t>病“严重肌营养不良症”或“瘫痪”标准。须满足下列全部</w:t>
      </w:r>
      <w:r>
        <w:rPr>
          <w:spacing w:val="-4"/>
        </w:rPr>
        <w:t>条件：</w:t>
      </w:r>
    </w:p>
    <w:p>
      <w:pPr>
        <w:pStyle w:val="ListParagraph"/>
        <w:numPr>
          <w:ilvl w:val="1"/>
          <w:numId w:val="69"/>
        </w:numPr>
        <w:tabs>
          <w:tab w:pos="879" w:val="left" w:leader="none"/>
        </w:tabs>
        <w:spacing w:line="283" w:lineRule="auto" w:before="154" w:after="0"/>
        <w:ind w:left="349" w:right="1914" w:firstLine="0"/>
        <w:jc w:val="left"/>
        <w:rPr>
          <w:sz w:val="21"/>
        </w:rPr>
      </w:pPr>
      <w:r>
        <w:rPr>
          <w:spacing w:val="-2"/>
          <w:sz w:val="21"/>
        </w:rPr>
        <w:t>肌肉组织活检结果满足肌营养不良症的肌肉细胞变</w:t>
      </w:r>
      <w:r>
        <w:rPr>
          <w:spacing w:val="-2"/>
          <w:sz w:val="21"/>
        </w:rPr>
        <w:t>性、坏死等阳性改变；</w:t>
      </w:r>
    </w:p>
    <w:p>
      <w:pPr>
        <w:pStyle w:val="ListParagraph"/>
        <w:numPr>
          <w:ilvl w:val="1"/>
          <w:numId w:val="69"/>
        </w:numPr>
        <w:tabs>
          <w:tab w:pos="879" w:val="left" w:leader="none"/>
        </w:tabs>
        <w:spacing w:line="278" w:lineRule="auto" w:before="0" w:after="0"/>
        <w:ind w:left="349" w:right="1703" w:firstLine="0"/>
        <w:jc w:val="left"/>
        <w:rPr>
          <w:sz w:val="21"/>
        </w:rPr>
      </w:pPr>
      <w:r>
        <w:rPr>
          <w:spacing w:val="-2"/>
          <w:sz w:val="21"/>
        </w:rPr>
        <w:t>自主生活能力严重丧失，经鉴定无法独立完成六项基</w:t>
      </w:r>
      <w:r>
        <w:rPr>
          <w:spacing w:val="-2"/>
          <w:sz w:val="21"/>
        </w:rPr>
        <w:t>本日常生活活动中的两项或两项以上。</w:t>
      </w:r>
    </w:p>
    <w:p>
      <w:pPr>
        <w:pStyle w:val="BodyText"/>
        <w:spacing w:line="278" w:lineRule="auto" w:before="147"/>
        <w:ind w:left="349" w:right="1597"/>
      </w:pPr>
      <w:r>
        <w:rPr>
          <w:spacing w:val="-2"/>
        </w:rPr>
        <w:t>本公司承担本项疾病责任不受本合同责任免除中“遗传性疾</w:t>
      </w:r>
      <w:r>
        <w:rPr>
          <w:spacing w:val="-2"/>
        </w:rPr>
        <w:t>病，先天性畸形、变形或染色体异常”的限制。</w:t>
      </w:r>
    </w:p>
    <w:p>
      <w:pPr>
        <w:spacing w:after="0" w:line="278" w:lineRule="auto"/>
        <w:sectPr>
          <w:type w:val="continuous"/>
          <w:pgSz w:w="11910" w:h="16840"/>
          <w:pgMar w:header="0" w:footer="226" w:top="240" w:bottom="420" w:left="980" w:right="400"/>
          <w:cols w:num="2" w:equalWidth="0">
            <w:col w:w="3073" w:space="40"/>
            <w:col w:w="7417"/>
          </w:cols>
        </w:sectPr>
      </w:pPr>
    </w:p>
    <w:p>
      <w:pPr>
        <w:pStyle w:val="BodyText"/>
        <w:spacing w:before="11"/>
        <w:rPr>
          <w:sz w:val="19"/>
        </w:rPr>
      </w:pPr>
    </w:p>
    <w:p>
      <w:pPr>
        <w:spacing w:after="0"/>
        <w:rPr>
          <w:sz w:val="19"/>
        </w:rPr>
        <w:sectPr>
          <w:type w:val="continuous"/>
          <w:pgSz w:w="11910" w:h="16840"/>
          <w:pgMar w:header="0" w:footer="226" w:top="240" w:bottom="420" w:left="980" w:right="400"/>
        </w:sectPr>
      </w:pPr>
    </w:p>
    <w:p>
      <w:pPr>
        <w:pStyle w:val="Heading2"/>
        <w:numPr>
          <w:ilvl w:val="2"/>
          <w:numId w:val="63"/>
        </w:numPr>
        <w:tabs>
          <w:tab w:pos="2229" w:val="left" w:leader="none"/>
        </w:tabs>
        <w:spacing w:line="194" w:lineRule="auto" w:before="56" w:after="0"/>
        <w:ind w:left="1910" w:right="0" w:firstLine="0"/>
        <w:jc w:val="left"/>
      </w:pPr>
      <w:r>
        <w:rPr>
          <w:spacing w:val="-4"/>
        </w:rPr>
        <w:t>心脏瓣膜</w:t>
      </w:r>
      <w:r>
        <w:rPr>
          <w:spacing w:val="-4"/>
        </w:rPr>
        <w:t>介入手术</w:t>
      </w:r>
    </w:p>
    <w:p>
      <w:pPr>
        <w:pStyle w:val="BodyText"/>
        <w:spacing w:line="278" w:lineRule="auto" w:before="72"/>
        <w:ind w:left="349" w:right="1597"/>
      </w:pPr>
      <w:r>
        <w:rPr/>
        <w:br w:type="column"/>
      </w:r>
      <w:r>
        <w:rPr>
          <w:spacing w:val="-2"/>
        </w:rPr>
        <w:t>为了治疗心脏瓣膜疾病，实际实施了经皮经导管介入手术进</w:t>
      </w:r>
      <w:r>
        <w:rPr>
          <w:spacing w:val="-2"/>
        </w:rPr>
        <w:t>行的心脏瓣膜置换或者修复手术。</w:t>
      </w:r>
    </w:p>
    <w:p>
      <w:pPr>
        <w:spacing w:after="0" w:line="278" w:lineRule="auto"/>
        <w:sectPr>
          <w:type w:val="continuous"/>
          <w:pgSz w:w="11910" w:h="16840"/>
          <w:pgMar w:header="0" w:footer="226" w:top="240" w:bottom="420" w:left="980" w:right="400"/>
          <w:cols w:num="2" w:equalWidth="0">
            <w:col w:w="3073" w:space="40"/>
            <w:col w:w="7417"/>
          </w:cols>
        </w:sectPr>
      </w:pPr>
    </w:p>
    <w:p>
      <w:pPr>
        <w:pStyle w:val="Heading2"/>
        <w:numPr>
          <w:ilvl w:val="2"/>
          <w:numId w:val="63"/>
        </w:numPr>
        <w:tabs>
          <w:tab w:pos="2229" w:val="left" w:leader="none"/>
        </w:tabs>
        <w:spacing w:line="194" w:lineRule="auto" w:before="35" w:after="0"/>
        <w:ind w:left="1910" w:right="0" w:firstLine="0"/>
        <w:jc w:val="left"/>
      </w:pPr>
      <w:r>
        <w:rPr>
          <w:spacing w:val="-4"/>
        </w:rPr>
        <w:t>腔静脉过</w:t>
      </w:r>
      <w:r>
        <w:rPr>
          <w:spacing w:val="-2"/>
        </w:rPr>
        <w:t>滤器植入术</w:t>
      </w:r>
    </w:p>
    <w:p>
      <w:pPr>
        <w:pStyle w:val="BodyText"/>
        <w:spacing w:line="278" w:lineRule="auto" w:before="51"/>
        <w:ind w:left="349" w:right="1498"/>
        <w:jc w:val="both"/>
      </w:pPr>
      <w:r>
        <w:rPr/>
        <w:br w:type="column"/>
      </w:r>
      <w:r>
        <w:rPr>
          <w:spacing w:val="-10"/>
        </w:rPr>
        <w:t>指为治疗反复肺栓塞发作，抗凝血疗法无效，已经实施了腔静</w:t>
      </w:r>
      <w:r>
        <w:rPr>
          <w:spacing w:val="-2"/>
        </w:rPr>
        <w:t>脉过滤器植入术。手术必须在专科医生认为是医学上必需的</w:t>
      </w:r>
      <w:r>
        <w:rPr>
          <w:spacing w:val="-2"/>
        </w:rPr>
        <w:t>情况下进行。</w:t>
      </w:r>
    </w:p>
    <w:p>
      <w:pPr>
        <w:spacing w:after="0" w:line="278" w:lineRule="auto"/>
        <w:jc w:val="both"/>
        <w:sectPr>
          <w:pgSz w:w="11910" w:h="16840"/>
          <w:pgMar w:header="0" w:footer="226" w:top="820" w:bottom="420" w:left="980" w:right="400"/>
          <w:cols w:num="2" w:equalWidth="0">
            <w:col w:w="3073" w:space="40"/>
            <w:col w:w="7417"/>
          </w:cols>
        </w:sectPr>
      </w:pPr>
    </w:p>
    <w:p>
      <w:pPr>
        <w:pStyle w:val="BodyText"/>
        <w:spacing w:before="11"/>
        <w:rPr>
          <w:sz w:val="19"/>
        </w:rPr>
      </w:pPr>
    </w:p>
    <w:p>
      <w:pPr>
        <w:spacing w:after="0"/>
        <w:rPr>
          <w:sz w:val="19"/>
        </w:rPr>
        <w:sectPr>
          <w:type w:val="continuous"/>
          <w:pgSz w:w="11910" w:h="16840"/>
          <w:pgMar w:header="0" w:footer="226" w:top="240" w:bottom="420" w:left="980" w:right="400"/>
        </w:sectPr>
      </w:pPr>
    </w:p>
    <w:p>
      <w:pPr>
        <w:pStyle w:val="Heading2"/>
        <w:numPr>
          <w:ilvl w:val="2"/>
          <w:numId w:val="63"/>
        </w:numPr>
        <w:tabs>
          <w:tab w:pos="2229" w:val="left" w:leader="none"/>
        </w:tabs>
        <w:spacing w:line="194" w:lineRule="auto" w:before="55" w:after="0"/>
        <w:ind w:left="1910" w:right="0" w:firstLine="0"/>
        <w:jc w:val="left"/>
      </w:pPr>
      <w:r>
        <w:rPr>
          <w:spacing w:val="-4"/>
        </w:rPr>
        <w:t>心包膜切</w:t>
      </w:r>
      <w:r>
        <w:rPr>
          <w:spacing w:val="-6"/>
        </w:rPr>
        <w:t>除术</w:t>
      </w:r>
    </w:p>
    <w:p>
      <w:pPr>
        <w:pStyle w:val="BodyText"/>
        <w:spacing w:line="278" w:lineRule="auto" w:before="72"/>
        <w:ind w:left="349" w:right="1497"/>
      </w:pPr>
      <w:r>
        <w:rPr/>
        <w:br w:type="column"/>
      </w:r>
      <w:r>
        <w:rPr>
          <w:spacing w:val="-11"/>
        </w:rPr>
        <w:t>指为治疗心包膜疾病，已经实施了心包膜切除术。手术必须在</w:t>
      </w:r>
      <w:r>
        <w:rPr>
          <w:spacing w:val="-2"/>
        </w:rPr>
        <w:t>心脏科医生认为是医学上必需的情况下进行。</w:t>
      </w:r>
    </w:p>
    <w:p>
      <w:pPr>
        <w:spacing w:after="0" w:line="278" w:lineRule="auto"/>
        <w:sectPr>
          <w:type w:val="continuous"/>
          <w:pgSz w:w="11910" w:h="16840"/>
          <w:pgMar w:header="0" w:footer="226" w:top="240" w:bottom="420" w:left="980" w:right="400"/>
          <w:cols w:num="2" w:equalWidth="0">
            <w:col w:w="3073" w:space="40"/>
            <w:col w:w="7417"/>
          </w:cols>
        </w:sectPr>
      </w:pPr>
    </w:p>
    <w:p>
      <w:pPr>
        <w:pStyle w:val="BodyText"/>
        <w:spacing w:before="1"/>
        <w:rPr>
          <w:sz w:val="16"/>
        </w:rPr>
      </w:pPr>
    </w:p>
    <w:p>
      <w:pPr>
        <w:spacing w:after="0"/>
        <w:rPr>
          <w:sz w:val="16"/>
        </w:rPr>
        <w:sectPr>
          <w:type w:val="continuous"/>
          <w:pgSz w:w="11910" w:h="16840"/>
          <w:pgMar w:header="0" w:footer="226" w:top="240" w:bottom="420" w:left="980" w:right="400"/>
        </w:sectPr>
      </w:pPr>
    </w:p>
    <w:p>
      <w:pPr>
        <w:pStyle w:val="Heading2"/>
        <w:numPr>
          <w:ilvl w:val="2"/>
          <w:numId w:val="63"/>
        </w:numPr>
        <w:tabs>
          <w:tab w:pos="2229" w:val="left" w:leader="none"/>
        </w:tabs>
        <w:spacing w:line="194" w:lineRule="auto" w:before="104" w:after="0"/>
        <w:ind w:left="1910" w:right="0" w:firstLine="0"/>
        <w:jc w:val="left"/>
      </w:pPr>
      <w:r>
        <w:rPr/>
        <w:pict>
          <v:shape style="position:absolute;margin-left:90.047997pt;margin-top:46.337334pt;width:415.4pt;height:598.9pt;mso-position-horizontal-relative:page;mso-position-vertical-relative:paragraph;z-index:15731712" type="#_x0000_t202" id="docshape4"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09"/>
                    <w:gridCol w:w="1779"/>
                    <w:gridCol w:w="5719"/>
                  </w:tblGrid>
                  <w:tr>
                    <w:trPr>
                      <w:trHeight w:val="967" w:hRule="atLeast"/>
                    </w:trPr>
                    <w:tc>
                      <w:tcPr>
                        <w:tcW w:w="2588" w:type="dxa"/>
                        <w:gridSpan w:val="2"/>
                        <w:vMerge w:val="restart"/>
                      </w:tcPr>
                      <w:p>
                        <w:pPr>
                          <w:pStyle w:val="TableParagraph"/>
                          <w:rPr>
                            <w:rFonts w:ascii="Times New Roman"/>
                            <w:sz w:val="20"/>
                          </w:rPr>
                        </w:pPr>
                      </w:p>
                    </w:tc>
                    <w:tc>
                      <w:tcPr>
                        <w:tcW w:w="5719" w:type="dxa"/>
                      </w:tcPr>
                      <w:p>
                        <w:pPr>
                          <w:pStyle w:val="TableParagraph"/>
                          <w:numPr>
                            <w:ilvl w:val="0"/>
                            <w:numId w:val="70"/>
                          </w:numPr>
                          <w:tabs>
                            <w:tab w:pos="583" w:val="left" w:leader="none"/>
                          </w:tabs>
                          <w:spacing w:line="241" w:lineRule="exact" w:before="0" w:after="0"/>
                          <w:ind w:left="582" w:right="0" w:hanging="530"/>
                          <w:jc w:val="left"/>
                          <w:rPr>
                            <w:sz w:val="21"/>
                          </w:rPr>
                        </w:pPr>
                        <w:r>
                          <w:rPr>
                            <w:spacing w:val="-3"/>
                            <w:sz w:val="21"/>
                          </w:rPr>
                          <w:t>为下肢或者上肢供血的动脉；</w:t>
                        </w:r>
                      </w:p>
                      <w:p>
                        <w:pPr>
                          <w:pStyle w:val="TableParagraph"/>
                          <w:numPr>
                            <w:ilvl w:val="0"/>
                            <w:numId w:val="70"/>
                          </w:numPr>
                          <w:tabs>
                            <w:tab w:pos="583" w:val="left" w:leader="none"/>
                          </w:tabs>
                          <w:spacing w:line="240" w:lineRule="auto" w:before="47" w:after="0"/>
                          <w:ind w:left="582" w:right="0" w:hanging="530"/>
                          <w:jc w:val="left"/>
                          <w:rPr>
                            <w:sz w:val="21"/>
                          </w:rPr>
                        </w:pPr>
                        <w:r>
                          <w:rPr>
                            <w:spacing w:val="-4"/>
                            <w:sz w:val="21"/>
                          </w:rPr>
                          <w:t>肾动脉；</w:t>
                        </w:r>
                      </w:p>
                      <w:p>
                        <w:pPr>
                          <w:pStyle w:val="TableParagraph"/>
                          <w:numPr>
                            <w:ilvl w:val="0"/>
                            <w:numId w:val="70"/>
                          </w:numPr>
                          <w:tabs>
                            <w:tab w:pos="583" w:val="left" w:leader="none"/>
                          </w:tabs>
                          <w:spacing w:line="240" w:lineRule="auto" w:before="43" w:after="0"/>
                          <w:ind w:left="582" w:right="0" w:hanging="530"/>
                          <w:jc w:val="left"/>
                          <w:rPr>
                            <w:sz w:val="21"/>
                          </w:rPr>
                        </w:pPr>
                        <w:r>
                          <w:rPr>
                            <w:spacing w:val="-4"/>
                            <w:sz w:val="21"/>
                          </w:rPr>
                          <w:t>肠系膜动脉。</w:t>
                        </w:r>
                      </w:p>
                    </w:tc>
                  </w:tr>
                  <w:tr>
                    <w:trPr>
                      <w:trHeight w:val="465" w:hRule="atLeast"/>
                    </w:trPr>
                    <w:tc>
                      <w:tcPr>
                        <w:tcW w:w="2588" w:type="dxa"/>
                        <w:gridSpan w:val="2"/>
                        <w:vMerge/>
                        <w:tcBorders>
                          <w:top w:val="nil"/>
                        </w:tcBorders>
                      </w:tcPr>
                      <w:p>
                        <w:pPr>
                          <w:rPr>
                            <w:sz w:val="2"/>
                            <w:szCs w:val="2"/>
                          </w:rPr>
                        </w:pPr>
                      </w:p>
                    </w:tc>
                    <w:tc>
                      <w:tcPr>
                        <w:tcW w:w="5719" w:type="dxa"/>
                      </w:tcPr>
                      <w:p>
                        <w:pPr>
                          <w:pStyle w:val="TableParagraph"/>
                          <w:spacing w:before="98"/>
                          <w:ind w:left="53"/>
                          <w:rPr>
                            <w:sz w:val="21"/>
                          </w:rPr>
                        </w:pPr>
                        <w:r>
                          <w:rPr>
                            <w:spacing w:val="-3"/>
                            <w:sz w:val="21"/>
                          </w:rPr>
                          <w:t>须满足下列全部条件：</w:t>
                        </w:r>
                      </w:p>
                    </w:tc>
                  </w:tr>
                  <w:tr>
                    <w:trPr>
                      <w:trHeight w:val="391" w:hRule="atLeast"/>
                    </w:trPr>
                    <w:tc>
                      <w:tcPr>
                        <w:tcW w:w="2588" w:type="dxa"/>
                        <w:gridSpan w:val="2"/>
                        <w:vMerge/>
                        <w:tcBorders>
                          <w:top w:val="nil"/>
                        </w:tcBorders>
                      </w:tcPr>
                      <w:p>
                        <w:pPr>
                          <w:rPr>
                            <w:sz w:val="2"/>
                            <w:szCs w:val="2"/>
                          </w:rPr>
                        </w:pPr>
                      </w:p>
                    </w:tc>
                    <w:tc>
                      <w:tcPr>
                        <w:tcW w:w="5719" w:type="dxa"/>
                      </w:tcPr>
                      <w:p>
                        <w:pPr>
                          <w:pStyle w:val="TableParagraph"/>
                          <w:spacing w:before="99"/>
                          <w:ind w:left="53"/>
                          <w:rPr>
                            <w:sz w:val="21"/>
                          </w:rPr>
                        </w:pPr>
                        <w:r>
                          <w:rPr>
                            <w:spacing w:val="-2"/>
                            <w:sz w:val="21"/>
                          </w:rPr>
                          <w:t>（1）</w:t>
                        </w:r>
                        <w:r>
                          <w:rPr>
                            <w:spacing w:val="-3"/>
                            <w:sz w:val="21"/>
                          </w:rPr>
                          <w:t>经血管造影术证实一条或者一条以上的上述动脉狭窄</w:t>
                        </w:r>
                      </w:p>
                    </w:tc>
                  </w:tr>
                  <w:tr>
                    <w:trPr>
                      <w:trHeight w:val="314" w:hRule="atLeast"/>
                    </w:trPr>
                    <w:tc>
                      <w:tcPr>
                        <w:tcW w:w="2588" w:type="dxa"/>
                        <w:gridSpan w:val="2"/>
                        <w:vMerge/>
                        <w:tcBorders>
                          <w:top w:val="nil"/>
                        </w:tcBorders>
                      </w:tcPr>
                      <w:p>
                        <w:pPr>
                          <w:rPr>
                            <w:sz w:val="2"/>
                            <w:szCs w:val="2"/>
                          </w:rPr>
                        </w:pPr>
                      </w:p>
                    </w:tc>
                    <w:tc>
                      <w:tcPr>
                        <w:tcW w:w="5719" w:type="dxa"/>
                      </w:tcPr>
                      <w:p>
                        <w:pPr>
                          <w:pStyle w:val="TableParagraph"/>
                          <w:spacing w:before="24"/>
                          <w:ind w:left="53"/>
                          <w:rPr>
                            <w:sz w:val="21"/>
                          </w:rPr>
                        </w:pPr>
                        <w:r>
                          <w:rPr>
                            <w:spacing w:val="-16"/>
                            <w:sz w:val="21"/>
                          </w:rPr>
                          <w:t>达到 </w:t>
                        </w:r>
                        <w:r>
                          <w:rPr>
                            <w:spacing w:val="-2"/>
                            <w:sz w:val="21"/>
                          </w:rPr>
                          <w:t>50%</w:t>
                        </w:r>
                        <w:r>
                          <w:rPr>
                            <w:spacing w:val="-4"/>
                            <w:sz w:val="21"/>
                          </w:rPr>
                          <w:t>或者以上；</w:t>
                        </w:r>
                      </w:p>
                    </w:tc>
                  </w:tr>
                  <w:tr>
                    <w:trPr>
                      <w:trHeight w:val="312" w:hRule="atLeast"/>
                    </w:trPr>
                    <w:tc>
                      <w:tcPr>
                        <w:tcW w:w="2588" w:type="dxa"/>
                        <w:gridSpan w:val="2"/>
                        <w:vMerge/>
                        <w:tcBorders>
                          <w:top w:val="nil"/>
                        </w:tcBorders>
                      </w:tcPr>
                      <w:p>
                        <w:pPr>
                          <w:rPr>
                            <w:sz w:val="2"/>
                            <w:szCs w:val="2"/>
                          </w:rPr>
                        </w:pPr>
                      </w:p>
                    </w:tc>
                    <w:tc>
                      <w:tcPr>
                        <w:tcW w:w="5719" w:type="dxa"/>
                      </w:tcPr>
                      <w:p>
                        <w:pPr>
                          <w:pStyle w:val="TableParagraph"/>
                          <w:spacing w:before="22"/>
                          <w:ind w:left="53"/>
                          <w:rPr>
                            <w:sz w:val="21"/>
                          </w:rPr>
                        </w:pPr>
                        <w:r>
                          <w:rPr>
                            <w:spacing w:val="-2"/>
                            <w:sz w:val="21"/>
                          </w:rPr>
                          <w:t>（2）</w:t>
                        </w:r>
                        <w:r>
                          <w:rPr>
                            <w:spacing w:val="-3"/>
                            <w:sz w:val="21"/>
                          </w:rPr>
                          <w:t>对一条或者一条以上的上述动脉施行了血管介入治</w:t>
                        </w:r>
                      </w:p>
                    </w:tc>
                  </w:tr>
                  <w:tr>
                    <w:trPr>
                      <w:trHeight w:val="312" w:hRule="atLeast"/>
                    </w:trPr>
                    <w:tc>
                      <w:tcPr>
                        <w:tcW w:w="2588" w:type="dxa"/>
                        <w:gridSpan w:val="2"/>
                        <w:vMerge/>
                        <w:tcBorders>
                          <w:top w:val="nil"/>
                        </w:tcBorders>
                      </w:tcPr>
                      <w:p>
                        <w:pPr>
                          <w:rPr>
                            <w:sz w:val="2"/>
                            <w:szCs w:val="2"/>
                          </w:rPr>
                        </w:pPr>
                      </w:p>
                    </w:tc>
                    <w:tc>
                      <w:tcPr>
                        <w:tcW w:w="5719" w:type="dxa"/>
                      </w:tcPr>
                      <w:p>
                        <w:pPr>
                          <w:pStyle w:val="TableParagraph"/>
                          <w:spacing w:before="22"/>
                          <w:ind w:left="53"/>
                          <w:rPr>
                            <w:sz w:val="21"/>
                          </w:rPr>
                        </w:pPr>
                        <w:r>
                          <w:rPr>
                            <w:spacing w:val="-3"/>
                            <w:sz w:val="21"/>
                          </w:rPr>
                          <w:t>疗，如血管成形术及/或者进行植入支架或者动脉粥样瘤清</w:t>
                        </w:r>
                      </w:p>
                    </w:tc>
                  </w:tr>
                  <w:tr>
                    <w:trPr>
                      <w:trHeight w:val="388" w:hRule="atLeast"/>
                    </w:trPr>
                    <w:tc>
                      <w:tcPr>
                        <w:tcW w:w="2588" w:type="dxa"/>
                        <w:gridSpan w:val="2"/>
                        <w:vMerge/>
                        <w:tcBorders>
                          <w:top w:val="nil"/>
                        </w:tcBorders>
                      </w:tcPr>
                      <w:p>
                        <w:pPr>
                          <w:rPr>
                            <w:sz w:val="2"/>
                            <w:szCs w:val="2"/>
                          </w:rPr>
                        </w:pPr>
                      </w:p>
                    </w:tc>
                    <w:tc>
                      <w:tcPr>
                        <w:tcW w:w="5719" w:type="dxa"/>
                      </w:tcPr>
                      <w:p>
                        <w:pPr>
                          <w:pStyle w:val="TableParagraph"/>
                          <w:spacing w:before="22"/>
                          <w:ind w:left="53"/>
                          <w:rPr>
                            <w:sz w:val="21"/>
                          </w:rPr>
                        </w:pPr>
                        <w:r>
                          <w:rPr>
                            <w:spacing w:val="-3"/>
                            <w:sz w:val="21"/>
                          </w:rPr>
                          <w:t>除手术。</w:t>
                        </w:r>
                      </w:p>
                    </w:tc>
                  </w:tr>
                  <w:tr>
                    <w:trPr>
                      <w:trHeight w:val="388" w:hRule="atLeast"/>
                    </w:trPr>
                    <w:tc>
                      <w:tcPr>
                        <w:tcW w:w="2588" w:type="dxa"/>
                        <w:gridSpan w:val="2"/>
                        <w:vMerge/>
                        <w:tcBorders>
                          <w:top w:val="nil"/>
                        </w:tcBorders>
                      </w:tcPr>
                      <w:p>
                        <w:pPr>
                          <w:rPr>
                            <w:sz w:val="2"/>
                            <w:szCs w:val="2"/>
                          </w:rPr>
                        </w:pPr>
                      </w:p>
                    </w:tc>
                    <w:tc>
                      <w:tcPr>
                        <w:tcW w:w="5719" w:type="dxa"/>
                      </w:tcPr>
                      <w:p>
                        <w:pPr>
                          <w:pStyle w:val="TableParagraph"/>
                          <w:spacing w:before="99"/>
                          <w:ind w:left="53"/>
                          <w:rPr>
                            <w:sz w:val="21"/>
                          </w:rPr>
                        </w:pPr>
                        <w:r>
                          <w:rPr>
                            <w:spacing w:val="-3"/>
                            <w:sz w:val="21"/>
                          </w:rPr>
                          <w:t>此诊断及治疗均须在本公司认可医院内由血管疾病的专科医</w:t>
                        </w:r>
                      </w:p>
                    </w:tc>
                  </w:tr>
                  <w:tr>
                    <w:trPr>
                      <w:trHeight w:val="472" w:hRule="atLeast"/>
                    </w:trPr>
                    <w:tc>
                      <w:tcPr>
                        <w:tcW w:w="2588" w:type="dxa"/>
                        <w:gridSpan w:val="2"/>
                        <w:vMerge/>
                        <w:tcBorders>
                          <w:top w:val="nil"/>
                        </w:tcBorders>
                      </w:tcPr>
                      <w:p>
                        <w:pPr>
                          <w:rPr>
                            <w:sz w:val="2"/>
                            <w:szCs w:val="2"/>
                          </w:rPr>
                        </w:pPr>
                      </w:p>
                    </w:tc>
                    <w:tc>
                      <w:tcPr>
                        <w:tcW w:w="5719" w:type="dxa"/>
                      </w:tcPr>
                      <w:p>
                        <w:pPr>
                          <w:pStyle w:val="TableParagraph"/>
                          <w:spacing w:before="22"/>
                          <w:ind w:left="53"/>
                          <w:rPr>
                            <w:sz w:val="21"/>
                          </w:rPr>
                        </w:pPr>
                        <w:r>
                          <w:rPr>
                            <w:spacing w:val="-3"/>
                            <w:sz w:val="21"/>
                          </w:rPr>
                          <w:t>生认为是医疗必须的情况下进行。</w:t>
                        </w:r>
                      </w:p>
                    </w:tc>
                  </w:tr>
                  <w:tr>
                    <w:trPr>
                      <w:trHeight w:val="475" w:hRule="atLeast"/>
                    </w:trPr>
                    <w:tc>
                      <w:tcPr>
                        <w:tcW w:w="809" w:type="dxa"/>
                      </w:tcPr>
                      <w:p>
                        <w:pPr>
                          <w:pStyle w:val="TableParagraph"/>
                          <w:rPr>
                            <w:rFonts w:ascii="Times New Roman"/>
                            <w:sz w:val="20"/>
                          </w:rPr>
                        </w:pPr>
                      </w:p>
                    </w:tc>
                    <w:tc>
                      <w:tcPr>
                        <w:tcW w:w="1779" w:type="dxa"/>
                      </w:tcPr>
                      <w:p>
                        <w:pPr>
                          <w:pStyle w:val="TableParagraph"/>
                          <w:spacing w:line="342" w:lineRule="exact" w:before="113"/>
                          <w:ind w:left="280"/>
                          <w:rPr>
                            <w:rFonts w:ascii="Microsoft JhengHei" w:eastAsia="Microsoft JhengHei"/>
                            <w:b/>
                            <w:sz w:val="21"/>
                          </w:rPr>
                        </w:pPr>
                        <w:r>
                          <w:rPr>
                            <w:rFonts w:ascii="Microsoft JhengHei" w:eastAsia="Microsoft JhengHei"/>
                            <w:b/>
                            <w:sz w:val="21"/>
                          </w:rPr>
                          <w:t>20.</w:t>
                        </w:r>
                        <w:r>
                          <w:rPr>
                            <w:rFonts w:ascii="Microsoft JhengHei" w:eastAsia="Microsoft JhengHei"/>
                            <w:b/>
                            <w:spacing w:val="-3"/>
                            <w:sz w:val="21"/>
                          </w:rPr>
                          <w:t>于颈动脉</w:t>
                        </w:r>
                      </w:p>
                    </w:tc>
                    <w:tc>
                      <w:tcPr>
                        <w:tcW w:w="5719" w:type="dxa"/>
                      </w:tcPr>
                      <w:p>
                        <w:pPr>
                          <w:pStyle w:val="TableParagraph"/>
                          <w:spacing w:before="3"/>
                          <w:rPr>
                            <w:sz w:val="14"/>
                          </w:rPr>
                        </w:pPr>
                      </w:p>
                      <w:p>
                        <w:pPr>
                          <w:pStyle w:val="TableParagraph"/>
                          <w:ind w:left="53"/>
                          <w:rPr>
                            <w:sz w:val="21"/>
                          </w:rPr>
                        </w:pPr>
                        <w:r>
                          <w:rPr>
                            <w:spacing w:val="-1"/>
                            <w:sz w:val="21"/>
                          </w:rPr>
                          <w:t>指根据颈动脉造影检查结果，确诊一条或以上颈动脉存在严</w:t>
                        </w:r>
                      </w:p>
                    </w:tc>
                  </w:tr>
                  <w:tr>
                    <w:trPr>
                      <w:trHeight w:val="314" w:hRule="atLeast"/>
                    </w:trPr>
                    <w:tc>
                      <w:tcPr>
                        <w:tcW w:w="809" w:type="dxa"/>
                      </w:tcPr>
                      <w:p>
                        <w:pPr>
                          <w:pStyle w:val="TableParagraph"/>
                          <w:rPr>
                            <w:rFonts w:ascii="Times New Roman"/>
                            <w:sz w:val="20"/>
                          </w:rPr>
                        </w:pPr>
                      </w:p>
                    </w:tc>
                    <w:tc>
                      <w:tcPr>
                        <w:tcW w:w="1779" w:type="dxa"/>
                      </w:tcPr>
                      <w:p>
                        <w:pPr>
                          <w:pStyle w:val="TableParagraph"/>
                          <w:spacing w:line="295" w:lineRule="exact"/>
                          <w:ind w:left="280"/>
                          <w:rPr>
                            <w:rFonts w:ascii="Microsoft JhengHei" w:eastAsia="Microsoft JhengHei"/>
                            <w:b/>
                            <w:sz w:val="21"/>
                          </w:rPr>
                        </w:pPr>
                        <w:r>
                          <w:rPr>
                            <w:rFonts w:ascii="Microsoft JhengHei" w:eastAsia="Microsoft JhengHei"/>
                            <w:b/>
                            <w:spacing w:val="-2"/>
                            <w:sz w:val="21"/>
                          </w:rPr>
                          <w:t>进行血管成形</w:t>
                        </w:r>
                      </w:p>
                    </w:tc>
                    <w:tc>
                      <w:tcPr>
                        <w:tcW w:w="5719" w:type="dxa"/>
                      </w:tcPr>
                      <w:p>
                        <w:pPr>
                          <w:pStyle w:val="TableParagraph"/>
                          <w:spacing w:before="24"/>
                          <w:ind w:left="53"/>
                          <w:rPr>
                            <w:sz w:val="21"/>
                          </w:rPr>
                        </w:pPr>
                        <w:r>
                          <w:rPr>
                            <w:spacing w:val="-2"/>
                            <w:sz w:val="21"/>
                          </w:rPr>
                          <w:t>重狭窄性病变（至少一支血管管腔直径减少50%以上）</w:t>
                        </w:r>
                        <w:r>
                          <w:rPr>
                            <w:spacing w:val="-5"/>
                            <w:sz w:val="21"/>
                          </w:rPr>
                          <w:t>。本病</w:t>
                        </w:r>
                      </w:p>
                    </w:tc>
                  </w:tr>
                  <w:tr>
                    <w:trPr>
                      <w:trHeight w:val="312" w:hRule="atLeast"/>
                    </w:trPr>
                    <w:tc>
                      <w:tcPr>
                        <w:tcW w:w="809" w:type="dxa"/>
                      </w:tcPr>
                      <w:p>
                        <w:pPr>
                          <w:pStyle w:val="TableParagraph"/>
                          <w:rPr>
                            <w:rFonts w:ascii="Times New Roman"/>
                            <w:sz w:val="20"/>
                          </w:rPr>
                        </w:pPr>
                      </w:p>
                    </w:tc>
                    <w:tc>
                      <w:tcPr>
                        <w:tcW w:w="1779" w:type="dxa"/>
                      </w:tcPr>
                      <w:p>
                        <w:pPr>
                          <w:pStyle w:val="TableParagraph"/>
                          <w:spacing w:line="292" w:lineRule="exact"/>
                          <w:ind w:left="280"/>
                          <w:rPr>
                            <w:rFonts w:ascii="Microsoft JhengHei" w:eastAsia="Microsoft JhengHei"/>
                            <w:b/>
                            <w:sz w:val="21"/>
                          </w:rPr>
                        </w:pPr>
                        <w:r>
                          <w:rPr>
                            <w:rFonts w:ascii="Microsoft JhengHei" w:eastAsia="Microsoft JhengHei"/>
                            <w:b/>
                            <w:spacing w:val="-2"/>
                            <w:sz w:val="21"/>
                          </w:rPr>
                          <w:t>术或内膜切除</w:t>
                        </w:r>
                      </w:p>
                    </w:tc>
                    <w:tc>
                      <w:tcPr>
                        <w:tcW w:w="5719" w:type="dxa"/>
                      </w:tcPr>
                      <w:p>
                        <w:pPr>
                          <w:pStyle w:val="TableParagraph"/>
                          <w:spacing w:before="22"/>
                          <w:ind w:left="53"/>
                          <w:rPr>
                            <w:sz w:val="21"/>
                          </w:rPr>
                        </w:pPr>
                        <w:r>
                          <w:rPr>
                            <w:spacing w:val="-1"/>
                            <w:sz w:val="21"/>
                          </w:rPr>
                          <w:t>须经国家机关认可的有合法资质的专科医生明确诊断，同时</w:t>
                        </w:r>
                      </w:p>
                    </w:tc>
                  </w:tr>
                  <w:tr>
                    <w:trPr>
                      <w:trHeight w:val="388" w:hRule="atLeast"/>
                    </w:trPr>
                    <w:tc>
                      <w:tcPr>
                        <w:tcW w:w="809" w:type="dxa"/>
                      </w:tcPr>
                      <w:p>
                        <w:pPr>
                          <w:pStyle w:val="TableParagraph"/>
                          <w:rPr>
                            <w:rFonts w:ascii="Times New Roman"/>
                            <w:sz w:val="20"/>
                          </w:rPr>
                        </w:pPr>
                      </w:p>
                    </w:tc>
                    <w:tc>
                      <w:tcPr>
                        <w:tcW w:w="1779" w:type="dxa"/>
                      </w:tcPr>
                      <w:p>
                        <w:pPr>
                          <w:pStyle w:val="TableParagraph"/>
                          <w:spacing w:line="339" w:lineRule="exact"/>
                          <w:ind w:left="280"/>
                          <w:rPr>
                            <w:rFonts w:ascii="Microsoft JhengHei" w:eastAsia="Microsoft JhengHei"/>
                            <w:b/>
                            <w:sz w:val="21"/>
                          </w:rPr>
                        </w:pPr>
                        <w:r>
                          <w:rPr>
                            <w:rFonts w:ascii="Microsoft JhengHei" w:eastAsia="Microsoft JhengHei"/>
                            <w:b/>
                            <w:w w:val="100"/>
                            <w:sz w:val="21"/>
                          </w:rPr>
                          <w:t>术</w:t>
                        </w:r>
                      </w:p>
                    </w:tc>
                    <w:tc>
                      <w:tcPr>
                        <w:tcW w:w="5719" w:type="dxa"/>
                      </w:tcPr>
                      <w:p>
                        <w:pPr>
                          <w:pStyle w:val="TableParagraph"/>
                          <w:spacing w:before="22"/>
                          <w:ind w:left="53"/>
                          <w:rPr>
                            <w:sz w:val="21"/>
                          </w:rPr>
                        </w:pPr>
                        <w:r>
                          <w:rPr>
                            <w:spacing w:val="-3"/>
                            <w:sz w:val="21"/>
                          </w:rPr>
                          <w:t>必须已经采取以下手术以减轻症状：</w:t>
                        </w:r>
                      </w:p>
                    </w:tc>
                  </w:tr>
                  <w:tr>
                    <w:trPr>
                      <w:trHeight w:val="388" w:hRule="atLeast"/>
                    </w:trPr>
                    <w:tc>
                      <w:tcPr>
                        <w:tcW w:w="809" w:type="dxa"/>
                      </w:tcPr>
                      <w:p>
                        <w:pPr>
                          <w:pStyle w:val="TableParagraph"/>
                          <w:rPr>
                            <w:rFonts w:ascii="Times New Roman"/>
                            <w:sz w:val="20"/>
                          </w:rPr>
                        </w:pPr>
                      </w:p>
                    </w:tc>
                    <w:tc>
                      <w:tcPr>
                        <w:tcW w:w="1779" w:type="dxa"/>
                      </w:tcPr>
                      <w:p>
                        <w:pPr>
                          <w:pStyle w:val="TableParagraph"/>
                          <w:rPr>
                            <w:rFonts w:ascii="Times New Roman"/>
                            <w:sz w:val="20"/>
                          </w:rPr>
                        </w:pPr>
                      </w:p>
                    </w:tc>
                    <w:tc>
                      <w:tcPr>
                        <w:tcW w:w="5719" w:type="dxa"/>
                      </w:tcPr>
                      <w:p>
                        <w:pPr>
                          <w:pStyle w:val="TableParagraph"/>
                          <w:spacing w:before="98"/>
                          <w:ind w:left="53"/>
                          <w:rPr>
                            <w:sz w:val="21"/>
                          </w:rPr>
                        </w:pPr>
                        <w:r>
                          <w:rPr>
                            <w:spacing w:val="-2"/>
                            <w:sz w:val="21"/>
                          </w:rPr>
                          <w:t>（1）</w:t>
                        </w:r>
                        <w:r>
                          <w:rPr>
                            <w:spacing w:val="-3"/>
                            <w:sz w:val="21"/>
                          </w:rPr>
                          <w:t>确实进行动脉内膜切除术；</w:t>
                        </w:r>
                      </w:p>
                    </w:tc>
                  </w:tr>
                  <w:tr>
                    <w:trPr>
                      <w:trHeight w:val="312" w:hRule="atLeast"/>
                    </w:trPr>
                    <w:tc>
                      <w:tcPr>
                        <w:tcW w:w="809" w:type="dxa"/>
                      </w:tcPr>
                      <w:p>
                        <w:pPr>
                          <w:pStyle w:val="TableParagraph"/>
                          <w:rPr>
                            <w:rFonts w:ascii="Times New Roman"/>
                            <w:sz w:val="20"/>
                          </w:rPr>
                        </w:pPr>
                      </w:p>
                    </w:tc>
                    <w:tc>
                      <w:tcPr>
                        <w:tcW w:w="1779" w:type="dxa"/>
                      </w:tcPr>
                      <w:p>
                        <w:pPr>
                          <w:pStyle w:val="TableParagraph"/>
                          <w:rPr>
                            <w:rFonts w:ascii="Times New Roman"/>
                            <w:sz w:val="20"/>
                          </w:rPr>
                        </w:pPr>
                      </w:p>
                    </w:tc>
                    <w:tc>
                      <w:tcPr>
                        <w:tcW w:w="5719" w:type="dxa"/>
                      </w:tcPr>
                      <w:p>
                        <w:pPr>
                          <w:pStyle w:val="TableParagraph"/>
                          <w:spacing w:before="22"/>
                          <w:ind w:left="53"/>
                          <w:rPr>
                            <w:sz w:val="21"/>
                          </w:rPr>
                        </w:pPr>
                        <w:r>
                          <w:rPr>
                            <w:spacing w:val="-4"/>
                            <w:sz w:val="21"/>
                          </w:rPr>
                          <w:t>（2）</w:t>
                        </w:r>
                        <w:r>
                          <w:rPr>
                            <w:spacing w:val="-10"/>
                            <w:sz w:val="21"/>
                          </w:rPr>
                          <w:t>确实进行血管介入治疗，例如血管成形术及/或进行植入</w:t>
                        </w:r>
                      </w:p>
                    </w:tc>
                  </w:tr>
                  <w:tr>
                    <w:trPr>
                      <w:trHeight w:val="551" w:hRule="atLeast"/>
                    </w:trPr>
                    <w:tc>
                      <w:tcPr>
                        <w:tcW w:w="809" w:type="dxa"/>
                      </w:tcPr>
                      <w:p>
                        <w:pPr>
                          <w:pStyle w:val="TableParagraph"/>
                          <w:rPr>
                            <w:rFonts w:ascii="Times New Roman"/>
                            <w:sz w:val="20"/>
                          </w:rPr>
                        </w:pPr>
                      </w:p>
                    </w:tc>
                    <w:tc>
                      <w:tcPr>
                        <w:tcW w:w="1779" w:type="dxa"/>
                      </w:tcPr>
                      <w:p>
                        <w:pPr>
                          <w:pStyle w:val="TableParagraph"/>
                          <w:rPr>
                            <w:rFonts w:ascii="Times New Roman"/>
                            <w:sz w:val="20"/>
                          </w:rPr>
                        </w:pPr>
                      </w:p>
                    </w:tc>
                    <w:tc>
                      <w:tcPr>
                        <w:tcW w:w="5719" w:type="dxa"/>
                      </w:tcPr>
                      <w:p>
                        <w:pPr>
                          <w:pStyle w:val="TableParagraph"/>
                          <w:spacing w:before="22"/>
                          <w:ind w:left="53"/>
                          <w:rPr>
                            <w:sz w:val="21"/>
                          </w:rPr>
                        </w:pPr>
                        <w:r>
                          <w:rPr>
                            <w:spacing w:val="-2"/>
                            <w:sz w:val="21"/>
                          </w:rPr>
                          <w:t>支架手术。</w:t>
                        </w:r>
                      </w:p>
                    </w:tc>
                  </w:tr>
                  <w:tr>
                    <w:trPr>
                      <w:trHeight w:val="568" w:hRule="atLeast"/>
                    </w:trPr>
                    <w:tc>
                      <w:tcPr>
                        <w:tcW w:w="809" w:type="dxa"/>
                        <w:tcBorders>
                          <w:bottom w:val="single" w:sz="8" w:space="0" w:color="000000"/>
                        </w:tcBorders>
                      </w:tcPr>
                      <w:p>
                        <w:pPr>
                          <w:pStyle w:val="TableParagraph"/>
                          <w:spacing w:line="371" w:lineRule="exact" w:before="177"/>
                          <w:ind w:left="105"/>
                          <w:rPr>
                            <w:rFonts w:ascii="Microsoft JhengHei"/>
                            <w:b/>
                            <w:sz w:val="24"/>
                          </w:rPr>
                        </w:pPr>
                        <w:r>
                          <w:rPr>
                            <w:rFonts w:ascii="Microsoft JhengHei"/>
                            <w:b/>
                            <w:spacing w:val="-7"/>
                            <w:w w:val="82"/>
                            <w:sz w:val="24"/>
                          </w:rPr>
                          <w:t>1</w:t>
                        </w:r>
                        <w:r>
                          <w:rPr>
                            <w:rFonts w:ascii="Microsoft JhengHei"/>
                            <w:b/>
                            <w:spacing w:val="-3"/>
                            <w:w w:val="82"/>
                            <w:sz w:val="24"/>
                          </w:rPr>
                          <w:t>1</w:t>
                        </w:r>
                        <w:r>
                          <w:rPr>
                            <w:rFonts w:ascii="Microsoft JhengHei"/>
                            <w:b/>
                            <w:spacing w:val="-7"/>
                            <w:w w:val="195"/>
                            <w:sz w:val="24"/>
                          </w:rPr>
                          <w:t>.</w:t>
                        </w:r>
                      </w:p>
                    </w:tc>
                    <w:tc>
                      <w:tcPr>
                        <w:tcW w:w="1779" w:type="dxa"/>
                        <w:tcBorders>
                          <w:bottom w:val="single" w:sz="8" w:space="0" w:color="000000"/>
                        </w:tcBorders>
                      </w:tcPr>
                      <w:p>
                        <w:pPr>
                          <w:pStyle w:val="TableParagraph"/>
                          <w:spacing w:line="371" w:lineRule="exact" w:before="177"/>
                          <w:ind w:left="280"/>
                          <w:rPr>
                            <w:rFonts w:ascii="Microsoft JhengHei" w:eastAsia="Microsoft JhengHei"/>
                            <w:b/>
                            <w:sz w:val="24"/>
                          </w:rPr>
                        </w:pPr>
                        <w:r>
                          <w:rPr>
                            <w:rFonts w:ascii="Microsoft JhengHei" w:eastAsia="Microsoft JhengHei"/>
                            <w:b/>
                            <w:spacing w:val="-2"/>
                            <w:sz w:val="24"/>
                          </w:rPr>
                          <w:t>轻度疾病定义</w:t>
                        </w:r>
                      </w:p>
                    </w:tc>
                    <w:tc>
                      <w:tcPr>
                        <w:tcW w:w="5719" w:type="dxa"/>
                        <w:tcBorders>
                          <w:bottom w:val="single" w:sz="8" w:space="0" w:color="000000"/>
                        </w:tcBorders>
                      </w:tcPr>
                      <w:p>
                        <w:pPr>
                          <w:pStyle w:val="TableParagraph"/>
                          <w:rPr>
                            <w:rFonts w:ascii="Times New Roman"/>
                            <w:sz w:val="20"/>
                          </w:rPr>
                        </w:pPr>
                      </w:p>
                    </w:tc>
                  </w:tr>
                  <w:tr>
                    <w:trPr>
                      <w:trHeight w:val="1947" w:hRule="atLeast"/>
                    </w:trPr>
                    <w:tc>
                      <w:tcPr>
                        <w:tcW w:w="809" w:type="dxa"/>
                        <w:tcBorders>
                          <w:top w:val="single" w:sz="8" w:space="0" w:color="000000"/>
                        </w:tcBorders>
                      </w:tcPr>
                      <w:p>
                        <w:pPr>
                          <w:pStyle w:val="TableParagraph"/>
                          <w:spacing w:before="1"/>
                          <w:rPr>
                            <w:sz w:val="20"/>
                          </w:rPr>
                        </w:pPr>
                      </w:p>
                      <w:p>
                        <w:pPr>
                          <w:pStyle w:val="TableParagraph"/>
                          <w:ind w:left="105"/>
                          <w:rPr>
                            <w:rFonts w:ascii="Microsoft JhengHei"/>
                            <w:b/>
                            <w:sz w:val="21"/>
                          </w:rPr>
                        </w:pPr>
                        <w:r>
                          <w:rPr>
                            <w:rFonts w:ascii="Microsoft JhengHei"/>
                            <w:b/>
                            <w:spacing w:val="-4"/>
                            <w:sz w:val="21"/>
                          </w:rPr>
                          <w:t>11.1</w:t>
                        </w:r>
                      </w:p>
                    </w:tc>
                    <w:tc>
                      <w:tcPr>
                        <w:tcW w:w="1779" w:type="dxa"/>
                        <w:tcBorders>
                          <w:top w:val="single" w:sz="8" w:space="0" w:color="000000"/>
                        </w:tcBorders>
                      </w:tcPr>
                      <w:p>
                        <w:pPr>
                          <w:pStyle w:val="TableParagraph"/>
                          <w:spacing w:before="1"/>
                          <w:rPr>
                            <w:sz w:val="20"/>
                          </w:rPr>
                        </w:pPr>
                      </w:p>
                      <w:p>
                        <w:pPr>
                          <w:pStyle w:val="TableParagraph"/>
                          <w:ind w:left="280"/>
                          <w:rPr>
                            <w:rFonts w:ascii="Microsoft JhengHei" w:eastAsia="Microsoft JhengHei"/>
                            <w:b/>
                            <w:sz w:val="21"/>
                          </w:rPr>
                        </w:pPr>
                        <w:r>
                          <w:rPr>
                            <w:rFonts w:ascii="Microsoft JhengHei" w:eastAsia="Microsoft JhengHei"/>
                            <w:b/>
                            <w:spacing w:val="-3"/>
                            <w:sz w:val="21"/>
                          </w:rPr>
                          <w:t>轻度疾病</w:t>
                        </w:r>
                      </w:p>
                    </w:tc>
                    <w:tc>
                      <w:tcPr>
                        <w:tcW w:w="5719" w:type="dxa"/>
                        <w:tcBorders>
                          <w:top w:val="single" w:sz="8" w:space="0" w:color="000000"/>
                        </w:tcBorders>
                      </w:tcPr>
                      <w:p>
                        <w:pPr>
                          <w:pStyle w:val="TableParagraph"/>
                          <w:spacing w:before="6"/>
                          <w:rPr>
                            <w:sz w:val="25"/>
                          </w:rPr>
                        </w:pPr>
                      </w:p>
                      <w:p>
                        <w:pPr>
                          <w:pStyle w:val="TableParagraph"/>
                          <w:spacing w:before="1"/>
                          <w:ind w:left="53"/>
                          <w:rPr>
                            <w:rFonts w:ascii="Times New Roman" w:eastAsia="Times New Roman"/>
                            <w:sz w:val="21"/>
                          </w:rPr>
                        </w:pPr>
                        <w:r>
                          <w:rPr>
                            <w:spacing w:val="-2"/>
                            <w:sz w:val="21"/>
                          </w:rPr>
                          <w:t>指被保险人发生符合以下疾病定义所述条件的疾病（</w:t>
                        </w:r>
                        <w:r>
                          <w:rPr>
                            <w:spacing w:val="-19"/>
                            <w:sz w:val="21"/>
                          </w:rPr>
                          <w:t>共 </w:t>
                        </w:r>
                        <w:r>
                          <w:rPr>
                            <w:rFonts w:ascii="Times New Roman" w:eastAsia="Times New Roman"/>
                            <w:spacing w:val="-5"/>
                            <w:sz w:val="21"/>
                          </w:rPr>
                          <w:t>30</w:t>
                        </w:r>
                      </w:p>
                      <w:p>
                        <w:pPr>
                          <w:pStyle w:val="TableParagraph"/>
                          <w:spacing w:line="278" w:lineRule="auto" w:before="48"/>
                          <w:ind w:left="53" w:right="307"/>
                          <w:rPr>
                            <w:sz w:val="21"/>
                          </w:rPr>
                        </w:pPr>
                        <w:r>
                          <w:rPr>
                            <w:sz w:val="21"/>
                          </w:rPr>
                          <w:t>种</w:t>
                        </w:r>
                        <w:r>
                          <w:rPr>
                            <w:spacing w:val="-106"/>
                            <w:sz w:val="21"/>
                          </w:rPr>
                          <w:t>）</w:t>
                        </w:r>
                        <w:r>
                          <w:rPr>
                            <w:spacing w:val="-18"/>
                            <w:sz w:val="21"/>
                          </w:rPr>
                          <w:t>，第 </w:t>
                        </w:r>
                        <w:r>
                          <w:rPr>
                            <w:rFonts w:ascii="Times New Roman" w:eastAsia="Times New Roman"/>
                            <w:sz w:val="21"/>
                          </w:rPr>
                          <w:t>1</w:t>
                        </w:r>
                        <w:r>
                          <w:rPr>
                            <w:rFonts w:ascii="Times New Roman" w:eastAsia="Times New Roman"/>
                            <w:spacing w:val="-14"/>
                            <w:sz w:val="21"/>
                          </w:rPr>
                          <w:t> </w:t>
                        </w:r>
                        <w:r>
                          <w:rPr>
                            <w:spacing w:val="-18"/>
                            <w:sz w:val="21"/>
                          </w:rPr>
                          <w:t>至第 </w:t>
                        </w:r>
                        <w:r>
                          <w:rPr>
                            <w:rFonts w:ascii="Times New Roman" w:eastAsia="Times New Roman"/>
                            <w:sz w:val="21"/>
                          </w:rPr>
                          <w:t>3</w:t>
                        </w:r>
                        <w:r>
                          <w:rPr>
                            <w:rFonts w:ascii="Times New Roman" w:eastAsia="Times New Roman"/>
                            <w:spacing w:val="-13"/>
                            <w:sz w:val="21"/>
                          </w:rPr>
                          <w:t> </w:t>
                        </w:r>
                        <w:r>
                          <w:rPr>
                            <w:sz w:val="21"/>
                          </w:rPr>
                          <w:t>项为中国保险行业协会与中国医师协会发</w:t>
                        </w:r>
                        <w:r>
                          <w:rPr>
                            <w:sz w:val="21"/>
                          </w:rPr>
                          <w:t>布的《重大疾病保险的疾病定义使用规范（</w:t>
                        </w:r>
                        <w:r>
                          <w:rPr>
                            <w:rFonts w:ascii="Times New Roman" w:eastAsia="Times New Roman"/>
                            <w:sz w:val="21"/>
                          </w:rPr>
                          <w:t>2020 </w:t>
                        </w:r>
                        <w:r>
                          <w:rPr>
                            <w:sz w:val="21"/>
                          </w:rPr>
                          <w:t>年修订</w:t>
                        </w:r>
                      </w:p>
                      <w:p>
                        <w:pPr>
                          <w:pStyle w:val="TableParagraph"/>
                          <w:spacing w:line="278" w:lineRule="auto"/>
                          <w:ind w:left="53" w:right="199"/>
                          <w:rPr>
                            <w:sz w:val="21"/>
                          </w:rPr>
                        </w:pPr>
                        <w:r>
                          <w:rPr>
                            <w:sz w:val="21"/>
                          </w:rPr>
                          <w:t>版</w:t>
                        </w:r>
                        <w:r>
                          <w:rPr>
                            <w:spacing w:val="-106"/>
                            <w:sz w:val="21"/>
                          </w:rPr>
                          <w:t>）</w:t>
                        </w:r>
                        <w:r>
                          <w:rPr>
                            <w:spacing w:val="-3"/>
                            <w:sz w:val="21"/>
                          </w:rPr>
                          <w:t>》中轻度疾病的疾病名称和疾病定义，第 </w:t>
                        </w:r>
                        <w:r>
                          <w:rPr>
                            <w:rFonts w:ascii="Times New Roman" w:eastAsia="Times New Roman"/>
                            <w:sz w:val="21"/>
                          </w:rPr>
                          <w:t>4</w:t>
                        </w:r>
                        <w:r>
                          <w:rPr>
                            <w:rFonts w:ascii="Times New Roman" w:eastAsia="Times New Roman"/>
                            <w:spacing w:val="-14"/>
                            <w:sz w:val="21"/>
                          </w:rPr>
                          <w:t> </w:t>
                        </w:r>
                        <w:r>
                          <w:rPr>
                            <w:spacing w:val="-18"/>
                            <w:sz w:val="21"/>
                          </w:rPr>
                          <w:t>至第 </w:t>
                        </w:r>
                        <w:r>
                          <w:rPr>
                            <w:rFonts w:ascii="Times New Roman" w:eastAsia="Times New Roman"/>
                            <w:sz w:val="21"/>
                          </w:rPr>
                          <w:t>30</w:t>
                        </w:r>
                        <w:r>
                          <w:rPr>
                            <w:rFonts w:ascii="Times New Roman" w:eastAsia="Times New Roman"/>
                            <w:spacing w:val="-13"/>
                            <w:sz w:val="21"/>
                          </w:rPr>
                          <w:t> </w:t>
                        </w:r>
                        <w:r>
                          <w:rPr>
                            <w:sz w:val="21"/>
                          </w:rPr>
                          <w:t>项为</w:t>
                        </w:r>
                        <w:r>
                          <w:rPr>
                            <w:spacing w:val="-2"/>
                            <w:sz w:val="21"/>
                          </w:rPr>
                          <w:t>我们增加的疾病名称并自行制定疾病定义。</w:t>
                        </w:r>
                      </w:p>
                    </w:tc>
                  </w:tr>
                  <w:tr>
                    <w:trPr>
                      <w:trHeight w:val="389" w:hRule="atLeast"/>
                    </w:trPr>
                    <w:tc>
                      <w:tcPr>
                        <w:tcW w:w="809" w:type="dxa"/>
                      </w:tcPr>
                      <w:p>
                        <w:pPr>
                          <w:pStyle w:val="TableParagraph"/>
                          <w:rPr>
                            <w:rFonts w:ascii="Times New Roman"/>
                            <w:sz w:val="20"/>
                          </w:rPr>
                        </w:pPr>
                      </w:p>
                    </w:tc>
                    <w:tc>
                      <w:tcPr>
                        <w:tcW w:w="1779" w:type="dxa"/>
                      </w:tcPr>
                      <w:p>
                        <w:pPr>
                          <w:pStyle w:val="TableParagraph"/>
                          <w:rPr>
                            <w:rFonts w:ascii="Times New Roman"/>
                            <w:sz w:val="20"/>
                          </w:rPr>
                        </w:pPr>
                      </w:p>
                    </w:tc>
                    <w:tc>
                      <w:tcPr>
                        <w:tcW w:w="5719" w:type="dxa"/>
                      </w:tcPr>
                      <w:p>
                        <w:pPr>
                          <w:pStyle w:val="TableParagraph"/>
                          <w:spacing w:before="98"/>
                          <w:ind w:left="53"/>
                          <w:rPr>
                            <w:sz w:val="21"/>
                          </w:rPr>
                        </w:pPr>
                        <w:r>
                          <w:rPr>
                            <w:spacing w:val="-3"/>
                            <w:sz w:val="21"/>
                          </w:rPr>
                          <w:t>被保险人发生符合以下疾病定义所述条件的疾病，应当由专</w:t>
                        </w:r>
                      </w:p>
                    </w:tc>
                  </w:tr>
                  <w:tr>
                    <w:trPr>
                      <w:trHeight w:val="389" w:hRule="atLeast"/>
                    </w:trPr>
                    <w:tc>
                      <w:tcPr>
                        <w:tcW w:w="809" w:type="dxa"/>
                      </w:tcPr>
                      <w:p>
                        <w:pPr>
                          <w:pStyle w:val="TableParagraph"/>
                          <w:rPr>
                            <w:rFonts w:ascii="Times New Roman"/>
                            <w:sz w:val="20"/>
                          </w:rPr>
                        </w:pPr>
                      </w:p>
                    </w:tc>
                    <w:tc>
                      <w:tcPr>
                        <w:tcW w:w="1779" w:type="dxa"/>
                      </w:tcPr>
                      <w:p>
                        <w:pPr>
                          <w:pStyle w:val="TableParagraph"/>
                          <w:rPr>
                            <w:rFonts w:ascii="Times New Roman"/>
                            <w:sz w:val="20"/>
                          </w:rPr>
                        </w:pPr>
                      </w:p>
                    </w:tc>
                    <w:tc>
                      <w:tcPr>
                        <w:tcW w:w="5719" w:type="dxa"/>
                      </w:tcPr>
                      <w:p>
                        <w:pPr>
                          <w:pStyle w:val="TableParagraph"/>
                          <w:spacing w:before="22"/>
                          <w:ind w:left="53"/>
                          <w:rPr>
                            <w:sz w:val="21"/>
                          </w:rPr>
                        </w:pPr>
                        <w:r>
                          <w:rPr>
                            <w:spacing w:val="-4"/>
                            <w:sz w:val="21"/>
                          </w:rPr>
                          <w:t>科医生明确诊断。</w:t>
                        </w:r>
                      </w:p>
                    </w:tc>
                  </w:tr>
                  <w:tr>
                    <w:trPr>
                      <w:trHeight w:val="391" w:hRule="atLeast"/>
                    </w:trPr>
                    <w:tc>
                      <w:tcPr>
                        <w:tcW w:w="809" w:type="dxa"/>
                      </w:tcPr>
                      <w:p>
                        <w:pPr>
                          <w:pStyle w:val="TableParagraph"/>
                          <w:rPr>
                            <w:rFonts w:ascii="Times New Roman"/>
                            <w:sz w:val="20"/>
                          </w:rPr>
                        </w:pPr>
                      </w:p>
                    </w:tc>
                    <w:tc>
                      <w:tcPr>
                        <w:tcW w:w="1779" w:type="dxa"/>
                      </w:tcPr>
                      <w:p>
                        <w:pPr>
                          <w:pStyle w:val="TableParagraph"/>
                          <w:rPr>
                            <w:rFonts w:ascii="Times New Roman"/>
                            <w:sz w:val="20"/>
                          </w:rPr>
                        </w:pPr>
                      </w:p>
                    </w:tc>
                    <w:tc>
                      <w:tcPr>
                        <w:tcW w:w="5719" w:type="dxa"/>
                      </w:tcPr>
                      <w:p>
                        <w:pPr>
                          <w:pStyle w:val="TableParagraph"/>
                          <w:spacing w:before="98"/>
                          <w:ind w:left="53"/>
                          <w:rPr>
                            <w:sz w:val="21"/>
                          </w:rPr>
                        </w:pPr>
                        <w:r>
                          <w:rPr>
                            <w:spacing w:val="-3"/>
                            <w:sz w:val="21"/>
                          </w:rPr>
                          <w:t>以下疾病名称仅供理解使用，具体保障范围以每项疾病具体</w:t>
                        </w:r>
                      </w:p>
                    </w:tc>
                  </w:tr>
                  <w:tr>
                    <w:trPr>
                      <w:trHeight w:val="475" w:hRule="atLeast"/>
                    </w:trPr>
                    <w:tc>
                      <w:tcPr>
                        <w:tcW w:w="809" w:type="dxa"/>
                      </w:tcPr>
                      <w:p>
                        <w:pPr>
                          <w:pStyle w:val="TableParagraph"/>
                          <w:rPr>
                            <w:rFonts w:ascii="Times New Roman"/>
                            <w:sz w:val="20"/>
                          </w:rPr>
                        </w:pPr>
                      </w:p>
                    </w:tc>
                    <w:tc>
                      <w:tcPr>
                        <w:tcW w:w="1779" w:type="dxa"/>
                      </w:tcPr>
                      <w:p>
                        <w:pPr>
                          <w:pStyle w:val="TableParagraph"/>
                          <w:rPr>
                            <w:rFonts w:ascii="Times New Roman"/>
                            <w:sz w:val="20"/>
                          </w:rPr>
                        </w:pPr>
                      </w:p>
                    </w:tc>
                    <w:tc>
                      <w:tcPr>
                        <w:tcW w:w="5719" w:type="dxa"/>
                      </w:tcPr>
                      <w:p>
                        <w:pPr>
                          <w:pStyle w:val="TableParagraph"/>
                          <w:spacing w:before="24"/>
                          <w:ind w:left="53"/>
                          <w:rPr>
                            <w:sz w:val="21"/>
                          </w:rPr>
                        </w:pPr>
                        <w:r>
                          <w:rPr>
                            <w:spacing w:val="-2"/>
                            <w:sz w:val="21"/>
                          </w:rPr>
                          <w:t>定义为准。</w:t>
                        </w:r>
                      </w:p>
                    </w:tc>
                  </w:tr>
                  <w:tr>
                    <w:trPr>
                      <w:trHeight w:val="475" w:hRule="atLeast"/>
                    </w:trPr>
                    <w:tc>
                      <w:tcPr>
                        <w:tcW w:w="809" w:type="dxa"/>
                      </w:tcPr>
                      <w:p>
                        <w:pPr>
                          <w:pStyle w:val="TableParagraph"/>
                          <w:rPr>
                            <w:rFonts w:ascii="Times New Roman"/>
                            <w:sz w:val="20"/>
                          </w:rPr>
                        </w:pPr>
                      </w:p>
                    </w:tc>
                    <w:tc>
                      <w:tcPr>
                        <w:tcW w:w="1779" w:type="dxa"/>
                      </w:tcPr>
                      <w:p>
                        <w:pPr>
                          <w:pStyle w:val="TableParagraph"/>
                          <w:spacing w:line="342" w:lineRule="exact" w:before="113"/>
                          <w:ind w:left="280"/>
                          <w:rPr>
                            <w:rFonts w:ascii="Microsoft JhengHei" w:hAnsi="Microsoft JhengHei" w:eastAsia="Microsoft JhengHei"/>
                            <w:b/>
                            <w:sz w:val="21"/>
                          </w:rPr>
                        </w:pPr>
                        <w:r>
                          <w:rPr>
                            <w:rFonts w:ascii="Microsoft JhengHei" w:hAnsi="Microsoft JhengHei" w:eastAsia="Microsoft JhengHei"/>
                            <w:b/>
                            <w:sz w:val="21"/>
                          </w:rPr>
                          <w:t>1.</w:t>
                        </w:r>
                        <w:r>
                          <w:rPr>
                            <w:rFonts w:ascii="Microsoft JhengHei" w:hAnsi="Microsoft JhengHei" w:eastAsia="Microsoft JhengHei"/>
                            <w:b/>
                            <w:spacing w:val="-2"/>
                            <w:sz w:val="21"/>
                          </w:rPr>
                          <w:t>恶性肿瘤—</w:t>
                        </w:r>
                      </w:p>
                    </w:tc>
                    <w:tc>
                      <w:tcPr>
                        <w:tcW w:w="5719" w:type="dxa"/>
                      </w:tcPr>
                      <w:p>
                        <w:pPr>
                          <w:pStyle w:val="TableParagraph"/>
                          <w:spacing w:before="3"/>
                          <w:rPr>
                            <w:sz w:val="14"/>
                          </w:rPr>
                        </w:pPr>
                      </w:p>
                      <w:p>
                        <w:pPr>
                          <w:pStyle w:val="TableParagraph"/>
                          <w:ind w:left="53"/>
                          <w:rPr>
                            <w:sz w:val="21"/>
                          </w:rPr>
                        </w:pPr>
                        <w:r>
                          <w:rPr>
                            <w:spacing w:val="-3"/>
                            <w:sz w:val="21"/>
                          </w:rPr>
                          <w:t>指恶性细胞不受控制的进行性增长和扩散，浸润和破坏周围</w:t>
                        </w:r>
                      </w:p>
                    </w:tc>
                  </w:tr>
                  <w:tr>
                    <w:trPr>
                      <w:trHeight w:val="314" w:hRule="atLeast"/>
                    </w:trPr>
                    <w:tc>
                      <w:tcPr>
                        <w:tcW w:w="809" w:type="dxa"/>
                      </w:tcPr>
                      <w:p>
                        <w:pPr>
                          <w:pStyle w:val="TableParagraph"/>
                          <w:rPr>
                            <w:rFonts w:ascii="Times New Roman"/>
                            <w:sz w:val="20"/>
                          </w:rPr>
                        </w:pPr>
                      </w:p>
                    </w:tc>
                    <w:tc>
                      <w:tcPr>
                        <w:tcW w:w="1779" w:type="dxa"/>
                      </w:tcPr>
                      <w:p>
                        <w:pPr>
                          <w:pStyle w:val="TableParagraph"/>
                          <w:spacing w:line="295" w:lineRule="exact"/>
                          <w:ind w:left="280"/>
                          <w:rPr>
                            <w:rFonts w:ascii="Microsoft JhengHei" w:hAnsi="Microsoft JhengHei" w:eastAsia="Microsoft JhengHei"/>
                            <w:b/>
                            <w:sz w:val="21"/>
                          </w:rPr>
                        </w:pPr>
                        <w:r>
                          <w:rPr>
                            <w:rFonts w:ascii="Microsoft JhengHei" w:hAnsi="Microsoft JhengHei" w:eastAsia="Microsoft JhengHei"/>
                            <w:b/>
                            <w:w w:val="95"/>
                            <w:sz w:val="21"/>
                          </w:rPr>
                          <w:t>—</w:t>
                        </w:r>
                        <w:r>
                          <w:rPr>
                            <w:rFonts w:ascii="Microsoft JhengHei" w:hAnsi="Microsoft JhengHei" w:eastAsia="Microsoft JhengHei"/>
                            <w:b/>
                            <w:w w:val="95"/>
                            <w:sz w:val="21"/>
                          </w:rPr>
                          <w:t>轻</w:t>
                        </w:r>
                        <w:r>
                          <w:rPr>
                            <w:rFonts w:ascii="Microsoft JhengHei" w:hAnsi="Microsoft JhengHei" w:eastAsia="Microsoft JhengHei"/>
                            <w:b/>
                            <w:spacing w:val="-10"/>
                            <w:w w:val="95"/>
                            <w:sz w:val="21"/>
                          </w:rPr>
                          <w:t>度</w:t>
                        </w:r>
                      </w:p>
                    </w:tc>
                    <w:tc>
                      <w:tcPr>
                        <w:tcW w:w="5719" w:type="dxa"/>
                      </w:tcPr>
                      <w:p>
                        <w:pPr>
                          <w:pStyle w:val="TableParagraph"/>
                          <w:spacing w:before="24"/>
                          <w:ind w:left="53"/>
                          <w:rPr>
                            <w:sz w:val="21"/>
                          </w:rPr>
                        </w:pPr>
                        <w:r>
                          <w:rPr>
                            <w:spacing w:val="-3"/>
                            <w:sz w:val="21"/>
                          </w:rPr>
                          <w:t>正常组织，可以经血管、淋巴管和体腔扩散转移到身体其他</w:t>
                        </w:r>
                      </w:p>
                    </w:tc>
                  </w:tr>
                  <w:tr>
                    <w:trPr>
                      <w:trHeight w:val="261" w:hRule="atLeast"/>
                    </w:trPr>
                    <w:tc>
                      <w:tcPr>
                        <w:tcW w:w="809" w:type="dxa"/>
                      </w:tcPr>
                      <w:p>
                        <w:pPr>
                          <w:pStyle w:val="TableParagraph"/>
                          <w:rPr>
                            <w:rFonts w:ascii="Times New Roman"/>
                            <w:sz w:val="18"/>
                          </w:rPr>
                        </w:pPr>
                      </w:p>
                    </w:tc>
                    <w:tc>
                      <w:tcPr>
                        <w:tcW w:w="1779" w:type="dxa"/>
                      </w:tcPr>
                      <w:p>
                        <w:pPr>
                          <w:pStyle w:val="TableParagraph"/>
                          <w:rPr>
                            <w:rFonts w:ascii="Times New Roman"/>
                            <w:sz w:val="18"/>
                          </w:rPr>
                        </w:pPr>
                      </w:p>
                    </w:tc>
                    <w:tc>
                      <w:tcPr>
                        <w:tcW w:w="5719" w:type="dxa"/>
                      </w:tcPr>
                      <w:p>
                        <w:pPr>
                          <w:pStyle w:val="TableParagraph"/>
                          <w:spacing w:line="220" w:lineRule="exact" w:before="22"/>
                          <w:ind w:left="53"/>
                          <w:rPr>
                            <w:sz w:val="21"/>
                          </w:rPr>
                        </w:pPr>
                        <w:r>
                          <w:rPr>
                            <w:spacing w:val="-2"/>
                            <w:sz w:val="21"/>
                          </w:rPr>
                          <w:t>部位，病灶经组织病理学检查（涵盖骨髓病理学检查）</w:t>
                        </w:r>
                        <w:r>
                          <w:rPr>
                            <w:spacing w:val="-6"/>
                            <w:sz w:val="21"/>
                          </w:rPr>
                          <w:t>结果</w:t>
                        </w:r>
                      </w:p>
                    </w:tc>
                  </w:tr>
                </w:tbl>
                <w:p>
                  <w:pPr>
                    <w:pStyle w:val="BodyText"/>
                  </w:pPr>
                </w:p>
              </w:txbxContent>
            </v:textbox>
            <w10:wrap type="none"/>
          </v:shape>
        </w:pict>
      </w:r>
      <w:r>
        <w:rPr>
          <w:spacing w:val="-4"/>
        </w:rPr>
        <w:t>特定周围</w:t>
      </w:r>
      <w:r>
        <w:rPr>
          <w:spacing w:val="-2"/>
        </w:rPr>
        <w:t>动脉疾病的血</w:t>
      </w:r>
      <w:r>
        <w:rPr>
          <w:spacing w:val="-2"/>
        </w:rPr>
        <w:t>管介入治疗</w:t>
      </w:r>
    </w:p>
    <w:p>
      <w:pPr>
        <w:pStyle w:val="BodyText"/>
        <w:spacing w:before="51"/>
        <w:ind w:left="244" w:right="1640"/>
      </w:pPr>
      <w:r>
        <w:rPr/>
        <w:br w:type="column"/>
      </w:r>
      <w:r>
        <w:rPr>
          <w:spacing w:val="-2"/>
        </w:rPr>
        <w:t>指为治疗一条或者一条以上的下</w:t>
      </w:r>
      <w:r>
        <w:rPr>
          <w:rFonts w:ascii="Malgun Gothic" w:eastAsia="Malgun Gothic"/>
          <w:spacing w:val="-2"/>
        </w:rPr>
        <w:t>列</w:t>
      </w:r>
      <w:r>
        <w:rPr>
          <w:spacing w:val="-2"/>
        </w:rPr>
        <w:t>动脉狭窄而实施的血管介</w:t>
      </w:r>
      <w:r>
        <w:rPr>
          <w:spacing w:val="-4"/>
        </w:rPr>
        <w:t>入治疗：</w:t>
      </w:r>
    </w:p>
    <w:p>
      <w:pPr>
        <w:spacing w:after="0"/>
        <w:sectPr>
          <w:type w:val="continuous"/>
          <w:pgSz w:w="11910" w:h="16840"/>
          <w:pgMar w:header="0" w:footer="226" w:top="240" w:bottom="420" w:left="980" w:right="400"/>
          <w:cols w:num="2" w:equalWidth="0">
            <w:col w:w="3178" w:space="40"/>
            <w:col w:w="7312"/>
          </w:cols>
        </w:sectPr>
      </w:pPr>
    </w:p>
    <w:p>
      <w:pPr>
        <w:pStyle w:val="BodyText"/>
        <w:spacing w:line="278" w:lineRule="auto" w:before="57"/>
        <w:ind w:left="3462" w:right="1596"/>
      </w:pPr>
      <w:r>
        <w:rPr>
          <w:spacing w:val="-2"/>
        </w:rPr>
        <w:t>明确诊断，临床诊断属于世界卫生组织（WHO，World</w:t>
      </w:r>
      <w:r>
        <w:rPr>
          <w:spacing w:val="40"/>
        </w:rPr>
        <w:t> </w:t>
      </w:r>
      <w:r>
        <w:rPr/>
        <w:t>Health Organization）《疾病和有关健康问题的国际统计</w:t>
      </w:r>
      <w:r>
        <w:rPr>
          <w:spacing w:val="-2"/>
        </w:rPr>
        <w:t>分类》第十次修订版（ICD-10）的恶性肿瘤类别及《国际疾</w:t>
      </w:r>
      <w:r>
        <w:rPr>
          <w:spacing w:val="-2"/>
        </w:rPr>
        <w:t>病分类肿瘤学专辑》第三版（ICD-O-3）的肿瘤形态学编码</w:t>
      </w:r>
      <w:r>
        <w:rPr>
          <w:spacing w:val="-15"/>
        </w:rPr>
        <w:t>属于 </w:t>
      </w:r>
      <w:r>
        <w:rPr/>
        <w:t>3、6、9（恶性肿瘤）范畴，但不在“恶性肿瘤——重</w:t>
      </w:r>
      <w:r>
        <w:rPr>
          <w:spacing w:val="-2"/>
        </w:rPr>
        <w:t>度”保障范围的疾病。且特指下列六项之一：</w:t>
      </w:r>
    </w:p>
    <w:p>
      <w:pPr>
        <w:pStyle w:val="ListParagraph"/>
        <w:numPr>
          <w:ilvl w:val="0"/>
          <w:numId w:val="71"/>
        </w:numPr>
        <w:tabs>
          <w:tab w:pos="3991" w:val="left" w:leader="none"/>
        </w:tabs>
        <w:spacing w:line="240" w:lineRule="auto" w:before="0" w:after="0"/>
        <w:ind w:left="3991" w:right="0" w:hanging="529"/>
        <w:jc w:val="left"/>
        <w:rPr>
          <w:sz w:val="21"/>
        </w:rPr>
      </w:pPr>
      <w:r>
        <w:rPr>
          <w:spacing w:val="-2"/>
          <w:sz w:val="21"/>
        </w:rPr>
        <w:t>TNM</w:t>
      </w:r>
      <w:r>
        <w:rPr>
          <w:spacing w:val="-10"/>
          <w:sz w:val="21"/>
        </w:rPr>
        <w:t> 分期为Ⅰ期的甲状腺癌；</w:t>
      </w:r>
    </w:p>
    <w:p>
      <w:pPr>
        <w:pStyle w:val="ListParagraph"/>
        <w:numPr>
          <w:ilvl w:val="0"/>
          <w:numId w:val="71"/>
        </w:numPr>
        <w:tabs>
          <w:tab w:pos="3991" w:val="left" w:leader="none"/>
        </w:tabs>
        <w:spacing w:line="240" w:lineRule="auto" w:before="43" w:after="0"/>
        <w:ind w:left="3991" w:right="0" w:hanging="529"/>
        <w:jc w:val="left"/>
        <w:rPr>
          <w:sz w:val="21"/>
        </w:rPr>
      </w:pPr>
      <w:r>
        <w:rPr>
          <w:spacing w:val="-2"/>
          <w:position w:val="1"/>
          <w:sz w:val="21"/>
        </w:rPr>
        <w:t>TNM</w:t>
      </w:r>
      <w:r>
        <w:rPr>
          <w:spacing w:val="-22"/>
          <w:position w:val="1"/>
          <w:sz w:val="21"/>
        </w:rPr>
        <w:t> 分期为 </w:t>
      </w:r>
      <w:r>
        <w:rPr>
          <w:spacing w:val="-2"/>
          <w:position w:val="1"/>
          <w:sz w:val="21"/>
        </w:rPr>
        <w:t>T</w:t>
      </w:r>
      <w:r>
        <w:rPr>
          <w:spacing w:val="-2"/>
          <w:sz w:val="11"/>
        </w:rPr>
        <w:t>1</w:t>
      </w:r>
      <w:r>
        <w:rPr>
          <w:spacing w:val="-2"/>
          <w:position w:val="1"/>
          <w:sz w:val="21"/>
        </w:rPr>
        <w:t>N</w:t>
      </w:r>
      <w:r>
        <w:rPr>
          <w:spacing w:val="-2"/>
          <w:sz w:val="11"/>
        </w:rPr>
        <w:t>0</w:t>
      </w:r>
      <w:r>
        <w:rPr>
          <w:spacing w:val="-2"/>
          <w:position w:val="1"/>
          <w:sz w:val="21"/>
        </w:rPr>
        <w:t>M</w:t>
      </w:r>
      <w:r>
        <w:rPr>
          <w:spacing w:val="-2"/>
          <w:sz w:val="11"/>
        </w:rPr>
        <w:t>0</w:t>
      </w:r>
      <w:r>
        <w:rPr>
          <w:spacing w:val="-20"/>
          <w:sz w:val="11"/>
        </w:rPr>
        <w:t> </w:t>
      </w:r>
      <w:r>
        <w:rPr>
          <w:spacing w:val="-4"/>
          <w:position w:val="1"/>
          <w:sz w:val="21"/>
        </w:rPr>
        <w:t>期的前列腺癌；</w:t>
      </w:r>
    </w:p>
    <w:p>
      <w:pPr>
        <w:pStyle w:val="ListParagraph"/>
        <w:numPr>
          <w:ilvl w:val="0"/>
          <w:numId w:val="71"/>
        </w:numPr>
        <w:tabs>
          <w:tab w:pos="3991" w:val="left" w:leader="none"/>
        </w:tabs>
        <w:spacing w:line="278" w:lineRule="auto" w:before="43" w:after="0"/>
        <w:ind w:left="3462" w:right="1703" w:firstLine="0"/>
        <w:jc w:val="left"/>
        <w:rPr>
          <w:sz w:val="21"/>
        </w:rPr>
      </w:pPr>
      <w:r>
        <w:rPr>
          <w:spacing w:val="-2"/>
          <w:sz w:val="21"/>
        </w:rPr>
        <w:t>黑色素瘤以外的未发生淋巴结和远处转移的皮肤恶性</w:t>
      </w:r>
      <w:r>
        <w:rPr>
          <w:spacing w:val="-4"/>
          <w:sz w:val="21"/>
        </w:rPr>
        <w:t>肿瘤；</w:t>
      </w:r>
    </w:p>
    <w:p>
      <w:pPr>
        <w:pStyle w:val="ListParagraph"/>
        <w:numPr>
          <w:ilvl w:val="0"/>
          <w:numId w:val="71"/>
        </w:numPr>
        <w:tabs>
          <w:tab w:pos="3991" w:val="left" w:leader="none"/>
        </w:tabs>
        <w:spacing w:line="278" w:lineRule="auto" w:before="0" w:after="0"/>
        <w:ind w:left="3462" w:right="1702" w:firstLine="0"/>
        <w:jc w:val="left"/>
        <w:rPr>
          <w:sz w:val="21"/>
        </w:rPr>
      </w:pPr>
      <w:r>
        <w:rPr>
          <w:spacing w:val="-15"/>
          <w:sz w:val="21"/>
        </w:rPr>
        <w:t>相当于 </w:t>
      </w:r>
      <w:r>
        <w:rPr>
          <w:sz w:val="21"/>
        </w:rPr>
        <w:t>Binet</w:t>
      </w:r>
      <w:r>
        <w:rPr>
          <w:spacing w:val="-19"/>
          <w:sz w:val="21"/>
        </w:rPr>
        <w:t> 分期方案 </w:t>
      </w:r>
      <w:r>
        <w:rPr>
          <w:sz w:val="21"/>
        </w:rPr>
        <w:t>A</w:t>
      </w:r>
      <w:r>
        <w:rPr>
          <w:spacing w:val="-8"/>
          <w:sz w:val="21"/>
        </w:rPr>
        <w:t> 期程度的慢性淋巴细胞白血</w:t>
      </w:r>
      <w:r>
        <w:rPr>
          <w:spacing w:val="-6"/>
          <w:sz w:val="21"/>
        </w:rPr>
        <w:t>病；</w:t>
      </w:r>
    </w:p>
    <w:p>
      <w:pPr>
        <w:pStyle w:val="ListParagraph"/>
        <w:numPr>
          <w:ilvl w:val="0"/>
          <w:numId w:val="71"/>
        </w:numPr>
        <w:tabs>
          <w:tab w:pos="3991" w:val="left" w:leader="none"/>
        </w:tabs>
        <w:spacing w:line="269" w:lineRule="exact" w:before="0" w:after="0"/>
        <w:ind w:left="3991" w:right="0" w:hanging="529"/>
        <w:jc w:val="left"/>
        <w:rPr>
          <w:sz w:val="21"/>
        </w:rPr>
      </w:pPr>
      <w:r>
        <w:rPr>
          <w:spacing w:val="-15"/>
          <w:sz w:val="21"/>
        </w:rPr>
        <w:t>相当于 </w:t>
      </w:r>
      <w:r>
        <w:rPr>
          <w:sz w:val="21"/>
        </w:rPr>
        <w:t>Ann</w:t>
      </w:r>
      <w:r>
        <w:rPr>
          <w:spacing w:val="-25"/>
          <w:sz w:val="21"/>
        </w:rPr>
        <w:t> </w:t>
      </w:r>
      <w:r>
        <w:rPr>
          <w:sz w:val="21"/>
        </w:rPr>
        <w:t>Arbor</w:t>
      </w:r>
      <w:r>
        <w:rPr>
          <w:spacing w:val="-9"/>
          <w:sz w:val="21"/>
        </w:rPr>
        <w:t> 分期方案Ⅰ期程度的何杰金氏病；</w:t>
      </w:r>
    </w:p>
    <w:p>
      <w:pPr>
        <w:pStyle w:val="ListParagraph"/>
        <w:numPr>
          <w:ilvl w:val="0"/>
          <w:numId w:val="71"/>
        </w:numPr>
        <w:tabs>
          <w:tab w:pos="3991" w:val="left" w:leader="none"/>
        </w:tabs>
        <w:spacing w:line="278" w:lineRule="auto" w:before="43" w:after="0"/>
        <w:ind w:left="3462" w:right="1701" w:firstLine="0"/>
        <w:jc w:val="left"/>
        <w:rPr>
          <w:sz w:val="21"/>
        </w:rPr>
      </w:pPr>
      <w:r>
        <w:rPr>
          <w:spacing w:val="-2"/>
          <w:sz w:val="21"/>
        </w:rPr>
        <w:t>未发生淋巴结和远处转移且 </w:t>
      </w:r>
      <w:r>
        <w:rPr>
          <w:sz w:val="21"/>
        </w:rPr>
        <w:t>WHO</w:t>
      </w:r>
      <w:r>
        <w:rPr>
          <w:spacing w:val="-14"/>
          <w:sz w:val="21"/>
        </w:rPr>
        <w:t> 分级为 </w:t>
      </w:r>
      <w:r>
        <w:rPr>
          <w:sz w:val="21"/>
        </w:rPr>
        <w:t>G1</w:t>
      </w:r>
      <w:r>
        <w:rPr>
          <w:spacing w:val="-18"/>
          <w:sz w:val="21"/>
        </w:rPr>
        <w:t> 级别</w:t>
      </w:r>
      <w:r>
        <w:rPr>
          <w:sz w:val="21"/>
        </w:rPr>
        <w:t>（</w:t>
      </w:r>
      <w:r>
        <w:rPr>
          <w:sz w:val="21"/>
        </w:rPr>
        <w:t>核分裂像&lt;10/50 HPF</w:t>
      </w:r>
      <w:r>
        <w:rPr>
          <w:spacing w:val="-11"/>
          <w:sz w:val="21"/>
        </w:rPr>
        <w:t> 和 </w:t>
      </w:r>
      <w:r>
        <w:rPr>
          <w:sz w:val="21"/>
        </w:rPr>
        <w:t>ki-67≤2%）的神经内分泌肿瘤。</w:t>
      </w:r>
    </w:p>
    <w:p>
      <w:pPr>
        <w:pStyle w:val="BodyText"/>
        <w:spacing w:before="154"/>
        <w:ind w:left="3462"/>
      </w:pPr>
      <w:r>
        <w:rPr>
          <w:spacing w:val="-3"/>
        </w:rPr>
        <w:t>下列疾病不属于“恶性肿瘤——轻度”，不在保障范围内：</w:t>
      </w:r>
    </w:p>
    <w:p>
      <w:pPr>
        <w:pStyle w:val="BodyText"/>
        <w:spacing w:before="4"/>
        <w:rPr>
          <w:sz w:val="15"/>
        </w:rPr>
      </w:pPr>
    </w:p>
    <w:p>
      <w:pPr>
        <w:pStyle w:val="BodyText"/>
        <w:spacing w:line="283" w:lineRule="auto" w:before="1"/>
        <w:ind w:left="3462" w:right="1596"/>
      </w:pPr>
      <w:r>
        <w:rPr/>
        <w:t>ICD-O-3</w:t>
      </w:r>
      <w:r>
        <w:rPr>
          <w:spacing w:val="-12"/>
        </w:rPr>
        <w:t> 肿瘤形态学编码属于 </w:t>
      </w:r>
      <w:r>
        <w:rPr/>
        <w:t>0（良性肿瘤）、1（动态未定</w:t>
      </w:r>
      <w:r>
        <w:rPr>
          <w:spacing w:val="-2"/>
        </w:rPr>
        <w:t>性肿瘤）、2（原位癌和非侵袭性癌）范畴的疾病，如：</w:t>
      </w:r>
    </w:p>
    <w:p>
      <w:pPr>
        <w:pStyle w:val="BodyText"/>
        <w:spacing w:line="278" w:lineRule="auto"/>
        <w:ind w:left="3673" w:right="1597"/>
      </w:pPr>
      <w:r>
        <w:rPr>
          <w:spacing w:val="-2"/>
        </w:rPr>
        <w:t>a.原位癌，癌前病变，非浸润性癌，非侵袭性癌，肿瘤细</w:t>
      </w:r>
      <w:r>
        <w:rPr>
          <w:spacing w:val="-2"/>
        </w:rPr>
        <w:t>胞未侵犯基底层，上皮内瘤变，细胞不典型性增生等； b.交界性肿瘤，交界恶性肿瘤，肿瘤低度恶性潜能，潜在</w:t>
      </w:r>
      <w:r>
        <w:rPr>
          <w:spacing w:val="-2"/>
        </w:rPr>
        <w:t>低度恶性肿瘤等。</w:t>
      </w:r>
    </w:p>
    <w:p>
      <w:pPr>
        <w:pStyle w:val="BodyText"/>
        <w:rPr>
          <w:sz w:val="19"/>
        </w:rPr>
      </w:pPr>
    </w:p>
    <w:p>
      <w:pPr>
        <w:spacing w:after="0"/>
        <w:rPr>
          <w:sz w:val="19"/>
        </w:rPr>
        <w:sectPr>
          <w:pgSz w:w="11910" w:h="16840"/>
          <w:pgMar w:header="0" w:footer="226" w:top="660" w:bottom="420" w:left="980" w:right="400"/>
        </w:sectPr>
      </w:pPr>
    </w:p>
    <w:p>
      <w:pPr>
        <w:pStyle w:val="Heading2"/>
        <w:numPr>
          <w:ilvl w:val="0"/>
          <w:numId w:val="72"/>
        </w:numPr>
        <w:tabs>
          <w:tab w:pos="2123" w:val="left" w:leader="none"/>
        </w:tabs>
        <w:spacing w:line="196" w:lineRule="auto" w:before="52" w:after="0"/>
        <w:ind w:left="1910" w:right="0" w:firstLine="0"/>
        <w:jc w:val="left"/>
      </w:pPr>
      <w:r>
        <w:rPr>
          <w:spacing w:val="-2"/>
        </w:rPr>
        <w:t>较轻急性心</w:t>
      </w:r>
      <w:r>
        <w:rPr>
          <w:spacing w:val="-4"/>
        </w:rPr>
        <w:t>肌梗死</w:t>
      </w:r>
    </w:p>
    <w:p>
      <w:pPr>
        <w:pStyle w:val="BodyText"/>
        <w:spacing w:line="280" w:lineRule="auto" w:before="71"/>
        <w:ind w:left="243" w:right="1597"/>
        <w:jc w:val="both"/>
      </w:pPr>
      <w:r>
        <w:rPr/>
        <w:br w:type="column"/>
      </w:r>
      <w:r>
        <w:rPr>
          <w:spacing w:val="-2"/>
        </w:rPr>
        <w:t>急性心肌梗死指由于冠状动脉闭塞或梗阻引起部分心肌严重</w:t>
      </w:r>
      <w:r>
        <w:rPr>
          <w:spacing w:val="-2"/>
        </w:rPr>
        <w:t>的持久性缺血造成急性心肌坏死。急性心肌梗死的诊断必须</w:t>
      </w:r>
      <w:r>
        <w:rPr>
          <w:spacing w:val="-2"/>
        </w:rPr>
        <w:t>依据国际国内诊断标准，符合（1）检测到肌酸激酶同工酶</w:t>
      </w:r>
    </w:p>
    <w:p>
      <w:pPr>
        <w:pStyle w:val="BodyText"/>
        <w:spacing w:line="278" w:lineRule="auto"/>
        <w:ind w:left="243" w:right="1595"/>
      </w:pPr>
      <w:r>
        <w:rPr>
          <w:spacing w:val="-2"/>
        </w:rPr>
        <w:t>（CK-MB）或肌钙蛋白（cTn）升高和/或降低的动态变化，</w:t>
      </w:r>
      <w:r>
        <w:rPr>
          <w:spacing w:val="-8"/>
        </w:rPr>
        <w:t>至少一次达到或超过心肌梗死的临床诊断标准；</w:t>
      </w:r>
      <w:r>
        <w:rPr>
          <w:spacing w:val="24"/>
        </w:rPr>
        <w:t>（2</w:t>
      </w:r>
      <w:r>
        <w:rPr>
          <w:spacing w:val="19"/>
        </w:rPr>
        <w:t>）</w:t>
      </w:r>
      <w:r>
        <w:rPr>
          <w:spacing w:val="-4"/>
        </w:rPr>
        <w:t>同时存</w:t>
      </w:r>
      <w:r>
        <w:rPr>
          <w:spacing w:val="-2"/>
        </w:rPr>
        <w:t>在下列之一的证据，包括：缺血性胸痛症状、新发生的缺血</w:t>
      </w:r>
      <w:r>
        <w:rPr>
          <w:spacing w:val="-4"/>
        </w:rPr>
        <w:t>性心电图改变、新生成的病理性 </w:t>
      </w:r>
      <w:r>
        <w:rPr/>
        <w:t>Q</w:t>
      </w:r>
      <w:r>
        <w:rPr>
          <w:spacing w:val="-8"/>
        </w:rPr>
        <w:t> 波、影像学证据显示有新</w:t>
      </w:r>
      <w:r>
        <w:rPr>
          <w:spacing w:val="-2"/>
        </w:rPr>
        <w:t>出现的心肌活性丧失或新出现局部室壁运动异常、冠脉造影</w:t>
      </w:r>
      <w:r>
        <w:rPr>
          <w:spacing w:val="-2"/>
        </w:rPr>
        <w:t>证实存在冠状动脉血栓。</w:t>
      </w:r>
    </w:p>
    <w:p>
      <w:pPr>
        <w:pStyle w:val="BodyText"/>
        <w:spacing w:line="278" w:lineRule="auto" w:before="151"/>
        <w:ind w:left="243" w:right="1597"/>
      </w:pPr>
      <w:r>
        <w:rPr>
          <w:spacing w:val="-2"/>
        </w:rPr>
        <w:t>较轻急性心肌梗死指依照上述标准被明确诊断为急性心肌梗</w:t>
      </w:r>
      <w:r>
        <w:rPr>
          <w:spacing w:val="-2"/>
        </w:rPr>
        <w:t>死，但未达到“较重急性心肌梗死”的给付标准。</w:t>
      </w:r>
    </w:p>
    <w:p>
      <w:pPr>
        <w:pStyle w:val="BodyText"/>
        <w:spacing w:line="283" w:lineRule="auto" w:before="154"/>
        <w:ind w:left="243" w:right="1701"/>
      </w:pPr>
      <w:r>
        <w:rPr>
          <w:spacing w:val="-2"/>
        </w:rPr>
        <w:t>其他非冠状动脉阻塞性疾病引起的肌钙蛋白（cTn）升高不</w:t>
      </w:r>
      <w:r>
        <w:rPr>
          <w:spacing w:val="-2"/>
        </w:rPr>
        <w:t>在保障范围内。</w:t>
      </w:r>
    </w:p>
    <w:p>
      <w:pPr>
        <w:spacing w:after="0" w:line="283" w:lineRule="auto"/>
        <w:sectPr>
          <w:type w:val="continuous"/>
          <w:pgSz w:w="11910" w:h="16840"/>
          <w:pgMar w:header="0" w:footer="226" w:top="240" w:bottom="420" w:left="980" w:right="400"/>
          <w:cols w:num="2" w:equalWidth="0">
            <w:col w:w="3179" w:space="40"/>
            <w:col w:w="7311"/>
          </w:cols>
        </w:sectPr>
      </w:pPr>
    </w:p>
    <w:p>
      <w:pPr>
        <w:pStyle w:val="BodyText"/>
        <w:rPr>
          <w:sz w:val="19"/>
        </w:rPr>
      </w:pPr>
    </w:p>
    <w:p>
      <w:pPr>
        <w:spacing w:after="0"/>
        <w:rPr>
          <w:sz w:val="19"/>
        </w:rPr>
        <w:sectPr>
          <w:type w:val="continuous"/>
          <w:pgSz w:w="11910" w:h="16840"/>
          <w:pgMar w:header="0" w:footer="226" w:top="240" w:bottom="420" w:left="980" w:right="400"/>
        </w:sectPr>
      </w:pPr>
    </w:p>
    <w:p>
      <w:pPr>
        <w:pStyle w:val="Heading2"/>
        <w:numPr>
          <w:ilvl w:val="0"/>
          <w:numId w:val="72"/>
        </w:numPr>
        <w:tabs>
          <w:tab w:pos="2123" w:val="left" w:leader="none"/>
        </w:tabs>
        <w:spacing w:line="196" w:lineRule="auto" w:before="52" w:after="0"/>
        <w:ind w:left="1910" w:right="0" w:firstLine="0"/>
        <w:jc w:val="left"/>
      </w:pPr>
      <w:r>
        <w:rPr>
          <w:spacing w:val="-2"/>
        </w:rPr>
        <w:t>轻度脑中风</w:t>
      </w:r>
      <w:r>
        <w:rPr>
          <w:spacing w:val="-4"/>
        </w:rPr>
        <w:t>后遗症</w:t>
      </w:r>
    </w:p>
    <w:p>
      <w:pPr>
        <w:pStyle w:val="BodyText"/>
        <w:spacing w:line="278" w:lineRule="auto" w:before="72"/>
        <w:ind w:left="243" w:right="1596"/>
      </w:pPr>
      <w:r>
        <w:rPr/>
        <w:br w:type="column"/>
      </w:r>
      <w:r>
        <w:rPr>
          <w:spacing w:val="-2"/>
        </w:rPr>
        <w:t>指因脑血管的突发病变引起脑血管出血、栓塞或梗塞，须由</w:t>
      </w:r>
      <w:r>
        <w:rPr>
          <w:spacing w:val="-2"/>
        </w:rPr>
        <w:t>头颅断层扫描（CT）、核磁共振检查（MRI）等影像学检查</w:t>
      </w:r>
      <w:r>
        <w:rPr>
          <w:spacing w:val="-2"/>
        </w:rPr>
        <w:t>证实，并导致神经系统永久性的功能障碍，但未达到“严重</w:t>
      </w:r>
      <w:r>
        <w:rPr>
          <w:spacing w:val="-3"/>
        </w:rPr>
        <w:t>脑中风后遗症”的给付标准，在疾病确诊 </w:t>
      </w:r>
      <w:r>
        <w:rPr/>
        <w:t>180</w:t>
      </w:r>
      <w:r>
        <w:rPr>
          <w:spacing w:val="-9"/>
        </w:rPr>
        <w:t> 天后，仍遗留</w:t>
      </w:r>
      <w:r>
        <w:rPr>
          <w:spacing w:val="-2"/>
        </w:rPr>
        <w:t>下列至少一种障碍：</w:t>
      </w:r>
    </w:p>
    <w:p>
      <w:pPr>
        <w:pStyle w:val="ListParagraph"/>
        <w:numPr>
          <w:ilvl w:val="0"/>
          <w:numId w:val="73"/>
        </w:numPr>
        <w:tabs>
          <w:tab w:pos="773" w:val="left" w:leader="none"/>
        </w:tabs>
        <w:spacing w:line="240" w:lineRule="auto" w:before="158" w:after="0"/>
        <w:ind w:left="772" w:right="0" w:hanging="530"/>
        <w:jc w:val="left"/>
        <w:rPr>
          <w:sz w:val="21"/>
        </w:rPr>
      </w:pPr>
      <w:r>
        <w:rPr>
          <w:spacing w:val="-2"/>
          <w:sz w:val="21"/>
        </w:rPr>
        <w:t>一肢（含）</w:t>
      </w:r>
      <w:r>
        <w:rPr>
          <w:spacing w:val="-8"/>
          <w:sz w:val="21"/>
        </w:rPr>
        <w:t>以上肢体肌力为 </w:t>
      </w:r>
      <w:r>
        <w:rPr>
          <w:spacing w:val="-2"/>
          <w:sz w:val="21"/>
        </w:rPr>
        <w:t>3</w:t>
      </w:r>
      <w:r>
        <w:rPr>
          <w:spacing w:val="-20"/>
          <w:sz w:val="21"/>
        </w:rPr>
        <w:t> 级；</w:t>
      </w:r>
    </w:p>
    <w:p>
      <w:pPr>
        <w:pStyle w:val="ListParagraph"/>
        <w:numPr>
          <w:ilvl w:val="0"/>
          <w:numId w:val="73"/>
        </w:numPr>
        <w:tabs>
          <w:tab w:pos="773" w:val="left" w:leader="none"/>
        </w:tabs>
        <w:spacing w:line="278" w:lineRule="auto" w:before="43" w:after="0"/>
        <w:ind w:left="243" w:right="1703" w:firstLine="0"/>
        <w:jc w:val="left"/>
        <w:rPr>
          <w:sz w:val="21"/>
        </w:rPr>
      </w:pPr>
      <w:r>
        <w:rPr>
          <w:spacing w:val="-2"/>
          <w:sz w:val="21"/>
        </w:rPr>
        <w:t>自主生活能力部分丧失，无法独立完成六项基本日常</w:t>
      </w:r>
      <w:r>
        <w:rPr>
          <w:spacing w:val="-2"/>
          <w:sz w:val="21"/>
        </w:rPr>
        <w:t>生活活动中的两项。</w:t>
      </w:r>
    </w:p>
    <w:p>
      <w:pPr>
        <w:spacing w:after="0" w:line="278" w:lineRule="auto"/>
        <w:jc w:val="left"/>
        <w:rPr>
          <w:sz w:val="21"/>
        </w:rPr>
        <w:sectPr>
          <w:type w:val="continuous"/>
          <w:pgSz w:w="11910" w:h="16840"/>
          <w:pgMar w:header="0" w:footer="226" w:top="240" w:bottom="420" w:left="980" w:right="400"/>
          <w:cols w:num="2" w:equalWidth="0">
            <w:col w:w="3179" w:space="40"/>
            <w:col w:w="7311"/>
          </w:cols>
        </w:sectPr>
      </w:pPr>
    </w:p>
    <w:p>
      <w:pPr>
        <w:pStyle w:val="Heading2"/>
        <w:numPr>
          <w:ilvl w:val="0"/>
          <w:numId w:val="72"/>
        </w:numPr>
        <w:tabs>
          <w:tab w:pos="2123" w:val="left" w:leader="none"/>
        </w:tabs>
        <w:spacing w:line="194" w:lineRule="auto" w:before="35" w:after="0"/>
        <w:ind w:left="1910" w:right="0" w:firstLine="0"/>
        <w:jc w:val="left"/>
      </w:pPr>
      <w:r>
        <w:rPr>
          <w:spacing w:val="-2"/>
        </w:rPr>
        <w:t>冠状动脉介</w:t>
      </w:r>
      <w:r>
        <w:rPr>
          <w:spacing w:val="-4"/>
        </w:rPr>
        <w:t>入手术</w:t>
      </w:r>
    </w:p>
    <w:p>
      <w:pPr>
        <w:pStyle w:val="BodyText"/>
        <w:spacing w:line="278" w:lineRule="auto" w:before="51"/>
        <w:ind w:left="243" w:right="1498"/>
        <w:jc w:val="both"/>
      </w:pPr>
      <w:r>
        <w:rPr/>
        <w:br w:type="column"/>
      </w:r>
      <w:r>
        <w:rPr>
          <w:spacing w:val="-2"/>
        </w:rPr>
        <w:t>为了治疗明显的冠状动脉狭窄性疾病，首次实际实施了冠状</w:t>
      </w:r>
      <w:r>
        <w:rPr>
          <w:spacing w:val="-11"/>
        </w:rPr>
        <w:t>动脉球囊扩张成形术、冠状动脉支架植入术、冠状动脉粥肿斑</w:t>
      </w:r>
      <w:r>
        <w:rPr>
          <w:spacing w:val="-2"/>
        </w:rPr>
        <w:t>块切除术或者激光冠状动脉成形术。并且未达到本合同所定</w:t>
      </w:r>
      <w:r>
        <w:rPr>
          <w:spacing w:val="-2"/>
        </w:rPr>
        <w:t>义的重度疾病“较重急性心肌梗死”的给付标准。</w:t>
      </w:r>
    </w:p>
    <w:p>
      <w:pPr>
        <w:pStyle w:val="BodyText"/>
        <w:spacing w:line="280" w:lineRule="auto" w:before="154"/>
        <w:ind w:left="243" w:right="1497"/>
        <w:jc w:val="both"/>
      </w:pPr>
      <w:r>
        <w:rPr>
          <w:spacing w:val="-23"/>
        </w:rPr>
        <w:t>本公司对“冠状动脉介入手术”、“较轻急性心肌梗死”和“激</w:t>
      </w:r>
      <w:r>
        <w:rPr>
          <w:spacing w:val="-12"/>
        </w:rPr>
        <w:t>光心肌血运重建术”三项中的其中一项承担保险责任，给付其</w:t>
      </w:r>
      <w:r>
        <w:rPr>
          <w:spacing w:val="-2"/>
        </w:rPr>
        <w:t>中一项保险金后，对其他项轻度疾病保险责任同时终止。</w:t>
      </w:r>
    </w:p>
    <w:p>
      <w:pPr>
        <w:spacing w:after="0" w:line="280" w:lineRule="auto"/>
        <w:jc w:val="both"/>
        <w:sectPr>
          <w:pgSz w:w="11910" w:h="16840"/>
          <w:pgMar w:header="0" w:footer="226" w:top="820" w:bottom="420" w:left="980" w:right="400"/>
          <w:cols w:num="2" w:equalWidth="0">
            <w:col w:w="3179" w:space="40"/>
            <w:col w:w="7311"/>
          </w:cols>
        </w:sectPr>
      </w:pPr>
    </w:p>
    <w:p>
      <w:pPr>
        <w:pStyle w:val="BodyText"/>
        <w:spacing w:before="3"/>
        <w:rPr>
          <w:sz w:val="19"/>
        </w:rPr>
      </w:pPr>
    </w:p>
    <w:p>
      <w:pPr>
        <w:spacing w:after="0"/>
        <w:rPr>
          <w:sz w:val="19"/>
        </w:rPr>
        <w:sectPr>
          <w:type w:val="continuous"/>
          <w:pgSz w:w="11910" w:h="16840"/>
          <w:pgMar w:header="0" w:footer="226" w:top="240" w:bottom="420" w:left="980" w:right="400"/>
        </w:sectPr>
      </w:pPr>
    </w:p>
    <w:p>
      <w:pPr>
        <w:pStyle w:val="Heading2"/>
        <w:numPr>
          <w:ilvl w:val="0"/>
          <w:numId w:val="72"/>
        </w:numPr>
        <w:tabs>
          <w:tab w:pos="2123" w:val="left" w:leader="none"/>
        </w:tabs>
        <w:spacing w:line="196" w:lineRule="auto" w:before="52" w:after="0"/>
        <w:ind w:left="1910" w:right="0" w:firstLine="0"/>
        <w:jc w:val="left"/>
      </w:pPr>
      <w:r>
        <w:rPr>
          <w:spacing w:val="-2"/>
        </w:rPr>
        <w:t>激光心肌血</w:t>
      </w:r>
      <w:r>
        <w:rPr>
          <w:spacing w:val="-4"/>
        </w:rPr>
        <w:t>运重建术</w:t>
      </w:r>
    </w:p>
    <w:p>
      <w:pPr>
        <w:pStyle w:val="BodyText"/>
        <w:spacing w:line="278" w:lineRule="auto" w:before="71"/>
        <w:ind w:left="243" w:right="1595"/>
        <w:jc w:val="both"/>
      </w:pPr>
      <w:r>
        <w:rPr/>
        <w:br w:type="column"/>
      </w:r>
      <w:r>
        <w:rPr>
          <w:spacing w:val="-2"/>
        </w:rPr>
        <w:t>指患有顽固性心绞痛，经持续药物治疗后无改善，冠状动脉</w:t>
      </w:r>
      <w:r>
        <w:rPr>
          <w:spacing w:val="-2"/>
        </w:rPr>
        <w:t>搭桥手术及经皮血管成形手术已失败或者被认为不者被认为</w:t>
      </w:r>
      <w:r>
        <w:rPr>
          <w:spacing w:val="-2"/>
        </w:rPr>
        <w:t>不适合。在本公司认可医院内实际进行了开胸手术下或者胸</w:t>
      </w:r>
      <w:r>
        <w:rPr>
          <w:spacing w:val="-2"/>
        </w:rPr>
        <w:t>腔镜下的激光心肌血运重建术。并且未达到本合同所定义的</w:t>
      </w:r>
      <w:r>
        <w:rPr>
          <w:spacing w:val="-2"/>
        </w:rPr>
        <w:t>重度疾病“较重急性心肌梗死”的给付标准。</w:t>
      </w:r>
    </w:p>
    <w:p>
      <w:pPr>
        <w:pStyle w:val="BodyText"/>
        <w:spacing w:line="278" w:lineRule="auto" w:before="158"/>
        <w:ind w:left="243" w:right="1596"/>
      </w:pPr>
      <w:r>
        <w:rPr>
          <w:spacing w:val="-17"/>
        </w:rPr>
        <w:t>本公司对“冠状动脉介入手术”、“较轻急性心肌梗死”和</w:t>
      </w:r>
      <w:r>
        <w:rPr>
          <w:spacing w:val="40"/>
        </w:rPr>
        <w:t> </w:t>
      </w:r>
      <w:r>
        <w:rPr>
          <w:spacing w:val="-2"/>
        </w:rPr>
        <w:t>“激光心肌血运重建术”三项中的其中一项承担保险责任，</w:t>
      </w:r>
      <w:r>
        <w:rPr>
          <w:spacing w:val="-2"/>
        </w:rPr>
        <w:t>给付其中一项保险金后，对其他项轻度疾病保险责任同时终</w:t>
      </w:r>
      <w:r>
        <w:rPr>
          <w:spacing w:val="-6"/>
        </w:rPr>
        <w:t>止。</w:t>
      </w:r>
    </w:p>
    <w:p>
      <w:pPr>
        <w:spacing w:after="0" w:line="278" w:lineRule="auto"/>
        <w:sectPr>
          <w:type w:val="continuous"/>
          <w:pgSz w:w="11910" w:h="16840"/>
          <w:pgMar w:header="0" w:footer="226" w:top="240" w:bottom="420" w:left="980" w:right="400"/>
          <w:cols w:num="2" w:equalWidth="0">
            <w:col w:w="3179" w:space="40"/>
            <w:col w:w="7311"/>
          </w:cols>
        </w:sectPr>
      </w:pPr>
    </w:p>
    <w:p>
      <w:pPr>
        <w:pStyle w:val="BodyText"/>
        <w:spacing w:before="12"/>
        <w:rPr>
          <w:sz w:val="19"/>
        </w:rPr>
      </w:pPr>
    </w:p>
    <w:p>
      <w:pPr>
        <w:spacing w:after="0"/>
        <w:rPr>
          <w:sz w:val="19"/>
        </w:rPr>
        <w:sectPr>
          <w:type w:val="continuous"/>
          <w:pgSz w:w="11910" w:h="16840"/>
          <w:pgMar w:header="0" w:footer="226" w:top="240" w:bottom="420" w:left="980" w:right="400"/>
        </w:sectPr>
      </w:pPr>
    </w:p>
    <w:p>
      <w:pPr>
        <w:pStyle w:val="Heading2"/>
        <w:numPr>
          <w:ilvl w:val="0"/>
          <w:numId w:val="72"/>
        </w:numPr>
        <w:tabs>
          <w:tab w:pos="2123" w:val="left" w:leader="none"/>
        </w:tabs>
        <w:spacing w:line="194" w:lineRule="auto" w:before="55" w:after="0"/>
        <w:ind w:left="1910" w:right="0" w:firstLine="0"/>
        <w:jc w:val="left"/>
      </w:pPr>
      <w:r>
        <w:rPr>
          <w:spacing w:val="-2"/>
        </w:rPr>
        <w:t>病毒性肝炎</w:t>
      </w:r>
      <w:r>
        <w:rPr>
          <w:spacing w:val="-2"/>
        </w:rPr>
        <w:t>导致的肝硬化</w:t>
      </w:r>
    </w:p>
    <w:p>
      <w:pPr>
        <w:pStyle w:val="BodyText"/>
        <w:spacing w:line="278" w:lineRule="auto" w:before="72"/>
        <w:ind w:left="243" w:right="1597"/>
      </w:pPr>
      <w:r>
        <w:rPr/>
        <w:br w:type="column"/>
      </w:r>
      <w:r>
        <w:rPr>
          <w:spacing w:val="-2"/>
        </w:rPr>
        <w:t>因肝炎病毒感染的肝脏慢性炎症并发展为肝硬化。且未达到</w:t>
      </w:r>
      <w:r>
        <w:rPr/>
        <w:t>本合同所定义的重度疾病“严重慢性肝衰竭 ”的给付标</w:t>
      </w:r>
      <w:r>
        <w:rPr>
          <w:spacing w:val="40"/>
        </w:rPr>
        <w:t> </w:t>
      </w:r>
      <w:r>
        <w:rPr>
          <w:spacing w:val="-2"/>
        </w:rPr>
        <w:t>准。理赔时须满足下列全部条件：</w:t>
      </w:r>
    </w:p>
    <w:p>
      <w:pPr>
        <w:pStyle w:val="ListParagraph"/>
        <w:numPr>
          <w:ilvl w:val="0"/>
          <w:numId w:val="74"/>
        </w:numPr>
        <w:tabs>
          <w:tab w:pos="773" w:val="left" w:leader="none"/>
        </w:tabs>
        <w:spacing w:line="283" w:lineRule="auto" w:before="153" w:after="0"/>
        <w:ind w:left="243" w:right="1703" w:firstLine="0"/>
        <w:jc w:val="left"/>
        <w:rPr>
          <w:sz w:val="21"/>
        </w:rPr>
      </w:pPr>
      <w:r>
        <w:rPr>
          <w:spacing w:val="-2"/>
          <w:sz w:val="21"/>
        </w:rPr>
        <w:t>被保人有感染慢性肝炎病毒的血清学及实验室检查报</w:t>
      </w:r>
      <w:r>
        <w:rPr>
          <w:spacing w:val="-2"/>
          <w:sz w:val="21"/>
        </w:rPr>
        <w:t>告等临床证据；</w:t>
      </w:r>
    </w:p>
    <w:p>
      <w:pPr>
        <w:pStyle w:val="ListParagraph"/>
        <w:numPr>
          <w:ilvl w:val="0"/>
          <w:numId w:val="74"/>
        </w:numPr>
        <w:tabs>
          <w:tab w:pos="773" w:val="left" w:leader="none"/>
        </w:tabs>
        <w:spacing w:line="278" w:lineRule="auto" w:before="0" w:after="0"/>
        <w:ind w:left="243" w:right="1597" w:firstLine="0"/>
        <w:jc w:val="left"/>
        <w:rPr>
          <w:sz w:val="21"/>
        </w:rPr>
      </w:pPr>
      <w:r>
        <w:rPr>
          <w:spacing w:val="-2"/>
          <w:sz w:val="21"/>
        </w:rPr>
        <w:t>必须由本公司认可医院的消化科专科医生基于肝脏组</w:t>
      </w:r>
      <w:r>
        <w:rPr>
          <w:spacing w:val="-2"/>
          <w:sz w:val="21"/>
        </w:rPr>
        <w:t>织病理学检查报告、临床表现及病史对肝炎病毒感染导致肝</w:t>
      </w:r>
      <w:r>
        <w:rPr>
          <w:spacing w:val="-2"/>
          <w:sz w:val="21"/>
        </w:rPr>
        <w:t>硬化作出明确诊断；</w:t>
      </w:r>
    </w:p>
    <w:p>
      <w:pPr>
        <w:pStyle w:val="ListParagraph"/>
        <w:numPr>
          <w:ilvl w:val="0"/>
          <w:numId w:val="74"/>
        </w:numPr>
        <w:tabs>
          <w:tab w:pos="773" w:val="left" w:leader="none"/>
        </w:tabs>
        <w:spacing w:line="278" w:lineRule="auto" w:before="0" w:after="0"/>
        <w:ind w:left="243" w:right="1701" w:firstLine="0"/>
        <w:jc w:val="left"/>
        <w:rPr>
          <w:sz w:val="21"/>
        </w:rPr>
      </w:pPr>
      <w:r>
        <w:rPr>
          <w:spacing w:val="-4"/>
          <w:sz w:val="21"/>
        </w:rPr>
        <w:t>病理学检查报告证明肝脏病变按 </w:t>
      </w:r>
      <w:r>
        <w:rPr>
          <w:sz w:val="21"/>
        </w:rPr>
        <w:t>Metavir</w:t>
      </w:r>
      <w:r>
        <w:rPr>
          <w:spacing w:val="-10"/>
          <w:sz w:val="21"/>
        </w:rPr>
        <w:t> 分级表中属</w:t>
      </w:r>
      <w:r>
        <w:rPr>
          <w:sz w:val="21"/>
        </w:rPr>
        <w:t> F4</w:t>
      </w:r>
      <w:r>
        <w:rPr>
          <w:spacing w:val="-9"/>
          <w:sz w:val="21"/>
        </w:rPr>
        <w:t> 阶段或 </w:t>
      </w:r>
      <w:r>
        <w:rPr>
          <w:sz w:val="21"/>
        </w:rPr>
        <w:t>Knodell</w:t>
      </w:r>
      <w:r>
        <w:rPr>
          <w:spacing w:val="-6"/>
          <w:sz w:val="21"/>
        </w:rPr>
        <w:t> 肝纤维化标准达到 </w:t>
      </w:r>
      <w:r>
        <w:rPr>
          <w:sz w:val="21"/>
        </w:rPr>
        <w:t>4</w:t>
      </w:r>
      <w:r>
        <w:rPr>
          <w:spacing w:val="-10"/>
          <w:sz w:val="21"/>
        </w:rPr>
        <w:t> 分。</w:t>
      </w:r>
    </w:p>
    <w:p>
      <w:pPr>
        <w:pStyle w:val="BodyText"/>
        <w:spacing w:before="148"/>
        <w:ind w:left="243"/>
      </w:pPr>
      <w:r>
        <w:rPr>
          <w:spacing w:val="-3"/>
        </w:rPr>
        <w:t>由酒精或药物滥用而引起的本疾病不在保障范围内。</w:t>
      </w:r>
    </w:p>
    <w:p>
      <w:pPr>
        <w:pStyle w:val="BodyText"/>
        <w:spacing w:before="4"/>
        <w:rPr>
          <w:sz w:val="15"/>
        </w:rPr>
      </w:pPr>
    </w:p>
    <w:p>
      <w:pPr>
        <w:pStyle w:val="BodyText"/>
        <w:spacing w:line="280" w:lineRule="auto"/>
        <w:ind w:left="243" w:right="1597"/>
      </w:pPr>
      <w:r>
        <w:rPr>
          <w:spacing w:val="-2"/>
        </w:rPr>
        <w:t>本公司对“病毒性肝炎导致的肝硬化”和“慢性肝功能衰</w:t>
      </w:r>
      <w:r>
        <w:rPr/>
        <w:t> </w:t>
      </w:r>
      <w:r>
        <w:rPr>
          <w:spacing w:val="-2"/>
        </w:rPr>
        <w:t>竭”两项中的其中一项承担保险责任，给付其中一项保险金</w:t>
      </w:r>
      <w:r>
        <w:rPr>
          <w:spacing w:val="-2"/>
        </w:rPr>
        <w:t>后，对另一项轻度疾病保险责任同时终止。</w:t>
      </w:r>
    </w:p>
    <w:p>
      <w:pPr>
        <w:spacing w:after="0" w:line="280" w:lineRule="auto"/>
        <w:sectPr>
          <w:type w:val="continuous"/>
          <w:pgSz w:w="11910" w:h="16840"/>
          <w:pgMar w:header="0" w:footer="226" w:top="240" w:bottom="420" w:left="980" w:right="400"/>
          <w:cols w:num="2" w:equalWidth="0">
            <w:col w:w="3179" w:space="40"/>
            <w:col w:w="7311"/>
          </w:cols>
        </w:sectPr>
      </w:pPr>
    </w:p>
    <w:p>
      <w:pPr>
        <w:pStyle w:val="BodyText"/>
        <w:spacing w:before="4"/>
        <w:rPr>
          <w:sz w:val="19"/>
        </w:rPr>
      </w:pPr>
    </w:p>
    <w:p>
      <w:pPr>
        <w:spacing w:after="0"/>
        <w:rPr>
          <w:sz w:val="19"/>
        </w:rPr>
        <w:sectPr>
          <w:type w:val="continuous"/>
          <w:pgSz w:w="11910" w:h="16840"/>
          <w:pgMar w:header="0" w:footer="226" w:top="240" w:bottom="420" w:left="980" w:right="400"/>
        </w:sectPr>
      </w:pPr>
    </w:p>
    <w:p>
      <w:pPr>
        <w:pStyle w:val="Heading2"/>
        <w:numPr>
          <w:ilvl w:val="0"/>
          <w:numId w:val="72"/>
        </w:numPr>
        <w:tabs>
          <w:tab w:pos="2123" w:val="left" w:leader="none"/>
        </w:tabs>
        <w:spacing w:line="194" w:lineRule="auto" w:before="55" w:after="0"/>
        <w:ind w:left="1910" w:right="0" w:firstLine="0"/>
        <w:jc w:val="left"/>
      </w:pPr>
      <w:r>
        <w:rPr>
          <w:spacing w:val="-2"/>
        </w:rPr>
        <w:t>慢性肝功能</w:t>
      </w:r>
      <w:r>
        <w:rPr>
          <w:spacing w:val="-6"/>
        </w:rPr>
        <w:t>衰竭</w:t>
      </w:r>
    </w:p>
    <w:p>
      <w:pPr>
        <w:pStyle w:val="BodyText"/>
        <w:spacing w:line="278" w:lineRule="auto" w:before="71"/>
        <w:ind w:left="243" w:right="1595"/>
        <w:jc w:val="both"/>
      </w:pPr>
      <w:r>
        <w:rPr/>
        <w:br w:type="column"/>
      </w:r>
      <w:r>
        <w:rPr>
          <w:spacing w:val="-2"/>
        </w:rPr>
        <w:t>指因慢性肝脏疾病导致肝功能衰竭，且未达到本合同所定义</w:t>
      </w:r>
      <w:r>
        <w:rPr>
          <w:spacing w:val="-2"/>
        </w:rPr>
        <w:t>的重度疾病“严重慢性肝衰竭”的标准。须满足下列任意三</w:t>
      </w:r>
      <w:r>
        <w:rPr>
          <w:spacing w:val="-4"/>
        </w:rPr>
        <w:t>个条件：</w:t>
      </w:r>
    </w:p>
    <w:p>
      <w:pPr>
        <w:pStyle w:val="ListParagraph"/>
        <w:numPr>
          <w:ilvl w:val="0"/>
          <w:numId w:val="75"/>
        </w:numPr>
        <w:tabs>
          <w:tab w:pos="773" w:val="left" w:leader="none"/>
        </w:tabs>
        <w:spacing w:line="240" w:lineRule="auto" w:before="154" w:after="0"/>
        <w:ind w:left="772" w:right="0" w:hanging="530"/>
        <w:jc w:val="left"/>
        <w:rPr>
          <w:sz w:val="21"/>
        </w:rPr>
      </w:pPr>
      <w:r>
        <w:rPr>
          <w:spacing w:val="-4"/>
          <w:sz w:val="21"/>
        </w:rPr>
        <w:t>持续性黄疸；</w:t>
      </w:r>
    </w:p>
    <w:p>
      <w:pPr>
        <w:pStyle w:val="ListParagraph"/>
        <w:numPr>
          <w:ilvl w:val="0"/>
          <w:numId w:val="75"/>
        </w:numPr>
        <w:tabs>
          <w:tab w:pos="773" w:val="left" w:leader="none"/>
        </w:tabs>
        <w:spacing w:line="240" w:lineRule="auto" w:before="47" w:after="0"/>
        <w:ind w:left="772" w:right="0" w:hanging="530"/>
        <w:jc w:val="left"/>
        <w:rPr>
          <w:sz w:val="21"/>
        </w:rPr>
      </w:pPr>
      <w:r>
        <w:rPr>
          <w:spacing w:val="-4"/>
          <w:sz w:val="21"/>
        </w:rPr>
        <w:t>腹水；</w:t>
      </w:r>
    </w:p>
    <w:p>
      <w:pPr>
        <w:pStyle w:val="ListParagraph"/>
        <w:numPr>
          <w:ilvl w:val="0"/>
          <w:numId w:val="75"/>
        </w:numPr>
        <w:tabs>
          <w:tab w:pos="773" w:val="left" w:leader="none"/>
        </w:tabs>
        <w:spacing w:line="240" w:lineRule="auto" w:before="44" w:after="0"/>
        <w:ind w:left="772" w:right="0" w:hanging="530"/>
        <w:jc w:val="left"/>
        <w:rPr>
          <w:sz w:val="21"/>
        </w:rPr>
      </w:pPr>
      <w:r>
        <w:rPr>
          <w:spacing w:val="-4"/>
          <w:sz w:val="21"/>
        </w:rPr>
        <w:t>肝性脑病；</w:t>
      </w:r>
    </w:p>
    <w:p>
      <w:pPr>
        <w:pStyle w:val="ListParagraph"/>
        <w:numPr>
          <w:ilvl w:val="0"/>
          <w:numId w:val="75"/>
        </w:numPr>
        <w:tabs>
          <w:tab w:pos="773" w:val="left" w:leader="none"/>
        </w:tabs>
        <w:spacing w:line="240" w:lineRule="auto" w:before="43" w:after="0"/>
        <w:ind w:left="772" w:right="0" w:hanging="530"/>
        <w:jc w:val="left"/>
        <w:rPr>
          <w:sz w:val="21"/>
        </w:rPr>
      </w:pPr>
      <w:r>
        <w:rPr>
          <w:spacing w:val="-3"/>
          <w:sz w:val="21"/>
        </w:rPr>
        <w:t>充血性脾肿大伴脾功能亢进或食管胃底静脉曲张。</w:t>
      </w:r>
    </w:p>
    <w:p>
      <w:pPr>
        <w:pStyle w:val="BodyText"/>
        <w:spacing w:line="460" w:lineRule="atLeast" w:before="5"/>
        <w:ind w:left="243" w:right="1809"/>
      </w:pPr>
      <w:r>
        <w:rPr>
          <w:spacing w:val="-2"/>
        </w:rPr>
        <w:t>因酗酒或药物滥用导致的肝功能衰竭不在保障范围内。</w:t>
      </w:r>
      <w:r>
        <w:rPr>
          <w:spacing w:val="-2"/>
        </w:rPr>
        <w:t> </w:t>
      </w:r>
      <w:r>
        <w:rPr>
          <w:spacing w:val="-2"/>
        </w:rPr>
        <w:t>本公司对“病毒性肝炎导致的肝硬化”和“慢性肝功能衰</w:t>
      </w:r>
    </w:p>
    <w:p>
      <w:pPr>
        <w:pStyle w:val="BodyText"/>
        <w:spacing w:line="278" w:lineRule="auto" w:before="54"/>
        <w:ind w:left="243" w:right="1597"/>
      </w:pPr>
      <w:r>
        <w:rPr>
          <w:spacing w:val="-2"/>
        </w:rPr>
        <w:t>竭”两项中的其中一项承担保险责任，给付其中一项保险金</w:t>
      </w:r>
      <w:r>
        <w:rPr>
          <w:spacing w:val="-2"/>
        </w:rPr>
        <w:t>后，对另一项轻度疾病保险责任同时终止。</w:t>
      </w:r>
    </w:p>
    <w:p>
      <w:pPr>
        <w:spacing w:after="0" w:line="278" w:lineRule="auto"/>
        <w:sectPr>
          <w:type w:val="continuous"/>
          <w:pgSz w:w="11910" w:h="16840"/>
          <w:pgMar w:header="0" w:footer="226" w:top="240" w:bottom="420" w:left="980" w:right="400"/>
          <w:cols w:num="2" w:equalWidth="0">
            <w:col w:w="3179" w:space="40"/>
            <w:col w:w="7311"/>
          </w:cols>
        </w:sectPr>
      </w:pPr>
    </w:p>
    <w:p>
      <w:pPr>
        <w:pStyle w:val="Heading2"/>
        <w:numPr>
          <w:ilvl w:val="0"/>
          <w:numId w:val="72"/>
        </w:numPr>
        <w:tabs>
          <w:tab w:pos="2123" w:val="left" w:leader="none"/>
        </w:tabs>
        <w:spacing w:line="194" w:lineRule="auto" w:before="35" w:after="0"/>
        <w:ind w:left="1910" w:right="0" w:firstLine="0"/>
        <w:jc w:val="left"/>
      </w:pPr>
      <w:r>
        <w:rPr>
          <w:spacing w:val="-2"/>
        </w:rPr>
        <w:t>中度感染性</w:t>
      </w:r>
      <w:r>
        <w:rPr>
          <w:spacing w:val="-4"/>
        </w:rPr>
        <w:t>心内膜炎</w:t>
      </w:r>
    </w:p>
    <w:p>
      <w:pPr>
        <w:pStyle w:val="BodyText"/>
        <w:spacing w:line="278" w:lineRule="auto" w:before="51"/>
        <w:ind w:left="243" w:right="1597"/>
      </w:pPr>
      <w:r>
        <w:rPr/>
        <w:br w:type="column"/>
      </w:r>
      <w:r>
        <w:rPr>
          <w:spacing w:val="-2"/>
        </w:rPr>
        <w:t>指因感染性微生物造成心脏内膜炎症，并且累及心脏瓣膜，</w:t>
      </w:r>
      <w:r>
        <w:rPr>
          <w:spacing w:val="-2"/>
        </w:rPr>
        <w:t>导致心脏瓣膜病变,且未达到本合同所定义的重度疾病“感</w:t>
      </w:r>
      <w:r>
        <w:rPr>
          <w:spacing w:val="-2"/>
        </w:rPr>
        <w:t>染性心内膜炎”或“心脏瓣膜手术”的给付标准。必须满足</w:t>
      </w:r>
      <w:r>
        <w:rPr>
          <w:spacing w:val="-2"/>
        </w:rPr>
        <w:t>下列条件：</w:t>
      </w:r>
    </w:p>
    <w:p>
      <w:pPr>
        <w:pStyle w:val="ListParagraph"/>
        <w:numPr>
          <w:ilvl w:val="0"/>
          <w:numId w:val="76"/>
        </w:numPr>
        <w:tabs>
          <w:tab w:pos="773" w:val="left" w:leader="none"/>
        </w:tabs>
        <w:spacing w:line="283" w:lineRule="auto" w:before="154" w:after="0"/>
        <w:ind w:left="243" w:right="1596" w:firstLine="0"/>
        <w:jc w:val="left"/>
        <w:rPr>
          <w:sz w:val="21"/>
        </w:rPr>
      </w:pPr>
      <w:r>
        <w:rPr>
          <w:spacing w:val="-2"/>
          <w:sz w:val="21"/>
        </w:rPr>
        <w:t>急性或亚急性感染性心内膜炎的临床表现,合心内膜炎</w:t>
      </w:r>
      <w:r>
        <w:rPr>
          <w:spacing w:val="-2"/>
          <w:sz w:val="21"/>
        </w:rPr>
        <w:t>引起轻度心瓣膜关闭不全或轻度度心瓣膜狭窄；</w:t>
      </w:r>
    </w:p>
    <w:p>
      <w:pPr>
        <w:pStyle w:val="ListParagraph"/>
        <w:numPr>
          <w:ilvl w:val="0"/>
          <w:numId w:val="76"/>
        </w:numPr>
        <w:tabs>
          <w:tab w:pos="773" w:val="left" w:leader="none"/>
        </w:tabs>
        <w:spacing w:line="263" w:lineRule="exact" w:before="0" w:after="0"/>
        <w:ind w:left="772" w:right="0" w:hanging="530"/>
        <w:jc w:val="left"/>
        <w:rPr>
          <w:sz w:val="21"/>
        </w:rPr>
      </w:pPr>
      <w:r>
        <w:rPr>
          <w:spacing w:val="-3"/>
          <w:sz w:val="21"/>
        </w:rPr>
        <w:t>血液培养测试结果为阳性，证实存在感染性微生物。</w:t>
      </w:r>
    </w:p>
    <w:p>
      <w:pPr>
        <w:pStyle w:val="BodyText"/>
        <w:spacing w:before="4"/>
        <w:rPr>
          <w:sz w:val="15"/>
        </w:rPr>
      </w:pPr>
    </w:p>
    <w:p>
      <w:pPr>
        <w:pStyle w:val="BodyText"/>
        <w:spacing w:line="278" w:lineRule="auto"/>
        <w:ind w:left="243" w:right="1597"/>
        <w:jc w:val="both"/>
      </w:pPr>
      <w:r>
        <w:rPr>
          <w:spacing w:val="-2"/>
        </w:rPr>
        <w:t>本公司对“中度感染性心内膜炎”和“心脏瓣膜介入手术”</w:t>
      </w:r>
      <w:r>
        <w:rPr>
          <w:spacing w:val="-2"/>
        </w:rPr>
        <w:t>两项中的其中一项承担保险责任，给付其中一项保险金后，</w:t>
      </w:r>
      <w:r>
        <w:rPr>
          <w:spacing w:val="-2"/>
        </w:rPr>
        <w:t>对另一项疾病保险责任同时终止。</w:t>
      </w:r>
    </w:p>
    <w:p>
      <w:pPr>
        <w:spacing w:after="0" w:line="278" w:lineRule="auto"/>
        <w:jc w:val="both"/>
        <w:sectPr>
          <w:pgSz w:w="11910" w:h="16840"/>
          <w:pgMar w:header="0" w:footer="226" w:top="820" w:bottom="420" w:left="980" w:right="400"/>
          <w:cols w:num="2" w:equalWidth="0">
            <w:col w:w="3179" w:space="40"/>
            <w:col w:w="7311"/>
          </w:cols>
        </w:sectPr>
      </w:pPr>
    </w:p>
    <w:p>
      <w:pPr>
        <w:pStyle w:val="BodyText"/>
        <w:spacing w:before="11"/>
        <w:rPr>
          <w:sz w:val="19"/>
        </w:rPr>
      </w:pPr>
    </w:p>
    <w:p>
      <w:pPr>
        <w:spacing w:after="0"/>
        <w:rPr>
          <w:sz w:val="19"/>
        </w:rPr>
        <w:sectPr>
          <w:type w:val="continuous"/>
          <w:pgSz w:w="11910" w:h="16840"/>
          <w:pgMar w:header="0" w:footer="226" w:top="240" w:bottom="420" w:left="980" w:right="400"/>
        </w:sectPr>
      </w:pPr>
    </w:p>
    <w:p>
      <w:pPr>
        <w:pStyle w:val="Heading2"/>
        <w:numPr>
          <w:ilvl w:val="0"/>
          <w:numId w:val="72"/>
        </w:numPr>
        <w:tabs>
          <w:tab w:pos="2123" w:val="left" w:leader="none"/>
        </w:tabs>
        <w:spacing w:line="194" w:lineRule="auto" w:before="56" w:after="0"/>
        <w:ind w:left="1910" w:right="0" w:firstLine="0"/>
        <w:jc w:val="left"/>
      </w:pPr>
      <w:r>
        <w:rPr>
          <w:spacing w:val="-2"/>
        </w:rPr>
        <w:t>植入心脏起</w:t>
      </w:r>
      <w:r>
        <w:rPr>
          <w:spacing w:val="-6"/>
        </w:rPr>
        <w:t>搏器</w:t>
      </w:r>
    </w:p>
    <w:p>
      <w:pPr>
        <w:pStyle w:val="BodyText"/>
        <w:spacing w:line="278" w:lineRule="auto" w:before="72"/>
        <w:ind w:left="243" w:right="1597"/>
      </w:pPr>
      <w:r>
        <w:rPr/>
        <w:br w:type="column"/>
      </w:r>
      <w:r>
        <w:rPr>
          <w:spacing w:val="-2"/>
        </w:rPr>
        <w:t>因严重心律失常而确实已经实施永久性心脏起搏器的植入手</w:t>
      </w:r>
      <w:r>
        <w:rPr>
          <w:spacing w:val="-6"/>
        </w:rPr>
        <w:t>术。</w:t>
      </w:r>
    </w:p>
    <w:p>
      <w:pPr>
        <w:pStyle w:val="BodyText"/>
        <w:spacing w:line="283" w:lineRule="auto" w:before="154"/>
        <w:ind w:left="243" w:right="1597"/>
      </w:pPr>
      <w:r>
        <w:rPr>
          <w:spacing w:val="-2"/>
        </w:rPr>
        <w:t>理赔时须提供完整病历资料及手术记录，诊断及治疗均须在</w:t>
      </w:r>
      <w:r>
        <w:rPr>
          <w:spacing w:val="-2"/>
        </w:rPr>
        <w:t>本公司认可医院专科医生认为是医疗必须的情况下进行。</w:t>
      </w:r>
    </w:p>
    <w:p>
      <w:pPr>
        <w:spacing w:after="0" w:line="283" w:lineRule="auto"/>
        <w:sectPr>
          <w:type w:val="continuous"/>
          <w:pgSz w:w="11910" w:h="16840"/>
          <w:pgMar w:header="0" w:footer="226" w:top="240" w:bottom="420" w:left="980" w:right="400"/>
          <w:cols w:num="2" w:equalWidth="0">
            <w:col w:w="3179" w:space="40"/>
            <w:col w:w="7311"/>
          </w:cols>
        </w:sectPr>
      </w:pPr>
    </w:p>
    <w:p>
      <w:pPr>
        <w:pStyle w:val="BodyText"/>
        <w:rPr>
          <w:sz w:val="19"/>
        </w:rPr>
      </w:pPr>
    </w:p>
    <w:p>
      <w:pPr>
        <w:spacing w:after="0"/>
        <w:rPr>
          <w:sz w:val="19"/>
        </w:rPr>
        <w:sectPr>
          <w:type w:val="continuous"/>
          <w:pgSz w:w="11910" w:h="16840"/>
          <w:pgMar w:header="0" w:footer="226" w:top="240" w:bottom="420" w:left="980" w:right="400"/>
        </w:sectPr>
      </w:pPr>
    </w:p>
    <w:p>
      <w:pPr>
        <w:pStyle w:val="Heading2"/>
        <w:numPr>
          <w:ilvl w:val="0"/>
          <w:numId w:val="72"/>
        </w:numPr>
        <w:tabs>
          <w:tab w:pos="2229" w:val="left" w:leader="none"/>
        </w:tabs>
        <w:spacing w:line="196" w:lineRule="auto" w:before="53" w:after="0"/>
        <w:ind w:left="1910" w:right="0" w:firstLine="0"/>
        <w:jc w:val="left"/>
      </w:pPr>
      <w:r>
        <w:rPr>
          <w:spacing w:val="-4"/>
        </w:rPr>
        <w:t>早期原发</w:t>
      </w:r>
      <w:r>
        <w:rPr>
          <w:spacing w:val="-4"/>
        </w:rPr>
        <w:t>性心肌病</w:t>
      </w:r>
    </w:p>
    <w:p>
      <w:pPr>
        <w:pStyle w:val="BodyText"/>
        <w:spacing w:line="283" w:lineRule="auto" w:before="72"/>
        <w:ind w:left="349" w:right="1497"/>
      </w:pPr>
      <w:r>
        <w:rPr/>
        <w:br w:type="column"/>
      </w:r>
      <w:r>
        <w:rPr>
          <w:spacing w:val="-11"/>
        </w:rPr>
        <w:t>被诊断为原发性心肌病，并符合下列所有条件，但未达到本合</w:t>
      </w:r>
      <w:r>
        <w:rPr>
          <w:spacing w:val="-2"/>
        </w:rPr>
        <w:t>同所定义的重度疾病“严重心肌病”的标准：</w:t>
      </w:r>
    </w:p>
    <w:p>
      <w:pPr>
        <w:pStyle w:val="ListParagraph"/>
        <w:numPr>
          <w:ilvl w:val="1"/>
          <w:numId w:val="76"/>
        </w:numPr>
        <w:tabs>
          <w:tab w:pos="879" w:val="left" w:leader="none"/>
        </w:tabs>
        <w:spacing w:line="278" w:lineRule="auto" w:before="148" w:after="0"/>
        <w:ind w:left="349" w:right="1496" w:firstLine="0"/>
        <w:jc w:val="both"/>
        <w:rPr>
          <w:sz w:val="21"/>
        </w:rPr>
      </w:pPr>
      <w:r>
        <w:rPr>
          <w:spacing w:val="-2"/>
          <w:sz w:val="21"/>
        </w:rPr>
        <w:t>导致心室功能受损，其受损程度达到美国纽约心脏病学</w:t>
      </w:r>
      <w:r>
        <w:rPr>
          <w:spacing w:val="-2"/>
          <w:sz w:val="21"/>
        </w:rPr>
        <w:t>会心功能状态分级Ⅲ级（美国纽约心脏病学会心功能状态分</w:t>
      </w:r>
      <w:r>
        <w:rPr>
          <w:spacing w:val="-9"/>
          <w:sz w:val="21"/>
        </w:rPr>
        <w:t>级Ⅲ级是指体力活动明显受限，休息时无症状，轻于日常的活</w:t>
      </w:r>
      <w:r>
        <w:rPr>
          <w:spacing w:val="-2"/>
          <w:sz w:val="21"/>
        </w:rPr>
        <w:t>动即可引起充血性心力衰竭的症状。），或其同等级别；</w:t>
      </w:r>
    </w:p>
    <w:p>
      <w:pPr>
        <w:pStyle w:val="ListParagraph"/>
        <w:numPr>
          <w:ilvl w:val="1"/>
          <w:numId w:val="76"/>
        </w:numPr>
        <w:tabs>
          <w:tab w:pos="879" w:val="left" w:leader="none"/>
        </w:tabs>
        <w:spacing w:line="278" w:lineRule="auto" w:before="0" w:after="0"/>
        <w:ind w:left="349" w:right="1497" w:firstLine="0"/>
        <w:jc w:val="left"/>
        <w:rPr>
          <w:sz w:val="21"/>
        </w:rPr>
      </w:pPr>
      <w:r>
        <w:rPr>
          <w:spacing w:val="-2"/>
          <w:sz w:val="21"/>
        </w:rPr>
        <w:t>原发性心肌病的诊断必须由本公司认可医院的心脏专科</w:t>
      </w:r>
      <w:r>
        <w:rPr>
          <w:spacing w:val="-2"/>
          <w:sz w:val="21"/>
        </w:rPr>
        <w:t>医生确认，并提供心脏超声检查结果报告。</w:t>
      </w:r>
    </w:p>
    <w:p>
      <w:pPr>
        <w:pStyle w:val="BodyText"/>
        <w:spacing w:line="280" w:lineRule="auto" w:before="153"/>
        <w:ind w:left="349" w:right="1503"/>
        <w:jc w:val="both"/>
      </w:pPr>
      <w:r>
        <w:rPr>
          <w:spacing w:val="-2"/>
        </w:rPr>
        <w:t>本保障范围内的心肌病仅包括扩张型心肌病、肥厚型心肌病</w:t>
      </w:r>
      <w:r>
        <w:rPr>
          <w:spacing w:val="-2"/>
        </w:rPr>
        <w:t>及限制型心肌病。继发于全身性疾病或其他器官系统疾病及</w:t>
      </w:r>
      <w:r>
        <w:rPr>
          <w:spacing w:val="-2"/>
        </w:rPr>
        <w:t>酒精滥用造成的心肌病变不在保障范围内。</w:t>
      </w:r>
    </w:p>
    <w:p>
      <w:pPr>
        <w:spacing w:after="0" w:line="280" w:lineRule="auto"/>
        <w:jc w:val="both"/>
        <w:sectPr>
          <w:type w:val="continuous"/>
          <w:pgSz w:w="11910" w:h="16840"/>
          <w:pgMar w:header="0" w:footer="226" w:top="240" w:bottom="420" w:left="980" w:right="400"/>
          <w:cols w:num="2" w:equalWidth="0">
            <w:col w:w="3073" w:space="40"/>
            <w:col w:w="7417"/>
          </w:cols>
        </w:sectPr>
      </w:pPr>
    </w:p>
    <w:p>
      <w:pPr>
        <w:pStyle w:val="BodyText"/>
        <w:spacing w:before="4"/>
        <w:rPr>
          <w:sz w:val="19"/>
        </w:rPr>
      </w:pPr>
    </w:p>
    <w:p>
      <w:pPr>
        <w:spacing w:after="0"/>
        <w:rPr>
          <w:sz w:val="19"/>
        </w:rPr>
        <w:sectPr>
          <w:type w:val="continuous"/>
          <w:pgSz w:w="11910" w:h="16840"/>
          <w:pgMar w:header="0" w:footer="226" w:top="240" w:bottom="420" w:left="980" w:right="400"/>
        </w:sectPr>
      </w:pPr>
    </w:p>
    <w:p>
      <w:pPr>
        <w:pStyle w:val="Heading2"/>
        <w:numPr>
          <w:ilvl w:val="0"/>
          <w:numId w:val="72"/>
        </w:numPr>
        <w:tabs>
          <w:tab w:pos="2229" w:val="left" w:leader="none"/>
        </w:tabs>
        <w:spacing w:line="194" w:lineRule="auto" w:before="55" w:after="0"/>
        <w:ind w:left="1910" w:right="0" w:firstLine="0"/>
        <w:jc w:val="left"/>
      </w:pPr>
      <w:r>
        <w:rPr>
          <w:spacing w:val="-4"/>
        </w:rPr>
        <w:t>中度进行</w:t>
      </w:r>
      <w:r>
        <w:rPr>
          <w:spacing w:val="-2"/>
        </w:rPr>
        <w:t>性核上性麻痹</w:t>
      </w:r>
    </w:p>
    <w:p>
      <w:pPr>
        <w:pStyle w:val="BodyText"/>
        <w:spacing w:line="278" w:lineRule="auto" w:before="71"/>
        <w:ind w:left="244" w:right="1497"/>
        <w:jc w:val="both"/>
      </w:pPr>
      <w:r>
        <w:rPr/>
        <w:br w:type="column"/>
      </w:r>
      <w:r>
        <w:rPr>
          <w:spacing w:val="-9"/>
        </w:rPr>
        <w:t>指一种少见的神经系统变性疾病，以假球麻痹、垂直性核上性</w:t>
      </w:r>
      <w:r>
        <w:rPr>
          <w:spacing w:val="-14"/>
        </w:rPr>
        <w:t>眼肌麻痹、锥体外系肌僵直、步态共济失调和轻度痴呆为主要</w:t>
      </w:r>
      <w:r>
        <w:rPr>
          <w:spacing w:val="-13"/>
        </w:rPr>
        <w:t>临床特征。须满足自主生活能力严重丧失，无法独立完成六项</w:t>
      </w:r>
      <w:r>
        <w:rPr>
          <w:spacing w:val="-2"/>
        </w:rPr>
        <w:t>基本日常生活活动中的两项。但未达到本合同所定义的重度</w:t>
      </w:r>
      <w:r>
        <w:rPr>
          <w:spacing w:val="-6"/>
        </w:rPr>
        <w:t>疾病“进行性核上性麻痹”或“瘫痪”的标准。本病须经专科</w:t>
      </w:r>
      <w:r>
        <w:rPr>
          <w:spacing w:val="-2"/>
        </w:rPr>
        <w:t>医生明确诊断。</w:t>
      </w:r>
    </w:p>
    <w:p>
      <w:pPr>
        <w:spacing w:after="0" w:line="278" w:lineRule="auto"/>
        <w:jc w:val="both"/>
        <w:sectPr>
          <w:type w:val="continuous"/>
          <w:pgSz w:w="11910" w:h="16840"/>
          <w:pgMar w:header="0" w:footer="226" w:top="240" w:bottom="420" w:left="980" w:right="400"/>
          <w:cols w:num="2" w:equalWidth="0">
            <w:col w:w="3178" w:space="40"/>
            <w:col w:w="7312"/>
          </w:cols>
        </w:sectPr>
      </w:pPr>
    </w:p>
    <w:p>
      <w:pPr>
        <w:pStyle w:val="BodyText"/>
        <w:spacing w:before="11"/>
        <w:rPr>
          <w:sz w:val="19"/>
        </w:rPr>
      </w:pPr>
    </w:p>
    <w:p>
      <w:pPr>
        <w:spacing w:after="0"/>
        <w:rPr>
          <w:sz w:val="19"/>
        </w:rPr>
        <w:sectPr>
          <w:type w:val="continuous"/>
          <w:pgSz w:w="11910" w:h="16840"/>
          <w:pgMar w:header="0" w:footer="226" w:top="240" w:bottom="420" w:left="980" w:right="400"/>
        </w:sectPr>
      </w:pPr>
    </w:p>
    <w:p>
      <w:pPr>
        <w:pStyle w:val="Heading2"/>
        <w:numPr>
          <w:ilvl w:val="0"/>
          <w:numId w:val="72"/>
        </w:numPr>
        <w:tabs>
          <w:tab w:pos="2229" w:val="left" w:leader="none"/>
        </w:tabs>
        <w:spacing w:line="194" w:lineRule="auto" w:before="56" w:after="0"/>
        <w:ind w:left="1910" w:right="0" w:firstLine="0"/>
        <w:jc w:val="left"/>
      </w:pPr>
      <w:r>
        <w:rPr>
          <w:spacing w:val="-4"/>
        </w:rPr>
        <w:t>主动脉内</w:t>
      </w:r>
      <w:r>
        <w:rPr>
          <w:spacing w:val="-2"/>
        </w:rPr>
        <w:t>手术（非开胸</w:t>
      </w:r>
      <w:r>
        <w:rPr>
          <w:spacing w:val="-2"/>
        </w:rPr>
        <w:t>或开腹手术）</w:t>
      </w:r>
    </w:p>
    <w:p>
      <w:pPr>
        <w:pStyle w:val="BodyText"/>
        <w:spacing w:line="278" w:lineRule="auto" w:before="72"/>
        <w:ind w:left="244" w:right="1596"/>
        <w:jc w:val="both"/>
      </w:pPr>
      <w:r>
        <w:rPr/>
        <w:br w:type="column"/>
      </w:r>
      <w:r>
        <w:rPr>
          <w:spacing w:val="-2"/>
        </w:rPr>
        <w:t>为了治疗主动脉疾病实际实施了经皮经导管进行的主动脉内</w:t>
      </w:r>
      <w:r>
        <w:rPr>
          <w:spacing w:val="-2"/>
        </w:rPr>
        <w:t>手术，且未达到本合同所定义的的重度疾病“主动脉手术”</w:t>
      </w:r>
      <w:r>
        <w:rPr>
          <w:spacing w:val="-2"/>
        </w:rPr>
        <w:t>的赔付标准。</w:t>
      </w:r>
    </w:p>
    <w:p>
      <w:pPr>
        <w:pStyle w:val="BodyText"/>
        <w:spacing w:line="280" w:lineRule="auto" w:before="154"/>
        <w:ind w:left="244" w:right="1597"/>
      </w:pPr>
      <w:r>
        <w:rPr>
          <w:spacing w:val="-2"/>
        </w:rPr>
        <w:t>主动脉指升主动脉、主动脉弓和降主动脉（含胸主动脉和腹</w:t>
      </w:r>
      <w:r>
        <w:rPr>
          <w:spacing w:val="-2"/>
        </w:rPr>
        <w:t>主动脉</w:t>
      </w:r>
      <w:r>
        <w:rPr>
          <w:spacing w:val="-106"/>
        </w:rPr>
        <w:t>）</w:t>
      </w:r>
      <w:r>
        <w:rPr>
          <w:spacing w:val="-2"/>
        </w:rPr>
        <w:t>，不包括升主动脉、主动脉弓和降主动脉的分支血</w:t>
      </w:r>
      <w:r>
        <w:rPr>
          <w:spacing w:val="-6"/>
        </w:rPr>
        <w:t>管。</w:t>
      </w:r>
    </w:p>
    <w:p>
      <w:pPr>
        <w:spacing w:after="0" w:line="280" w:lineRule="auto"/>
        <w:sectPr>
          <w:type w:val="continuous"/>
          <w:pgSz w:w="11910" w:h="16840"/>
          <w:pgMar w:header="0" w:footer="226" w:top="240" w:bottom="420" w:left="980" w:right="400"/>
          <w:cols w:num="2" w:equalWidth="0">
            <w:col w:w="3178" w:space="40"/>
            <w:col w:w="7312"/>
          </w:cols>
        </w:sectPr>
      </w:pPr>
    </w:p>
    <w:p>
      <w:pPr>
        <w:pStyle w:val="Heading2"/>
        <w:numPr>
          <w:ilvl w:val="0"/>
          <w:numId w:val="72"/>
        </w:numPr>
        <w:tabs>
          <w:tab w:pos="2229" w:val="left" w:leader="none"/>
        </w:tabs>
        <w:spacing w:line="331" w:lineRule="exact" w:before="0" w:after="0"/>
        <w:ind w:left="2228" w:right="0" w:hanging="319"/>
        <w:jc w:val="left"/>
      </w:pPr>
      <w:r>
        <w:rPr>
          <w:spacing w:val="-3"/>
        </w:rPr>
        <w:t>单目失明</w:t>
      </w:r>
    </w:p>
    <w:p>
      <w:pPr>
        <w:spacing w:line="194" w:lineRule="auto" w:before="16"/>
        <w:ind w:left="1910" w:right="0" w:firstLine="0"/>
        <w:jc w:val="left"/>
        <w:rPr>
          <w:rFonts w:ascii="Microsoft JhengHei" w:hAnsi="Microsoft JhengHei" w:eastAsia="Microsoft JhengHei"/>
          <w:b/>
          <w:sz w:val="21"/>
        </w:rPr>
      </w:pPr>
      <w:r>
        <w:rPr>
          <w:rFonts w:ascii="Microsoft JhengHei" w:hAnsi="Microsoft JhengHei" w:eastAsia="Microsoft JhengHei"/>
          <w:b/>
          <w:spacing w:val="-2"/>
          <w:w w:val="95"/>
          <w:sz w:val="21"/>
        </w:rPr>
        <w:t>——</w:t>
      </w:r>
      <w:r>
        <w:rPr>
          <w:rFonts w:ascii="Microsoft JhengHei" w:hAnsi="Microsoft JhengHei" w:eastAsia="Microsoft JhengHei"/>
          <w:b/>
          <w:spacing w:val="-2"/>
          <w:w w:val="95"/>
          <w:sz w:val="21"/>
        </w:rPr>
        <w:t>三</w:t>
      </w:r>
      <w:r>
        <w:rPr>
          <w:rFonts w:ascii="Microsoft JhengHei" w:hAnsi="Microsoft JhengHei" w:eastAsia="Microsoft JhengHei"/>
          <w:b/>
          <w:spacing w:val="-2"/>
          <w:w w:val="95"/>
          <w:sz w:val="21"/>
        </w:rPr>
        <w:t>周</w:t>
      </w:r>
      <w:r>
        <w:rPr>
          <w:rFonts w:ascii="Microsoft JhengHei" w:hAnsi="Microsoft JhengHei" w:eastAsia="Microsoft JhengHei"/>
          <w:b/>
          <w:spacing w:val="-2"/>
          <w:w w:val="95"/>
          <w:sz w:val="21"/>
        </w:rPr>
        <w:t>岁</w:t>
      </w:r>
      <w:r>
        <w:rPr>
          <w:rFonts w:ascii="Microsoft JhengHei" w:hAnsi="Microsoft JhengHei" w:eastAsia="Microsoft JhengHei"/>
          <w:b/>
          <w:spacing w:val="-2"/>
          <w:w w:val="95"/>
          <w:sz w:val="21"/>
        </w:rPr>
        <w:t>始</w:t>
      </w:r>
      <w:r>
        <w:rPr>
          <w:rFonts w:ascii="Microsoft JhengHei" w:hAnsi="Microsoft JhengHei" w:eastAsia="Microsoft JhengHei"/>
          <w:b/>
          <w:spacing w:val="-6"/>
          <w:sz w:val="21"/>
        </w:rPr>
        <w:t>理赔</w:t>
      </w:r>
    </w:p>
    <w:p>
      <w:pPr>
        <w:pStyle w:val="BodyText"/>
        <w:spacing w:line="278" w:lineRule="auto" w:before="51"/>
        <w:ind w:left="243" w:right="1597"/>
        <w:jc w:val="both"/>
      </w:pPr>
      <w:r>
        <w:rPr/>
        <w:br w:type="column"/>
      </w:r>
      <w:r>
        <w:rPr>
          <w:spacing w:val="-2"/>
        </w:rPr>
        <w:t>指因疾病或意外伤害导致单眼视力永久不可逆性丧失，但未</w:t>
      </w:r>
      <w:r>
        <w:rPr>
          <w:spacing w:val="-2"/>
        </w:rPr>
        <w:t>达到本合同所定义的重度疾病“双目失明”的给付标准，但</w:t>
      </w:r>
      <w:r>
        <w:rPr>
          <w:spacing w:val="-2"/>
        </w:rPr>
        <w:t>患眼须满足下列至少一项条件：</w:t>
      </w:r>
    </w:p>
    <w:p>
      <w:pPr>
        <w:pStyle w:val="ListParagraph"/>
        <w:numPr>
          <w:ilvl w:val="0"/>
          <w:numId w:val="77"/>
        </w:numPr>
        <w:tabs>
          <w:tab w:pos="773" w:val="left" w:leader="none"/>
        </w:tabs>
        <w:spacing w:line="240" w:lineRule="auto" w:before="153" w:after="0"/>
        <w:ind w:left="772" w:right="0" w:hanging="530"/>
        <w:jc w:val="left"/>
        <w:rPr>
          <w:sz w:val="21"/>
        </w:rPr>
      </w:pPr>
      <w:r>
        <w:rPr>
          <w:spacing w:val="-4"/>
          <w:sz w:val="21"/>
        </w:rPr>
        <w:t>眼球缺失或摘除；</w:t>
      </w:r>
    </w:p>
    <w:p>
      <w:pPr>
        <w:pStyle w:val="ListParagraph"/>
        <w:numPr>
          <w:ilvl w:val="0"/>
          <w:numId w:val="77"/>
        </w:numPr>
        <w:tabs>
          <w:tab w:pos="773" w:val="left" w:leader="none"/>
        </w:tabs>
        <w:spacing w:line="278" w:lineRule="auto" w:before="48" w:after="0"/>
        <w:ind w:left="243" w:right="1649" w:firstLine="0"/>
        <w:jc w:val="left"/>
        <w:rPr>
          <w:sz w:val="21"/>
        </w:rPr>
      </w:pPr>
      <w:r>
        <w:rPr>
          <w:spacing w:val="-8"/>
          <w:sz w:val="21"/>
        </w:rPr>
        <w:t>矫正视力低于 </w:t>
      </w:r>
      <w:r>
        <w:rPr>
          <w:spacing w:val="-2"/>
          <w:sz w:val="21"/>
        </w:rPr>
        <w:t>0.02（采用国际标准视力表，如果使用</w:t>
      </w:r>
      <w:r>
        <w:rPr>
          <w:spacing w:val="-2"/>
          <w:sz w:val="21"/>
        </w:rPr>
        <w:t>其它视力表应进行换算</w:t>
      </w:r>
      <w:r>
        <w:rPr>
          <w:spacing w:val="-106"/>
          <w:sz w:val="21"/>
        </w:rPr>
        <w:t>）</w:t>
      </w:r>
      <w:r>
        <w:rPr>
          <w:sz w:val="21"/>
        </w:rPr>
        <w:t>；</w:t>
      </w:r>
    </w:p>
    <w:p>
      <w:pPr>
        <w:pStyle w:val="ListParagraph"/>
        <w:numPr>
          <w:ilvl w:val="0"/>
          <w:numId w:val="77"/>
        </w:numPr>
        <w:tabs>
          <w:tab w:pos="773" w:val="left" w:leader="none"/>
        </w:tabs>
        <w:spacing w:line="269" w:lineRule="exact" w:before="0" w:after="0"/>
        <w:ind w:left="772" w:right="0" w:hanging="530"/>
        <w:jc w:val="left"/>
        <w:rPr>
          <w:sz w:val="21"/>
        </w:rPr>
      </w:pPr>
      <w:r>
        <w:rPr>
          <w:spacing w:val="-9"/>
          <w:sz w:val="21"/>
        </w:rPr>
        <w:t>视野半径小于 </w:t>
      </w:r>
      <w:r>
        <w:rPr>
          <w:spacing w:val="-2"/>
          <w:sz w:val="21"/>
        </w:rPr>
        <w:t>5</w:t>
      </w:r>
      <w:r>
        <w:rPr>
          <w:spacing w:val="-22"/>
          <w:sz w:val="21"/>
        </w:rPr>
        <w:t> 度。</w:t>
      </w:r>
    </w:p>
    <w:p>
      <w:pPr>
        <w:pStyle w:val="BodyText"/>
        <w:spacing w:before="5"/>
        <w:rPr>
          <w:sz w:val="15"/>
        </w:rPr>
      </w:pPr>
    </w:p>
    <w:p>
      <w:pPr>
        <w:pStyle w:val="BodyText"/>
        <w:spacing w:line="278" w:lineRule="auto"/>
        <w:ind w:left="243" w:right="1597"/>
      </w:pPr>
      <w:r>
        <w:rPr>
          <w:spacing w:val="-2"/>
        </w:rPr>
        <w:t>诊断须在本公司认可的医院内由眼科专科医生确认，并且提</w:t>
      </w:r>
      <w:r>
        <w:rPr>
          <w:spacing w:val="-2"/>
        </w:rPr>
        <w:t>供理赔当时的视力丧失诊断及检查证据。</w:t>
      </w:r>
    </w:p>
    <w:p>
      <w:pPr>
        <w:pStyle w:val="BodyText"/>
        <w:spacing w:line="283" w:lineRule="auto" w:before="154"/>
        <w:ind w:left="243" w:right="1595"/>
      </w:pPr>
      <w:r>
        <w:rPr>
          <w:spacing w:val="-2"/>
        </w:rPr>
        <w:t>被保险人申请理赔时年龄必须在三周岁以上，并且提供视力</w:t>
      </w:r>
      <w:r>
        <w:rPr>
          <w:spacing w:val="-2"/>
        </w:rPr>
        <w:t>丧失诊断及检查证据。</w:t>
      </w:r>
    </w:p>
    <w:p>
      <w:pPr>
        <w:pStyle w:val="BodyText"/>
        <w:spacing w:line="278" w:lineRule="auto" w:before="147"/>
        <w:ind w:left="243" w:right="1597"/>
        <w:jc w:val="both"/>
      </w:pPr>
      <w:r>
        <w:rPr>
          <w:spacing w:val="-17"/>
        </w:rPr>
        <w:t>本公司对“视力严重受损”、“单目失明”和“角膜移植”三</w:t>
      </w:r>
      <w:r>
        <w:rPr>
          <w:spacing w:val="-2"/>
        </w:rPr>
        <w:t>项中的其中一项承担保险责任，给付其中一项保险金后，对</w:t>
      </w:r>
      <w:r>
        <w:rPr>
          <w:spacing w:val="-2"/>
        </w:rPr>
        <w:t>其它两项轻度疾病保险责任同时终止</w:t>
      </w:r>
    </w:p>
    <w:p>
      <w:pPr>
        <w:spacing w:after="0" w:line="278" w:lineRule="auto"/>
        <w:jc w:val="both"/>
        <w:sectPr>
          <w:pgSz w:w="11910" w:h="16840"/>
          <w:pgMar w:header="0" w:footer="226" w:top="820" w:bottom="420" w:left="980" w:right="400"/>
          <w:cols w:num="2" w:equalWidth="0">
            <w:col w:w="3179" w:space="40"/>
            <w:col w:w="7311"/>
          </w:cols>
        </w:sectPr>
      </w:pPr>
    </w:p>
    <w:p>
      <w:pPr>
        <w:pStyle w:val="BodyText"/>
        <w:spacing w:before="12"/>
        <w:rPr>
          <w:sz w:val="19"/>
        </w:rPr>
      </w:pPr>
    </w:p>
    <w:p>
      <w:pPr>
        <w:spacing w:after="0"/>
        <w:rPr>
          <w:sz w:val="19"/>
        </w:rPr>
        <w:sectPr>
          <w:type w:val="continuous"/>
          <w:pgSz w:w="11910" w:h="16840"/>
          <w:pgMar w:header="0" w:footer="226" w:top="240" w:bottom="420" w:left="980" w:right="400"/>
        </w:sectPr>
      </w:pPr>
    </w:p>
    <w:p>
      <w:pPr>
        <w:pStyle w:val="Heading2"/>
        <w:numPr>
          <w:ilvl w:val="0"/>
          <w:numId w:val="72"/>
        </w:numPr>
        <w:tabs>
          <w:tab w:pos="2229" w:val="left" w:leader="none"/>
        </w:tabs>
        <w:spacing w:line="194" w:lineRule="auto" w:before="55" w:after="0"/>
        <w:ind w:left="1910" w:right="0" w:firstLine="0"/>
        <w:jc w:val="left"/>
      </w:pPr>
      <w:r>
        <w:rPr>
          <w:spacing w:val="-4"/>
        </w:rPr>
        <w:t>视力严重</w:t>
      </w:r>
      <w:r>
        <w:rPr>
          <w:spacing w:val="-2"/>
          <w:w w:val="95"/>
        </w:rPr>
        <w:t>受</w:t>
      </w:r>
      <w:r>
        <w:rPr>
          <w:spacing w:val="-2"/>
          <w:w w:val="95"/>
        </w:rPr>
        <w:t>损</w:t>
      </w:r>
      <w:r>
        <w:rPr>
          <w:spacing w:val="-2"/>
          <w:w w:val="95"/>
        </w:rPr>
        <w:t>——三</w:t>
      </w:r>
      <w:r>
        <w:rPr>
          <w:spacing w:val="-2"/>
          <w:w w:val="95"/>
        </w:rPr>
        <w:t>周</w:t>
      </w:r>
      <w:r>
        <w:rPr>
          <w:spacing w:val="-4"/>
        </w:rPr>
        <w:t>岁始理赔</w:t>
      </w:r>
    </w:p>
    <w:p>
      <w:pPr>
        <w:pStyle w:val="BodyText"/>
        <w:spacing w:line="278" w:lineRule="auto" w:before="71"/>
        <w:ind w:left="243" w:right="1389"/>
      </w:pPr>
      <w:r>
        <w:rPr/>
        <w:br w:type="column"/>
      </w:r>
      <w:r>
        <w:rPr>
          <w:w w:val="100"/>
        </w:rPr>
        <w:t>指因疾病或者意外伤害导致双眼视力永久不可逆性丧失，且</w:t>
      </w:r>
      <w:r>
        <w:rPr>
          <w:spacing w:val="-6"/>
          <w:w w:val="100"/>
        </w:rPr>
        <w:t>未达到本合同所定义的重度疾病“双目失明——永久不可逆”</w:t>
      </w:r>
      <w:r>
        <w:rPr>
          <w:spacing w:val="-3"/>
          <w:w w:val="100"/>
        </w:rPr>
        <w:t>的给付标准，但满足下列条件之一：</w:t>
      </w:r>
    </w:p>
    <w:p>
      <w:pPr>
        <w:pStyle w:val="ListParagraph"/>
        <w:numPr>
          <w:ilvl w:val="0"/>
          <w:numId w:val="78"/>
        </w:numPr>
        <w:tabs>
          <w:tab w:pos="773" w:val="left" w:leader="none"/>
        </w:tabs>
        <w:spacing w:line="283" w:lineRule="auto" w:before="154" w:after="0"/>
        <w:ind w:left="243" w:right="1438" w:firstLine="0"/>
        <w:jc w:val="left"/>
        <w:rPr>
          <w:sz w:val="21"/>
        </w:rPr>
      </w:pPr>
      <w:r>
        <w:rPr>
          <w:spacing w:val="-2"/>
          <w:sz w:val="21"/>
        </w:rPr>
        <w:t>双眼中较好眼矫正视力低于</w:t>
      </w:r>
      <w:r>
        <w:rPr>
          <w:rFonts w:ascii="Times New Roman" w:eastAsia="Times New Roman"/>
          <w:spacing w:val="-2"/>
          <w:sz w:val="21"/>
        </w:rPr>
        <w:t>0.1</w:t>
      </w:r>
      <w:r>
        <w:rPr>
          <w:spacing w:val="-2"/>
          <w:sz w:val="21"/>
        </w:rPr>
        <w:t>（采用国际标准视力表，</w:t>
      </w:r>
      <w:r>
        <w:rPr>
          <w:spacing w:val="-2"/>
          <w:sz w:val="21"/>
        </w:rPr>
        <w:t>如果使用其他视力表应进行换算</w:t>
      </w:r>
      <w:r>
        <w:rPr>
          <w:spacing w:val="-106"/>
          <w:sz w:val="21"/>
        </w:rPr>
        <w:t>）</w:t>
      </w:r>
      <w:r>
        <w:rPr>
          <w:sz w:val="21"/>
        </w:rPr>
        <w:t>；</w:t>
      </w:r>
    </w:p>
    <w:p>
      <w:pPr>
        <w:pStyle w:val="ListParagraph"/>
        <w:numPr>
          <w:ilvl w:val="0"/>
          <w:numId w:val="78"/>
        </w:numPr>
        <w:tabs>
          <w:tab w:pos="773" w:val="left" w:leader="none"/>
        </w:tabs>
        <w:spacing w:line="263" w:lineRule="exact" w:before="0" w:after="0"/>
        <w:ind w:left="772" w:right="0" w:hanging="530"/>
        <w:jc w:val="left"/>
        <w:rPr>
          <w:sz w:val="21"/>
        </w:rPr>
      </w:pPr>
      <w:r>
        <w:rPr>
          <w:spacing w:val="-2"/>
          <w:sz w:val="21"/>
        </w:rPr>
        <w:t>双眼中较好眼视野半径小于</w:t>
      </w:r>
      <w:r>
        <w:rPr>
          <w:rFonts w:ascii="Times New Roman" w:eastAsia="Times New Roman"/>
          <w:spacing w:val="-2"/>
          <w:sz w:val="21"/>
        </w:rPr>
        <w:t>20</w:t>
      </w:r>
      <w:r>
        <w:rPr>
          <w:spacing w:val="-6"/>
          <w:sz w:val="21"/>
        </w:rPr>
        <w:t>度。</w:t>
      </w:r>
    </w:p>
    <w:p>
      <w:pPr>
        <w:pStyle w:val="BodyText"/>
        <w:spacing w:line="278" w:lineRule="auto" w:before="196"/>
        <w:ind w:left="243" w:right="1500"/>
      </w:pPr>
      <w:r>
        <w:rPr>
          <w:spacing w:val="-2"/>
        </w:rPr>
        <w:t>被保险人申请理赔时年龄必须在三周岁以上，并且提供视力</w:t>
      </w:r>
      <w:r>
        <w:rPr>
          <w:spacing w:val="-2"/>
        </w:rPr>
        <w:t>丧失诊断及检查证据。</w:t>
      </w:r>
    </w:p>
    <w:p>
      <w:pPr>
        <w:pStyle w:val="BodyText"/>
        <w:spacing w:line="280" w:lineRule="auto" w:before="154"/>
        <w:ind w:left="243" w:right="1497"/>
        <w:jc w:val="both"/>
      </w:pPr>
      <w:r>
        <w:rPr>
          <w:spacing w:val="-13"/>
        </w:rPr>
        <w:t>本公司对“视力严重受损”</w:t>
      </w:r>
      <w:r>
        <w:rPr>
          <w:spacing w:val="-16"/>
        </w:rPr>
        <w:t>、“单目失明”和“角膜移植”三项</w:t>
      </w:r>
      <w:r>
        <w:rPr>
          <w:spacing w:val="-10"/>
        </w:rPr>
        <w:t>中的其中一项承担保险责任，给付其中一项保险金后，对其它</w:t>
      </w:r>
      <w:r>
        <w:rPr>
          <w:spacing w:val="-2"/>
        </w:rPr>
        <w:t>两项轻度疾病保险责任同时终止。</w:t>
      </w:r>
    </w:p>
    <w:p>
      <w:pPr>
        <w:spacing w:after="0" w:line="280" w:lineRule="auto"/>
        <w:jc w:val="both"/>
        <w:sectPr>
          <w:type w:val="continuous"/>
          <w:pgSz w:w="11910" w:h="16840"/>
          <w:pgMar w:header="0" w:footer="226" w:top="240" w:bottom="420" w:left="980" w:right="400"/>
          <w:cols w:num="2" w:equalWidth="0">
            <w:col w:w="3179" w:space="40"/>
            <w:col w:w="7311"/>
          </w:cols>
        </w:sectPr>
      </w:pPr>
    </w:p>
    <w:p>
      <w:pPr>
        <w:pStyle w:val="BodyText"/>
        <w:spacing w:before="4"/>
        <w:rPr>
          <w:sz w:val="19"/>
        </w:rPr>
      </w:pPr>
    </w:p>
    <w:p>
      <w:pPr>
        <w:pStyle w:val="ListParagraph"/>
        <w:numPr>
          <w:ilvl w:val="0"/>
          <w:numId w:val="72"/>
        </w:numPr>
        <w:tabs>
          <w:tab w:pos="2229" w:val="left" w:leader="none"/>
        </w:tabs>
        <w:spacing w:line="259" w:lineRule="auto" w:before="2" w:after="0"/>
        <w:ind w:left="3462" w:right="1503" w:hanging="1552"/>
        <w:jc w:val="both"/>
        <w:rPr>
          <w:sz w:val="21"/>
        </w:rPr>
      </w:pPr>
      <w:r>
        <w:rPr>
          <w:rFonts w:ascii="Microsoft JhengHei" w:eastAsia="Microsoft JhengHei"/>
          <w:b/>
          <w:sz w:val="21"/>
        </w:rPr>
        <w:t>角膜移植</w:t>
      </w:r>
      <w:r>
        <w:rPr>
          <w:rFonts w:ascii="Microsoft JhengHei" w:eastAsia="Microsoft JhengHei"/>
          <w:b/>
          <w:spacing w:val="80"/>
          <w:w w:val="150"/>
          <w:sz w:val="21"/>
        </w:rPr>
        <w:t>  </w:t>
      </w:r>
      <w:r>
        <w:rPr>
          <w:sz w:val="21"/>
        </w:rPr>
        <w:t>指为增进视力或治疗某些角膜疾患，已经实施了异体的角膜</w:t>
      </w:r>
      <w:r>
        <w:rPr>
          <w:spacing w:val="-2"/>
          <w:sz w:val="21"/>
        </w:rPr>
        <w:t>移植手术。此手术必须在本公司认可医院内由专科医生认为</w:t>
      </w:r>
      <w:r>
        <w:rPr>
          <w:spacing w:val="-2"/>
          <w:sz w:val="21"/>
        </w:rPr>
        <w:t>是医疗必须的情况下进行。</w:t>
      </w:r>
    </w:p>
    <w:p>
      <w:pPr>
        <w:pStyle w:val="BodyText"/>
        <w:spacing w:line="278" w:lineRule="auto" w:before="166"/>
        <w:ind w:left="3462" w:right="1498"/>
        <w:jc w:val="both"/>
      </w:pPr>
      <w:r>
        <w:rPr>
          <w:spacing w:val="-6"/>
        </w:rPr>
        <w:t>本公司对“视力严重受损”、“单目失明”和“角膜移植”三</w:t>
      </w:r>
      <w:r>
        <w:rPr>
          <w:spacing w:val="-9"/>
        </w:rPr>
        <w:t>项中的其中一项承担保险责任，给付其中一项保险金后，对其</w:t>
      </w:r>
      <w:r>
        <w:rPr>
          <w:spacing w:val="-2"/>
        </w:rPr>
        <w:t>它两项轻度疾病保险责任同时终止。</w:t>
      </w:r>
    </w:p>
    <w:p>
      <w:pPr>
        <w:pStyle w:val="BodyText"/>
        <w:spacing w:before="6"/>
        <w:rPr>
          <w:sz w:val="19"/>
        </w:rPr>
      </w:pPr>
    </w:p>
    <w:p>
      <w:pPr>
        <w:spacing w:after="0"/>
        <w:rPr>
          <w:sz w:val="19"/>
        </w:rPr>
        <w:sectPr>
          <w:type w:val="continuous"/>
          <w:pgSz w:w="11910" w:h="16840"/>
          <w:pgMar w:header="0" w:footer="226" w:top="240" w:bottom="420" w:left="980" w:right="400"/>
        </w:sectPr>
      </w:pPr>
    </w:p>
    <w:p>
      <w:pPr>
        <w:pStyle w:val="Heading2"/>
        <w:numPr>
          <w:ilvl w:val="0"/>
          <w:numId w:val="72"/>
        </w:numPr>
        <w:tabs>
          <w:tab w:pos="2229" w:val="left" w:leader="none"/>
        </w:tabs>
        <w:spacing w:line="196" w:lineRule="auto" w:before="53" w:after="0"/>
        <w:ind w:left="1910" w:right="0" w:firstLine="0"/>
        <w:jc w:val="left"/>
      </w:pPr>
      <w:r>
        <w:rPr>
          <w:spacing w:val="-4"/>
        </w:rPr>
        <w:t>严重甲型</w:t>
      </w:r>
      <w:r>
        <w:rPr>
          <w:spacing w:val="-2"/>
        </w:rPr>
        <w:t>及乙型血友病</w:t>
      </w:r>
    </w:p>
    <w:p>
      <w:pPr>
        <w:pStyle w:val="BodyText"/>
        <w:spacing w:line="280" w:lineRule="auto" w:before="72"/>
        <w:ind w:left="244" w:right="1701"/>
        <w:jc w:val="both"/>
      </w:pPr>
      <w:r>
        <w:rPr/>
        <w:br w:type="column"/>
      </w:r>
      <w:r>
        <w:rPr>
          <w:spacing w:val="-4"/>
        </w:rPr>
        <w:t>被保人必须是患上严重甲型血友病（</w:t>
      </w:r>
      <w:r>
        <w:rPr>
          <w:spacing w:val="-6"/>
        </w:rPr>
        <w:t>缺乏 </w:t>
      </w:r>
      <w:r>
        <w:rPr>
          <w:spacing w:val="-4"/>
        </w:rPr>
        <w:t>VIII</w:t>
      </w:r>
      <w:r>
        <w:rPr>
          <w:spacing w:val="-8"/>
        </w:rPr>
        <w:t> 凝血因子</w:t>
      </w:r>
      <w:r>
        <w:rPr>
          <w:spacing w:val="-4"/>
        </w:rPr>
        <w:t>）</w:t>
      </w:r>
      <w:r>
        <w:rPr>
          <w:spacing w:val="-2"/>
        </w:rPr>
        <w:t>或严重乙型血友病（</w:t>
      </w:r>
      <w:r>
        <w:rPr>
          <w:spacing w:val="-10"/>
        </w:rPr>
        <w:t>缺乏 </w:t>
      </w:r>
      <w:r>
        <w:rPr>
          <w:spacing w:val="-2"/>
        </w:rPr>
        <w:t>IX</w:t>
      </w:r>
      <w:r>
        <w:rPr>
          <w:spacing w:val="-7"/>
        </w:rPr>
        <w:t> 凝血因子</w:t>
      </w:r>
      <w:r>
        <w:rPr>
          <w:spacing w:val="-111"/>
        </w:rPr>
        <w:t>）</w:t>
      </w:r>
      <w:r>
        <w:rPr>
          <w:spacing w:val="-6"/>
        </w:rPr>
        <w:t>，而凝血因子 </w:t>
      </w:r>
      <w:r>
        <w:rPr>
          <w:spacing w:val="-2"/>
        </w:rPr>
        <w:t>VIII</w:t>
      </w:r>
      <w:r>
        <w:rPr>
          <w:spacing w:val="-6"/>
        </w:rPr>
        <w:t>或凝血因子 </w:t>
      </w:r>
      <w:r>
        <w:rPr>
          <w:spacing w:val="-4"/>
        </w:rPr>
        <w:t>IX</w:t>
      </w:r>
      <w:r>
        <w:rPr>
          <w:spacing w:val="-7"/>
        </w:rPr>
        <w:t> 的活性水平少于百分之一。诊断必须由本公</w:t>
      </w:r>
      <w:r>
        <w:rPr>
          <w:spacing w:val="-2"/>
        </w:rPr>
        <w:t>司认可医院的的血液病专科医生确认。</w:t>
      </w:r>
    </w:p>
    <w:p>
      <w:pPr>
        <w:pStyle w:val="BodyText"/>
        <w:spacing w:line="278" w:lineRule="auto" w:before="148"/>
        <w:ind w:left="244" w:right="1597"/>
      </w:pPr>
      <w:r>
        <w:rPr>
          <w:spacing w:val="-2"/>
        </w:rPr>
        <w:t>本公司承担本项疾病责任不受本合同责任免除中“遗传性疾</w:t>
      </w:r>
      <w:r>
        <w:rPr>
          <w:spacing w:val="-2"/>
        </w:rPr>
        <w:t>病、先天性畸形、变形或染色体异常”的限制。</w:t>
      </w:r>
    </w:p>
    <w:p>
      <w:pPr>
        <w:spacing w:after="0" w:line="278" w:lineRule="auto"/>
        <w:sectPr>
          <w:type w:val="continuous"/>
          <w:pgSz w:w="11910" w:h="16840"/>
          <w:pgMar w:header="0" w:footer="226" w:top="240" w:bottom="420" w:left="980" w:right="400"/>
          <w:cols w:num="2" w:equalWidth="0">
            <w:col w:w="3178" w:space="40"/>
            <w:col w:w="7312"/>
          </w:cols>
        </w:sectPr>
      </w:pPr>
    </w:p>
    <w:p>
      <w:pPr>
        <w:pStyle w:val="BodyText"/>
        <w:spacing w:before="1"/>
        <w:rPr>
          <w:sz w:val="25"/>
        </w:rPr>
      </w:pPr>
    </w:p>
    <w:p>
      <w:pPr>
        <w:spacing w:after="0"/>
        <w:rPr>
          <w:sz w:val="25"/>
        </w:rPr>
        <w:sectPr>
          <w:type w:val="continuous"/>
          <w:pgSz w:w="11910" w:h="16840"/>
          <w:pgMar w:header="0" w:footer="226" w:top="240" w:bottom="420" w:left="980" w:right="400"/>
        </w:sectPr>
      </w:pPr>
    </w:p>
    <w:p>
      <w:pPr>
        <w:pStyle w:val="Heading2"/>
        <w:numPr>
          <w:ilvl w:val="0"/>
          <w:numId w:val="72"/>
        </w:numPr>
        <w:tabs>
          <w:tab w:pos="2229" w:val="left" w:leader="none"/>
        </w:tabs>
        <w:spacing w:line="194" w:lineRule="auto" w:before="56" w:after="0"/>
        <w:ind w:left="1910" w:right="0" w:firstLine="0"/>
        <w:jc w:val="left"/>
      </w:pPr>
      <w:r>
        <w:rPr>
          <w:spacing w:val="-4"/>
        </w:rPr>
        <w:t>糖尿病导</w:t>
      </w:r>
      <w:r>
        <w:rPr>
          <w:spacing w:val="-2"/>
        </w:rPr>
        <w:t>致单足截除</w:t>
      </w:r>
    </w:p>
    <w:p>
      <w:pPr>
        <w:pStyle w:val="BodyText"/>
        <w:spacing w:line="278" w:lineRule="auto" w:before="72"/>
        <w:ind w:left="349" w:right="1597"/>
        <w:jc w:val="both"/>
      </w:pPr>
      <w:r>
        <w:rPr/>
        <w:br w:type="column"/>
      </w:r>
      <w:r>
        <w:rPr>
          <w:spacing w:val="-2"/>
        </w:rPr>
        <w:t>因糖尿病引起的神经及血管病变累及足部，为了维持生命在</w:t>
      </w:r>
      <w:r>
        <w:rPr>
          <w:spacing w:val="-2"/>
        </w:rPr>
        <w:t>本公司认可医院内已经进行了医疗必须的由足踝或以上位置</w:t>
      </w:r>
      <w:r>
        <w:rPr>
          <w:spacing w:val="-2"/>
        </w:rPr>
        <w:t>的单足截除手术。</w:t>
      </w:r>
    </w:p>
    <w:p>
      <w:pPr>
        <w:spacing w:after="0" w:line="278" w:lineRule="auto"/>
        <w:jc w:val="both"/>
        <w:sectPr>
          <w:type w:val="continuous"/>
          <w:pgSz w:w="11910" w:h="16840"/>
          <w:pgMar w:header="0" w:footer="226" w:top="240" w:bottom="420" w:left="980" w:right="400"/>
          <w:cols w:num="2" w:equalWidth="0">
            <w:col w:w="3073" w:space="40"/>
            <w:col w:w="7417"/>
          </w:cols>
        </w:sectPr>
      </w:pPr>
    </w:p>
    <w:p>
      <w:pPr>
        <w:pStyle w:val="BodyText"/>
        <w:spacing w:line="278" w:lineRule="auto" w:before="51"/>
        <w:ind w:left="3462" w:right="1597"/>
      </w:pPr>
      <w:r>
        <w:rPr>
          <w:spacing w:val="-2"/>
        </w:rPr>
        <w:t>切除多只脚趾或因任何其他原因引起的截除术不在保障范围</w:t>
      </w:r>
      <w:r>
        <w:rPr>
          <w:spacing w:val="-6"/>
        </w:rPr>
        <w:t>内。</w:t>
      </w:r>
    </w:p>
    <w:p>
      <w:pPr>
        <w:pStyle w:val="BodyText"/>
        <w:spacing w:before="11"/>
        <w:rPr>
          <w:sz w:val="19"/>
        </w:rPr>
      </w:pPr>
    </w:p>
    <w:p>
      <w:pPr>
        <w:spacing w:after="0"/>
        <w:rPr>
          <w:sz w:val="19"/>
        </w:rPr>
        <w:sectPr>
          <w:pgSz w:w="11910" w:h="16840"/>
          <w:pgMar w:header="0" w:footer="226" w:top="820" w:bottom="420" w:left="980" w:right="400"/>
        </w:sectPr>
      </w:pPr>
    </w:p>
    <w:p>
      <w:pPr>
        <w:pStyle w:val="Heading2"/>
        <w:numPr>
          <w:ilvl w:val="0"/>
          <w:numId w:val="72"/>
        </w:numPr>
        <w:tabs>
          <w:tab w:pos="2229" w:val="left" w:leader="none"/>
        </w:tabs>
        <w:spacing w:line="194" w:lineRule="auto" w:before="55" w:after="0"/>
        <w:ind w:left="1910" w:right="0" w:firstLine="0"/>
        <w:jc w:val="left"/>
      </w:pPr>
      <w:r>
        <w:rPr>
          <w:spacing w:val="-4"/>
        </w:rPr>
        <w:t>中度肠道</w:t>
      </w:r>
      <w:r>
        <w:rPr>
          <w:spacing w:val="-4"/>
        </w:rPr>
        <w:t>并发症</w:t>
      </w:r>
    </w:p>
    <w:p>
      <w:pPr>
        <w:pStyle w:val="BodyText"/>
        <w:spacing w:line="278" w:lineRule="auto" w:before="72"/>
        <w:ind w:left="349" w:right="1597"/>
        <w:jc w:val="both"/>
      </w:pPr>
      <w:r>
        <w:rPr/>
        <w:br w:type="column"/>
      </w:r>
      <w:r>
        <w:rPr>
          <w:spacing w:val="-2"/>
        </w:rPr>
        <w:t>严重肠道疾病或外伤导致小肠损害并发症，且未达到本合同</w:t>
      </w:r>
      <w:r>
        <w:rPr>
          <w:spacing w:val="-2"/>
        </w:rPr>
        <w:t>所定义的重度疾病“严重肠道疾病并发症”的标准。本疾病</w:t>
      </w:r>
      <w:r>
        <w:rPr>
          <w:spacing w:val="-2"/>
        </w:rPr>
        <w:t>须满足以下所有条件：</w:t>
      </w:r>
    </w:p>
    <w:p>
      <w:pPr>
        <w:pStyle w:val="ListParagraph"/>
        <w:numPr>
          <w:ilvl w:val="1"/>
          <w:numId w:val="78"/>
        </w:numPr>
        <w:tabs>
          <w:tab w:pos="879" w:val="left" w:leader="none"/>
        </w:tabs>
        <w:spacing w:line="240" w:lineRule="auto" w:before="154" w:after="0"/>
        <w:ind w:left="878" w:right="0" w:hanging="530"/>
        <w:jc w:val="left"/>
        <w:rPr>
          <w:sz w:val="21"/>
        </w:rPr>
      </w:pPr>
      <w:r>
        <w:rPr>
          <w:spacing w:val="-3"/>
          <w:sz w:val="21"/>
        </w:rPr>
        <w:t>至少切除了二分之一小肠；</w:t>
      </w:r>
    </w:p>
    <w:p>
      <w:pPr>
        <w:pStyle w:val="ListParagraph"/>
        <w:numPr>
          <w:ilvl w:val="1"/>
          <w:numId w:val="78"/>
        </w:numPr>
        <w:tabs>
          <w:tab w:pos="879" w:val="left" w:leader="none"/>
        </w:tabs>
        <w:spacing w:line="240" w:lineRule="auto" w:before="47" w:after="0"/>
        <w:ind w:left="878" w:right="0" w:hanging="530"/>
        <w:jc w:val="left"/>
        <w:rPr>
          <w:sz w:val="21"/>
        </w:rPr>
      </w:pPr>
      <w:r>
        <w:rPr>
          <w:spacing w:val="-3"/>
          <w:sz w:val="21"/>
        </w:rPr>
        <w:t>完全肠外营养支持二个月以上。</w:t>
      </w:r>
    </w:p>
    <w:p>
      <w:pPr>
        <w:spacing w:after="0" w:line="240" w:lineRule="auto"/>
        <w:jc w:val="left"/>
        <w:rPr>
          <w:sz w:val="21"/>
        </w:rPr>
        <w:sectPr>
          <w:type w:val="continuous"/>
          <w:pgSz w:w="11910" w:h="16840"/>
          <w:pgMar w:header="0" w:footer="226" w:top="240" w:bottom="420" w:left="980" w:right="400"/>
          <w:cols w:num="2" w:equalWidth="0">
            <w:col w:w="3073" w:space="40"/>
            <w:col w:w="7417"/>
          </w:cols>
        </w:sectPr>
      </w:pPr>
    </w:p>
    <w:p>
      <w:pPr>
        <w:pStyle w:val="BodyText"/>
        <w:spacing w:before="12"/>
        <w:rPr>
          <w:sz w:val="22"/>
        </w:rPr>
      </w:pPr>
    </w:p>
    <w:p>
      <w:pPr>
        <w:spacing w:after="0"/>
        <w:rPr>
          <w:sz w:val="22"/>
        </w:rPr>
        <w:sectPr>
          <w:type w:val="continuous"/>
          <w:pgSz w:w="11910" w:h="16840"/>
          <w:pgMar w:header="0" w:footer="226" w:top="240" w:bottom="420" w:left="980" w:right="400"/>
        </w:sectPr>
      </w:pPr>
    </w:p>
    <w:p>
      <w:pPr>
        <w:pStyle w:val="Heading2"/>
        <w:numPr>
          <w:ilvl w:val="0"/>
          <w:numId w:val="72"/>
        </w:numPr>
        <w:tabs>
          <w:tab w:pos="2229" w:val="left" w:leader="none"/>
        </w:tabs>
        <w:spacing w:line="351" w:lineRule="exact" w:before="2" w:after="0"/>
        <w:ind w:left="2228" w:right="0" w:hanging="319"/>
        <w:jc w:val="left"/>
      </w:pPr>
      <w:r>
        <w:rPr>
          <w:spacing w:val="-4"/>
        </w:rPr>
        <w:t>脑垂体</w:t>
      </w:r>
    </w:p>
    <w:p>
      <w:pPr>
        <w:spacing w:line="194" w:lineRule="auto" w:before="18"/>
        <w:ind w:left="1910" w:right="0" w:firstLine="0"/>
        <w:jc w:val="both"/>
        <w:rPr>
          <w:rFonts w:ascii="Microsoft JhengHei" w:eastAsia="Microsoft JhengHei"/>
          <w:b/>
          <w:sz w:val="21"/>
        </w:rPr>
      </w:pPr>
      <w:r>
        <w:rPr>
          <w:rFonts w:ascii="Microsoft JhengHei" w:eastAsia="Microsoft JhengHei"/>
          <w:b/>
          <w:spacing w:val="-2"/>
          <w:sz w:val="21"/>
        </w:rPr>
        <w:t>瘤、脑囊肿、</w:t>
      </w:r>
      <w:r>
        <w:rPr>
          <w:rFonts w:ascii="Microsoft JhengHei" w:eastAsia="Microsoft JhengHei"/>
          <w:b/>
          <w:spacing w:val="-2"/>
          <w:sz w:val="21"/>
        </w:rPr>
        <w:t>脑动脉瘤及脑</w:t>
      </w:r>
      <w:r>
        <w:rPr>
          <w:rFonts w:ascii="Microsoft JhengHei" w:eastAsia="Microsoft JhengHei"/>
          <w:b/>
          <w:spacing w:val="-4"/>
          <w:sz w:val="21"/>
        </w:rPr>
        <w:t>血管瘤</w:t>
      </w:r>
    </w:p>
    <w:p>
      <w:pPr>
        <w:pStyle w:val="BodyText"/>
        <w:spacing w:line="280" w:lineRule="auto" w:before="71"/>
        <w:ind w:left="244" w:right="1495"/>
        <w:jc w:val="both"/>
      </w:pPr>
      <w:r>
        <w:rPr/>
        <w:br w:type="column"/>
      </w:r>
      <w:r>
        <w:rPr>
          <w:spacing w:val="-2"/>
        </w:rPr>
        <w:t>指经头颅断层扫描（CT）、核磁共振检查（MRI）或者其他影</w:t>
      </w:r>
      <w:r>
        <w:rPr>
          <w:spacing w:val="-2"/>
        </w:rPr>
        <w:t>像学检查被确诊为下列病变，并实际接受了手术或者放射治</w:t>
      </w:r>
      <w:r>
        <w:rPr>
          <w:spacing w:val="-4"/>
        </w:rPr>
        <w:t>疗，且未达到本合同所定义的重度疾病“颅脑手术”的给付标</w:t>
      </w:r>
      <w:r>
        <w:rPr>
          <w:spacing w:val="-6"/>
        </w:rPr>
        <w:t>准：</w:t>
      </w:r>
    </w:p>
    <w:p>
      <w:pPr>
        <w:pStyle w:val="ListParagraph"/>
        <w:numPr>
          <w:ilvl w:val="0"/>
          <w:numId w:val="79"/>
        </w:numPr>
        <w:tabs>
          <w:tab w:pos="774" w:val="left" w:leader="none"/>
        </w:tabs>
        <w:spacing w:line="240" w:lineRule="auto" w:before="147" w:after="0"/>
        <w:ind w:left="773" w:right="0" w:hanging="530"/>
        <w:jc w:val="left"/>
        <w:rPr>
          <w:sz w:val="21"/>
        </w:rPr>
      </w:pPr>
      <w:r>
        <w:rPr>
          <w:spacing w:val="-4"/>
          <w:sz w:val="21"/>
        </w:rPr>
        <w:t>脑垂体瘤；</w:t>
      </w:r>
    </w:p>
    <w:p>
      <w:pPr>
        <w:pStyle w:val="ListParagraph"/>
        <w:numPr>
          <w:ilvl w:val="0"/>
          <w:numId w:val="79"/>
        </w:numPr>
        <w:tabs>
          <w:tab w:pos="774" w:val="left" w:leader="none"/>
        </w:tabs>
        <w:spacing w:line="240" w:lineRule="auto" w:before="44" w:after="0"/>
        <w:ind w:left="773" w:right="0" w:hanging="530"/>
        <w:jc w:val="left"/>
        <w:rPr>
          <w:sz w:val="21"/>
        </w:rPr>
      </w:pPr>
      <w:r>
        <w:rPr>
          <w:spacing w:val="-4"/>
          <w:sz w:val="21"/>
        </w:rPr>
        <w:t>脑囊肿；</w:t>
      </w:r>
    </w:p>
    <w:p>
      <w:pPr>
        <w:pStyle w:val="ListParagraph"/>
        <w:numPr>
          <w:ilvl w:val="0"/>
          <w:numId w:val="79"/>
        </w:numPr>
        <w:tabs>
          <w:tab w:pos="774" w:val="left" w:leader="none"/>
        </w:tabs>
        <w:spacing w:line="240" w:lineRule="auto" w:before="43" w:after="0"/>
        <w:ind w:left="773" w:right="0" w:hanging="530"/>
        <w:jc w:val="left"/>
        <w:rPr>
          <w:sz w:val="21"/>
        </w:rPr>
      </w:pPr>
      <w:r>
        <w:rPr>
          <w:spacing w:val="-3"/>
          <w:sz w:val="21"/>
        </w:rPr>
        <w:t>脑动脉瘤、脑血管瘤。</w:t>
      </w:r>
    </w:p>
    <w:p>
      <w:pPr>
        <w:pStyle w:val="BodyText"/>
        <w:spacing w:before="4"/>
        <w:rPr>
          <w:sz w:val="15"/>
        </w:rPr>
      </w:pPr>
    </w:p>
    <w:p>
      <w:pPr>
        <w:pStyle w:val="BodyText"/>
        <w:spacing w:line="280" w:lineRule="auto"/>
        <w:ind w:left="244" w:right="1496"/>
        <w:jc w:val="both"/>
      </w:pPr>
      <w:r>
        <w:rPr>
          <w:spacing w:val="-6"/>
        </w:rPr>
        <w:t>本公司对“微创颅脑手术”和“脑垂体瘤、脑囊肿、脑动脉瘤</w:t>
      </w:r>
      <w:r>
        <w:rPr>
          <w:spacing w:val="-13"/>
        </w:rPr>
        <w:t>及脑血管瘤”两项中的其中一项承担保险责任，给付其中一项</w:t>
      </w:r>
      <w:r>
        <w:rPr>
          <w:spacing w:val="-2"/>
        </w:rPr>
        <w:t>保险金后，对另一项轻度疾病保险责任同时终止。</w:t>
      </w:r>
    </w:p>
    <w:p>
      <w:pPr>
        <w:spacing w:after="0" w:line="280" w:lineRule="auto"/>
        <w:jc w:val="both"/>
        <w:sectPr>
          <w:type w:val="continuous"/>
          <w:pgSz w:w="11910" w:h="16840"/>
          <w:pgMar w:header="0" w:footer="226" w:top="240" w:bottom="420" w:left="980" w:right="400"/>
          <w:cols w:num="2" w:equalWidth="0">
            <w:col w:w="3178" w:space="40"/>
            <w:col w:w="7312"/>
          </w:cols>
        </w:sectPr>
      </w:pPr>
    </w:p>
    <w:p>
      <w:pPr>
        <w:pStyle w:val="BodyText"/>
        <w:spacing w:before="4"/>
        <w:rPr>
          <w:sz w:val="19"/>
        </w:rPr>
      </w:pPr>
    </w:p>
    <w:p>
      <w:pPr>
        <w:spacing w:after="0"/>
        <w:rPr>
          <w:sz w:val="19"/>
        </w:rPr>
        <w:sectPr>
          <w:type w:val="continuous"/>
          <w:pgSz w:w="11910" w:h="16840"/>
          <w:pgMar w:header="0" w:footer="226" w:top="240" w:bottom="420" w:left="980" w:right="400"/>
        </w:sectPr>
      </w:pPr>
    </w:p>
    <w:p>
      <w:pPr>
        <w:pStyle w:val="Heading2"/>
        <w:numPr>
          <w:ilvl w:val="0"/>
          <w:numId w:val="72"/>
        </w:numPr>
        <w:tabs>
          <w:tab w:pos="2229" w:val="left" w:leader="none"/>
        </w:tabs>
        <w:spacing w:line="194" w:lineRule="auto" w:before="55" w:after="0"/>
        <w:ind w:left="1910" w:right="0" w:firstLine="0"/>
        <w:jc w:val="left"/>
      </w:pPr>
      <w:r>
        <w:rPr>
          <w:spacing w:val="-4"/>
        </w:rPr>
        <w:t>微创颅脑</w:t>
      </w:r>
      <w:r>
        <w:rPr>
          <w:spacing w:val="-6"/>
        </w:rPr>
        <w:t>手术</w:t>
      </w:r>
    </w:p>
    <w:p>
      <w:pPr>
        <w:pStyle w:val="BodyText"/>
        <w:spacing w:line="278" w:lineRule="auto" w:before="71"/>
        <w:ind w:left="349" w:right="1503"/>
      </w:pPr>
      <w:r>
        <w:rPr/>
        <w:br w:type="column"/>
      </w:r>
      <w:r>
        <w:rPr>
          <w:spacing w:val="-2"/>
        </w:rPr>
        <w:t>因疾病被保险人确已实施全麻下的颅骨钻孔手术或者经鼻蝶</w:t>
      </w:r>
      <w:r>
        <w:rPr>
          <w:spacing w:val="-2"/>
        </w:rPr>
        <w:t>窦入颅手术。</w:t>
      </w:r>
    </w:p>
    <w:p>
      <w:pPr>
        <w:pStyle w:val="BodyText"/>
        <w:spacing w:before="154"/>
        <w:ind w:left="349"/>
      </w:pPr>
      <w:r>
        <w:rPr>
          <w:spacing w:val="-3"/>
        </w:rPr>
        <w:t>因外伤而实施的脑外科手术不在保障范围内。</w:t>
      </w:r>
    </w:p>
    <w:p>
      <w:pPr>
        <w:pStyle w:val="BodyText"/>
        <w:spacing w:before="9"/>
        <w:rPr>
          <w:sz w:val="15"/>
        </w:rPr>
      </w:pPr>
    </w:p>
    <w:p>
      <w:pPr>
        <w:pStyle w:val="BodyText"/>
        <w:spacing w:line="278" w:lineRule="auto"/>
        <w:ind w:left="349" w:right="1496"/>
        <w:jc w:val="both"/>
      </w:pPr>
      <w:r>
        <w:rPr>
          <w:spacing w:val="-6"/>
        </w:rPr>
        <w:t>本公司对“微创颅脑手术”和“脑垂体瘤、脑囊肿、脑动脉瘤</w:t>
      </w:r>
      <w:r>
        <w:rPr>
          <w:spacing w:val="-13"/>
        </w:rPr>
        <w:t>及脑血管瘤”两项中的其中一项承担保险责任，给付其中一项</w:t>
      </w:r>
      <w:r>
        <w:rPr>
          <w:spacing w:val="-2"/>
        </w:rPr>
        <w:t>保险金后，对另一项轻度疾病保险责任同时终止。</w:t>
      </w:r>
    </w:p>
    <w:p>
      <w:pPr>
        <w:spacing w:after="0" w:line="278" w:lineRule="auto"/>
        <w:jc w:val="both"/>
        <w:sectPr>
          <w:type w:val="continuous"/>
          <w:pgSz w:w="11910" w:h="16840"/>
          <w:pgMar w:header="0" w:footer="226" w:top="240" w:bottom="420" w:left="980" w:right="400"/>
          <w:cols w:num="2" w:equalWidth="0">
            <w:col w:w="3073" w:space="40"/>
            <w:col w:w="7417"/>
          </w:cols>
        </w:sectPr>
      </w:pPr>
    </w:p>
    <w:p>
      <w:pPr>
        <w:pStyle w:val="BodyText"/>
        <w:spacing w:before="11"/>
        <w:rPr>
          <w:sz w:val="19"/>
        </w:rPr>
      </w:pPr>
    </w:p>
    <w:p>
      <w:pPr>
        <w:spacing w:after="0"/>
        <w:rPr>
          <w:sz w:val="19"/>
        </w:rPr>
        <w:sectPr>
          <w:type w:val="continuous"/>
          <w:pgSz w:w="11910" w:h="16840"/>
          <w:pgMar w:header="0" w:footer="226" w:top="240" w:bottom="420" w:left="980" w:right="400"/>
        </w:sectPr>
      </w:pPr>
    </w:p>
    <w:p>
      <w:pPr>
        <w:pStyle w:val="Heading2"/>
        <w:numPr>
          <w:ilvl w:val="0"/>
          <w:numId w:val="72"/>
        </w:numPr>
        <w:tabs>
          <w:tab w:pos="2229" w:val="left" w:leader="none"/>
        </w:tabs>
        <w:spacing w:line="194" w:lineRule="auto" w:before="56" w:after="0"/>
        <w:ind w:left="1910" w:right="0" w:firstLine="0"/>
        <w:jc w:val="left"/>
      </w:pPr>
      <w:r>
        <w:rPr>
          <w:spacing w:val="-4"/>
        </w:rPr>
        <w:t>中度阿尔</w:t>
      </w:r>
      <w:r>
        <w:rPr>
          <w:spacing w:val="-4"/>
        </w:rPr>
        <w:t>茨海默病</w:t>
      </w:r>
    </w:p>
    <w:p>
      <w:pPr>
        <w:pStyle w:val="BodyText"/>
        <w:spacing w:line="278" w:lineRule="auto" w:before="72"/>
        <w:ind w:left="349" w:right="1597"/>
      </w:pPr>
      <w:r>
        <w:rPr/>
        <w:br w:type="column"/>
      </w:r>
      <w:r>
        <w:rPr>
          <w:spacing w:val="-2"/>
        </w:rPr>
        <w:t>指因大脑进行性、不可逆性改变导致智能严重衰退或丧失，</w:t>
      </w:r>
      <w:r>
        <w:rPr>
          <w:spacing w:val="-2"/>
        </w:rPr>
        <w:t>临床表现为明显的认知能力障碍、行为异常和社交能力减</w:t>
      </w:r>
      <w:r>
        <w:rPr/>
        <w:t> </w:t>
      </w:r>
      <w:r>
        <w:rPr>
          <w:spacing w:val="-2"/>
        </w:rPr>
        <w:t>退，其日常生活必须持续受到他人监护。</w:t>
      </w:r>
    </w:p>
    <w:p>
      <w:pPr>
        <w:pStyle w:val="BodyText"/>
        <w:spacing w:line="278" w:lineRule="auto" w:before="154"/>
        <w:ind w:left="349" w:right="1596"/>
      </w:pPr>
      <w:r>
        <w:rPr>
          <w:spacing w:val="-2"/>
        </w:rPr>
        <w:t>须由头颅断层扫描(CT)、核磁共振检查（MRI）或正电子发</w:t>
      </w:r>
      <w:r>
        <w:rPr>
          <w:spacing w:val="-2"/>
        </w:rPr>
        <w:t>射断层扫描（PET）等影像学检查证实，并且自主生活能力</w:t>
      </w:r>
      <w:r>
        <w:rPr>
          <w:spacing w:val="-2"/>
        </w:rPr>
        <w:t>严重丧失，经鉴定无法独立完成六项基本日常生活活动中的</w:t>
      </w:r>
      <w:r>
        <w:rPr>
          <w:spacing w:val="-2"/>
        </w:rPr>
        <w:t>两项，但未达到本合同所定义的重度疾病“严重阿尔茨海默</w:t>
      </w:r>
      <w:r>
        <w:rPr>
          <w:spacing w:val="-2"/>
        </w:rPr>
        <w:t>病”或“瘫痪”的给付标准。</w:t>
      </w:r>
    </w:p>
    <w:p>
      <w:pPr>
        <w:pStyle w:val="BodyText"/>
        <w:spacing w:before="158"/>
        <w:ind w:left="349"/>
      </w:pPr>
      <w:r>
        <w:rPr>
          <w:spacing w:val="-3"/>
        </w:rPr>
        <w:t>以下情况不在保障范围内：</w:t>
      </w:r>
    </w:p>
    <w:p>
      <w:pPr>
        <w:pStyle w:val="BodyText"/>
        <w:spacing w:before="4"/>
        <w:rPr>
          <w:sz w:val="15"/>
        </w:rPr>
      </w:pPr>
    </w:p>
    <w:p>
      <w:pPr>
        <w:pStyle w:val="ListParagraph"/>
        <w:numPr>
          <w:ilvl w:val="1"/>
          <w:numId w:val="79"/>
        </w:numPr>
        <w:tabs>
          <w:tab w:pos="879" w:val="left" w:leader="none"/>
        </w:tabs>
        <w:spacing w:line="240" w:lineRule="auto" w:before="0" w:after="0"/>
        <w:ind w:left="878" w:right="0" w:hanging="530"/>
        <w:jc w:val="left"/>
        <w:rPr>
          <w:sz w:val="21"/>
        </w:rPr>
      </w:pPr>
      <w:r>
        <w:rPr>
          <w:spacing w:val="-3"/>
          <w:sz w:val="21"/>
        </w:rPr>
        <w:t>存在酒精滥用、药物滥用或获得性免疫缺陷综合征</w:t>
      </w:r>
    </w:p>
    <w:p>
      <w:pPr>
        <w:pStyle w:val="BodyText"/>
        <w:spacing w:before="49"/>
        <w:ind w:left="349"/>
      </w:pPr>
      <w:r>
        <w:rPr>
          <w:spacing w:val="-2"/>
        </w:rPr>
        <w:t>（AIDS）</w:t>
      </w:r>
      <w:r>
        <w:rPr>
          <w:spacing w:val="-4"/>
        </w:rPr>
        <w:t>情况下的痴呆；</w:t>
      </w:r>
    </w:p>
    <w:p>
      <w:pPr>
        <w:pStyle w:val="ListParagraph"/>
        <w:numPr>
          <w:ilvl w:val="1"/>
          <w:numId w:val="79"/>
        </w:numPr>
        <w:tabs>
          <w:tab w:pos="879" w:val="left" w:leader="none"/>
        </w:tabs>
        <w:spacing w:line="240" w:lineRule="auto" w:before="43" w:after="0"/>
        <w:ind w:left="878" w:right="0" w:hanging="530"/>
        <w:jc w:val="left"/>
        <w:rPr>
          <w:sz w:val="21"/>
        </w:rPr>
      </w:pPr>
      <w:r>
        <w:rPr>
          <w:spacing w:val="-3"/>
          <w:sz w:val="21"/>
        </w:rPr>
        <w:t>神经官能症和精神疾病。</w:t>
      </w:r>
    </w:p>
    <w:p>
      <w:pPr>
        <w:spacing w:after="0" w:line="240" w:lineRule="auto"/>
        <w:jc w:val="left"/>
        <w:rPr>
          <w:sz w:val="21"/>
        </w:rPr>
        <w:sectPr>
          <w:type w:val="continuous"/>
          <w:pgSz w:w="11910" w:h="16840"/>
          <w:pgMar w:header="0" w:footer="226" w:top="240" w:bottom="420" w:left="980" w:right="400"/>
          <w:cols w:num="2" w:equalWidth="0">
            <w:col w:w="3073" w:space="40"/>
            <w:col w:w="7417"/>
          </w:cols>
        </w:sectPr>
      </w:pPr>
    </w:p>
    <w:p>
      <w:pPr>
        <w:pStyle w:val="BodyText"/>
        <w:spacing w:before="10"/>
        <w:rPr>
          <w:sz w:val="22"/>
        </w:rPr>
      </w:pPr>
    </w:p>
    <w:p>
      <w:pPr>
        <w:spacing w:after="0"/>
        <w:rPr>
          <w:sz w:val="22"/>
        </w:rPr>
        <w:sectPr>
          <w:type w:val="continuous"/>
          <w:pgSz w:w="11910" w:h="16840"/>
          <w:pgMar w:header="0" w:footer="226" w:top="240" w:bottom="420" w:left="980" w:right="400"/>
        </w:sectPr>
      </w:pPr>
    </w:p>
    <w:p>
      <w:pPr>
        <w:pStyle w:val="Heading2"/>
        <w:numPr>
          <w:ilvl w:val="0"/>
          <w:numId w:val="72"/>
        </w:numPr>
        <w:tabs>
          <w:tab w:pos="2229" w:val="left" w:leader="none"/>
        </w:tabs>
        <w:spacing w:line="196" w:lineRule="auto" w:before="53" w:after="0"/>
        <w:ind w:left="1910" w:right="0" w:firstLine="0"/>
        <w:jc w:val="left"/>
      </w:pPr>
      <w:r>
        <w:rPr>
          <w:spacing w:val="-4"/>
        </w:rPr>
        <w:t>单个肢体</w:t>
      </w:r>
      <w:r>
        <w:rPr>
          <w:spacing w:val="-6"/>
        </w:rPr>
        <w:t>缺失</w:t>
      </w:r>
    </w:p>
    <w:p>
      <w:pPr>
        <w:pStyle w:val="BodyText"/>
        <w:spacing w:line="280" w:lineRule="auto" w:before="72"/>
        <w:ind w:left="349" w:right="1597"/>
      </w:pPr>
      <w:r>
        <w:rPr/>
        <w:br w:type="column"/>
      </w:r>
      <w:r>
        <w:rPr>
          <w:spacing w:val="-2"/>
        </w:rPr>
        <w:t>指一个肢体自腕关节或踝关节近端（靠近躯干端）以上完全</w:t>
      </w:r>
      <w:r>
        <w:rPr>
          <w:spacing w:val="-2"/>
        </w:rPr>
        <w:t>性断离，但未达到本合同所定义的重度疾病“多个肢体缺</w:t>
      </w:r>
      <w:r>
        <w:rPr/>
        <w:t> </w:t>
      </w:r>
      <w:r>
        <w:rPr>
          <w:spacing w:val="-2"/>
        </w:rPr>
        <w:t>失”的给付标准。</w:t>
      </w:r>
    </w:p>
    <w:p>
      <w:pPr>
        <w:spacing w:after="0" w:line="280" w:lineRule="auto"/>
        <w:sectPr>
          <w:type w:val="continuous"/>
          <w:pgSz w:w="11910" w:h="16840"/>
          <w:pgMar w:header="0" w:footer="226" w:top="240" w:bottom="420" w:left="980" w:right="400"/>
          <w:cols w:num="2" w:equalWidth="0">
            <w:col w:w="3073" w:space="40"/>
            <w:col w:w="7417"/>
          </w:cols>
        </w:sectPr>
      </w:pPr>
    </w:p>
    <w:p>
      <w:pPr>
        <w:pStyle w:val="BodyText"/>
        <w:spacing w:line="278" w:lineRule="auto" w:before="51"/>
        <w:ind w:left="3462" w:right="1809"/>
      </w:pPr>
      <w:r>
        <w:rPr>
          <w:spacing w:val="-2"/>
        </w:rPr>
        <w:t>因“糖尿病导致单足切除”或者因“恶性肿瘤导致肢体切</w:t>
      </w:r>
      <w:r>
        <w:rPr>
          <w:spacing w:val="-2"/>
        </w:rPr>
        <w:t>除”导致的单个肢体缺失不在本项保障范围内。</w:t>
      </w:r>
    </w:p>
    <w:p>
      <w:pPr>
        <w:pStyle w:val="BodyText"/>
        <w:spacing w:before="11"/>
        <w:rPr>
          <w:sz w:val="19"/>
        </w:rPr>
      </w:pPr>
    </w:p>
    <w:p>
      <w:pPr>
        <w:spacing w:after="0"/>
        <w:rPr>
          <w:sz w:val="19"/>
        </w:rPr>
        <w:sectPr>
          <w:pgSz w:w="11910" w:h="16840"/>
          <w:pgMar w:header="0" w:footer="226" w:top="820" w:bottom="420" w:left="980" w:right="400"/>
        </w:sectPr>
      </w:pPr>
    </w:p>
    <w:p>
      <w:pPr>
        <w:pStyle w:val="Heading2"/>
        <w:numPr>
          <w:ilvl w:val="0"/>
          <w:numId w:val="72"/>
        </w:numPr>
        <w:tabs>
          <w:tab w:pos="2229" w:val="left" w:leader="none"/>
        </w:tabs>
        <w:spacing w:line="194" w:lineRule="auto" w:before="55" w:after="0"/>
        <w:ind w:left="1910" w:right="0" w:firstLine="0"/>
        <w:jc w:val="left"/>
      </w:pPr>
      <w:r>
        <w:rPr>
          <w:spacing w:val="-4"/>
        </w:rPr>
        <w:t>中度原发</w:t>
      </w:r>
      <w:r>
        <w:rPr>
          <w:spacing w:val="-2"/>
        </w:rPr>
        <w:t>性帕金森氏病</w:t>
      </w:r>
    </w:p>
    <w:p>
      <w:pPr>
        <w:pStyle w:val="BodyText"/>
        <w:spacing w:line="278" w:lineRule="auto" w:before="72"/>
        <w:ind w:left="244" w:right="1597"/>
        <w:jc w:val="both"/>
      </w:pPr>
      <w:r>
        <w:rPr/>
        <w:br w:type="column"/>
      </w:r>
      <w:r>
        <w:rPr>
          <w:spacing w:val="-2"/>
        </w:rPr>
        <w:t>是一种中枢神经系统的退行性疾病，临床表现为震颤麻痹、</w:t>
      </w:r>
      <w:r>
        <w:rPr>
          <w:spacing w:val="-2"/>
        </w:rPr>
        <w:t>共济失调等。须同时符合下列所有条件，且未达到本合同所</w:t>
      </w:r>
      <w:r>
        <w:rPr>
          <w:spacing w:val="-2"/>
        </w:rPr>
        <w:t>定义的重度疾病“严重原发性帕金森病”或“瘫痪”的给付</w:t>
      </w:r>
      <w:r>
        <w:rPr>
          <w:spacing w:val="-4"/>
        </w:rPr>
        <w:t>标准：</w:t>
      </w:r>
    </w:p>
    <w:p>
      <w:pPr>
        <w:pStyle w:val="ListParagraph"/>
        <w:numPr>
          <w:ilvl w:val="0"/>
          <w:numId w:val="80"/>
        </w:numPr>
        <w:tabs>
          <w:tab w:pos="774" w:val="left" w:leader="none"/>
        </w:tabs>
        <w:spacing w:line="240" w:lineRule="auto" w:before="153" w:after="0"/>
        <w:ind w:left="773" w:right="0" w:hanging="530"/>
        <w:jc w:val="left"/>
        <w:rPr>
          <w:sz w:val="21"/>
        </w:rPr>
      </w:pPr>
      <w:r>
        <w:rPr>
          <w:spacing w:val="-3"/>
          <w:sz w:val="21"/>
        </w:rPr>
        <w:t>无法通过药物控制；</w:t>
      </w:r>
    </w:p>
    <w:p>
      <w:pPr>
        <w:pStyle w:val="ListParagraph"/>
        <w:numPr>
          <w:ilvl w:val="0"/>
          <w:numId w:val="80"/>
        </w:numPr>
        <w:tabs>
          <w:tab w:pos="774" w:val="left" w:leader="none"/>
        </w:tabs>
        <w:spacing w:line="240" w:lineRule="auto" w:before="48" w:after="0"/>
        <w:ind w:left="773" w:right="0" w:hanging="530"/>
        <w:jc w:val="left"/>
        <w:rPr>
          <w:sz w:val="21"/>
        </w:rPr>
      </w:pPr>
      <w:r>
        <w:rPr>
          <w:spacing w:val="-3"/>
          <w:sz w:val="21"/>
        </w:rPr>
        <w:t>出现逐步退化客观征状；</w:t>
      </w:r>
    </w:p>
    <w:p>
      <w:pPr>
        <w:pStyle w:val="ListParagraph"/>
        <w:numPr>
          <w:ilvl w:val="0"/>
          <w:numId w:val="80"/>
        </w:numPr>
        <w:tabs>
          <w:tab w:pos="774" w:val="left" w:leader="none"/>
        </w:tabs>
        <w:spacing w:line="278" w:lineRule="auto" w:before="43" w:after="0"/>
        <w:ind w:left="244" w:right="1702" w:firstLine="0"/>
        <w:jc w:val="left"/>
        <w:rPr>
          <w:sz w:val="21"/>
        </w:rPr>
      </w:pPr>
      <w:r>
        <w:rPr>
          <w:spacing w:val="-8"/>
          <w:sz w:val="21"/>
        </w:rPr>
        <w:t>经鉴定至少持续 </w:t>
      </w:r>
      <w:r>
        <w:rPr>
          <w:spacing w:val="-2"/>
          <w:sz w:val="21"/>
        </w:rPr>
        <w:t>180</w:t>
      </w:r>
      <w:r>
        <w:rPr>
          <w:spacing w:val="-9"/>
          <w:sz w:val="21"/>
        </w:rPr>
        <w:t> 天无法独立完成六项基本日常生</w:t>
      </w:r>
      <w:r>
        <w:rPr>
          <w:spacing w:val="-2"/>
          <w:sz w:val="21"/>
        </w:rPr>
        <w:t>活活动中的二项。</w:t>
      </w:r>
    </w:p>
    <w:p>
      <w:pPr>
        <w:pStyle w:val="BodyText"/>
        <w:spacing w:before="154"/>
        <w:ind w:left="244"/>
      </w:pPr>
      <w:r>
        <w:rPr>
          <w:spacing w:val="-3"/>
        </w:rPr>
        <w:t>继发性帕金森综合征不在保障范围内。</w:t>
      </w:r>
    </w:p>
    <w:p>
      <w:pPr>
        <w:spacing w:after="0"/>
        <w:sectPr>
          <w:type w:val="continuous"/>
          <w:pgSz w:w="11910" w:h="16840"/>
          <w:pgMar w:header="0" w:footer="226" w:top="240" w:bottom="420" w:left="980" w:right="400"/>
          <w:cols w:num="2" w:equalWidth="0">
            <w:col w:w="3178" w:space="40"/>
            <w:col w:w="7312"/>
          </w:cols>
        </w:sectPr>
      </w:pPr>
    </w:p>
    <w:p>
      <w:pPr>
        <w:pStyle w:val="BodyText"/>
        <w:spacing w:before="3"/>
        <w:rPr>
          <w:sz w:val="23"/>
        </w:rPr>
      </w:pPr>
    </w:p>
    <w:p>
      <w:pPr>
        <w:spacing w:after="0"/>
        <w:rPr>
          <w:sz w:val="23"/>
        </w:rPr>
        <w:sectPr>
          <w:type w:val="continuous"/>
          <w:pgSz w:w="11910" w:h="16840"/>
          <w:pgMar w:header="0" w:footer="226" w:top="240" w:bottom="420" w:left="980" w:right="400"/>
        </w:sectPr>
      </w:pPr>
    </w:p>
    <w:p>
      <w:pPr>
        <w:pStyle w:val="Heading2"/>
        <w:numPr>
          <w:ilvl w:val="0"/>
          <w:numId w:val="72"/>
        </w:numPr>
        <w:tabs>
          <w:tab w:pos="2229" w:val="left" w:leader="none"/>
        </w:tabs>
        <w:spacing w:line="194" w:lineRule="auto" w:before="55" w:after="0"/>
        <w:ind w:left="1910" w:right="0" w:firstLine="0"/>
        <w:jc w:val="left"/>
      </w:pPr>
      <w:r>
        <w:rPr>
          <w:spacing w:val="-4"/>
        </w:rPr>
        <w:t>全身较小</w:t>
      </w:r>
      <w:r>
        <w:rPr>
          <w:spacing w:val="-2"/>
        </w:rPr>
        <w:t>面积Ⅲ度烧伤</w:t>
      </w:r>
    </w:p>
    <w:p>
      <w:pPr>
        <w:pStyle w:val="BodyText"/>
        <w:spacing w:line="278" w:lineRule="auto" w:before="71"/>
        <w:ind w:left="244" w:right="1648"/>
        <w:jc w:val="both"/>
      </w:pPr>
      <w:r>
        <w:rPr/>
        <w:br w:type="column"/>
      </w:r>
      <w:r>
        <w:rPr>
          <w:spacing w:val="-3"/>
        </w:rPr>
        <w:t>指烧伤程度为Ⅲ度，且Ⅲ度烧伤面积为全身体表面积的 </w:t>
      </w:r>
      <w:r>
        <w:rPr>
          <w:spacing w:val="-2"/>
        </w:rPr>
        <w:t>10%</w:t>
      </w:r>
      <w:r>
        <w:rPr>
          <w:spacing w:val="-9"/>
        </w:rPr>
        <w:t>或者 </w:t>
      </w:r>
      <w:r>
        <w:rPr/>
        <w:t>10%</w:t>
      </w:r>
      <w:r>
        <w:rPr>
          <w:spacing w:val="-3"/>
        </w:rPr>
        <w:t>以上，但尚未达到 </w:t>
      </w:r>
      <w:r>
        <w:rPr/>
        <w:t>20%。体表面积根据《中国新九</w:t>
      </w:r>
      <w:r>
        <w:rPr>
          <w:spacing w:val="-2"/>
        </w:rPr>
        <w:t>分法》计算。</w:t>
      </w:r>
    </w:p>
    <w:p>
      <w:pPr>
        <w:spacing w:after="0" w:line="278" w:lineRule="auto"/>
        <w:jc w:val="both"/>
        <w:sectPr>
          <w:type w:val="continuous"/>
          <w:pgSz w:w="11910" w:h="16840"/>
          <w:pgMar w:header="0" w:footer="226" w:top="240" w:bottom="420" w:left="980" w:right="400"/>
          <w:cols w:num="2" w:equalWidth="0">
            <w:col w:w="3178" w:space="40"/>
            <w:col w:w="7312"/>
          </w:cols>
        </w:sectPr>
      </w:pPr>
    </w:p>
    <w:p>
      <w:pPr>
        <w:pStyle w:val="BodyText"/>
        <w:spacing w:before="7"/>
        <w:rPr>
          <w:sz w:val="19"/>
        </w:rPr>
      </w:pPr>
    </w:p>
    <w:p>
      <w:pPr>
        <w:spacing w:after="0"/>
        <w:rPr>
          <w:sz w:val="19"/>
        </w:rPr>
        <w:sectPr>
          <w:type w:val="continuous"/>
          <w:pgSz w:w="11910" w:h="16840"/>
          <w:pgMar w:header="0" w:footer="226" w:top="240" w:bottom="420" w:left="980" w:right="400"/>
        </w:sectPr>
      </w:pPr>
    </w:p>
    <w:p>
      <w:pPr>
        <w:pStyle w:val="Heading2"/>
        <w:numPr>
          <w:ilvl w:val="0"/>
          <w:numId w:val="72"/>
        </w:numPr>
        <w:tabs>
          <w:tab w:pos="2229" w:val="left" w:leader="none"/>
        </w:tabs>
        <w:spacing w:line="196" w:lineRule="auto" w:before="53" w:after="0"/>
        <w:ind w:left="1910" w:right="0" w:firstLine="0"/>
        <w:jc w:val="left"/>
      </w:pPr>
      <w:r>
        <w:rPr>
          <w:spacing w:val="-4"/>
        </w:rPr>
        <w:t>特定的系</w:t>
      </w:r>
      <w:r>
        <w:rPr>
          <w:spacing w:val="-2"/>
        </w:rPr>
        <w:t>统性红斑狼疮</w:t>
      </w:r>
    </w:p>
    <w:p>
      <w:pPr>
        <w:pStyle w:val="BodyText"/>
        <w:spacing w:line="280" w:lineRule="auto" w:before="72"/>
        <w:ind w:left="244" w:right="1701"/>
        <w:jc w:val="both"/>
      </w:pPr>
      <w:r>
        <w:rPr/>
        <w:br w:type="column"/>
      </w:r>
      <w:r>
        <w:rPr>
          <w:spacing w:val="-2"/>
        </w:rPr>
        <w:t>指诊断为系统性红斑狼疮，且满足下列全部条件,并且未达</w:t>
      </w:r>
      <w:r>
        <w:rPr>
          <w:spacing w:val="-2"/>
        </w:rPr>
        <w:t>到本合同所定义的重度疾病“系统性红斑狼疮 －</w:t>
      </w:r>
      <w:r>
        <w:rPr/>
        <w:t>（并发） </w:t>
      </w:r>
      <w:r>
        <w:rPr>
          <w:spacing w:val="-2"/>
        </w:rPr>
        <w:t>Ⅲ型或以上狼疮性肾炎”或“严重慢性肾衰竭”的标准：</w:t>
      </w:r>
    </w:p>
    <w:p>
      <w:pPr>
        <w:pStyle w:val="ListParagraph"/>
        <w:numPr>
          <w:ilvl w:val="0"/>
          <w:numId w:val="81"/>
        </w:numPr>
        <w:tabs>
          <w:tab w:pos="774" w:val="left" w:leader="none"/>
        </w:tabs>
        <w:spacing w:line="240" w:lineRule="auto" w:before="150" w:after="0"/>
        <w:ind w:left="773" w:right="0" w:hanging="530"/>
        <w:jc w:val="left"/>
        <w:rPr>
          <w:sz w:val="21"/>
        </w:rPr>
      </w:pPr>
      <w:r>
        <w:rPr>
          <w:spacing w:val="-3"/>
          <w:sz w:val="21"/>
        </w:rPr>
        <w:t>在下列五项情况中出现最少两项：</w:t>
      </w:r>
    </w:p>
    <w:p>
      <w:pPr>
        <w:pStyle w:val="ListParagraph"/>
        <w:numPr>
          <w:ilvl w:val="1"/>
          <w:numId w:val="81"/>
        </w:numPr>
        <w:tabs>
          <w:tab w:pos="879" w:val="left" w:leader="none"/>
        </w:tabs>
        <w:spacing w:line="278" w:lineRule="auto" w:before="43" w:after="0"/>
        <w:ind w:left="666" w:right="1597" w:firstLine="0"/>
        <w:jc w:val="left"/>
        <w:rPr>
          <w:sz w:val="21"/>
        </w:rPr>
      </w:pPr>
      <w:r>
        <w:rPr>
          <w:spacing w:val="-2"/>
          <w:sz w:val="21"/>
        </w:rPr>
        <w:t>关节炎：非磨损性关节炎，需涉及两个或两个以上关</w:t>
      </w:r>
      <w:r>
        <w:rPr>
          <w:spacing w:val="-6"/>
          <w:sz w:val="21"/>
        </w:rPr>
        <w:t>节；</w:t>
      </w:r>
    </w:p>
    <w:p>
      <w:pPr>
        <w:pStyle w:val="ListParagraph"/>
        <w:numPr>
          <w:ilvl w:val="1"/>
          <w:numId w:val="81"/>
        </w:numPr>
        <w:tabs>
          <w:tab w:pos="879" w:val="left" w:leader="none"/>
        </w:tabs>
        <w:spacing w:line="269" w:lineRule="exact" w:before="0" w:after="0"/>
        <w:ind w:left="878" w:right="0" w:hanging="213"/>
        <w:jc w:val="left"/>
        <w:rPr>
          <w:sz w:val="21"/>
        </w:rPr>
      </w:pPr>
      <w:r>
        <w:rPr>
          <w:spacing w:val="-3"/>
          <w:sz w:val="21"/>
        </w:rPr>
        <w:t>浆膜炎：胸膜炎或心包炎；</w:t>
      </w:r>
    </w:p>
    <w:p>
      <w:pPr>
        <w:pStyle w:val="ListParagraph"/>
        <w:numPr>
          <w:ilvl w:val="1"/>
          <w:numId w:val="81"/>
        </w:numPr>
        <w:tabs>
          <w:tab w:pos="879" w:val="left" w:leader="none"/>
        </w:tabs>
        <w:spacing w:line="278" w:lineRule="auto" w:before="44" w:after="0"/>
        <w:ind w:left="666" w:right="1543" w:firstLine="0"/>
        <w:jc w:val="left"/>
        <w:rPr>
          <w:sz w:val="21"/>
        </w:rPr>
      </w:pPr>
      <w:r>
        <w:rPr>
          <w:sz w:val="21"/>
        </w:rPr>
        <w:t>肾病：24</w:t>
      </w:r>
      <w:r>
        <w:rPr>
          <w:spacing w:val="-12"/>
          <w:sz w:val="21"/>
        </w:rPr>
        <w:t> 小时尿蛋白定量达到 </w:t>
      </w:r>
      <w:r>
        <w:rPr>
          <w:sz w:val="21"/>
        </w:rPr>
        <w:t>0.5</w:t>
      </w:r>
      <w:r>
        <w:rPr>
          <w:spacing w:val="-8"/>
          <w:sz w:val="21"/>
        </w:rPr>
        <w:t> 克，或尿液检查出</w:t>
      </w:r>
      <w:r>
        <w:rPr>
          <w:spacing w:val="-2"/>
          <w:sz w:val="21"/>
        </w:rPr>
        <w:t>现细胞管型；</w:t>
      </w:r>
    </w:p>
    <w:p>
      <w:pPr>
        <w:pStyle w:val="ListParagraph"/>
        <w:numPr>
          <w:ilvl w:val="1"/>
          <w:numId w:val="81"/>
        </w:numPr>
        <w:tabs>
          <w:tab w:pos="879" w:val="left" w:leader="none"/>
        </w:tabs>
        <w:spacing w:line="278" w:lineRule="auto" w:before="0" w:after="0"/>
        <w:ind w:left="666" w:right="1597" w:firstLine="0"/>
        <w:jc w:val="left"/>
        <w:rPr>
          <w:sz w:val="21"/>
        </w:rPr>
      </w:pPr>
      <w:r>
        <w:rPr>
          <w:spacing w:val="-2"/>
          <w:sz w:val="21"/>
        </w:rPr>
        <w:t>血液学异常：溶血性贫血、白细胞减少、或血小板减</w:t>
      </w:r>
      <w:r>
        <w:rPr>
          <w:spacing w:val="-6"/>
          <w:sz w:val="21"/>
        </w:rPr>
        <w:t>少；</w:t>
      </w:r>
    </w:p>
    <w:p>
      <w:pPr>
        <w:pStyle w:val="ListParagraph"/>
        <w:numPr>
          <w:ilvl w:val="1"/>
          <w:numId w:val="81"/>
        </w:numPr>
        <w:tabs>
          <w:tab w:pos="879" w:val="left" w:leader="none"/>
        </w:tabs>
        <w:spacing w:line="278" w:lineRule="auto" w:before="0" w:after="0"/>
        <w:ind w:left="666" w:right="1595" w:firstLine="0"/>
        <w:jc w:val="left"/>
        <w:rPr>
          <w:sz w:val="21"/>
        </w:rPr>
      </w:pPr>
      <w:r>
        <w:rPr>
          <w:spacing w:val="-6"/>
          <w:sz w:val="21"/>
        </w:rPr>
        <w:t>抗核抗体阳性、或抗 </w:t>
      </w:r>
      <w:r>
        <w:rPr>
          <w:sz w:val="21"/>
        </w:rPr>
        <w:t>dsDNA</w:t>
      </w:r>
      <w:r>
        <w:rPr>
          <w:spacing w:val="-16"/>
          <w:sz w:val="21"/>
        </w:rPr>
        <w:t> 阳性，或抗 </w:t>
      </w:r>
      <w:r>
        <w:rPr>
          <w:sz w:val="21"/>
        </w:rPr>
        <w:t>Smith</w:t>
      </w:r>
      <w:r>
        <w:rPr>
          <w:spacing w:val="-15"/>
          <w:sz w:val="21"/>
        </w:rPr>
        <w:t> 抗体阳</w:t>
      </w:r>
      <w:r>
        <w:rPr>
          <w:spacing w:val="-6"/>
          <w:sz w:val="21"/>
        </w:rPr>
        <w:t>性。</w:t>
      </w:r>
    </w:p>
    <w:p>
      <w:pPr>
        <w:pStyle w:val="ListParagraph"/>
        <w:numPr>
          <w:ilvl w:val="0"/>
          <w:numId w:val="81"/>
        </w:numPr>
        <w:tabs>
          <w:tab w:pos="774" w:val="left" w:leader="none"/>
        </w:tabs>
        <w:spacing w:line="278" w:lineRule="auto" w:before="0" w:after="0"/>
        <w:ind w:left="244" w:right="1703" w:firstLine="0"/>
        <w:jc w:val="left"/>
        <w:rPr>
          <w:sz w:val="21"/>
        </w:rPr>
      </w:pPr>
      <w:r>
        <w:rPr>
          <w:spacing w:val="-2"/>
          <w:sz w:val="21"/>
        </w:rPr>
        <w:t>系统性红斑狼疮的诊断必须由医院的风湿科或免疫系</w:t>
      </w:r>
      <w:r>
        <w:rPr>
          <w:spacing w:val="-2"/>
          <w:sz w:val="21"/>
        </w:rPr>
        <w:t>统专科医生确定。</w:t>
      </w:r>
    </w:p>
    <w:p>
      <w:pPr>
        <w:spacing w:after="0" w:line="278" w:lineRule="auto"/>
        <w:jc w:val="left"/>
        <w:rPr>
          <w:sz w:val="21"/>
        </w:rPr>
        <w:sectPr>
          <w:type w:val="continuous"/>
          <w:pgSz w:w="11910" w:h="16840"/>
          <w:pgMar w:header="0" w:footer="226" w:top="240" w:bottom="420" w:left="980" w:right="400"/>
          <w:cols w:num="2" w:equalWidth="0">
            <w:col w:w="3178" w:space="40"/>
            <w:col w:w="7312"/>
          </w:cols>
        </w:sectPr>
      </w:pPr>
    </w:p>
    <w:p>
      <w:pPr>
        <w:pStyle w:val="BodyText"/>
        <w:spacing w:before="11"/>
        <w:rPr>
          <w:sz w:val="19"/>
        </w:rPr>
      </w:pPr>
    </w:p>
    <w:p>
      <w:pPr>
        <w:spacing w:after="0"/>
        <w:rPr>
          <w:sz w:val="19"/>
        </w:rPr>
        <w:sectPr>
          <w:type w:val="continuous"/>
          <w:pgSz w:w="11910" w:h="16840"/>
          <w:pgMar w:header="0" w:footer="226" w:top="240" w:bottom="420" w:left="980" w:right="400"/>
        </w:sectPr>
      </w:pPr>
    </w:p>
    <w:p>
      <w:pPr>
        <w:pStyle w:val="Heading2"/>
        <w:numPr>
          <w:ilvl w:val="0"/>
          <w:numId w:val="72"/>
        </w:numPr>
        <w:tabs>
          <w:tab w:pos="2229" w:val="left" w:leader="none"/>
        </w:tabs>
        <w:spacing w:line="194" w:lineRule="auto" w:before="55" w:after="0"/>
        <w:ind w:left="1910" w:right="0" w:firstLine="0"/>
        <w:jc w:val="left"/>
      </w:pPr>
      <w:r>
        <w:rPr>
          <w:spacing w:val="-4"/>
        </w:rPr>
        <w:t>早期象皮</w:t>
      </w:r>
      <w:r>
        <w:rPr>
          <w:spacing w:val="-10"/>
        </w:rPr>
        <w:t>病</w:t>
      </w:r>
    </w:p>
    <w:p>
      <w:pPr>
        <w:pStyle w:val="BodyText"/>
        <w:spacing w:line="278" w:lineRule="auto" w:before="71"/>
        <w:ind w:left="349" w:right="1596"/>
        <w:jc w:val="both"/>
      </w:pPr>
      <w:r>
        <w:rPr/>
        <w:br w:type="column"/>
      </w:r>
      <w:r>
        <w:rPr>
          <w:spacing w:val="-2"/>
        </w:rPr>
        <w:t>指因丝虫感染导致淋巴管阻塞而造成身体组织出现严重淋巴</w:t>
      </w:r>
      <w:r>
        <w:rPr>
          <w:spacing w:val="-2"/>
        </w:rPr>
        <w:t>水肿，但未达到本合同所定义的重度疾病“丝虫病所致象皮</w:t>
      </w:r>
      <w:r>
        <w:rPr>
          <w:spacing w:val="-5"/>
        </w:rPr>
        <w:t>肿”的标准，但需达到国际淋巴学会分级为 </w:t>
      </w:r>
      <w:r>
        <w:rPr>
          <w:spacing w:val="-4"/>
        </w:rPr>
        <w:t>2</w:t>
      </w:r>
      <w:r>
        <w:rPr>
          <w:spacing w:val="-8"/>
        </w:rPr>
        <w:t> 级淋巴液肿，</w:t>
      </w:r>
      <w:r>
        <w:rPr>
          <w:spacing w:val="-2"/>
        </w:rPr>
        <w:t>其临床表现为肿胀为凹陷性，肢体抬高休息时肿胀不消失，</w:t>
      </w:r>
      <w:r>
        <w:rPr>
          <w:spacing w:val="-2"/>
        </w:rPr>
        <w:t>有中度纤维化。</w:t>
      </w:r>
    </w:p>
    <w:p>
      <w:pPr>
        <w:pStyle w:val="BodyText"/>
        <w:spacing w:line="283" w:lineRule="auto" w:before="154"/>
        <w:ind w:left="349" w:right="1597"/>
      </w:pPr>
      <w:r>
        <w:rPr>
          <w:spacing w:val="-2"/>
        </w:rPr>
        <w:t>此病症须经本公司认可医院的专科医生根据临床表现和微丝</w:t>
      </w:r>
      <w:r>
        <w:rPr>
          <w:spacing w:val="-2"/>
        </w:rPr>
        <w:t>蚴的化验结果确诊。</w:t>
      </w:r>
    </w:p>
    <w:p>
      <w:pPr>
        <w:pStyle w:val="BodyText"/>
        <w:spacing w:line="278" w:lineRule="auto" w:before="148"/>
        <w:ind w:left="349" w:right="1597"/>
        <w:jc w:val="both"/>
      </w:pPr>
      <w:r>
        <w:rPr>
          <w:spacing w:val="-2"/>
        </w:rPr>
        <w:t>由性接触传染的疾病、创伤、手术后疤痕、充血性心力衰竭</w:t>
      </w:r>
      <w:r>
        <w:rPr>
          <w:spacing w:val="-2"/>
        </w:rPr>
        <w:t>或先天性淋巴系统异常引起的淋巴水肿，以及急性淋巴管炎</w:t>
      </w:r>
      <w:r>
        <w:rPr>
          <w:spacing w:val="-2"/>
        </w:rPr>
        <w:t>或其他原因引起的淋巴水肿不在保障范围内。</w:t>
      </w:r>
    </w:p>
    <w:p>
      <w:pPr>
        <w:spacing w:after="0" w:line="278" w:lineRule="auto"/>
        <w:jc w:val="both"/>
        <w:sectPr>
          <w:type w:val="continuous"/>
          <w:pgSz w:w="11910" w:h="16840"/>
          <w:pgMar w:header="0" w:footer="226" w:top="240" w:bottom="420" w:left="980" w:right="400"/>
          <w:cols w:num="2" w:equalWidth="0">
            <w:col w:w="3073" w:space="40"/>
            <w:col w:w="7417"/>
          </w:cols>
        </w:sectPr>
      </w:pPr>
    </w:p>
    <w:p>
      <w:pPr>
        <w:pStyle w:val="BodyText"/>
        <w:spacing w:before="11"/>
        <w:rPr>
          <w:sz w:val="19"/>
        </w:rPr>
      </w:pPr>
    </w:p>
    <w:p>
      <w:pPr>
        <w:spacing w:after="0"/>
        <w:rPr>
          <w:sz w:val="19"/>
        </w:rPr>
        <w:sectPr>
          <w:type w:val="continuous"/>
          <w:pgSz w:w="11910" w:h="16840"/>
          <w:pgMar w:header="0" w:footer="226" w:top="240" w:bottom="420" w:left="980" w:right="400"/>
        </w:sectPr>
      </w:pPr>
    </w:p>
    <w:p>
      <w:pPr>
        <w:pStyle w:val="Heading2"/>
        <w:numPr>
          <w:ilvl w:val="0"/>
          <w:numId w:val="72"/>
        </w:numPr>
        <w:tabs>
          <w:tab w:pos="2229" w:val="left" w:leader="none"/>
        </w:tabs>
        <w:spacing w:line="194" w:lineRule="auto" w:before="55" w:after="0"/>
        <w:ind w:left="1910" w:right="0" w:firstLine="0"/>
        <w:jc w:val="left"/>
      </w:pPr>
      <w:r>
        <w:rPr>
          <w:spacing w:val="-4"/>
        </w:rPr>
        <w:t>轻度面部</w:t>
      </w:r>
      <w:r>
        <w:rPr>
          <w:spacing w:val="-6"/>
        </w:rPr>
        <w:t>烧伤</w:t>
      </w:r>
    </w:p>
    <w:p>
      <w:pPr>
        <w:pStyle w:val="BodyText"/>
        <w:spacing w:line="220" w:lineRule="auto" w:before="89"/>
        <w:ind w:left="349" w:right="1809"/>
        <w:rPr>
          <w:rFonts w:ascii="Microsoft JhengHei" w:hAnsi="Microsoft JhengHei" w:eastAsia="Microsoft JhengHei"/>
          <w:b/>
        </w:rPr>
      </w:pPr>
      <w:r>
        <w:rPr/>
        <w:br w:type="column"/>
      </w:r>
      <w:r>
        <w:rPr>
          <w:spacing w:val="-2"/>
        </w:rPr>
        <w:t>指烧伤程度为Ⅲ度，且Ⅲ度烧伤的面积达到面部表面积的 </w:t>
      </w:r>
      <w:r>
        <w:rPr/>
        <w:t>30％</w:t>
      </w:r>
      <w:r>
        <w:rPr>
          <w:spacing w:val="-8"/>
        </w:rPr>
        <w:t>或者 </w:t>
      </w:r>
      <w:r>
        <w:rPr/>
        <w:t>30</w:t>
      </w:r>
      <w:r>
        <w:rPr>
          <w:spacing w:val="-2"/>
        </w:rPr>
        <w:t>％以上，但未达到面部表面积的 </w:t>
      </w:r>
      <w:r>
        <w:rPr/>
        <w:t>80%</w:t>
      </w:r>
      <w:r>
        <w:rPr>
          <w:rFonts w:ascii="Microsoft JhengHei" w:hAnsi="Microsoft JhengHei" w:eastAsia="Microsoft JhengHei"/>
          <w:b/>
        </w:rPr>
        <w:t>。</w:t>
      </w:r>
    </w:p>
    <w:p>
      <w:pPr>
        <w:spacing w:after="0" w:line="220" w:lineRule="auto"/>
        <w:rPr>
          <w:rFonts w:ascii="Microsoft JhengHei" w:hAnsi="Microsoft JhengHei" w:eastAsia="Microsoft JhengHei"/>
        </w:rPr>
        <w:sectPr>
          <w:type w:val="continuous"/>
          <w:pgSz w:w="11910" w:h="16840"/>
          <w:pgMar w:header="0" w:footer="226" w:top="240" w:bottom="420" w:left="980" w:right="400"/>
          <w:cols w:num="2" w:equalWidth="0">
            <w:col w:w="3073" w:space="40"/>
            <w:col w:w="7417"/>
          </w:cols>
        </w:sectPr>
      </w:pPr>
    </w:p>
    <w:p>
      <w:pPr>
        <w:pStyle w:val="Heading2"/>
        <w:numPr>
          <w:ilvl w:val="0"/>
          <w:numId w:val="72"/>
        </w:numPr>
        <w:tabs>
          <w:tab w:pos="2229" w:val="left" w:leader="none"/>
        </w:tabs>
        <w:spacing w:line="196" w:lineRule="auto" w:before="40" w:after="0"/>
        <w:ind w:left="1910" w:right="0" w:firstLine="0"/>
        <w:jc w:val="left"/>
      </w:pPr>
      <w:r>
        <w:rPr>
          <w:spacing w:val="-4"/>
        </w:rPr>
        <w:t>面部重建</w:t>
      </w:r>
      <w:r>
        <w:rPr>
          <w:spacing w:val="-6"/>
        </w:rPr>
        <w:t>手术</w:t>
      </w:r>
    </w:p>
    <w:p>
      <w:pPr>
        <w:pStyle w:val="BodyText"/>
        <w:spacing w:line="278" w:lineRule="auto" w:before="59"/>
        <w:ind w:left="349" w:right="1597"/>
      </w:pPr>
      <w:r>
        <w:rPr/>
        <w:br w:type="column"/>
      </w:r>
      <w:r>
        <w:rPr>
          <w:spacing w:val="-2"/>
        </w:rPr>
        <w:t>因疾病或意外伤害导致面部毁容，确实进行整形或者重建手</w:t>
      </w:r>
      <w:r>
        <w:rPr>
          <w:spacing w:val="-2"/>
        </w:rPr>
        <w:t>术（颈部以上的面部构造不完整、缺失或者受损而对其形态</w:t>
      </w:r>
      <w:r>
        <w:rPr>
          <w:spacing w:val="-2"/>
        </w:rPr>
        <w:t>及外观进行修复或者重建</w:t>
      </w:r>
      <w:r>
        <w:rPr>
          <w:spacing w:val="-106"/>
        </w:rPr>
        <w:t>）</w:t>
      </w:r>
      <w:r>
        <w:rPr>
          <w:spacing w:val="-2"/>
        </w:rPr>
        <w:t>，同时必须由专科医生认为该面</w:t>
      </w:r>
      <w:r>
        <w:rPr>
          <w:spacing w:val="-2"/>
        </w:rPr>
        <w:t>部毁容是需要接受住院治疗，及其后接受该手术，而对该面</w:t>
      </w:r>
      <w:r>
        <w:rPr>
          <w:spacing w:val="-2"/>
        </w:rPr>
        <w:t>部毁容所进行的治疗亦是医疗所需。</w:t>
      </w:r>
    </w:p>
    <w:p>
      <w:pPr>
        <w:pStyle w:val="BodyText"/>
        <w:spacing w:line="220" w:lineRule="auto" w:before="175"/>
        <w:ind w:left="349" w:right="1597"/>
      </w:pPr>
      <w:r>
        <w:rPr>
          <w:spacing w:val="-2"/>
        </w:rPr>
        <w:t>因纯粹整容原因、独立的牙齿修复、独立的鼻骨骨折或者独</w:t>
      </w:r>
      <w:r>
        <w:rPr>
          <w:spacing w:val="-2"/>
        </w:rPr>
        <w:t>立的皮肤伤口所进行的手术均</w:t>
      </w:r>
      <w:r>
        <w:rPr>
          <w:rFonts w:ascii="Malgun Gothic" w:eastAsia="Malgun Gothic"/>
          <w:spacing w:val="-2"/>
        </w:rPr>
        <w:t>不</w:t>
      </w:r>
      <w:r>
        <w:rPr>
          <w:spacing w:val="-2"/>
        </w:rPr>
        <w:t>受此保障。</w:t>
      </w:r>
    </w:p>
    <w:p>
      <w:pPr>
        <w:pStyle w:val="BodyText"/>
        <w:spacing w:line="283" w:lineRule="auto" w:before="163"/>
        <w:ind w:left="349" w:right="1703"/>
      </w:pPr>
      <w:r>
        <w:rPr>
          <w:spacing w:val="-2"/>
        </w:rPr>
        <w:t>被保险人达到本合同约定的“轻度面部烧伤”轻症赔付责</w:t>
      </w:r>
      <w:r>
        <w:rPr>
          <w:spacing w:val="-10"/>
        </w:rPr>
        <w:t>任，且因此需行“面部重建手术”，则不在此保障范围内。</w:t>
      </w:r>
    </w:p>
    <w:p>
      <w:pPr>
        <w:spacing w:after="0" w:line="283" w:lineRule="auto"/>
        <w:sectPr>
          <w:pgSz w:w="11910" w:h="16840"/>
          <w:pgMar w:header="0" w:footer="226" w:top="980" w:bottom="420" w:left="980" w:right="400"/>
          <w:cols w:num="2" w:equalWidth="0">
            <w:col w:w="3073" w:space="40"/>
            <w:col w:w="7417"/>
          </w:cols>
        </w:sectPr>
      </w:pPr>
    </w:p>
    <w:p>
      <w:pPr>
        <w:pStyle w:val="BodyText"/>
        <w:spacing w:before="1"/>
        <w:rPr>
          <w:sz w:val="19"/>
        </w:rPr>
      </w:pPr>
    </w:p>
    <w:p>
      <w:pPr>
        <w:spacing w:after="0"/>
        <w:rPr>
          <w:sz w:val="19"/>
        </w:rPr>
        <w:sectPr>
          <w:type w:val="continuous"/>
          <w:pgSz w:w="11910" w:h="16840"/>
          <w:pgMar w:header="0" w:footer="226" w:top="240" w:bottom="420" w:left="980" w:right="400"/>
        </w:sectPr>
      </w:pPr>
    </w:p>
    <w:p>
      <w:pPr>
        <w:pStyle w:val="Heading2"/>
        <w:numPr>
          <w:ilvl w:val="0"/>
          <w:numId w:val="72"/>
        </w:numPr>
        <w:tabs>
          <w:tab w:pos="2229" w:val="left" w:leader="none"/>
        </w:tabs>
        <w:spacing w:line="196" w:lineRule="auto" w:before="52" w:after="0"/>
        <w:ind w:left="1910" w:right="0" w:firstLine="0"/>
        <w:jc w:val="left"/>
      </w:pPr>
      <w:r>
        <w:rPr>
          <w:spacing w:val="-4"/>
        </w:rPr>
        <w:t>轻度坏死</w:t>
      </w:r>
      <w:r>
        <w:rPr>
          <w:spacing w:val="-4"/>
        </w:rPr>
        <w:t>性筋膜炎</w:t>
      </w:r>
    </w:p>
    <w:p>
      <w:pPr>
        <w:pStyle w:val="BodyText"/>
        <w:spacing w:line="278" w:lineRule="auto" w:before="71"/>
        <w:ind w:left="349" w:right="1595"/>
      </w:pPr>
      <w:r>
        <w:rPr/>
        <w:br w:type="column"/>
      </w:r>
      <w:r>
        <w:rPr>
          <w:spacing w:val="-2"/>
        </w:rPr>
        <w:t>是一种由细菌侵入皮下组织和筋膜引起的急性坏死性软组织</w:t>
      </w:r>
      <w:r>
        <w:rPr>
          <w:spacing w:val="-2"/>
        </w:rPr>
        <w:t>感染，可伴有毒血症、败血症、中毒性休克、弥漫性血管内</w:t>
      </w:r>
      <w:r>
        <w:rPr>
          <w:spacing w:val="-2"/>
        </w:rPr>
        <w:t>凝血及多器官衰竭。但未达到本合同所定义的重度疾病“重</w:t>
      </w:r>
      <w:r>
        <w:rPr>
          <w:spacing w:val="-2"/>
        </w:rPr>
        <w:t>症急性坏死性筋膜炎”的标准。本病须经专科医生明确诊</w:t>
      </w:r>
      <w:r>
        <w:rPr>
          <w:spacing w:val="40"/>
        </w:rPr>
        <w:t> </w:t>
      </w:r>
      <w:r>
        <w:rPr>
          <w:spacing w:val="-6"/>
        </w:rPr>
        <w:t>断。</w:t>
      </w:r>
    </w:p>
    <w:p>
      <w:pPr>
        <w:spacing w:after="0" w:line="278" w:lineRule="auto"/>
        <w:sectPr>
          <w:type w:val="continuous"/>
          <w:pgSz w:w="11910" w:h="16840"/>
          <w:pgMar w:header="0" w:footer="226" w:top="240" w:bottom="420" w:left="980" w:right="400"/>
          <w:cols w:num="2" w:equalWidth="0">
            <w:col w:w="3073" w:space="40"/>
            <w:col w:w="7417"/>
          </w:cols>
        </w:sectPr>
      </w:pPr>
    </w:p>
    <w:p>
      <w:pPr>
        <w:pStyle w:val="BodyText"/>
        <w:spacing w:before="12"/>
        <w:rPr>
          <w:sz w:val="19"/>
        </w:rPr>
      </w:pPr>
    </w:p>
    <w:p>
      <w:pPr>
        <w:spacing w:after="0"/>
        <w:rPr>
          <w:sz w:val="19"/>
        </w:rPr>
        <w:sectPr>
          <w:type w:val="continuous"/>
          <w:pgSz w:w="11910" w:h="16840"/>
          <w:pgMar w:header="0" w:footer="226" w:top="240" w:bottom="420" w:left="980" w:right="400"/>
        </w:sectPr>
      </w:pPr>
    </w:p>
    <w:p>
      <w:pPr>
        <w:pStyle w:val="Heading2"/>
        <w:numPr>
          <w:ilvl w:val="0"/>
          <w:numId w:val="72"/>
        </w:numPr>
        <w:tabs>
          <w:tab w:pos="2229" w:val="left" w:leader="none"/>
        </w:tabs>
        <w:spacing w:line="194" w:lineRule="auto" w:before="55" w:after="0"/>
        <w:ind w:left="1910" w:right="0" w:firstLine="0"/>
        <w:jc w:val="left"/>
      </w:pPr>
      <w:r>
        <w:rPr>
          <w:spacing w:val="-4"/>
        </w:rPr>
        <w:t>因肾上腺</w:t>
      </w:r>
      <w:r>
        <w:rPr>
          <w:spacing w:val="-2"/>
        </w:rPr>
        <w:t>皮脂腺瘤切除</w:t>
      </w:r>
      <w:r>
        <w:rPr>
          <w:spacing w:val="-4"/>
        </w:rPr>
        <w:t>肾上腺</w:t>
      </w:r>
    </w:p>
    <w:p>
      <w:pPr>
        <w:pStyle w:val="BodyText"/>
        <w:spacing w:line="278" w:lineRule="auto" w:before="71"/>
        <w:ind w:left="244" w:right="1597"/>
        <w:jc w:val="both"/>
      </w:pPr>
      <w:r>
        <w:rPr/>
        <w:br w:type="column"/>
      </w:r>
      <w:r>
        <w:rPr>
          <w:spacing w:val="-2"/>
        </w:rPr>
        <w:t>因肾上腺皮质腺瘤所导致的醛固酮分泌过多而产生的继发性</w:t>
      </w:r>
      <w:r>
        <w:rPr>
          <w:spacing w:val="-2"/>
        </w:rPr>
        <w:t>恶性高血压而实际接受了肾上腺切除术治疗。诊断及治疗均</w:t>
      </w:r>
      <w:r>
        <w:rPr>
          <w:spacing w:val="-2"/>
        </w:rPr>
        <w:t>须在本公司认可医院内由专科医生认为是医疗必须的情况下</w:t>
      </w:r>
      <w:r>
        <w:rPr>
          <w:spacing w:val="-4"/>
        </w:rPr>
        <w:t>进行。</w:t>
      </w:r>
    </w:p>
    <w:p>
      <w:pPr>
        <w:spacing w:after="0" w:line="278" w:lineRule="auto"/>
        <w:jc w:val="both"/>
        <w:sectPr>
          <w:type w:val="continuous"/>
          <w:pgSz w:w="11910" w:h="16840"/>
          <w:pgMar w:header="0" w:footer="226" w:top="240" w:bottom="420" w:left="980" w:right="400"/>
          <w:cols w:num="2" w:equalWidth="0">
            <w:col w:w="3178" w:space="40"/>
            <w:col w:w="7312"/>
          </w:cols>
        </w:sectPr>
      </w:pPr>
    </w:p>
    <w:p>
      <w:pPr>
        <w:pStyle w:val="BodyText"/>
        <w:spacing w:before="9"/>
        <w:rPr>
          <w:sz w:val="18"/>
        </w:rPr>
      </w:pPr>
    </w:p>
    <w:p>
      <w:pPr>
        <w:pStyle w:val="Heading1"/>
        <w:numPr>
          <w:ilvl w:val="0"/>
          <w:numId w:val="82"/>
        </w:numPr>
        <w:tabs>
          <w:tab w:pos="1910" w:val="left" w:leader="none"/>
          <w:tab w:pos="1911" w:val="left" w:leader="none"/>
        </w:tabs>
        <w:spacing w:line="429" w:lineRule="exact" w:before="0" w:after="0"/>
        <w:ind w:left="1910" w:right="0" w:hanging="985"/>
        <w:jc w:val="left"/>
      </w:pPr>
      <w:r>
        <w:rPr/>
        <w:drawing>
          <wp:anchor distT="0" distB="0" distL="0" distR="0" allowOverlap="1" layoutInCell="1" locked="0" behindDoc="1" simplePos="0" relativeHeight="485347328">
            <wp:simplePos x="0" y="0"/>
            <wp:positionH relativeFrom="page">
              <wp:posOffset>1143609</wp:posOffset>
            </wp:positionH>
            <wp:positionV relativeFrom="paragraph">
              <wp:posOffset>237639</wp:posOffset>
            </wp:positionV>
            <wp:extent cx="5274970" cy="12192"/>
            <wp:effectExtent l="0" t="0" r="0" b="0"/>
            <wp:wrapNone/>
            <wp:docPr id="21" name="image3.png"/>
            <wp:cNvGraphicFramePr>
              <a:graphicFrameLocks noChangeAspect="1"/>
            </wp:cNvGraphicFramePr>
            <a:graphic>
              <a:graphicData uri="http://schemas.openxmlformats.org/drawingml/2006/picture">
                <pic:pic>
                  <pic:nvPicPr>
                    <pic:cNvPr id="22" name="image3.png"/>
                    <pic:cNvPicPr/>
                  </pic:nvPicPr>
                  <pic:blipFill>
                    <a:blip r:embed="rId8" cstate="print"/>
                    <a:stretch>
                      <a:fillRect/>
                    </a:stretch>
                  </pic:blipFill>
                  <pic:spPr>
                    <a:xfrm>
                      <a:off x="0" y="0"/>
                      <a:ext cx="5274970" cy="12192"/>
                    </a:xfrm>
                    <a:prstGeom prst="rect">
                      <a:avLst/>
                    </a:prstGeom>
                  </pic:spPr>
                </pic:pic>
              </a:graphicData>
            </a:graphic>
          </wp:anchor>
        </w:drawing>
      </w:r>
      <w:r>
        <w:rPr>
          <w:spacing w:val="-2"/>
        </w:rPr>
        <w:t>极重度疾病定义</w:t>
      </w:r>
    </w:p>
    <w:p>
      <w:pPr>
        <w:pStyle w:val="BodyText"/>
        <w:spacing w:before="6"/>
        <w:rPr>
          <w:rFonts w:ascii="Microsoft JhengHei"/>
          <w:b/>
          <w:sz w:val="12"/>
        </w:rPr>
      </w:pPr>
    </w:p>
    <w:p>
      <w:pPr>
        <w:pStyle w:val="ListParagraph"/>
        <w:numPr>
          <w:ilvl w:val="1"/>
          <w:numId w:val="82"/>
        </w:numPr>
        <w:tabs>
          <w:tab w:pos="1910" w:val="left" w:leader="none"/>
          <w:tab w:pos="1911" w:val="left" w:leader="none"/>
          <w:tab w:pos="3461" w:val="left" w:leader="none"/>
        </w:tabs>
        <w:spacing w:line="384" w:lineRule="exact" w:before="0" w:after="0"/>
        <w:ind w:left="1910" w:right="0" w:hanging="985"/>
        <w:jc w:val="left"/>
        <w:rPr>
          <w:rFonts w:ascii="Times New Roman" w:eastAsia="Times New Roman"/>
          <w:sz w:val="21"/>
        </w:rPr>
      </w:pPr>
      <w:r>
        <w:rPr>
          <w:rFonts w:ascii="Microsoft JhengHei" w:eastAsia="Microsoft JhengHei"/>
          <w:b/>
          <w:sz w:val="21"/>
        </w:rPr>
        <w:t>极重度疾</w:t>
      </w:r>
      <w:r>
        <w:rPr>
          <w:rFonts w:ascii="Microsoft JhengHei" w:eastAsia="Microsoft JhengHei"/>
          <w:b/>
          <w:spacing w:val="-10"/>
          <w:sz w:val="21"/>
        </w:rPr>
        <w:t>病</w:t>
      </w:r>
      <w:r>
        <w:rPr>
          <w:rFonts w:ascii="Microsoft JhengHei" w:eastAsia="Microsoft JhengHei"/>
          <w:b/>
          <w:sz w:val="21"/>
        </w:rPr>
        <w:tab/>
      </w:r>
      <w:r>
        <w:rPr>
          <w:spacing w:val="-2"/>
          <w:sz w:val="21"/>
        </w:rPr>
        <w:t>指</w:t>
      </w:r>
      <w:r>
        <w:rPr>
          <w:spacing w:val="-2"/>
          <w:sz w:val="21"/>
        </w:rPr>
        <w:t>被</w:t>
      </w:r>
      <w:r>
        <w:rPr>
          <w:spacing w:val="-2"/>
          <w:sz w:val="21"/>
        </w:rPr>
        <w:t>保</w:t>
      </w:r>
      <w:r>
        <w:rPr>
          <w:spacing w:val="-2"/>
          <w:sz w:val="21"/>
        </w:rPr>
        <w:t>险</w:t>
      </w:r>
      <w:r>
        <w:rPr>
          <w:spacing w:val="-2"/>
          <w:sz w:val="21"/>
        </w:rPr>
        <w:t>人</w:t>
      </w:r>
      <w:r>
        <w:rPr>
          <w:spacing w:val="-2"/>
          <w:sz w:val="21"/>
        </w:rPr>
        <w:t>发</w:t>
      </w:r>
      <w:r>
        <w:rPr>
          <w:spacing w:val="-2"/>
          <w:sz w:val="21"/>
        </w:rPr>
        <w:t>生</w:t>
      </w:r>
      <w:r>
        <w:rPr>
          <w:spacing w:val="-2"/>
          <w:sz w:val="21"/>
        </w:rPr>
        <w:t>符</w:t>
      </w:r>
      <w:r>
        <w:rPr>
          <w:spacing w:val="-2"/>
          <w:sz w:val="21"/>
        </w:rPr>
        <w:t>合</w:t>
      </w:r>
      <w:r>
        <w:rPr>
          <w:spacing w:val="-2"/>
          <w:sz w:val="21"/>
        </w:rPr>
        <w:t>以</w:t>
      </w:r>
      <w:r>
        <w:rPr>
          <w:spacing w:val="-2"/>
          <w:sz w:val="21"/>
        </w:rPr>
        <w:t>下</w:t>
      </w:r>
      <w:r>
        <w:rPr>
          <w:spacing w:val="-2"/>
          <w:sz w:val="21"/>
        </w:rPr>
        <w:t>疾</w:t>
      </w:r>
      <w:r>
        <w:rPr>
          <w:spacing w:val="-2"/>
          <w:sz w:val="21"/>
        </w:rPr>
        <w:t>病</w:t>
      </w:r>
      <w:r>
        <w:rPr>
          <w:spacing w:val="-2"/>
          <w:sz w:val="21"/>
        </w:rPr>
        <w:t>定</w:t>
      </w:r>
      <w:r>
        <w:rPr>
          <w:spacing w:val="-2"/>
          <w:sz w:val="21"/>
        </w:rPr>
        <w:t>义</w:t>
      </w:r>
      <w:r>
        <w:rPr>
          <w:spacing w:val="-2"/>
          <w:sz w:val="21"/>
        </w:rPr>
        <w:t>所</w:t>
      </w:r>
      <w:r>
        <w:rPr>
          <w:spacing w:val="-2"/>
          <w:sz w:val="21"/>
        </w:rPr>
        <w:t>述</w:t>
      </w:r>
      <w:r>
        <w:rPr>
          <w:spacing w:val="-2"/>
          <w:sz w:val="21"/>
        </w:rPr>
        <w:t>条</w:t>
      </w:r>
      <w:r>
        <w:rPr>
          <w:spacing w:val="-2"/>
          <w:sz w:val="21"/>
        </w:rPr>
        <w:t>件</w:t>
      </w:r>
      <w:r>
        <w:rPr>
          <w:spacing w:val="-2"/>
          <w:sz w:val="21"/>
        </w:rPr>
        <w:t>的</w:t>
      </w:r>
      <w:r>
        <w:rPr>
          <w:spacing w:val="-2"/>
          <w:sz w:val="21"/>
        </w:rPr>
        <w:t>疾病（共</w:t>
      </w:r>
      <w:r>
        <w:rPr>
          <w:spacing w:val="-35"/>
          <w:sz w:val="21"/>
        </w:rPr>
        <w:t> </w:t>
      </w:r>
      <w:r>
        <w:rPr>
          <w:rFonts w:ascii="Times New Roman" w:eastAsia="Times New Roman"/>
          <w:spacing w:val="-10"/>
          <w:sz w:val="21"/>
        </w:rPr>
        <w:t>3</w:t>
      </w:r>
    </w:p>
    <w:p>
      <w:pPr>
        <w:pStyle w:val="BodyText"/>
        <w:spacing w:line="267" w:lineRule="exact"/>
        <w:ind w:left="3462"/>
      </w:pPr>
      <w:r>
        <w:rPr/>
        <w:t>种</w:t>
      </w:r>
      <w:r>
        <w:rPr>
          <w:spacing w:val="-106"/>
        </w:rPr>
        <w:t>）</w:t>
      </w:r>
      <w:r>
        <w:rPr>
          <w:spacing w:val="-10"/>
        </w:rPr>
        <w:t>。</w:t>
      </w:r>
    </w:p>
    <w:p>
      <w:pPr>
        <w:pStyle w:val="BodyText"/>
        <w:spacing w:before="5"/>
        <w:rPr>
          <w:sz w:val="15"/>
        </w:rPr>
      </w:pPr>
    </w:p>
    <w:p>
      <w:pPr>
        <w:pStyle w:val="BodyText"/>
        <w:spacing w:line="283" w:lineRule="auto"/>
        <w:ind w:left="3462" w:right="1597"/>
      </w:pPr>
      <w:r>
        <w:rPr>
          <w:spacing w:val="-2"/>
        </w:rPr>
        <w:t>被保险人发生符合以下疾病定义所述条件的疾病，应当由专</w:t>
      </w:r>
      <w:r>
        <w:rPr>
          <w:spacing w:val="-2"/>
        </w:rPr>
        <w:t>科医生明确诊断。</w:t>
      </w:r>
    </w:p>
    <w:p>
      <w:pPr>
        <w:pStyle w:val="BodyText"/>
        <w:spacing w:line="278" w:lineRule="auto" w:before="147"/>
        <w:ind w:left="3462" w:right="1597"/>
      </w:pPr>
      <w:r>
        <w:rPr>
          <w:spacing w:val="-2"/>
        </w:rPr>
        <w:t>以下疾病名称仅供理解使用，具体保障范围以每项疾病具体</w:t>
      </w:r>
      <w:r>
        <w:rPr>
          <w:spacing w:val="-2"/>
        </w:rPr>
        <w:t>定义为准。</w:t>
      </w:r>
    </w:p>
    <w:p>
      <w:pPr>
        <w:pStyle w:val="BodyText"/>
        <w:spacing w:before="12"/>
        <w:rPr>
          <w:sz w:val="19"/>
        </w:rPr>
      </w:pPr>
    </w:p>
    <w:p>
      <w:pPr>
        <w:spacing w:after="0"/>
        <w:rPr>
          <w:sz w:val="19"/>
        </w:rPr>
        <w:sectPr>
          <w:type w:val="continuous"/>
          <w:pgSz w:w="11910" w:h="16840"/>
          <w:pgMar w:header="0" w:footer="226" w:top="240" w:bottom="420" w:left="980" w:right="400"/>
        </w:sectPr>
      </w:pPr>
    </w:p>
    <w:p>
      <w:pPr>
        <w:pStyle w:val="Heading2"/>
        <w:numPr>
          <w:ilvl w:val="2"/>
          <w:numId w:val="82"/>
        </w:numPr>
        <w:tabs>
          <w:tab w:pos="2123" w:val="left" w:leader="none"/>
        </w:tabs>
        <w:spacing w:line="194" w:lineRule="auto" w:before="55" w:after="0"/>
        <w:ind w:left="1910" w:right="0" w:firstLine="0"/>
        <w:jc w:val="left"/>
      </w:pPr>
      <w:r>
        <w:rPr>
          <w:spacing w:val="-2"/>
        </w:rPr>
        <w:t>极重度恶性</w:t>
      </w:r>
      <w:r>
        <w:rPr>
          <w:spacing w:val="-6"/>
        </w:rPr>
        <w:t>肿瘤</w:t>
      </w:r>
    </w:p>
    <w:p>
      <w:pPr>
        <w:pStyle w:val="BodyText"/>
        <w:spacing w:line="278" w:lineRule="auto" w:before="72"/>
        <w:ind w:left="243" w:right="1597"/>
      </w:pPr>
      <w:r>
        <w:rPr/>
        <w:br w:type="column"/>
      </w:r>
      <w:r>
        <w:rPr>
          <w:spacing w:val="-2"/>
        </w:rPr>
        <w:t>被保险人被初次确诊为严重恶性肿瘤，且确诊时对于严重恶</w:t>
      </w:r>
      <w:r>
        <w:rPr>
          <w:spacing w:val="-2"/>
        </w:rPr>
        <w:t>性肿瘤进行了临床分期，并已达到或满足 </w:t>
      </w:r>
      <w:r>
        <w:rPr/>
        <w:t>TNM</w:t>
      </w:r>
      <w:r>
        <w:rPr>
          <w:spacing w:val="-18"/>
        </w:rPr>
        <w:t> 分期 </w:t>
      </w:r>
      <w:r>
        <w:rPr/>
        <w:t>IV</w:t>
      </w:r>
      <w:r>
        <w:rPr>
          <w:spacing w:val="-12"/>
        </w:rPr>
        <w:t> 期或</w:t>
      </w:r>
      <w:r>
        <w:rPr>
          <w:spacing w:val="-11"/>
        </w:rPr>
        <w:t>非 </w:t>
      </w:r>
      <w:r>
        <w:rPr/>
        <w:t>TNM</w:t>
      </w:r>
      <w:r>
        <w:rPr>
          <w:spacing w:val="-5"/>
        </w:rPr>
        <w:t> 分期的最严重的分期标准者。</w:t>
      </w:r>
    </w:p>
    <w:p>
      <w:pPr>
        <w:spacing w:after="0" w:line="278" w:lineRule="auto"/>
        <w:sectPr>
          <w:type w:val="continuous"/>
          <w:pgSz w:w="11910" w:h="16840"/>
          <w:pgMar w:header="0" w:footer="226" w:top="240" w:bottom="420" w:left="980" w:right="400"/>
          <w:cols w:num="2" w:equalWidth="0">
            <w:col w:w="3179" w:space="40"/>
            <w:col w:w="7311"/>
          </w:cols>
        </w:sectPr>
      </w:pPr>
    </w:p>
    <w:p>
      <w:pPr>
        <w:pStyle w:val="BodyText"/>
        <w:spacing w:before="11"/>
        <w:rPr>
          <w:sz w:val="19"/>
        </w:rPr>
      </w:pPr>
    </w:p>
    <w:p>
      <w:pPr>
        <w:spacing w:after="0"/>
        <w:rPr>
          <w:sz w:val="19"/>
        </w:rPr>
        <w:sectPr>
          <w:type w:val="continuous"/>
          <w:pgSz w:w="11910" w:h="16840"/>
          <w:pgMar w:header="0" w:footer="226" w:top="240" w:bottom="420" w:left="980" w:right="400"/>
        </w:sectPr>
      </w:pPr>
    </w:p>
    <w:p>
      <w:pPr>
        <w:pStyle w:val="Heading2"/>
        <w:numPr>
          <w:ilvl w:val="2"/>
          <w:numId w:val="82"/>
        </w:numPr>
        <w:tabs>
          <w:tab w:pos="2123" w:val="left" w:leader="none"/>
        </w:tabs>
        <w:spacing w:line="194" w:lineRule="auto" w:before="55" w:after="0"/>
        <w:ind w:left="1910" w:right="0" w:firstLine="0"/>
        <w:jc w:val="left"/>
      </w:pPr>
      <w:r>
        <w:rPr>
          <w:spacing w:val="-2"/>
        </w:rPr>
        <w:t>极重度急性</w:t>
      </w:r>
      <w:r>
        <w:rPr>
          <w:spacing w:val="-4"/>
        </w:rPr>
        <w:t>心肌梗死</w:t>
      </w:r>
    </w:p>
    <w:p>
      <w:pPr>
        <w:pStyle w:val="BodyText"/>
        <w:spacing w:line="278" w:lineRule="auto" w:before="72"/>
        <w:ind w:left="243" w:right="1503"/>
      </w:pPr>
      <w:r>
        <w:rPr/>
        <w:br w:type="column"/>
      </w:r>
      <w:r>
        <w:rPr>
          <w:spacing w:val="-2"/>
        </w:rPr>
        <w:t>被保险人被初次确诊为较重急性心肌梗死，且确诊六周后达</w:t>
      </w:r>
      <w:r>
        <w:rPr>
          <w:spacing w:val="-6"/>
        </w:rPr>
        <w:t>到：</w:t>
      </w:r>
    </w:p>
    <w:p>
      <w:pPr>
        <w:pStyle w:val="ListParagraph"/>
        <w:numPr>
          <w:ilvl w:val="0"/>
          <w:numId w:val="83"/>
        </w:numPr>
        <w:tabs>
          <w:tab w:pos="773" w:val="left" w:leader="none"/>
        </w:tabs>
        <w:spacing w:line="240" w:lineRule="auto" w:before="153" w:after="0"/>
        <w:ind w:left="772" w:right="0" w:hanging="530"/>
        <w:jc w:val="left"/>
        <w:rPr>
          <w:sz w:val="21"/>
        </w:rPr>
      </w:pPr>
      <w:r>
        <w:rPr>
          <w:spacing w:val="-2"/>
          <w:sz w:val="21"/>
        </w:rPr>
        <w:t>纽约心脏协会心功能分级IV</w:t>
      </w:r>
      <w:r>
        <w:rPr>
          <w:spacing w:val="-5"/>
          <w:sz w:val="21"/>
        </w:rPr>
        <w:t>级，或</w:t>
      </w:r>
    </w:p>
    <w:p>
      <w:pPr>
        <w:pStyle w:val="ListParagraph"/>
        <w:numPr>
          <w:ilvl w:val="0"/>
          <w:numId w:val="83"/>
        </w:numPr>
        <w:tabs>
          <w:tab w:pos="773" w:val="left" w:leader="none"/>
        </w:tabs>
        <w:spacing w:line="240" w:lineRule="auto" w:before="48" w:after="0"/>
        <w:ind w:left="772" w:right="0" w:hanging="530"/>
        <w:jc w:val="left"/>
        <w:rPr>
          <w:sz w:val="21"/>
        </w:rPr>
      </w:pPr>
      <w:r>
        <w:rPr>
          <w:spacing w:val="-2"/>
          <w:sz w:val="21"/>
        </w:rPr>
        <w:t>左心室射血分数小于</w:t>
      </w:r>
      <w:r>
        <w:rPr>
          <w:spacing w:val="-5"/>
          <w:sz w:val="21"/>
        </w:rPr>
        <w:t>30%</w:t>
      </w:r>
    </w:p>
    <w:p>
      <w:pPr>
        <w:spacing w:after="0" w:line="240" w:lineRule="auto"/>
        <w:jc w:val="left"/>
        <w:rPr>
          <w:sz w:val="21"/>
        </w:rPr>
        <w:sectPr>
          <w:type w:val="continuous"/>
          <w:pgSz w:w="11910" w:h="16840"/>
          <w:pgMar w:header="0" w:footer="226" w:top="240" w:bottom="420" w:left="980" w:right="400"/>
          <w:cols w:num="2" w:equalWidth="0">
            <w:col w:w="3179" w:space="40"/>
            <w:col w:w="7311"/>
          </w:cols>
        </w:sectPr>
      </w:pPr>
    </w:p>
    <w:p>
      <w:pPr>
        <w:pStyle w:val="BodyText"/>
        <w:spacing w:before="11"/>
        <w:rPr>
          <w:sz w:val="22"/>
        </w:rPr>
      </w:pPr>
    </w:p>
    <w:p>
      <w:pPr>
        <w:spacing w:after="0"/>
        <w:rPr>
          <w:sz w:val="22"/>
        </w:rPr>
        <w:sectPr>
          <w:type w:val="continuous"/>
          <w:pgSz w:w="11910" w:h="16840"/>
          <w:pgMar w:header="0" w:footer="226" w:top="240" w:bottom="420" w:left="980" w:right="400"/>
        </w:sectPr>
      </w:pPr>
    </w:p>
    <w:p>
      <w:pPr>
        <w:pStyle w:val="Heading2"/>
        <w:numPr>
          <w:ilvl w:val="2"/>
          <w:numId w:val="82"/>
        </w:numPr>
        <w:tabs>
          <w:tab w:pos="2123" w:val="left" w:leader="none"/>
        </w:tabs>
        <w:spacing w:line="196" w:lineRule="auto" w:before="53" w:after="0"/>
        <w:ind w:left="1910" w:right="0" w:firstLine="0"/>
        <w:jc w:val="left"/>
      </w:pPr>
      <w:r>
        <w:rPr>
          <w:spacing w:val="-2"/>
        </w:rPr>
        <w:t>极重度脑中</w:t>
      </w:r>
      <w:r>
        <w:rPr>
          <w:spacing w:val="-4"/>
        </w:rPr>
        <w:t>风后遗症</w:t>
      </w:r>
    </w:p>
    <w:p>
      <w:pPr>
        <w:pStyle w:val="BodyText"/>
        <w:spacing w:line="283" w:lineRule="auto" w:before="72"/>
        <w:ind w:left="243" w:right="1596"/>
      </w:pPr>
      <w:r>
        <w:rPr/>
        <w:br w:type="column"/>
      </w:r>
      <w:r>
        <w:rPr>
          <w:spacing w:val="-2"/>
        </w:rPr>
        <w:t>被保险人被初次确诊为严重脑中风后遗症，且不能独立完成</w:t>
      </w:r>
      <w:r>
        <w:rPr>
          <w:spacing w:val="-2"/>
        </w:rPr>
        <w:t>六项日常基本生活活动中的三项及以上</w:t>
      </w:r>
    </w:p>
    <w:p>
      <w:pPr>
        <w:spacing w:after="0" w:line="283" w:lineRule="auto"/>
        <w:sectPr>
          <w:type w:val="continuous"/>
          <w:pgSz w:w="11910" w:h="16840"/>
          <w:pgMar w:header="0" w:footer="226" w:top="240" w:bottom="420" w:left="980" w:right="400"/>
          <w:cols w:num="2" w:equalWidth="0">
            <w:col w:w="3179" w:space="40"/>
            <w:col w:w="7311"/>
          </w:cols>
        </w:sectPr>
      </w:pPr>
    </w:p>
    <w:p>
      <w:pPr>
        <w:pStyle w:val="BodyText"/>
        <w:spacing w:before="11"/>
        <w:rPr>
          <w:sz w:val="17"/>
        </w:rPr>
      </w:pPr>
    </w:p>
    <w:p>
      <w:pPr>
        <w:pStyle w:val="Heading1"/>
        <w:numPr>
          <w:ilvl w:val="0"/>
          <w:numId w:val="82"/>
        </w:numPr>
        <w:tabs>
          <w:tab w:pos="1910" w:val="left" w:leader="none"/>
          <w:tab w:pos="1911" w:val="left" w:leader="none"/>
        </w:tabs>
        <w:spacing w:line="429" w:lineRule="exact" w:before="0" w:after="0"/>
        <w:ind w:left="1910" w:right="0" w:hanging="985"/>
        <w:jc w:val="left"/>
      </w:pPr>
      <w:r>
        <w:rPr/>
        <w:drawing>
          <wp:anchor distT="0" distB="0" distL="0" distR="0" allowOverlap="1" layoutInCell="1" locked="0" behindDoc="1" simplePos="0" relativeHeight="485347840">
            <wp:simplePos x="0" y="0"/>
            <wp:positionH relativeFrom="page">
              <wp:posOffset>1143609</wp:posOffset>
            </wp:positionH>
            <wp:positionV relativeFrom="paragraph">
              <wp:posOffset>237497</wp:posOffset>
            </wp:positionV>
            <wp:extent cx="5274970" cy="12191"/>
            <wp:effectExtent l="0" t="0" r="0" b="0"/>
            <wp:wrapNone/>
            <wp:docPr id="23" name="image5.png"/>
            <wp:cNvGraphicFramePr>
              <a:graphicFrameLocks noChangeAspect="1"/>
            </wp:cNvGraphicFramePr>
            <a:graphic>
              <a:graphicData uri="http://schemas.openxmlformats.org/drawingml/2006/picture">
                <pic:pic>
                  <pic:nvPicPr>
                    <pic:cNvPr id="24" name="image5.png"/>
                    <pic:cNvPicPr/>
                  </pic:nvPicPr>
                  <pic:blipFill>
                    <a:blip r:embed="rId10" cstate="print"/>
                    <a:stretch>
                      <a:fillRect/>
                    </a:stretch>
                  </pic:blipFill>
                  <pic:spPr>
                    <a:xfrm>
                      <a:off x="0" y="0"/>
                      <a:ext cx="5274970" cy="12191"/>
                    </a:xfrm>
                    <a:prstGeom prst="rect">
                      <a:avLst/>
                    </a:prstGeom>
                  </pic:spPr>
                </pic:pic>
              </a:graphicData>
            </a:graphic>
          </wp:anchor>
        </w:drawing>
      </w:r>
      <w:r>
        <w:rPr>
          <w:spacing w:val="-5"/>
        </w:rPr>
        <w:t>释义</w:t>
      </w:r>
    </w:p>
    <w:p>
      <w:pPr>
        <w:spacing w:after="0" w:line="429" w:lineRule="exact"/>
        <w:jc w:val="left"/>
        <w:sectPr>
          <w:type w:val="continuous"/>
          <w:pgSz w:w="11910" w:h="16840"/>
          <w:pgMar w:header="0" w:footer="226" w:top="240" w:bottom="420" w:left="980" w:right="400"/>
        </w:sectPr>
      </w:pPr>
    </w:p>
    <w:tbl>
      <w:tblPr>
        <w:tblW w:w="0" w:type="auto"/>
        <w:jc w:val="left"/>
        <w:tblInd w:w="8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53"/>
        <w:gridCol w:w="1723"/>
        <w:gridCol w:w="5689"/>
      </w:tblGrid>
      <w:tr>
        <w:trPr>
          <w:trHeight w:val="736" w:hRule="atLeast"/>
        </w:trPr>
        <w:tc>
          <w:tcPr>
            <w:tcW w:w="753" w:type="dxa"/>
          </w:tcPr>
          <w:p>
            <w:pPr>
              <w:pStyle w:val="TableParagraph"/>
              <w:spacing w:line="288" w:lineRule="exact"/>
              <w:ind w:left="50"/>
              <w:rPr>
                <w:rFonts w:ascii="Microsoft JhengHei"/>
                <w:b/>
                <w:sz w:val="21"/>
              </w:rPr>
            </w:pPr>
            <w:r>
              <w:rPr>
                <w:rFonts w:ascii="Microsoft JhengHei"/>
                <w:b/>
                <w:spacing w:val="-4"/>
                <w:sz w:val="21"/>
              </w:rPr>
              <w:t>13.1</w:t>
            </w:r>
          </w:p>
        </w:tc>
        <w:tc>
          <w:tcPr>
            <w:tcW w:w="1723" w:type="dxa"/>
          </w:tcPr>
          <w:p>
            <w:pPr>
              <w:pStyle w:val="TableParagraph"/>
              <w:spacing w:line="288" w:lineRule="exact"/>
              <w:ind w:left="281"/>
              <w:rPr>
                <w:rFonts w:ascii="Microsoft JhengHei" w:eastAsia="Microsoft JhengHei"/>
                <w:b/>
                <w:sz w:val="21"/>
              </w:rPr>
            </w:pPr>
            <w:r>
              <w:rPr>
                <w:rFonts w:ascii="Microsoft JhengHei" w:eastAsia="Microsoft JhengHei"/>
                <w:b/>
                <w:spacing w:val="-3"/>
                <w:sz w:val="21"/>
              </w:rPr>
              <w:t>合法有效</w:t>
            </w:r>
          </w:p>
        </w:tc>
        <w:tc>
          <w:tcPr>
            <w:tcW w:w="5689" w:type="dxa"/>
          </w:tcPr>
          <w:p>
            <w:pPr>
              <w:pStyle w:val="TableParagraph"/>
              <w:spacing w:line="241" w:lineRule="exact"/>
              <w:ind w:left="176"/>
              <w:rPr>
                <w:sz w:val="21"/>
              </w:rPr>
            </w:pPr>
            <w:r>
              <w:rPr>
                <w:spacing w:val="-3"/>
                <w:sz w:val="21"/>
              </w:rPr>
              <w:t>本合同所指合法有效均以中华人民共和国法律、法规、行政</w:t>
            </w:r>
          </w:p>
          <w:p>
            <w:pPr>
              <w:pStyle w:val="TableParagraph"/>
              <w:spacing w:before="43"/>
              <w:ind w:left="176"/>
              <w:rPr>
                <w:sz w:val="21"/>
              </w:rPr>
            </w:pPr>
            <w:r>
              <w:rPr>
                <w:spacing w:val="-3"/>
                <w:sz w:val="21"/>
              </w:rPr>
              <w:t>规章及有关规范性法律文件的规定为判定依据。</w:t>
            </w:r>
          </w:p>
        </w:tc>
      </w:tr>
      <w:tr>
        <w:trPr>
          <w:trHeight w:val="1575" w:hRule="atLeast"/>
        </w:trPr>
        <w:tc>
          <w:tcPr>
            <w:tcW w:w="753" w:type="dxa"/>
          </w:tcPr>
          <w:p>
            <w:pPr>
              <w:pStyle w:val="TableParagraph"/>
              <w:spacing w:before="115"/>
              <w:ind w:left="50"/>
              <w:rPr>
                <w:rFonts w:ascii="Microsoft JhengHei"/>
                <w:b/>
                <w:sz w:val="21"/>
              </w:rPr>
            </w:pPr>
            <w:r>
              <w:rPr>
                <w:rFonts w:ascii="Microsoft JhengHei"/>
                <w:b/>
                <w:spacing w:val="-4"/>
                <w:sz w:val="21"/>
              </w:rPr>
              <w:t>13.2</w:t>
            </w:r>
          </w:p>
        </w:tc>
        <w:tc>
          <w:tcPr>
            <w:tcW w:w="1723" w:type="dxa"/>
          </w:tcPr>
          <w:p>
            <w:pPr>
              <w:pStyle w:val="TableParagraph"/>
              <w:spacing w:before="115"/>
              <w:ind w:left="281"/>
              <w:rPr>
                <w:rFonts w:ascii="Microsoft JhengHei" w:eastAsia="Microsoft JhengHei"/>
                <w:b/>
                <w:sz w:val="21"/>
              </w:rPr>
            </w:pPr>
            <w:r>
              <w:rPr>
                <w:rFonts w:ascii="Microsoft JhengHei" w:eastAsia="Microsoft JhengHei"/>
                <w:b/>
                <w:spacing w:val="-3"/>
                <w:sz w:val="21"/>
              </w:rPr>
              <w:t>保单年度</w:t>
            </w:r>
          </w:p>
        </w:tc>
        <w:tc>
          <w:tcPr>
            <w:tcW w:w="5689" w:type="dxa"/>
          </w:tcPr>
          <w:p>
            <w:pPr>
              <w:pStyle w:val="TableParagraph"/>
              <w:spacing w:before="1"/>
              <w:rPr>
                <w:rFonts w:ascii="Microsoft JhengHei"/>
                <w:b/>
                <w:sz w:val="10"/>
              </w:rPr>
            </w:pPr>
          </w:p>
          <w:p>
            <w:pPr>
              <w:pStyle w:val="TableParagraph"/>
              <w:spacing w:line="278" w:lineRule="auto"/>
              <w:ind w:left="176" w:right="47"/>
              <w:jc w:val="both"/>
              <w:rPr>
                <w:sz w:val="21"/>
              </w:rPr>
            </w:pPr>
            <w:r>
              <w:rPr>
                <w:spacing w:val="-2"/>
                <w:sz w:val="21"/>
              </w:rPr>
              <w:t>从本合同生效日或者年生效对应日零时起至下一年度本合同</w:t>
            </w:r>
            <w:r>
              <w:rPr>
                <w:spacing w:val="-2"/>
                <w:sz w:val="21"/>
              </w:rPr>
              <w:t>年生效对应日零时止为一个保单年度。如果当月无对应的同</w:t>
            </w:r>
            <w:r>
              <w:rPr>
                <w:spacing w:val="-2"/>
                <w:sz w:val="21"/>
              </w:rPr>
              <w:t>一日，则以该月最后一日为对应日，前述本合同年生效对应</w:t>
            </w:r>
            <w:r>
              <w:rPr>
                <w:spacing w:val="-2"/>
                <w:sz w:val="21"/>
              </w:rPr>
              <w:t>日为保单周年日。</w:t>
            </w:r>
          </w:p>
        </w:tc>
      </w:tr>
      <w:tr>
        <w:trPr>
          <w:trHeight w:val="1260" w:hRule="atLeast"/>
        </w:trPr>
        <w:tc>
          <w:tcPr>
            <w:tcW w:w="753" w:type="dxa"/>
          </w:tcPr>
          <w:p>
            <w:pPr>
              <w:pStyle w:val="TableParagraph"/>
              <w:spacing w:before="115"/>
              <w:ind w:left="50"/>
              <w:rPr>
                <w:rFonts w:ascii="Microsoft JhengHei"/>
                <w:b/>
                <w:sz w:val="21"/>
              </w:rPr>
            </w:pPr>
            <w:r>
              <w:rPr>
                <w:rFonts w:ascii="Microsoft JhengHei"/>
                <w:b/>
                <w:spacing w:val="-4"/>
                <w:sz w:val="21"/>
              </w:rPr>
              <w:t>13.3</w:t>
            </w:r>
          </w:p>
        </w:tc>
        <w:tc>
          <w:tcPr>
            <w:tcW w:w="1723" w:type="dxa"/>
          </w:tcPr>
          <w:p>
            <w:pPr>
              <w:pStyle w:val="TableParagraph"/>
              <w:spacing w:line="194" w:lineRule="auto" w:before="169"/>
              <w:ind w:left="281" w:right="172"/>
              <w:rPr>
                <w:rFonts w:ascii="Microsoft JhengHei" w:eastAsia="Microsoft JhengHei"/>
                <w:b/>
                <w:sz w:val="21"/>
              </w:rPr>
            </w:pPr>
            <w:r>
              <w:rPr>
                <w:rFonts w:ascii="Microsoft JhengHei" w:eastAsia="Microsoft JhengHei"/>
                <w:b/>
                <w:spacing w:val="-2"/>
                <w:sz w:val="21"/>
              </w:rPr>
              <w:t>保险费约定交</w:t>
            </w:r>
            <w:r>
              <w:rPr>
                <w:rFonts w:ascii="Microsoft JhengHei" w:eastAsia="Microsoft JhengHei"/>
                <w:b/>
                <w:spacing w:val="-6"/>
                <w:sz w:val="21"/>
              </w:rPr>
              <w:t>纳日</w:t>
            </w:r>
          </w:p>
        </w:tc>
        <w:tc>
          <w:tcPr>
            <w:tcW w:w="5689" w:type="dxa"/>
          </w:tcPr>
          <w:p>
            <w:pPr>
              <w:pStyle w:val="TableParagraph"/>
              <w:spacing w:before="1"/>
              <w:rPr>
                <w:rFonts w:ascii="Microsoft JhengHei"/>
                <w:b/>
                <w:sz w:val="10"/>
              </w:rPr>
            </w:pPr>
          </w:p>
          <w:p>
            <w:pPr>
              <w:pStyle w:val="TableParagraph"/>
              <w:spacing w:line="278" w:lineRule="auto"/>
              <w:ind w:left="176" w:right="48"/>
              <w:jc w:val="both"/>
              <w:rPr>
                <w:sz w:val="21"/>
              </w:rPr>
            </w:pPr>
            <w:r>
              <w:rPr>
                <w:spacing w:val="-2"/>
                <w:sz w:val="21"/>
              </w:rPr>
              <w:t>本合同生效日在每月、每季、每半年或者每年（根据交费方</w:t>
            </w:r>
            <w:r>
              <w:rPr>
                <w:spacing w:val="-2"/>
                <w:sz w:val="21"/>
              </w:rPr>
              <w:t>式确定）的对应日。如果当月无对应的同一日，则以该月最</w:t>
            </w:r>
            <w:r>
              <w:rPr>
                <w:spacing w:val="-2"/>
                <w:sz w:val="21"/>
              </w:rPr>
              <w:t>后一日为对应日。</w:t>
            </w:r>
          </w:p>
        </w:tc>
      </w:tr>
      <w:tr>
        <w:trPr>
          <w:trHeight w:val="475" w:hRule="atLeast"/>
        </w:trPr>
        <w:tc>
          <w:tcPr>
            <w:tcW w:w="753" w:type="dxa"/>
          </w:tcPr>
          <w:p>
            <w:pPr>
              <w:pStyle w:val="TableParagraph"/>
              <w:spacing w:line="342" w:lineRule="exact" w:before="113"/>
              <w:ind w:left="50"/>
              <w:rPr>
                <w:rFonts w:ascii="Microsoft JhengHei"/>
                <w:b/>
                <w:sz w:val="21"/>
              </w:rPr>
            </w:pPr>
            <w:r>
              <w:rPr>
                <w:rFonts w:ascii="Microsoft JhengHei"/>
                <w:b/>
                <w:spacing w:val="-4"/>
                <w:sz w:val="21"/>
              </w:rPr>
              <w:t>13.4</w:t>
            </w:r>
          </w:p>
        </w:tc>
        <w:tc>
          <w:tcPr>
            <w:tcW w:w="1723" w:type="dxa"/>
          </w:tcPr>
          <w:p>
            <w:pPr>
              <w:pStyle w:val="TableParagraph"/>
              <w:spacing w:line="342" w:lineRule="exact" w:before="113"/>
              <w:ind w:left="281"/>
              <w:rPr>
                <w:rFonts w:ascii="Microsoft JhengHei" w:eastAsia="Microsoft JhengHei"/>
                <w:b/>
                <w:sz w:val="21"/>
              </w:rPr>
            </w:pPr>
            <w:r>
              <w:rPr>
                <w:rFonts w:ascii="Microsoft JhengHei" w:eastAsia="Microsoft JhengHei"/>
                <w:b/>
                <w:spacing w:val="-5"/>
                <w:sz w:val="21"/>
              </w:rPr>
              <w:t>周岁</w:t>
            </w:r>
          </w:p>
        </w:tc>
        <w:tc>
          <w:tcPr>
            <w:tcW w:w="5689" w:type="dxa"/>
          </w:tcPr>
          <w:p>
            <w:pPr>
              <w:pStyle w:val="TableParagraph"/>
              <w:spacing w:before="17"/>
              <w:rPr>
                <w:rFonts w:ascii="Microsoft JhengHei"/>
                <w:b/>
                <w:sz w:val="9"/>
              </w:rPr>
            </w:pPr>
          </w:p>
          <w:p>
            <w:pPr>
              <w:pStyle w:val="TableParagraph"/>
              <w:ind w:left="176"/>
              <w:rPr>
                <w:sz w:val="21"/>
              </w:rPr>
            </w:pPr>
            <w:r>
              <w:rPr>
                <w:spacing w:val="-3"/>
                <w:sz w:val="21"/>
              </w:rPr>
              <w:t>指按有效身份证件中记载的出生日期计算的年龄，自出生之</w:t>
            </w:r>
          </w:p>
        </w:tc>
      </w:tr>
      <w:tr>
        <w:trPr>
          <w:trHeight w:val="1411" w:hRule="atLeast"/>
        </w:trPr>
        <w:tc>
          <w:tcPr>
            <w:tcW w:w="753" w:type="dxa"/>
          </w:tcPr>
          <w:p>
            <w:pPr>
              <w:pStyle w:val="TableParagraph"/>
              <w:rPr>
                <w:rFonts w:ascii="Times New Roman"/>
                <w:sz w:val="20"/>
              </w:rPr>
            </w:pPr>
          </w:p>
        </w:tc>
        <w:tc>
          <w:tcPr>
            <w:tcW w:w="1723" w:type="dxa"/>
          </w:tcPr>
          <w:p>
            <w:pPr>
              <w:pStyle w:val="TableParagraph"/>
              <w:rPr>
                <w:rFonts w:ascii="Times New Roman"/>
                <w:sz w:val="20"/>
              </w:rPr>
            </w:pPr>
          </w:p>
        </w:tc>
        <w:tc>
          <w:tcPr>
            <w:tcW w:w="5689" w:type="dxa"/>
          </w:tcPr>
          <w:p>
            <w:pPr>
              <w:pStyle w:val="TableParagraph"/>
              <w:spacing w:line="278" w:lineRule="auto" w:before="24"/>
              <w:ind w:left="176" w:right="46"/>
              <w:rPr>
                <w:sz w:val="21"/>
              </w:rPr>
            </w:pPr>
            <w:r>
              <w:rPr>
                <w:spacing w:val="-2"/>
                <w:sz w:val="21"/>
              </w:rPr>
              <w:t>日起为零周岁，每经过一年增加一岁，不足一年的不计。例</w:t>
            </w:r>
            <w:r>
              <w:rPr>
                <w:spacing w:val="-9"/>
                <w:sz w:val="21"/>
              </w:rPr>
              <w:t>如，出生日期为 </w:t>
            </w:r>
            <w:r>
              <w:rPr>
                <w:spacing w:val="-2"/>
                <w:sz w:val="21"/>
              </w:rPr>
              <w:t>2000</w:t>
            </w:r>
            <w:r>
              <w:rPr>
                <w:spacing w:val="-35"/>
                <w:sz w:val="21"/>
              </w:rPr>
              <w:t> 年 </w:t>
            </w:r>
            <w:r>
              <w:rPr>
                <w:spacing w:val="-2"/>
                <w:sz w:val="21"/>
              </w:rPr>
              <w:t>9</w:t>
            </w:r>
            <w:r>
              <w:rPr>
                <w:spacing w:val="-34"/>
                <w:sz w:val="21"/>
              </w:rPr>
              <w:t> 月 </w:t>
            </w:r>
            <w:r>
              <w:rPr>
                <w:spacing w:val="-2"/>
                <w:sz w:val="21"/>
              </w:rPr>
              <w:t>1</w:t>
            </w:r>
            <w:r>
              <w:rPr>
                <w:spacing w:val="-28"/>
                <w:sz w:val="21"/>
              </w:rPr>
              <w:t> 日</w:t>
            </w:r>
            <w:r>
              <w:rPr>
                <w:spacing w:val="-2"/>
                <w:sz w:val="21"/>
              </w:rPr>
              <w:t>，2000</w:t>
            </w:r>
            <w:r>
              <w:rPr>
                <w:spacing w:val="-34"/>
                <w:sz w:val="21"/>
              </w:rPr>
              <w:t> 年 </w:t>
            </w:r>
            <w:r>
              <w:rPr>
                <w:spacing w:val="-2"/>
                <w:sz w:val="21"/>
              </w:rPr>
              <w:t>9</w:t>
            </w:r>
            <w:r>
              <w:rPr>
                <w:spacing w:val="-36"/>
                <w:sz w:val="21"/>
              </w:rPr>
              <w:t> 月 </w:t>
            </w:r>
            <w:r>
              <w:rPr>
                <w:spacing w:val="-2"/>
                <w:sz w:val="21"/>
              </w:rPr>
              <w:t>1</w:t>
            </w:r>
            <w:r>
              <w:rPr>
                <w:spacing w:val="-26"/>
                <w:sz w:val="21"/>
              </w:rPr>
              <w:t> 日至 </w:t>
            </w:r>
            <w:r>
              <w:rPr>
                <w:spacing w:val="-4"/>
                <w:sz w:val="21"/>
              </w:rPr>
              <w:t>200</w:t>
            </w:r>
            <w:r>
              <w:rPr>
                <w:spacing w:val="-4"/>
                <w:sz w:val="21"/>
              </w:rPr>
              <w:t>1</w:t>
            </w:r>
          </w:p>
          <w:p>
            <w:pPr>
              <w:pStyle w:val="TableParagraph"/>
              <w:ind w:left="176"/>
              <w:rPr>
                <w:sz w:val="21"/>
              </w:rPr>
            </w:pPr>
            <w:r>
              <w:rPr>
                <w:spacing w:val="-27"/>
                <w:sz w:val="21"/>
              </w:rPr>
              <w:t>年 </w:t>
            </w:r>
            <w:r>
              <w:rPr>
                <w:spacing w:val="-2"/>
                <w:sz w:val="21"/>
              </w:rPr>
              <w:t>8</w:t>
            </w:r>
            <w:r>
              <w:rPr>
                <w:spacing w:val="-34"/>
                <w:sz w:val="21"/>
              </w:rPr>
              <w:t> 月 </w:t>
            </w:r>
            <w:r>
              <w:rPr>
                <w:spacing w:val="-2"/>
                <w:sz w:val="21"/>
              </w:rPr>
              <w:t>31</w:t>
            </w:r>
            <w:r>
              <w:rPr>
                <w:spacing w:val="-19"/>
                <w:sz w:val="21"/>
              </w:rPr>
              <w:t> 日期间为 </w:t>
            </w:r>
            <w:r>
              <w:rPr>
                <w:spacing w:val="-2"/>
                <w:sz w:val="21"/>
              </w:rPr>
              <w:t>0</w:t>
            </w:r>
            <w:r>
              <w:rPr>
                <w:spacing w:val="-20"/>
                <w:sz w:val="21"/>
              </w:rPr>
              <w:t> 周岁</w:t>
            </w:r>
            <w:r>
              <w:rPr>
                <w:spacing w:val="-2"/>
                <w:sz w:val="21"/>
              </w:rPr>
              <w:t>，2001</w:t>
            </w:r>
            <w:r>
              <w:rPr>
                <w:spacing w:val="-34"/>
                <w:sz w:val="21"/>
              </w:rPr>
              <w:t> 年 </w:t>
            </w:r>
            <w:r>
              <w:rPr>
                <w:spacing w:val="-2"/>
                <w:sz w:val="21"/>
              </w:rPr>
              <w:t>9</w:t>
            </w:r>
            <w:r>
              <w:rPr>
                <w:spacing w:val="-35"/>
                <w:sz w:val="21"/>
              </w:rPr>
              <w:t> 月 </w:t>
            </w:r>
            <w:r>
              <w:rPr>
                <w:spacing w:val="-2"/>
                <w:sz w:val="21"/>
              </w:rPr>
              <w:t>1</w:t>
            </w:r>
            <w:r>
              <w:rPr>
                <w:spacing w:val="-27"/>
                <w:sz w:val="21"/>
              </w:rPr>
              <w:t> 日至 </w:t>
            </w:r>
            <w:r>
              <w:rPr>
                <w:spacing w:val="-2"/>
                <w:sz w:val="21"/>
              </w:rPr>
              <w:t>2002</w:t>
            </w:r>
            <w:r>
              <w:rPr>
                <w:spacing w:val="-35"/>
                <w:sz w:val="21"/>
              </w:rPr>
              <w:t> 年 </w:t>
            </w:r>
            <w:r>
              <w:rPr>
                <w:spacing w:val="-10"/>
                <w:sz w:val="21"/>
              </w:rPr>
              <w:t>8</w:t>
            </w:r>
          </w:p>
          <w:p>
            <w:pPr>
              <w:pStyle w:val="TableParagraph"/>
              <w:spacing w:before="43"/>
              <w:ind w:left="176"/>
              <w:rPr>
                <w:sz w:val="21"/>
              </w:rPr>
            </w:pPr>
            <w:r>
              <w:rPr>
                <w:spacing w:val="-27"/>
                <w:sz w:val="21"/>
              </w:rPr>
              <w:t>月 </w:t>
            </w:r>
            <w:r>
              <w:rPr>
                <w:spacing w:val="-2"/>
                <w:sz w:val="21"/>
              </w:rPr>
              <w:t>31</w:t>
            </w:r>
            <w:r>
              <w:rPr>
                <w:spacing w:val="-18"/>
                <w:sz w:val="21"/>
              </w:rPr>
              <w:t> 日期间为 </w:t>
            </w:r>
            <w:r>
              <w:rPr>
                <w:spacing w:val="-2"/>
                <w:sz w:val="21"/>
              </w:rPr>
              <w:t>1</w:t>
            </w:r>
            <w:r>
              <w:rPr>
                <w:spacing w:val="-10"/>
                <w:sz w:val="21"/>
              </w:rPr>
              <w:t> 周岁，依此类推。</w:t>
            </w:r>
          </w:p>
        </w:tc>
      </w:tr>
      <w:tr>
        <w:trPr>
          <w:trHeight w:val="475" w:hRule="atLeast"/>
        </w:trPr>
        <w:tc>
          <w:tcPr>
            <w:tcW w:w="753" w:type="dxa"/>
          </w:tcPr>
          <w:p>
            <w:pPr>
              <w:pStyle w:val="TableParagraph"/>
              <w:spacing w:line="342" w:lineRule="exact" w:before="113"/>
              <w:ind w:left="50"/>
              <w:rPr>
                <w:rFonts w:ascii="Microsoft JhengHei"/>
                <w:b/>
                <w:sz w:val="21"/>
              </w:rPr>
            </w:pPr>
            <w:r>
              <w:rPr>
                <w:rFonts w:ascii="Microsoft JhengHei"/>
                <w:b/>
                <w:spacing w:val="-4"/>
                <w:sz w:val="21"/>
              </w:rPr>
              <w:t>13.5</w:t>
            </w:r>
          </w:p>
        </w:tc>
        <w:tc>
          <w:tcPr>
            <w:tcW w:w="1723" w:type="dxa"/>
          </w:tcPr>
          <w:p>
            <w:pPr>
              <w:pStyle w:val="TableParagraph"/>
              <w:spacing w:line="342" w:lineRule="exact" w:before="113"/>
              <w:ind w:left="281"/>
              <w:rPr>
                <w:rFonts w:ascii="Microsoft JhengHei" w:eastAsia="Microsoft JhengHei"/>
                <w:b/>
                <w:sz w:val="21"/>
              </w:rPr>
            </w:pPr>
            <w:r>
              <w:rPr>
                <w:rFonts w:ascii="Microsoft JhengHei" w:eastAsia="Microsoft JhengHei"/>
                <w:b/>
                <w:spacing w:val="-2"/>
                <w:sz w:val="21"/>
              </w:rPr>
              <w:t>有效身份证件</w:t>
            </w:r>
          </w:p>
        </w:tc>
        <w:tc>
          <w:tcPr>
            <w:tcW w:w="5689" w:type="dxa"/>
          </w:tcPr>
          <w:p>
            <w:pPr>
              <w:pStyle w:val="TableParagraph"/>
              <w:spacing w:before="17"/>
              <w:rPr>
                <w:rFonts w:ascii="Microsoft JhengHei"/>
                <w:b/>
                <w:sz w:val="9"/>
              </w:rPr>
            </w:pPr>
          </w:p>
          <w:p>
            <w:pPr>
              <w:pStyle w:val="TableParagraph"/>
              <w:ind w:left="176"/>
              <w:rPr>
                <w:sz w:val="21"/>
              </w:rPr>
            </w:pPr>
            <w:r>
              <w:rPr>
                <w:spacing w:val="-3"/>
                <w:sz w:val="21"/>
              </w:rPr>
              <w:t>指由中华人民共和国政府主管部门规定的能够证明其身份的</w:t>
            </w:r>
          </w:p>
        </w:tc>
      </w:tr>
      <w:tr>
        <w:trPr>
          <w:trHeight w:val="1099" w:hRule="atLeast"/>
        </w:trPr>
        <w:tc>
          <w:tcPr>
            <w:tcW w:w="753" w:type="dxa"/>
          </w:tcPr>
          <w:p>
            <w:pPr>
              <w:pStyle w:val="TableParagraph"/>
              <w:rPr>
                <w:rFonts w:ascii="Times New Roman"/>
                <w:sz w:val="20"/>
              </w:rPr>
            </w:pPr>
          </w:p>
        </w:tc>
        <w:tc>
          <w:tcPr>
            <w:tcW w:w="1723" w:type="dxa"/>
          </w:tcPr>
          <w:p>
            <w:pPr>
              <w:pStyle w:val="TableParagraph"/>
              <w:rPr>
                <w:rFonts w:ascii="Times New Roman"/>
                <w:sz w:val="20"/>
              </w:rPr>
            </w:pPr>
          </w:p>
        </w:tc>
        <w:tc>
          <w:tcPr>
            <w:tcW w:w="5689" w:type="dxa"/>
          </w:tcPr>
          <w:p>
            <w:pPr>
              <w:pStyle w:val="TableParagraph"/>
              <w:spacing w:line="278" w:lineRule="auto" w:before="24"/>
              <w:ind w:left="176" w:right="48"/>
              <w:jc w:val="both"/>
              <w:rPr>
                <w:sz w:val="21"/>
              </w:rPr>
            </w:pPr>
            <w:r>
              <w:rPr>
                <w:spacing w:val="-2"/>
                <w:sz w:val="21"/>
              </w:rPr>
              <w:t>证件，如：居民身份证、军官证、警官证、士兵证、户口簿</w:t>
            </w:r>
            <w:r>
              <w:rPr>
                <w:spacing w:val="-2"/>
                <w:sz w:val="21"/>
              </w:rPr>
              <w:t>以及中华人民共和国政府主管部门颁发或者认可的有效护照</w:t>
            </w:r>
            <w:r>
              <w:rPr>
                <w:spacing w:val="-2"/>
                <w:sz w:val="21"/>
              </w:rPr>
              <w:t>或者其他身份证明文件。</w:t>
            </w:r>
          </w:p>
        </w:tc>
      </w:tr>
      <w:tr>
        <w:trPr>
          <w:trHeight w:val="551" w:hRule="atLeast"/>
        </w:trPr>
        <w:tc>
          <w:tcPr>
            <w:tcW w:w="753" w:type="dxa"/>
          </w:tcPr>
          <w:p>
            <w:pPr>
              <w:pStyle w:val="TableParagraph"/>
              <w:spacing w:before="113"/>
              <w:ind w:left="50"/>
              <w:rPr>
                <w:rFonts w:ascii="Microsoft JhengHei"/>
                <w:b/>
                <w:sz w:val="21"/>
              </w:rPr>
            </w:pPr>
            <w:r>
              <w:rPr>
                <w:rFonts w:ascii="Microsoft JhengHei"/>
                <w:b/>
                <w:spacing w:val="-4"/>
                <w:sz w:val="21"/>
              </w:rPr>
              <w:t>13.6</w:t>
            </w:r>
          </w:p>
        </w:tc>
        <w:tc>
          <w:tcPr>
            <w:tcW w:w="1723" w:type="dxa"/>
          </w:tcPr>
          <w:p>
            <w:pPr>
              <w:pStyle w:val="TableParagraph"/>
              <w:spacing w:before="113"/>
              <w:ind w:left="281"/>
              <w:rPr>
                <w:rFonts w:ascii="Microsoft JhengHei" w:eastAsia="Microsoft JhengHei"/>
                <w:b/>
                <w:sz w:val="21"/>
              </w:rPr>
            </w:pPr>
            <w:r>
              <w:rPr>
                <w:rFonts w:ascii="Microsoft JhengHei" w:eastAsia="Microsoft JhengHei"/>
                <w:b/>
                <w:spacing w:val="-5"/>
                <w:sz w:val="21"/>
              </w:rPr>
              <w:t>高残</w:t>
            </w:r>
          </w:p>
        </w:tc>
        <w:tc>
          <w:tcPr>
            <w:tcW w:w="5689" w:type="dxa"/>
          </w:tcPr>
          <w:p>
            <w:pPr>
              <w:pStyle w:val="TableParagraph"/>
              <w:spacing w:before="17"/>
              <w:rPr>
                <w:rFonts w:ascii="Microsoft JhengHei"/>
                <w:b/>
                <w:sz w:val="9"/>
              </w:rPr>
            </w:pPr>
          </w:p>
          <w:p>
            <w:pPr>
              <w:pStyle w:val="TableParagraph"/>
              <w:ind w:left="176"/>
              <w:rPr>
                <w:sz w:val="21"/>
              </w:rPr>
            </w:pPr>
            <w:r>
              <w:rPr>
                <w:spacing w:val="-3"/>
                <w:sz w:val="21"/>
              </w:rPr>
              <w:t>本合同所定义的高残是指至少满足下列情形之一者：</w:t>
            </w:r>
          </w:p>
        </w:tc>
      </w:tr>
      <w:tr>
        <w:trPr>
          <w:trHeight w:val="3238" w:hRule="atLeast"/>
        </w:trPr>
        <w:tc>
          <w:tcPr>
            <w:tcW w:w="2476" w:type="dxa"/>
            <w:gridSpan w:val="2"/>
            <w:vMerge w:val="restart"/>
          </w:tcPr>
          <w:p>
            <w:pPr>
              <w:pStyle w:val="TableParagraph"/>
              <w:rPr>
                <w:rFonts w:ascii="Times New Roman"/>
                <w:sz w:val="20"/>
              </w:rPr>
            </w:pPr>
          </w:p>
        </w:tc>
        <w:tc>
          <w:tcPr>
            <w:tcW w:w="5689" w:type="dxa"/>
          </w:tcPr>
          <w:p>
            <w:pPr>
              <w:pStyle w:val="TableParagraph"/>
              <w:numPr>
                <w:ilvl w:val="0"/>
                <w:numId w:val="84"/>
              </w:numPr>
              <w:tabs>
                <w:tab w:pos="706" w:val="left" w:leader="none"/>
              </w:tabs>
              <w:spacing w:line="240" w:lineRule="auto" w:before="101" w:after="0"/>
              <w:ind w:left="705" w:right="0" w:hanging="530"/>
              <w:jc w:val="left"/>
              <w:rPr>
                <w:sz w:val="21"/>
              </w:rPr>
            </w:pPr>
            <w:r>
              <w:rPr>
                <w:spacing w:val="-2"/>
                <w:sz w:val="21"/>
              </w:rPr>
              <w:t>双目永久完全（注①）失明（</w:t>
            </w:r>
            <w:r>
              <w:rPr>
                <w:spacing w:val="12"/>
                <w:sz w:val="21"/>
              </w:rPr>
              <w:t>注②</w:t>
            </w:r>
            <w:r>
              <w:rPr>
                <w:spacing w:val="-74"/>
                <w:sz w:val="21"/>
              </w:rPr>
              <w:t>）</w:t>
            </w:r>
            <w:r>
              <w:rPr>
                <w:spacing w:val="32"/>
                <w:sz w:val="21"/>
              </w:rPr>
              <w:t>；</w:t>
            </w:r>
          </w:p>
          <w:p>
            <w:pPr>
              <w:pStyle w:val="TableParagraph"/>
              <w:numPr>
                <w:ilvl w:val="0"/>
                <w:numId w:val="84"/>
              </w:numPr>
              <w:tabs>
                <w:tab w:pos="706" w:val="left" w:leader="none"/>
              </w:tabs>
              <w:spacing w:line="240" w:lineRule="auto" w:before="43" w:after="0"/>
              <w:ind w:left="705" w:right="0" w:hanging="530"/>
              <w:jc w:val="left"/>
              <w:rPr>
                <w:sz w:val="21"/>
              </w:rPr>
            </w:pPr>
            <w:r>
              <w:rPr>
                <w:spacing w:val="-3"/>
                <w:sz w:val="21"/>
              </w:rPr>
              <w:t>两上肢腕关节以上或两下肢踝关节以上缺失；</w:t>
            </w:r>
          </w:p>
          <w:p>
            <w:pPr>
              <w:pStyle w:val="TableParagraph"/>
              <w:numPr>
                <w:ilvl w:val="0"/>
                <w:numId w:val="84"/>
              </w:numPr>
              <w:tabs>
                <w:tab w:pos="706" w:val="left" w:leader="none"/>
              </w:tabs>
              <w:spacing w:line="240" w:lineRule="auto" w:before="43" w:after="0"/>
              <w:ind w:left="705" w:right="0" w:hanging="530"/>
              <w:jc w:val="left"/>
              <w:rPr>
                <w:sz w:val="21"/>
              </w:rPr>
            </w:pPr>
            <w:r>
              <w:rPr>
                <w:spacing w:val="-3"/>
                <w:sz w:val="21"/>
              </w:rPr>
              <w:t>一上肢腕关节以上及一下肢踝关节以上缺失；</w:t>
            </w:r>
          </w:p>
          <w:p>
            <w:pPr>
              <w:pStyle w:val="TableParagraph"/>
              <w:numPr>
                <w:ilvl w:val="0"/>
                <w:numId w:val="84"/>
              </w:numPr>
              <w:tabs>
                <w:tab w:pos="706" w:val="left" w:leader="none"/>
              </w:tabs>
              <w:spacing w:line="240" w:lineRule="auto" w:before="43" w:after="0"/>
              <w:ind w:left="705" w:right="0" w:hanging="530"/>
              <w:jc w:val="left"/>
              <w:rPr>
                <w:sz w:val="21"/>
              </w:rPr>
            </w:pPr>
            <w:r>
              <w:rPr>
                <w:spacing w:val="-3"/>
                <w:sz w:val="21"/>
              </w:rPr>
              <w:t>一目永久完全失明及一上肢腕关节以上缺失；</w:t>
            </w:r>
          </w:p>
          <w:p>
            <w:pPr>
              <w:pStyle w:val="TableParagraph"/>
              <w:numPr>
                <w:ilvl w:val="0"/>
                <w:numId w:val="84"/>
              </w:numPr>
              <w:tabs>
                <w:tab w:pos="706" w:val="left" w:leader="none"/>
              </w:tabs>
              <w:spacing w:line="240" w:lineRule="auto" w:before="43" w:after="0"/>
              <w:ind w:left="705" w:right="0" w:hanging="530"/>
              <w:jc w:val="left"/>
              <w:rPr>
                <w:sz w:val="21"/>
              </w:rPr>
            </w:pPr>
            <w:r>
              <w:rPr>
                <w:spacing w:val="-3"/>
                <w:sz w:val="21"/>
              </w:rPr>
              <w:t>一目永久完全失明及一下肢踝关节以上缺失；</w:t>
            </w:r>
          </w:p>
          <w:p>
            <w:pPr>
              <w:pStyle w:val="TableParagraph"/>
              <w:numPr>
                <w:ilvl w:val="0"/>
                <w:numId w:val="84"/>
              </w:numPr>
              <w:tabs>
                <w:tab w:pos="706" w:val="left" w:leader="none"/>
              </w:tabs>
              <w:spacing w:line="240" w:lineRule="auto" w:before="43" w:after="0"/>
              <w:ind w:left="705" w:right="0" w:hanging="530"/>
              <w:jc w:val="left"/>
              <w:rPr>
                <w:sz w:val="21"/>
              </w:rPr>
            </w:pPr>
            <w:r>
              <w:rPr>
                <w:spacing w:val="-2"/>
                <w:sz w:val="21"/>
              </w:rPr>
              <w:t>四肢关节机能永久完全丧失（</w:t>
            </w:r>
            <w:r>
              <w:rPr>
                <w:spacing w:val="12"/>
                <w:sz w:val="21"/>
              </w:rPr>
              <w:t>注③</w:t>
            </w:r>
            <w:r>
              <w:rPr>
                <w:spacing w:val="-74"/>
                <w:sz w:val="21"/>
              </w:rPr>
              <w:t>）</w:t>
            </w:r>
            <w:r>
              <w:rPr>
                <w:spacing w:val="32"/>
                <w:sz w:val="21"/>
              </w:rPr>
              <w:t>；</w:t>
            </w:r>
          </w:p>
          <w:p>
            <w:pPr>
              <w:pStyle w:val="TableParagraph"/>
              <w:numPr>
                <w:ilvl w:val="0"/>
                <w:numId w:val="84"/>
              </w:numPr>
              <w:tabs>
                <w:tab w:pos="706" w:val="left" w:leader="none"/>
              </w:tabs>
              <w:spacing w:line="240" w:lineRule="auto" w:before="43" w:after="0"/>
              <w:ind w:left="705" w:right="0" w:hanging="530"/>
              <w:jc w:val="left"/>
              <w:rPr>
                <w:sz w:val="21"/>
              </w:rPr>
            </w:pPr>
            <w:r>
              <w:rPr>
                <w:spacing w:val="-2"/>
                <w:sz w:val="21"/>
              </w:rPr>
              <w:t>咀嚼、吞咽机能永久完全丧失（</w:t>
            </w:r>
            <w:r>
              <w:rPr>
                <w:spacing w:val="14"/>
                <w:sz w:val="21"/>
              </w:rPr>
              <w:t>注④</w:t>
            </w:r>
            <w:r>
              <w:rPr>
                <w:spacing w:val="-76"/>
                <w:sz w:val="21"/>
              </w:rPr>
              <w:t>）</w:t>
            </w:r>
            <w:r>
              <w:rPr>
                <w:spacing w:val="30"/>
                <w:sz w:val="21"/>
              </w:rPr>
              <w:t>；</w:t>
            </w:r>
          </w:p>
          <w:p>
            <w:pPr>
              <w:pStyle w:val="TableParagraph"/>
              <w:numPr>
                <w:ilvl w:val="0"/>
                <w:numId w:val="84"/>
              </w:numPr>
              <w:tabs>
                <w:tab w:pos="706" w:val="left" w:leader="none"/>
              </w:tabs>
              <w:spacing w:line="310" w:lineRule="atLeast" w:before="2" w:after="0"/>
              <w:ind w:left="176" w:right="48" w:firstLine="0"/>
              <w:jc w:val="left"/>
              <w:rPr>
                <w:sz w:val="21"/>
              </w:rPr>
            </w:pPr>
            <w:r>
              <w:rPr>
                <w:spacing w:val="-2"/>
                <w:sz w:val="21"/>
              </w:rPr>
              <w:t>中枢神经系统机能或胸、腹部脏器机能极度障碍，终</w:t>
            </w:r>
            <w:r>
              <w:rPr>
                <w:spacing w:val="-2"/>
                <w:sz w:val="21"/>
              </w:rPr>
              <w:t>身不能从事任何工作，为维持生命必要的日常生活活动，全</w:t>
            </w:r>
            <w:r>
              <w:rPr>
                <w:spacing w:val="-2"/>
                <w:sz w:val="21"/>
              </w:rPr>
              <w:t>需他人扶助（</w:t>
            </w:r>
            <w:r>
              <w:rPr>
                <w:spacing w:val="-1"/>
                <w:sz w:val="21"/>
              </w:rPr>
              <w:t>注⑤</w:t>
            </w:r>
            <w:r>
              <w:rPr>
                <w:spacing w:val="-106"/>
                <w:sz w:val="21"/>
              </w:rPr>
              <w:t>）</w:t>
            </w:r>
            <w:r>
              <w:rPr>
                <w:spacing w:val="-2"/>
                <w:sz w:val="21"/>
              </w:rPr>
              <w:t>。</w:t>
            </w:r>
          </w:p>
        </w:tc>
      </w:tr>
      <w:tr>
        <w:trPr>
          <w:trHeight w:val="352" w:hRule="atLeast"/>
        </w:trPr>
        <w:tc>
          <w:tcPr>
            <w:tcW w:w="2476" w:type="dxa"/>
            <w:gridSpan w:val="2"/>
            <w:vMerge/>
            <w:tcBorders>
              <w:top w:val="nil"/>
            </w:tcBorders>
          </w:tcPr>
          <w:p>
            <w:pPr>
              <w:rPr>
                <w:sz w:val="2"/>
                <w:szCs w:val="2"/>
              </w:rPr>
            </w:pPr>
          </w:p>
        </w:tc>
        <w:tc>
          <w:tcPr>
            <w:tcW w:w="5689" w:type="dxa"/>
          </w:tcPr>
          <w:p>
            <w:pPr>
              <w:pStyle w:val="TableParagraph"/>
              <w:spacing w:before="60"/>
              <w:ind w:left="176"/>
              <w:rPr>
                <w:sz w:val="21"/>
              </w:rPr>
            </w:pPr>
            <w:r>
              <w:rPr>
                <w:spacing w:val="-2"/>
                <w:sz w:val="21"/>
              </w:rPr>
              <w:t>高残的鉴定应在治疗结束之后由二级以上（含二级）</w:t>
            </w:r>
            <w:r>
              <w:rPr>
                <w:spacing w:val="-5"/>
                <w:sz w:val="21"/>
              </w:rPr>
              <w:t>公立医</w:t>
            </w:r>
          </w:p>
        </w:tc>
      </w:tr>
      <w:tr>
        <w:trPr>
          <w:trHeight w:val="314" w:hRule="atLeast"/>
        </w:trPr>
        <w:tc>
          <w:tcPr>
            <w:tcW w:w="2476" w:type="dxa"/>
            <w:gridSpan w:val="2"/>
            <w:vMerge/>
            <w:tcBorders>
              <w:top w:val="nil"/>
            </w:tcBorders>
          </w:tcPr>
          <w:p>
            <w:pPr>
              <w:rPr>
                <w:sz w:val="2"/>
                <w:szCs w:val="2"/>
              </w:rPr>
            </w:pPr>
          </w:p>
        </w:tc>
        <w:tc>
          <w:tcPr>
            <w:tcW w:w="5689" w:type="dxa"/>
          </w:tcPr>
          <w:p>
            <w:pPr>
              <w:pStyle w:val="TableParagraph"/>
              <w:spacing w:before="24"/>
              <w:ind w:left="176"/>
              <w:rPr>
                <w:sz w:val="21"/>
              </w:rPr>
            </w:pPr>
            <w:r>
              <w:rPr>
                <w:spacing w:val="-2"/>
                <w:sz w:val="21"/>
              </w:rPr>
              <w:t>院或者由双方认可的医疗机构（或鉴定机构）</w:t>
            </w:r>
            <w:r>
              <w:rPr>
                <w:spacing w:val="-4"/>
                <w:sz w:val="21"/>
              </w:rPr>
              <w:t>进行。若自被</w:t>
            </w:r>
          </w:p>
        </w:tc>
      </w:tr>
      <w:tr>
        <w:trPr>
          <w:trHeight w:val="311" w:hRule="atLeast"/>
        </w:trPr>
        <w:tc>
          <w:tcPr>
            <w:tcW w:w="2476" w:type="dxa"/>
            <w:gridSpan w:val="2"/>
            <w:vMerge/>
            <w:tcBorders>
              <w:top w:val="nil"/>
            </w:tcBorders>
          </w:tcPr>
          <w:p>
            <w:pPr>
              <w:rPr>
                <w:sz w:val="2"/>
                <w:szCs w:val="2"/>
              </w:rPr>
            </w:pPr>
          </w:p>
        </w:tc>
        <w:tc>
          <w:tcPr>
            <w:tcW w:w="5689" w:type="dxa"/>
          </w:tcPr>
          <w:p>
            <w:pPr>
              <w:pStyle w:val="TableParagraph"/>
              <w:spacing w:before="22"/>
              <w:ind w:left="176"/>
              <w:rPr>
                <w:sz w:val="21"/>
              </w:rPr>
            </w:pPr>
            <w:r>
              <w:rPr>
                <w:spacing w:val="-5"/>
                <w:sz w:val="21"/>
              </w:rPr>
              <w:t>保险人发生上述“高残”情形之日起 </w:t>
            </w:r>
            <w:r>
              <w:rPr>
                <w:spacing w:val="-2"/>
                <w:sz w:val="21"/>
              </w:rPr>
              <w:t>180</w:t>
            </w:r>
            <w:r>
              <w:rPr>
                <w:spacing w:val="-10"/>
                <w:sz w:val="21"/>
              </w:rPr>
              <w:t> 日后治疗仍未结</w:t>
            </w:r>
          </w:p>
        </w:tc>
      </w:tr>
      <w:tr>
        <w:trPr>
          <w:trHeight w:val="261" w:hRule="atLeast"/>
        </w:trPr>
        <w:tc>
          <w:tcPr>
            <w:tcW w:w="2476" w:type="dxa"/>
            <w:gridSpan w:val="2"/>
            <w:vMerge/>
            <w:tcBorders>
              <w:top w:val="nil"/>
            </w:tcBorders>
          </w:tcPr>
          <w:p>
            <w:pPr>
              <w:rPr>
                <w:sz w:val="2"/>
                <w:szCs w:val="2"/>
              </w:rPr>
            </w:pPr>
          </w:p>
        </w:tc>
        <w:tc>
          <w:tcPr>
            <w:tcW w:w="5689" w:type="dxa"/>
          </w:tcPr>
          <w:p>
            <w:pPr>
              <w:pStyle w:val="TableParagraph"/>
              <w:spacing w:line="220" w:lineRule="exact" w:before="22"/>
              <w:ind w:left="176"/>
              <w:rPr>
                <w:sz w:val="21"/>
              </w:rPr>
            </w:pPr>
            <w:r>
              <w:rPr>
                <w:spacing w:val="-11"/>
                <w:sz w:val="21"/>
              </w:rPr>
              <w:t>束，按第 </w:t>
            </w:r>
            <w:r>
              <w:rPr>
                <w:spacing w:val="-2"/>
                <w:sz w:val="21"/>
              </w:rPr>
              <w:t>180</w:t>
            </w:r>
            <w:r>
              <w:rPr>
                <w:spacing w:val="-10"/>
                <w:sz w:val="21"/>
              </w:rPr>
              <w:t> 日的身体情况进行鉴定。</w:t>
            </w:r>
          </w:p>
        </w:tc>
      </w:tr>
    </w:tbl>
    <w:p>
      <w:pPr>
        <w:pStyle w:val="BodyText"/>
        <w:spacing w:before="14"/>
        <w:rPr>
          <w:rFonts w:ascii="Microsoft JhengHei"/>
          <w:b/>
          <w:sz w:val="13"/>
        </w:rPr>
      </w:pPr>
    </w:p>
    <w:p>
      <w:pPr>
        <w:pStyle w:val="BodyText"/>
        <w:tabs>
          <w:tab w:pos="3634" w:val="left" w:leader="none"/>
        </w:tabs>
        <w:spacing w:line="273" w:lineRule="auto"/>
        <w:ind w:left="3846" w:right="1636" w:hanging="1936"/>
        <w:jc w:val="both"/>
      </w:pPr>
      <w:r>
        <w:rPr>
          <w:rFonts w:ascii="Microsoft JhengHei" w:hAnsi="Microsoft JhengHei" w:eastAsia="Microsoft JhengHei"/>
          <w:b/>
          <w:spacing w:val="-6"/>
          <w:position w:val="8"/>
        </w:rPr>
        <w:t>注</w:t>
      </w:r>
      <w:r>
        <w:rPr>
          <w:rFonts w:ascii="Microsoft JhengHei" w:hAnsi="Microsoft JhengHei" w:eastAsia="Microsoft JhengHei"/>
          <w:b/>
          <w:spacing w:val="-6"/>
          <w:position w:val="8"/>
        </w:rPr>
        <w:t>：</w:t>
      </w:r>
      <w:r>
        <w:rPr>
          <w:rFonts w:ascii="Microsoft JhengHei" w:hAnsi="Microsoft JhengHei" w:eastAsia="Microsoft JhengHei"/>
          <w:b/>
          <w:position w:val="8"/>
        </w:rPr>
        <w:tab/>
      </w:r>
      <w:r>
        <w:rPr/>
        <w:t>①永久完全</w:t>
      </w:r>
      <w:r>
        <w:rPr/>
        <w:t>系指自上</w:t>
      </w:r>
      <w:r>
        <w:rPr/>
        <w:t>述“高残”情形发</w:t>
      </w:r>
      <w:r>
        <w:rPr/>
        <w:t>生之日起</w:t>
      </w:r>
      <w:r>
        <w:rPr/>
        <w:t>经过</w:t>
      </w:r>
      <w:r>
        <w:rPr>
          <w:spacing w:val="-27"/>
        </w:rPr>
        <w:t> </w:t>
      </w:r>
      <w:r>
        <w:rPr/>
        <w:t>180</w:t>
      </w:r>
      <w:r>
        <w:rPr>
          <w:spacing w:val="-2"/>
        </w:rPr>
        <w:t>日</w:t>
      </w:r>
      <w:r>
        <w:rPr>
          <w:spacing w:val="-2"/>
        </w:rPr>
        <w:t>的</w:t>
      </w:r>
      <w:r>
        <w:rPr>
          <w:spacing w:val="-2"/>
        </w:rPr>
        <w:t>治</w:t>
      </w:r>
      <w:r>
        <w:rPr>
          <w:spacing w:val="-2"/>
        </w:rPr>
        <w:t>疗</w:t>
      </w:r>
      <w:r>
        <w:rPr>
          <w:spacing w:val="-2"/>
        </w:rPr>
        <w:t>机</w:t>
      </w:r>
      <w:r>
        <w:rPr>
          <w:spacing w:val="-2"/>
        </w:rPr>
        <w:t>能</w:t>
      </w:r>
      <w:r>
        <w:rPr>
          <w:spacing w:val="-2"/>
        </w:rPr>
        <w:t>仍</w:t>
      </w:r>
      <w:r>
        <w:rPr>
          <w:spacing w:val="-2"/>
        </w:rPr>
        <w:t>完</w:t>
      </w:r>
      <w:r>
        <w:rPr>
          <w:spacing w:val="-2"/>
        </w:rPr>
        <w:t>全</w:t>
      </w:r>
      <w:r>
        <w:rPr>
          <w:spacing w:val="-2"/>
        </w:rPr>
        <w:t>丧</w:t>
      </w:r>
      <w:r>
        <w:rPr>
          <w:spacing w:val="-2"/>
        </w:rPr>
        <w:t>失</w:t>
      </w:r>
      <w:r>
        <w:rPr>
          <w:spacing w:val="-2"/>
        </w:rPr>
        <w:t>，但</w:t>
      </w:r>
      <w:r>
        <w:rPr>
          <w:spacing w:val="-2"/>
        </w:rPr>
        <w:t>眼</w:t>
      </w:r>
      <w:r>
        <w:rPr>
          <w:spacing w:val="-2"/>
        </w:rPr>
        <w:t>球</w:t>
      </w:r>
      <w:r>
        <w:rPr>
          <w:spacing w:val="-2"/>
        </w:rPr>
        <w:t>摘</w:t>
      </w:r>
      <w:r>
        <w:rPr>
          <w:spacing w:val="-2"/>
        </w:rPr>
        <w:t>除</w:t>
      </w:r>
      <w:r>
        <w:rPr>
          <w:spacing w:val="-2"/>
        </w:rPr>
        <w:t>等</w:t>
      </w:r>
      <w:r>
        <w:rPr>
          <w:spacing w:val="-2"/>
        </w:rPr>
        <w:t>明</w:t>
      </w:r>
      <w:r>
        <w:rPr>
          <w:spacing w:val="-2"/>
        </w:rPr>
        <w:t>显</w:t>
      </w:r>
      <w:r>
        <w:rPr>
          <w:spacing w:val="-2"/>
        </w:rPr>
        <w:t>无法复</w:t>
      </w:r>
      <w:r>
        <w:rPr>
          <w:spacing w:val="-2"/>
        </w:rPr>
        <w:t>原</w:t>
      </w:r>
      <w:r>
        <w:rPr>
          <w:spacing w:val="-2"/>
        </w:rPr>
        <w:t>的</w:t>
      </w:r>
      <w:r>
        <w:rPr>
          <w:spacing w:val="-2"/>
        </w:rPr>
        <w:t>情</w:t>
      </w:r>
      <w:r>
        <w:rPr>
          <w:spacing w:val="-2"/>
        </w:rPr>
        <w:t>况</w:t>
      </w:r>
      <w:r>
        <w:rPr>
          <w:spacing w:val="-2"/>
        </w:rPr>
        <w:t>，不</w:t>
      </w:r>
      <w:r>
        <w:rPr>
          <w:spacing w:val="-2"/>
        </w:rPr>
        <w:t>在</w:t>
      </w:r>
      <w:r>
        <w:rPr>
          <w:spacing w:val="-2"/>
        </w:rPr>
        <w:t>此</w:t>
      </w:r>
      <w:r>
        <w:rPr>
          <w:spacing w:val="-2"/>
        </w:rPr>
        <w:t>限</w:t>
      </w:r>
      <w:r>
        <w:rPr>
          <w:spacing w:val="-2"/>
        </w:rPr>
        <w:t>。</w:t>
      </w:r>
    </w:p>
    <w:p>
      <w:pPr>
        <w:pStyle w:val="BodyText"/>
        <w:spacing w:line="280" w:lineRule="auto" w:before="152"/>
        <w:ind w:left="3846" w:right="1635" w:hanging="212"/>
      </w:pPr>
      <w:r>
        <w:rPr>
          <w:spacing w:val="-2"/>
        </w:rPr>
        <w:t>②失明包括眼球缺失或摘除、或不能辨别明暗、或仅能辨</w:t>
      </w:r>
      <w:r>
        <w:rPr>
          <w:spacing w:val="-2"/>
        </w:rPr>
        <w:t>别眼前手动者，最佳矫正视力低于国际标准视力表 0.02，</w:t>
      </w:r>
      <w:r>
        <w:rPr>
          <w:spacing w:val="-8"/>
        </w:rPr>
        <w:t>或视野半径小于 </w:t>
      </w:r>
      <w:r>
        <w:rPr>
          <w:spacing w:val="-2"/>
        </w:rPr>
        <w:t>5</w:t>
      </w:r>
      <w:r>
        <w:rPr>
          <w:spacing w:val="-9"/>
        </w:rPr>
        <w:t> 度，并由我们确定的有资格的</w:t>
      </w:r>
      <w:r>
        <w:rPr>
          <w:spacing w:val="-2"/>
        </w:rPr>
        <w:t>眼科医师出具医疗诊断证明。</w:t>
      </w:r>
    </w:p>
    <w:p>
      <w:pPr>
        <w:spacing w:after="0" w:line="280" w:lineRule="auto"/>
        <w:sectPr>
          <w:pgSz w:w="11910" w:h="16840"/>
          <w:pgMar w:header="0" w:footer="226" w:top="900" w:bottom="420" w:left="980" w:right="400"/>
        </w:sectPr>
      </w:pPr>
    </w:p>
    <w:p>
      <w:pPr>
        <w:pStyle w:val="BodyText"/>
        <w:spacing w:line="278" w:lineRule="auto" w:before="51"/>
        <w:ind w:left="3846" w:right="1635" w:hanging="212"/>
      </w:pPr>
      <w:r>
        <w:rPr>
          <w:spacing w:val="-2"/>
        </w:rPr>
        <w:t>③关节机能的丧失系指关节永久完全僵硬、或麻痹、或关</w:t>
      </w:r>
      <w:r>
        <w:rPr>
          <w:spacing w:val="-2"/>
        </w:rPr>
        <w:t>节不能随意识活动。</w:t>
      </w:r>
    </w:p>
    <w:p>
      <w:pPr>
        <w:pStyle w:val="BodyText"/>
        <w:spacing w:line="280" w:lineRule="auto" w:before="153"/>
        <w:ind w:left="3846" w:right="1635" w:hanging="212"/>
        <w:jc w:val="both"/>
      </w:pPr>
      <w:r>
        <w:rPr>
          <w:spacing w:val="-2"/>
        </w:rPr>
        <w:t>④咀嚼、吞咽机能丧失系指由于牙齿以外的原因引起器质</w:t>
      </w:r>
      <w:r>
        <w:rPr>
          <w:spacing w:val="-2"/>
        </w:rPr>
        <w:t>障碍或机能障碍，以至不能作咀嚼、吞咽运动，除流质</w:t>
      </w:r>
      <w:r>
        <w:rPr>
          <w:spacing w:val="-2"/>
        </w:rPr>
        <w:t>食物外不能摄取或吞咽的状态。</w:t>
      </w:r>
    </w:p>
    <w:p>
      <w:pPr>
        <w:pStyle w:val="BodyText"/>
        <w:spacing w:line="278" w:lineRule="auto" w:before="151"/>
        <w:ind w:left="3846" w:right="1634" w:hanging="212"/>
      </w:pPr>
      <w:r>
        <w:rPr>
          <w:spacing w:val="-2"/>
        </w:rPr>
        <w:t>⑤为维持生命必要的日常生活活动，全需他人扶助系指食</w:t>
      </w:r>
      <w:r>
        <w:rPr>
          <w:spacing w:val="-2"/>
        </w:rPr>
        <w:t>物摄取、大小便始末、穿脱衣服、起居、步行、入浴</w:t>
      </w:r>
      <w:r>
        <w:rPr>
          <w:spacing w:val="-2"/>
        </w:rPr>
        <w:t> </w:t>
      </w:r>
      <w:r>
        <w:rPr>
          <w:spacing w:val="-2"/>
        </w:rPr>
        <w:t>等，皆不能自己为之，需要他人帮助。</w:t>
      </w:r>
    </w:p>
    <w:p>
      <w:pPr>
        <w:pStyle w:val="BodyText"/>
        <w:spacing w:before="1"/>
        <w:rPr>
          <w:sz w:val="20"/>
        </w:rPr>
      </w:pPr>
    </w:p>
    <w:p>
      <w:pPr>
        <w:pStyle w:val="ListParagraph"/>
        <w:numPr>
          <w:ilvl w:val="1"/>
          <w:numId w:val="85"/>
        </w:numPr>
        <w:tabs>
          <w:tab w:pos="1910" w:val="left" w:leader="none"/>
          <w:tab w:pos="1911" w:val="left" w:leader="none"/>
          <w:tab w:pos="3529" w:val="left" w:leader="none"/>
        </w:tabs>
        <w:spacing w:line="384" w:lineRule="exact" w:before="0" w:after="0"/>
        <w:ind w:left="1910" w:right="0" w:hanging="985"/>
        <w:jc w:val="left"/>
        <w:rPr>
          <w:sz w:val="21"/>
        </w:rPr>
      </w:pPr>
      <w:r>
        <w:rPr>
          <w:rFonts w:ascii="Microsoft JhengHei" w:eastAsia="Microsoft JhengHei"/>
          <w:b/>
          <w:sz w:val="21"/>
        </w:rPr>
        <w:t>医</w:t>
      </w:r>
      <w:r>
        <w:rPr>
          <w:rFonts w:ascii="Microsoft JhengHei" w:eastAsia="Microsoft JhengHei"/>
          <w:b/>
          <w:spacing w:val="-10"/>
          <w:sz w:val="21"/>
        </w:rPr>
        <w:t>院</w:t>
      </w:r>
      <w:r>
        <w:rPr>
          <w:rFonts w:ascii="Microsoft JhengHei" w:eastAsia="Microsoft JhengHei"/>
          <w:b/>
          <w:sz w:val="21"/>
        </w:rPr>
        <w:tab/>
      </w:r>
      <w:r>
        <w:rPr>
          <w:spacing w:val="-2"/>
          <w:sz w:val="21"/>
        </w:rPr>
        <w:t>指</w:t>
      </w:r>
      <w:r>
        <w:rPr>
          <w:spacing w:val="-2"/>
          <w:sz w:val="21"/>
        </w:rPr>
        <w:t>拥</w:t>
      </w:r>
      <w:r>
        <w:rPr>
          <w:spacing w:val="-2"/>
          <w:sz w:val="21"/>
        </w:rPr>
        <w:t>有</w:t>
      </w:r>
      <w:r>
        <w:rPr>
          <w:spacing w:val="-2"/>
          <w:sz w:val="21"/>
        </w:rPr>
        <w:t>卫</w:t>
      </w:r>
      <w:r>
        <w:rPr>
          <w:spacing w:val="-2"/>
          <w:sz w:val="21"/>
        </w:rPr>
        <w:t>生</w:t>
      </w:r>
      <w:r>
        <w:rPr>
          <w:spacing w:val="-2"/>
          <w:sz w:val="21"/>
        </w:rPr>
        <w:t>行</w:t>
      </w:r>
      <w:r>
        <w:rPr>
          <w:spacing w:val="-2"/>
          <w:sz w:val="21"/>
        </w:rPr>
        <w:t>政</w:t>
      </w:r>
      <w:r>
        <w:rPr>
          <w:spacing w:val="-2"/>
          <w:sz w:val="21"/>
        </w:rPr>
        <w:t>部</w:t>
      </w:r>
      <w:r>
        <w:rPr>
          <w:spacing w:val="-2"/>
          <w:sz w:val="21"/>
        </w:rPr>
        <w:t>门</w:t>
      </w:r>
      <w:r>
        <w:rPr>
          <w:spacing w:val="-2"/>
          <w:sz w:val="21"/>
        </w:rPr>
        <w:t>核</w:t>
      </w:r>
      <w:r>
        <w:rPr>
          <w:spacing w:val="-2"/>
          <w:sz w:val="21"/>
        </w:rPr>
        <w:t>发</w:t>
      </w:r>
      <w:r>
        <w:rPr>
          <w:spacing w:val="-2"/>
          <w:sz w:val="21"/>
        </w:rPr>
        <w:t>的</w:t>
      </w:r>
      <w:r>
        <w:rPr>
          <w:spacing w:val="-2"/>
          <w:sz w:val="21"/>
        </w:rPr>
        <w:t>《</w:t>
      </w:r>
      <w:r>
        <w:rPr>
          <w:spacing w:val="-2"/>
          <w:sz w:val="21"/>
        </w:rPr>
        <w:t>医</w:t>
      </w:r>
      <w:r>
        <w:rPr>
          <w:spacing w:val="-2"/>
          <w:sz w:val="21"/>
        </w:rPr>
        <w:t>疗</w:t>
      </w:r>
      <w:r>
        <w:rPr>
          <w:spacing w:val="-2"/>
          <w:sz w:val="21"/>
        </w:rPr>
        <w:t>机</w:t>
      </w:r>
      <w:r>
        <w:rPr>
          <w:spacing w:val="-2"/>
          <w:sz w:val="21"/>
        </w:rPr>
        <w:t>构</w:t>
      </w:r>
      <w:r>
        <w:rPr>
          <w:spacing w:val="-2"/>
          <w:sz w:val="21"/>
        </w:rPr>
        <w:t>执</w:t>
      </w:r>
      <w:r>
        <w:rPr>
          <w:spacing w:val="-2"/>
          <w:sz w:val="21"/>
        </w:rPr>
        <w:t>业</w:t>
      </w:r>
      <w:r>
        <w:rPr>
          <w:spacing w:val="-2"/>
          <w:sz w:val="21"/>
        </w:rPr>
        <w:t>许</w:t>
      </w:r>
      <w:r>
        <w:rPr>
          <w:spacing w:val="-2"/>
          <w:sz w:val="21"/>
        </w:rPr>
        <w:t>可证》，</w:t>
      </w:r>
      <w:r>
        <w:rPr>
          <w:spacing w:val="-2"/>
          <w:sz w:val="21"/>
        </w:rPr>
        <w:t>有</w:t>
      </w:r>
      <w:r>
        <w:rPr>
          <w:spacing w:val="-10"/>
          <w:sz w:val="21"/>
        </w:rPr>
        <w:t>合</w:t>
      </w:r>
    </w:p>
    <w:p>
      <w:pPr>
        <w:pStyle w:val="BodyText"/>
        <w:spacing w:line="278" w:lineRule="auto"/>
        <w:ind w:left="3529" w:right="1530"/>
      </w:pPr>
      <w:r>
        <w:rPr>
          <w:spacing w:val="-2"/>
        </w:rPr>
        <w:t>格医生和护士提供二十四小时医疗护理服务的，具有系统性</w:t>
      </w:r>
      <w:r>
        <w:rPr>
          <w:spacing w:val="-2"/>
        </w:rPr>
        <w:t>诊疗程序、手术设备和住院诊疗设施的，符合卫生部颁发的</w:t>
      </w:r>
      <w:r>
        <w:rPr>
          <w:spacing w:val="-2"/>
        </w:rPr>
        <w:t>医疗机构基本标准的二级或二级以上医院。医院不包括康复</w:t>
      </w:r>
      <w:r>
        <w:rPr>
          <w:spacing w:val="-2"/>
        </w:rPr>
        <w:t>医院或康复病房、精神病医院、疗养院、美容医院、护理</w:t>
      </w:r>
      <w:r>
        <w:rPr/>
        <w:t> </w:t>
      </w:r>
      <w:r>
        <w:rPr>
          <w:spacing w:val="-2"/>
        </w:rPr>
        <w:t>院、戒酒或戒毒中心、精神心理治疗中心、急诊或门诊观察</w:t>
      </w:r>
      <w:r>
        <w:rPr>
          <w:spacing w:val="-2"/>
        </w:rPr>
        <w:t>室、二级或三级医院的联合医院或联合病房、民营医院等，</w:t>
      </w:r>
      <w:r>
        <w:rPr>
          <w:spacing w:val="-2"/>
        </w:rPr>
        <w:t>以及其它不符合本条款约定范围的医院。若本合同中附有关</w:t>
      </w:r>
      <w:r>
        <w:rPr>
          <w:spacing w:val="-2"/>
        </w:rPr>
        <w:t>于医院范围的特别约定，则具体医院范围以此特别约定为</w:t>
      </w:r>
      <w:r>
        <w:rPr>
          <w:spacing w:val="40"/>
        </w:rPr>
        <w:t> </w:t>
      </w:r>
      <w:r>
        <w:rPr>
          <w:spacing w:val="-6"/>
        </w:rPr>
        <w:t>准。</w:t>
      </w:r>
    </w:p>
    <w:p>
      <w:pPr>
        <w:pStyle w:val="BodyText"/>
        <w:spacing w:before="11"/>
        <w:rPr>
          <w:sz w:val="19"/>
        </w:rPr>
      </w:pPr>
    </w:p>
    <w:p>
      <w:pPr>
        <w:pStyle w:val="ListParagraph"/>
        <w:numPr>
          <w:ilvl w:val="1"/>
          <w:numId w:val="85"/>
        </w:numPr>
        <w:tabs>
          <w:tab w:pos="1910" w:val="left" w:leader="none"/>
          <w:tab w:pos="1911" w:val="left" w:leader="none"/>
          <w:tab w:pos="3529" w:val="left" w:leader="none"/>
        </w:tabs>
        <w:spacing w:line="240" w:lineRule="auto" w:before="0" w:after="0"/>
        <w:ind w:left="1910" w:right="0" w:hanging="985"/>
        <w:jc w:val="left"/>
        <w:rPr>
          <w:sz w:val="21"/>
        </w:rPr>
      </w:pPr>
      <w:r>
        <w:rPr>
          <w:rFonts w:ascii="Microsoft JhengHei" w:eastAsia="Microsoft JhengHei"/>
          <w:b/>
          <w:sz w:val="21"/>
        </w:rPr>
        <w:t>专科医</w:t>
      </w:r>
      <w:r>
        <w:rPr>
          <w:rFonts w:ascii="Microsoft JhengHei" w:eastAsia="Microsoft JhengHei"/>
          <w:b/>
          <w:spacing w:val="-10"/>
          <w:sz w:val="21"/>
        </w:rPr>
        <w:t>生</w:t>
      </w:r>
      <w:r>
        <w:rPr>
          <w:rFonts w:ascii="Microsoft JhengHei" w:eastAsia="Microsoft JhengHei"/>
          <w:b/>
          <w:sz w:val="21"/>
        </w:rPr>
        <w:tab/>
      </w:r>
      <w:r>
        <w:rPr>
          <w:spacing w:val="-2"/>
          <w:sz w:val="21"/>
        </w:rPr>
        <w:t>专</w:t>
      </w:r>
      <w:r>
        <w:rPr>
          <w:spacing w:val="-2"/>
          <w:sz w:val="21"/>
        </w:rPr>
        <w:t>科</w:t>
      </w:r>
      <w:r>
        <w:rPr>
          <w:spacing w:val="-2"/>
          <w:sz w:val="21"/>
        </w:rPr>
        <w:t>医</w:t>
      </w:r>
      <w:r>
        <w:rPr>
          <w:spacing w:val="-2"/>
          <w:sz w:val="21"/>
        </w:rPr>
        <w:t>生</w:t>
      </w:r>
      <w:r>
        <w:rPr>
          <w:spacing w:val="-2"/>
          <w:sz w:val="21"/>
        </w:rPr>
        <w:t>应</w:t>
      </w:r>
      <w:r>
        <w:rPr>
          <w:spacing w:val="-2"/>
          <w:sz w:val="21"/>
        </w:rPr>
        <w:t>当</w:t>
      </w:r>
      <w:r>
        <w:rPr>
          <w:spacing w:val="-2"/>
          <w:sz w:val="21"/>
        </w:rPr>
        <w:t>同</w:t>
      </w:r>
      <w:r>
        <w:rPr>
          <w:spacing w:val="-2"/>
          <w:sz w:val="21"/>
        </w:rPr>
        <w:t>时</w:t>
      </w:r>
      <w:r>
        <w:rPr>
          <w:spacing w:val="-2"/>
          <w:sz w:val="21"/>
        </w:rPr>
        <w:t>满</w:t>
      </w:r>
      <w:r>
        <w:rPr>
          <w:spacing w:val="-2"/>
          <w:sz w:val="21"/>
        </w:rPr>
        <w:t>足</w:t>
      </w:r>
      <w:r>
        <w:rPr>
          <w:spacing w:val="-2"/>
          <w:sz w:val="21"/>
        </w:rPr>
        <w:t>以</w:t>
      </w:r>
      <w:r>
        <w:rPr>
          <w:spacing w:val="-2"/>
          <w:sz w:val="21"/>
        </w:rPr>
        <w:t>下</w:t>
      </w:r>
      <w:r>
        <w:rPr>
          <w:spacing w:val="-2"/>
          <w:sz w:val="21"/>
        </w:rPr>
        <w:t>四</w:t>
      </w:r>
      <w:r>
        <w:rPr>
          <w:spacing w:val="-2"/>
          <w:sz w:val="21"/>
        </w:rPr>
        <w:t>项</w:t>
      </w:r>
      <w:r>
        <w:rPr>
          <w:spacing w:val="-2"/>
          <w:sz w:val="21"/>
        </w:rPr>
        <w:t>资</w:t>
      </w:r>
      <w:r>
        <w:rPr>
          <w:spacing w:val="-2"/>
          <w:sz w:val="21"/>
        </w:rPr>
        <w:t>格</w:t>
      </w:r>
      <w:r>
        <w:rPr>
          <w:spacing w:val="-2"/>
          <w:sz w:val="21"/>
        </w:rPr>
        <w:t>条</w:t>
      </w:r>
      <w:r>
        <w:rPr>
          <w:spacing w:val="-2"/>
          <w:sz w:val="21"/>
        </w:rPr>
        <w:t>件</w:t>
      </w:r>
      <w:r>
        <w:rPr>
          <w:spacing w:val="-10"/>
          <w:sz w:val="21"/>
        </w:rPr>
        <w:t>：</w:t>
      </w:r>
    </w:p>
    <w:p>
      <w:pPr>
        <w:pStyle w:val="ListParagraph"/>
        <w:numPr>
          <w:ilvl w:val="2"/>
          <w:numId w:val="85"/>
        </w:numPr>
        <w:tabs>
          <w:tab w:pos="4059" w:val="left" w:leader="none"/>
        </w:tabs>
        <w:spacing w:line="240" w:lineRule="auto" w:before="149" w:after="0"/>
        <w:ind w:left="4058" w:right="0" w:hanging="530"/>
        <w:jc w:val="left"/>
        <w:rPr>
          <w:sz w:val="21"/>
        </w:rPr>
      </w:pPr>
      <w:r>
        <w:rPr>
          <w:spacing w:val="-9"/>
          <w:sz w:val="21"/>
        </w:rPr>
        <w:t>具有有效的中华人民共和国《医师资格证书》；</w:t>
      </w:r>
    </w:p>
    <w:p>
      <w:pPr>
        <w:pStyle w:val="BodyText"/>
        <w:spacing w:before="9"/>
        <w:rPr>
          <w:sz w:val="15"/>
        </w:rPr>
      </w:pPr>
    </w:p>
    <w:p>
      <w:pPr>
        <w:pStyle w:val="ListParagraph"/>
        <w:numPr>
          <w:ilvl w:val="2"/>
          <w:numId w:val="85"/>
        </w:numPr>
        <w:tabs>
          <w:tab w:pos="4059" w:val="left" w:leader="none"/>
        </w:tabs>
        <w:spacing w:line="278" w:lineRule="auto" w:before="0" w:after="0"/>
        <w:ind w:left="3529" w:right="1530" w:firstLine="0"/>
        <w:jc w:val="left"/>
        <w:rPr>
          <w:sz w:val="21"/>
        </w:rPr>
      </w:pPr>
      <w:r>
        <w:rPr>
          <w:spacing w:val="-8"/>
          <w:sz w:val="21"/>
        </w:rPr>
        <w:t>具有有效的中华人民共和国《医师执业证书》，并按期</w:t>
      </w:r>
      <w:r>
        <w:rPr>
          <w:spacing w:val="-2"/>
          <w:sz w:val="21"/>
        </w:rPr>
        <w:t>到相关部门登记注册；</w:t>
      </w:r>
    </w:p>
    <w:p>
      <w:pPr>
        <w:pStyle w:val="ListParagraph"/>
        <w:numPr>
          <w:ilvl w:val="2"/>
          <w:numId w:val="85"/>
        </w:numPr>
        <w:tabs>
          <w:tab w:pos="4059" w:val="left" w:leader="none"/>
        </w:tabs>
        <w:spacing w:line="283" w:lineRule="auto" w:before="154" w:after="0"/>
        <w:ind w:left="3529" w:right="1636" w:firstLine="0"/>
        <w:jc w:val="left"/>
        <w:rPr>
          <w:sz w:val="21"/>
        </w:rPr>
      </w:pPr>
      <w:r>
        <w:rPr>
          <w:spacing w:val="-2"/>
          <w:sz w:val="21"/>
        </w:rPr>
        <w:t>具有有效的中华人民共和国主治医师或主治医师以上</w:t>
      </w:r>
      <w:r>
        <w:rPr>
          <w:spacing w:val="-12"/>
          <w:sz w:val="21"/>
        </w:rPr>
        <w:t>职称的《医师职称证书》；</w:t>
      </w:r>
    </w:p>
    <w:p>
      <w:pPr>
        <w:pStyle w:val="ListParagraph"/>
        <w:numPr>
          <w:ilvl w:val="2"/>
          <w:numId w:val="85"/>
        </w:numPr>
        <w:tabs>
          <w:tab w:pos="4059" w:val="left" w:leader="none"/>
        </w:tabs>
        <w:spacing w:line="278" w:lineRule="auto" w:before="147" w:after="0"/>
        <w:ind w:left="3529" w:right="1634" w:firstLine="0"/>
        <w:jc w:val="left"/>
        <w:rPr>
          <w:sz w:val="21"/>
        </w:rPr>
      </w:pPr>
      <w:r>
        <w:rPr>
          <w:spacing w:val="-2"/>
          <w:sz w:val="21"/>
        </w:rPr>
        <w:t>在国家《医院分级管理标准》二级或二级以上医院的</w:t>
      </w:r>
      <w:r>
        <w:rPr>
          <w:spacing w:val="-2"/>
          <w:sz w:val="21"/>
        </w:rPr>
        <w:t>相应科室从事临床工作三年以上。</w:t>
      </w:r>
    </w:p>
    <w:p>
      <w:pPr>
        <w:pStyle w:val="BodyText"/>
        <w:spacing w:before="9"/>
        <w:rPr>
          <w:sz w:val="19"/>
        </w:rPr>
      </w:pPr>
    </w:p>
    <w:p>
      <w:pPr>
        <w:pStyle w:val="ListParagraph"/>
        <w:numPr>
          <w:ilvl w:val="1"/>
          <w:numId w:val="85"/>
        </w:numPr>
        <w:tabs>
          <w:tab w:pos="1910" w:val="left" w:leader="none"/>
          <w:tab w:pos="1911" w:val="left" w:leader="none"/>
          <w:tab w:pos="3529" w:val="left" w:leader="none"/>
        </w:tabs>
        <w:spacing w:line="240" w:lineRule="auto" w:before="0" w:after="0"/>
        <w:ind w:left="1910" w:right="0" w:hanging="985"/>
        <w:jc w:val="left"/>
        <w:rPr>
          <w:sz w:val="21"/>
        </w:rPr>
      </w:pPr>
      <w:r>
        <w:rPr>
          <w:rFonts w:ascii="Microsoft JhengHei" w:eastAsia="Microsoft JhengHei"/>
          <w:b/>
          <w:sz w:val="21"/>
        </w:rPr>
        <w:t>初次确</w:t>
      </w:r>
      <w:r>
        <w:rPr>
          <w:rFonts w:ascii="Microsoft JhengHei" w:eastAsia="Microsoft JhengHei"/>
          <w:b/>
          <w:spacing w:val="-10"/>
          <w:sz w:val="21"/>
        </w:rPr>
        <w:t>诊</w:t>
      </w:r>
      <w:r>
        <w:rPr>
          <w:rFonts w:ascii="Microsoft JhengHei" w:eastAsia="Microsoft JhengHei"/>
          <w:b/>
          <w:sz w:val="21"/>
        </w:rPr>
        <w:tab/>
      </w:r>
      <w:r>
        <w:rPr>
          <w:spacing w:val="-2"/>
          <w:sz w:val="21"/>
        </w:rPr>
        <w:t>指</w:t>
      </w:r>
      <w:r>
        <w:rPr>
          <w:spacing w:val="-2"/>
          <w:sz w:val="21"/>
        </w:rPr>
        <w:t>自</w:t>
      </w:r>
      <w:r>
        <w:rPr>
          <w:spacing w:val="-2"/>
          <w:sz w:val="21"/>
        </w:rPr>
        <w:t>被</w:t>
      </w:r>
      <w:r>
        <w:rPr>
          <w:spacing w:val="-2"/>
          <w:sz w:val="21"/>
        </w:rPr>
        <w:t>保</w:t>
      </w:r>
      <w:r>
        <w:rPr>
          <w:spacing w:val="-2"/>
          <w:sz w:val="21"/>
        </w:rPr>
        <w:t>险</w:t>
      </w:r>
      <w:r>
        <w:rPr>
          <w:spacing w:val="-2"/>
          <w:sz w:val="21"/>
        </w:rPr>
        <w:t>人</w:t>
      </w:r>
      <w:r>
        <w:rPr>
          <w:spacing w:val="-2"/>
          <w:sz w:val="21"/>
        </w:rPr>
        <w:t>出</w:t>
      </w:r>
      <w:r>
        <w:rPr>
          <w:spacing w:val="-2"/>
          <w:sz w:val="21"/>
        </w:rPr>
        <w:t>生</w:t>
      </w:r>
      <w:r>
        <w:rPr>
          <w:spacing w:val="-2"/>
          <w:sz w:val="21"/>
        </w:rPr>
        <w:t>之</w:t>
      </w:r>
      <w:r>
        <w:rPr>
          <w:spacing w:val="-2"/>
          <w:sz w:val="21"/>
        </w:rPr>
        <w:t>日</w:t>
      </w:r>
      <w:r>
        <w:rPr>
          <w:spacing w:val="-2"/>
          <w:sz w:val="21"/>
        </w:rPr>
        <w:t>起</w:t>
      </w:r>
      <w:r>
        <w:rPr>
          <w:spacing w:val="-2"/>
          <w:sz w:val="21"/>
        </w:rPr>
        <w:t>第</w:t>
      </w:r>
      <w:r>
        <w:rPr>
          <w:spacing w:val="-2"/>
          <w:sz w:val="21"/>
        </w:rPr>
        <w:t>一</w:t>
      </w:r>
      <w:r>
        <w:rPr>
          <w:spacing w:val="-2"/>
          <w:sz w:val="21"/>
        </w:rPr>
        <w:t>次</w:t>
      </w:r>
      <w:r>
        <w:rPr>
          <w:spacing w:val="-2"/>
          <w:sz w:val="21"/>
        </w:rPr>
        <w:t>经</w:t>
      </w:r>
      <w:r>
        <w:rPr>
          <w:spacing w:val="-2"/>
          <w:sz w:val="21"/>
        </w:rPr>
        <w:t>医</w:t>
      </w:r>
      <w:r>
        <w:rPr>
          <w:spacing w:val="-2"/>
          <w:sz w:val="21"/>
        </w:rPr>
        <w:t>院的</w:t>
      </w:r>
      <w:r>
        <w:rPr>
          <w:spacing w:val="-2"/>
          <w:sz w:val="21"/>
        </w:rPr>
        <w:t>专</w:t>
      </w:r>
      <w:r>
        <w:rPr>
          <w:spacing w:val="-2"/>
          <w:sz w:val="21"/>
        </w:rPr>
        <w:t>科</w:t>
      </w:r>
      <w:r>
        <w:rPr>
          <w:spacing w:val="-2"/>
          <w:sz w:val="21"/>
        </w:rPr>
        <w:t>医生确</w:t>
      </w:r>
      <w:r>
        <w:rPr>
          <w:spacing w:val="-2"/>
          <w:sz w:val="21"/>
        </w:rPr>
        <w:t>诊</w:t>
      </w:r>
      <w:r>
        <w:rPr>
          <w:spacing w:val="-2"/>
          <w:sz w:val="21"/>
        </w:rPr>
        <w:t>患</w:t>
      </w:r>
      <w:r>
        <w:rPr>
          <w:spacing w:val="-10"/>
          <w:sz w:val="21"/>
        </w:rPr>
        <w:t>有</w:t>
      </w:r>
    </w:p>
    <w:p>
      <w:pPr>
        <w:pStyle w:val="BodyText"/>
        <w:spacing w:line="278" w:lineRule="auto"/>
        <w:ind w:left="3529" w:right="1530"/>
      </w:pPr>
      <w:r>
        <w:rPr>
          <w:spacing w:val="-2"/>
        </w:rPr>
        <w:t>某种疾病，而不是指自本合同生效、复效之后第一次经医院</w:t>
      </w:r>
      <w:r>
        <w:rPr>
          <w:spacing w:val="-2"/>
        </w:rPr>
        <w:t>的专科医生确诊患有某种疾病。</w:t>
      </w:r>
    </w:p>
    <w:p>
      <w:pPr>
        <w:pStyle w:val="BodyText"/>
        <w:spacing w:before="9"/>
        <w:rPr>
          <w:sz w:val="19"/>
        </w:rPr>
      </w:pPr>
    </w:p>
    <w:p>
      <w:pPr>
        <w:pStyle w:val="ListParagraph"/>
        <w:numPr>
          <w:ilvl w:val="1"/>
          <w:numId w:val="85"/>
        </w:numPr>
        <w:tabs>
          <w:tab w:pos="1910" w:val="left" w:leader="none"/>
          <w:tab w:pos="1911" w:val="left" w:leader="none"/>
          <w:tab w:pos="3529" w:val="left" w:leader="none"/>
        </w:tabs>
        <w:spacing w:line="240" w:lineRule="auto" w:before="0" w:after="0"/>
        <w:ind w:left="1910" w:right="0" w:hanging="985"/>
        <w:jc w:val="left"/>
        <w:rPr>
          <w:sz w:val="21"/>
        </w:rPr>
      </w:pPr>
      <w:r>
        <w:rPr>
          <w:rFonts w:ascii="Microsoft JhengHei" w:eastAsia="Microsoft JhengHei"/>
          <w:b/>
          <w:sz w:val="21"/>
        </w:rPr>
        <w:t>疾病终末</w:t>
      </w:r>
      <w:r>
        <w:rPr>
          <w:rFonts w:ascii="Microsoft JhengHei" w:eastAsia="Microsoft JhengHei"/>
          <w:b/>
          <w:spacing w:val="-10"/>
          <w:sz w:val="21"/>
        </w:rPr>
        <w:t>期</w:t>
      </w:r>
      <w:r>
        <w:rPr>
          <w:rFonts w:ascii="Microsoft JhengHei" w:eastAsia="Microsoft JhengHei"/>
          <w:b/>
          <w:sz w:val="21"/>
        </w:rPr>
        <w:tab/>
      </w:r>
      <w:r>
        <w:rPr>
          <w:spacing w:val="-2"/>
          <w:sz w:val="21"/>
        </w:rPr>
        <w:t>疾</w:t>
      </w:r>
      <w:r>
        <w:rPr>
          <w:spacing w:val="-2"/>
          <w:sz w:val="21"/>
        </w:rPr>
        <w:t>病</w:t>
      </w:r>
      <w:r>
        <w:rPr>
          <w:spacing w:val="-2"/>
          <w:sz w:val="21"/>
        </w:rPr>
        <w:t>终</w:t>
      </w:r>
      <w:r>
        <w:rPr>
          <w:spacing w:val="-2"/>
          <w:sz w:val="21"/>
        </w:rPr>
        <w:t>末</w:t>
      </w:r>
      <w:r>
        <w:rPr>
          <w:spacing w:val="-2"/>
          <w:sz w:val="21"/>
        </w:rPr>
        <w:t>期</w:t>
      </w:r>
      <w:r>
        <w:rPr>
          <w:spacing w:val="-2"/>
          <w:sz w:val="21"/>
        </w:rPr>
        <w:t>阶</w:t>
      </w:r>
      <w:r>
        <w:rPr>
          <w:spacing w:val="-2"/>
          <w:sz w:val="21"/>
        </w:rPr>
        <w:t>段</w:t>
      </w:r>
      <w:r>
        <w:rPr>
          <w:spacing w:val="-2"/>
          <w:sz w:val="21"/>
        </w:rPr>
        <w:t>需</w:t>
      </w:r>
      <w:r>
        <w:rPr>
          <w:spacing w:val="-2"/>
          <w:sz w:val="21"/>
        </w:rPr>
        <w:t>由</w:t>
      </w:r>
      <w:r>
        <w:rPr>
          <w:spacing w:val="-2"/>
          <w:sz w:val="21"/>
        </w:rPr>
        <w:t>医</w:t>
      </w:r>
      <w:r>
        <w:rPr>
          <w:spacing w:val="-2"/>
          <w:sz w:val="21"/>
        </w:rPr>
        <w:t>院</w:t>
      </w:r>
      <w:r>
        <w:rPr>
          <w:spacing w:val="-2"/>
          <w:sz w:val="21"/>
        </w:rPr>
        <w:t>的</w:t>
      </w:r>
      <w:r>
        <w:rPr>
          <w:spacing w:val="-2"/>
          <w:sz w:val="21"/>
        </w:rPr>
        <w:t>专</w:t>
      </w:r>
      <w:r>
        <w:rPr>
          <w:spacing w:val="-2"/>
          <w:sz w:val="21"/>
        </w:rPr>
        <w:t>科</w:t>
      </w:r>
      <w:r>
        <w:rPr>
          <w:spacing w:val="-2"/>
          <w:sz w:val="21"/>
        </w:rPr>
        <w:t>医</w:t>
      </w:r>
      <w:r>
        <w:rPr>
          <w:spacing w:val="-2"/>
          <w:sz w:val="21"/>
        </w:rPr>
        <w:t>生</w:t>
      </w:r>
      <w:r>
        <w:rPr>
          <w:spacing w:val="-2"/>
          <w:sz w:val="21"/>
        </w:rPr>
        <w:t>出</w:t>
      </w:r>
      <w:r>
        <w:rPr>
          <w:spacing w:val="-2"/>
          <w:sz w:val="21"/>
        </w:rPr>
        <w:t>具</w:t>
      </w:r>
      <w:r>
        <w:rPr>
          <w:spacing w:val="-2"/>
          <w:sz w:val="21"/>
        </w:rPr>
        <w:t>诊</w:t>
      </w:r>
      <w:r>
        <w:rPr>
          <w:spacing w:val="-2"/>
          <w:sz w:val="21"/>
        </w:rPr>
        <w:t>断</w:t>
      </w:r>
      <w:r>
        <w:rPr>
          <w:spacing w:val="-2"/>
          <w:sz w:val="21"/>
        </w:rPr>
        <w:t>证明和</w:t>
      </w:r>
      <w:r>
        <w:rPr>
          <w:spacing w:val="-2"/>
          <w:sz w:val="21"/>
        </w:rPr>
        <w:t>提</w:t>
      </w:r>
      <w:r>
        <w:rPr>
          <w:spacing w:val="-2"/>
          <w:sz w:val="21"/>
        </w:rPr>
        <w:t>交</w:t>
      </w:r>
      <w:r>
        <w:rPr>
          <w:spacing w:val="-10"/>
          <w:sz w:val="21"/>
        </w:rPr>
        <w:t>临</w:t>
      </w:r>
    </w:p>
    <w:p>
      <w:pPr>
        <w:pStyle w:val="BodyText"/>
        <w:spacing w:line="278" w:lineRule="auto"/>
        <w:ind w:left="3529" w:right="1741"/>
      </w:pPr>
      <w:r>
        <w:rPr>
          <w:spacing w:val="-2"/>
        </w:rPr>
        <w:t>床检查证据，证明被保险人所患疾病同时满足以下两个条</w:t>
      </w:r>
      <w:r>
        <w:rPr>
          <w:spacing w:val="-6"/>
        </w:rPr>
        <w:t>件：</w:t>
      </w:r>
    </w:p>
    <w:p>
      <w:pPr>
        <w:pStyle w:val="ListParagraph"/>
        <w:numPr>
          <w:ilvl w:val="0"/>
          <w:numId w:val="86"/>
        </w:numPr>
        <w:tabs>
          <w:tab w:pos="4059" w:val="left" w:leader="none"/>
        </w:tabs>
        <w:spacing w:line="240" w:lineRule="auto" w:before="154" w:after="0"/>
        <w:ind w:left="4058" w:right="0" w:hanging="530"/>
        <w:jc w:val="left"/>
        <w:rPr>
          <w:sz w:val="21"/>
        </w:rPr>
      </w:pPr>
      <w:r>
        <w:rPr>
          <w:spacing w:val="-3"/>
          <w:sz w:val="21"/>
        </w:rPr>
        <w:t>依现有医疗技术无法缓解；</w:t>
      </w:r>
    </w:p>
    <w:p>
      <w:pPr>
        <w:pStyle w:val="ListParagraph"/>
        <w:numPr>
          <w:ilvl w:val="0"/>
          <w:numId w:val="86"/>
        </w:numPr>
        <w:tabs>
          <w:tab w:pos="4059" w:val="left" w:leader="none"/>
        </w:tabs>
        <w:spacing w:line="240" w:lineRule="auto" w:before="43" w:after="0"/>
        <w:ind w:left="4058" w:right="0" w:hanging="530"/>
        <w:jc w:val="left"/>
        <w:rPr>
          <w:sz w:val="21"/>
        </w:rPr>
      </w:pPr>
      <w:r>
        <w:rPr>
          <w:spacing w:val="-3"/>
          <w:sz w:val="21"/>
        </w:rPr>
        <w:t>根据临床医学经验判断被保险人存活期低于六个月。</w:t>
      </w:r>
    </w:p>
    <w:p>
      <w:pPr>
        <w:pStyle w:val="BodyText"/>
        <w:rPr>
          <w:sz w:val="22"/>
        </w:rPr>
      </w:pPr>
    </w:p>
    <w:p>
      <w:pPr>
        <w:pStyle w:val="ListParagraph"/>
        <w:numPr>
          <w:ilvl w:val="1"/>
          <w:numId w:val="85"/>
        </w:numPr>
        <w:tabs>
          <w:tab w:pos="1910" w:val="left" w:leader="none"/>
          <w:tab w:pos="1911" w:val="left" w:leader="none"/>
          <w:tab w:pos="3529" w:val="left" w:leader="none"/>
        </w:tabs>
        <w:spacing w:line="384" w:lineRule="exact" w:before="157" w:after="0"/>
        <w:ind w:left="1910" w:right="0" w:hanging="985"/>
        <w:jc w:val="left"/>
        <w:rPr>
          <w:sz w:val="21"/>
        </w:rPr>
      </w:pPr>
      <w:r>
        <w:rPr>
          <w:rFonts w:ascii="Microsoft JhengHei" w:eastAsia="Microsoft JhengHei"/>
          <w:b/>
          <w:sz w:val="21"/>
        </w:rPr>
        <w:t>住</w:t>
      </w:r>
      <w:r>
        <w:rPr>
          <w:rFonts w:ascii="Microsoft JhengHei" w:eastAsia="Microsoft JhengHei"/>
          <w:b/>
          <w:spacing w:val="-10"/>
          <w:sz w:val="21"/>
        </w:rPr>
        <w:t>院</w:t>
      </w:r>
      <w:r>
        <w:rPr>
          <w:rFonts w:ascii="Microsoft JhengHei" w:eastAsia="Microsoft JhengHei"/>
          <w:b/>
          <w:sz w:val="21"/>
        </w:rPr>
        <w:tab/>
      </w:r>
      <w:r>
        <w:rPr>
          <w:spacing w:val="-2"/>
          <w:sz w:val="21"/>
        </w:rPr>
        <w:t>指</w:t>
      </w:r>
      <w:r>
        <w:rPr>
          <w:spacing w:val="-2"/>
          <w:sz w:val="21"/>
        </w:rPr>
        <w:t>被</w:t>
      </w:r>
      <w:r>
        <w:rPr>
          <w:spacing w:val="-2"/>
          <w:sz w:val="21"/>
        </w:rPr>
        <w:t>保</w:t>
      </w:r>
      <w:r>
        <w:rPr>
          <w:spacing w:val="-2"/>
          <w:sz w:val="21"/>
        </w:rPr>
        <w:t>险</w:t>
      </w:r>
      <w:r>
        <w:rPr>
          <w:spacing w:val="-2"/>
          <w:sz w:val="21"/>
        </w:rPr>
        <w:t>人</w:t>
      </w:r>
      <w:r>
        <w:rPr>
          <w:spacing w:val="-2"/>
          <w:sz w:val="21"/>
        </w:rPr>
        <w:t>因</w:t>
      </w:r>
      <w:r>
        <w:rPr>
          <w:spacing w:val="-2"/>
          <w:sz w:val="21"/>
        </w:rPr>
        <w:t>意</w:t>
      </w:r>
      <w:r>
        <w:rPr>
          <w:spacing w:val="-2"/>
          <w:sz w:val="21"/>
        </w:rPr>
        <w:t>外</w:t>
      </w:r>
      <w:r>
        <w:rPr>
          <w:spacing w:val="-2"/>
          <w:sz w:val="21"/>
        </w:rPr>
        <w:t>伤</w:t>
      </w:r>
      <w:r>
        <w:rPr>
          <w:spacing w:val="-2"/>
          <w:sz w:val="21"/>
        </w:rPr>
        <w:t>害</w:t>
      </w:r>
      <w:r>
        <w:rPr>
          <w:spacing w:val="-2"/>
          <w:sz w:val="21"/>
        </w:rPr>
        <w:t>或</w:t>
      </w:r>
      <w:r>
        <w:rPr>
          <w:spacing w:val="-2"/>
          <w:sz w:val="21"/>
        </w:rPr>
        <w:t>疾</w:t>
      </w:r>
      <w:r>
        <w:rPr>
          <w:spacing w:val="-2"/>
          <w:sz w:val="21"/>
        </w:rPr>
        <w:t>病</w:t>
      </w:r>
      <w:r>
        <w:rPr>
          <w:spacing w:val="-2"/>
          <w:sz w:val="21"/>
        </w:rPr>
        <w:t>而</w:t>
      </w:r>
      <w:r>
        <w:rPr>
          <w:spacing w:val="-2"/>
          <w:sz w:val="21"/>
        </w:rPr>
        <w:t>入</w:t>
      </w:r>
      <w:r>
        <w:rPr>
          <w:spacing w:val="-2"/>
          <w:sz w:val="21"/>
        </w:rPr>
        <w:t>住</w:t>
      </w:r>
      <w:r>
        <w:rPr>
          <w:spacing w:val="-2"/>
          <w:sz w:val="21"/>
        </w:rPr>
        <w:t>医</w:t>
      </w:r>
      <w:r>
        <w:rPr>
          <w:spacing w:val="-2"/>
          <w:sz w:val="21"/>
        </w:rPr>
        <w:t>院</w:t>
      </w:r>
      <w:r>
        <w:rPr>
          <w:spacing w:val="-2"/>
          <w:sz w:val="21"/>
        </w:rPr>
        <w:t>的</w:t>
      </w:r>
      <w:r>
        <w:rPr>
          <w:spacing w:val="-2"/>
          <w:sz w:val="21"/>
        </w:rPr>
        <w:t>住</w:t>
      </w:r>
      <w:r>
        <w:rPr>
          <w:spacing w:val="-2"/>
          <w:sz w:val="21"/>
        </w:rPr>
        <w:t>院部病</w:t>
      </w:r>
      <w:r>
        <w:rPr>
          <w:spacing w:val="-2"/>
          <w:sz w:val="21"/>
        </w:rPr>
        <w:t>房</w:t>
      </w:r>
      <w:r>
        <w:rPr>
          <w:spacing w:val="-2"/>
          <w:sz w:val="21"/>
        </w:rPr>
        <w:t>进</w:t>
      </w:r>
      <w:r>
        <w:rPr>
          <w:spacing w:val="-10"/>
          <w:sz w:val="21"/>
        </w:rPr>
        <w:t>行</w:t>
      </w:r>
    </w:p>
    <w:p>
      <w:pPr>
        <w:pStyle w:val="BodyText"/>
        <w:spacing w:line="278" w:lineRule="auto"/>
        <w:ind w:left="3529" w:right="1530"/>
      </w:pPr>
      <w:r>
        <w:rPr>
          <w:spacing w:val="-2"/>
        </w:rPr>
        <w:t>住院治疗，并办理入出院手续，不包括入住家庭病床、其他</w:t>
      </w:r>
      <w:r>
        <w:rPr>
          <w:spacing w:val="-2"/>
        </w:rPr>
        <w:t>挂床住院。</w:t>
      </w:r>
    </w:p>
    <w:p>
      <w:pPr>
        <w:spacing w:after="0" w:line="278" w:lineRule="auto"/>
        <w:sectPr>
          <w:pgSz w:w="11910" w:h="16840"/>
          <w:pgMar w:header="0" w:footer="226" w:top="820" w:bottom="420" w:left="980" w:right="400"/>
        </w:sectPr>
      </w:pPr>
    </w:p>
    <w:tbl>
      <w:tblPr>
        <w:tblW w:w="0" w:type="auto"/>
        <w:jc w:val="left"/>
        <w:tblInd w:w="8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06"/>
        <w:gridCol w:w="1671"/>
        <w:gridCol w:w="5689"/>
      </w:tblGrid>
      <w:tr>
        <w:trPr>
          <w:trHeight w:val="1274" w:hRule="atLeast"/>
        </w:trPr>
        <w:tc>
          <w:tcPr>
            <w:tcW w:w="806" w:type="dxa"/>
          </w:tcPr>
          <w:p>
            <w:pPr>
              <w:pStyle w:val="TableParagraph"/>
              <w:spacing w:line="288" w:lineRule="exact"/>
              <w:ind w:left="50"/>
              <w:rPr>
                <w:rFonts w:ascii="Microsoft JhengHei"/>
                <w:b/>
                <w:sz w:val="21"/>
              </w:rPr>
            </w:pPr>
            <w:r>
              <w:rPr>
                <w:rFonts w:ascii="Microsoft JhengHei"/>
                <w:b/>
                <w:spacing w:val="-4"/>
                <w:w w:val="82"/>
                <w:sz w:val="21"/>
              </w:rPr>
              <w:t>13</w:t>
            </w:r>
            <w:r>
              <w:rPr>
                <w:rFonts w:ascii="Microsoft JhengHei"/>
                <w:b/>
                <w:spacing w:val="-4"/>
                <w:w w:val="195"/>
                <w:sz w:val="21"/>
              </w:rPr>
              <w:t>.</w:t>
            </w:r>
            <w:r>
              <w:rPr>
                <w:rFonts w:ascii="Microsoft JhengHei"/>
                <w:b/>
                <w:spacing w:val="-4"/>
                <w:w w:val="82"/>
                <w:sz w:val="21"/>
              </w:rPr>
              <w:t>12</w:t>
            </w:r>
          </w:p>
        </w:tc>
        <w:tc>
          <w:tcPr>
            <w:tcW w:w="1671" w:type="dxa"/>
          </w:tcPr>
          <w:p>
            <w:pPr>
              <w:pStyle w:val="TableParagraph"/>
              <w:spacing w:line="288" w:lineRule="exact"/>
              <w:ind w:left="228"/>
              <w:rPr>
                <w:rFonts w:ascii="Microsoft JhengHei" w:eastAsia="Microsoft JhengHei"/>
                <w:b/>
                <w:sz w:val="21"/>
              </w:rPr>
            </w:pPr>
            <w:r>
              <w:rPr>
                <w:rFonts w:ascii="Microsoft JhengHei" w:eastAsia="Microsoft JhengHei"/>
                <w:b/>
                <w:spacing w:val="-3"/>
                <w:sz w:val="21"/>
              </w:rPr>
              <w:t>意外伤害</w:t>
            </w:r>
          </w:p>
        </w:tc>
        <w:tc>
          <w:tcPr>
            <w:tcW w:w="5689" w:type="dxa"/>
          </w:tcPr>
          <w:p>
            <w:pPr>
              <w:pStyle w:val="TableParagraph"/>
              <w:spacing w:line="241" w:lineRule="exact"/>
              <w:ind w:left="175"/>
              <w:rPr>
                <w:sz w:val="21"/>
              </w:rPr>
            </w:pPr>
            <w:r>
              <w:rPr>
                <w:spacing w:val="-3"/>
                <w:sz w:val="21"/>
              </w:rPr>
              <w:t>指外来的、突然的、非本意的、非疾病的使被保险人身体受</w:t>
            </w:r>
          </w:p>
          <w:p>
            <w:pPr>
              <w:pStyle w:val="TableParagraph"/>
              <w:spacing w:line="278" w:lineRule="auto" w:before="43"/>
              <w:ind w:left="175" w:right="48"/>
              <w:jc w:val="both"/>
              <w:rPr>
                <w:sz w:val="21"/>
              </w:rPr>
            </w:pPr>
            <w:r>
              <w:rPr>
                <w:spacing w:val="-2"/>
                <w:sz w:val="21"/>
              </w:rPr>
              <w:t>到伤害的客观事件，并以此客观事件为直接且单独原因导致</w:t>
            </w:r>
            <w:r>
              <w:rPr>
                <w:spacing w:val="-2"/>
                <w:sz w:val="21"/>
              </w:rPr>
              <w:t>被保险人身体蒙受伤害或者身故，猝死、自杀以及自伤均不</w:t>
            </w:r>
            <w:r>
              <w:rPr>
                <w:spacing w:val="-2"/>
                <w:sz w:val="21"/>
              </w:rPr>
              <w:t>属于意外伤害。</w:t>
            </w:r>
          </w:p>
        </w:tc>
      </w:tr>
      <w:tr>
        <w:trPr>
          <w:trHeight w:val="391" w:hRule="atLeast"/>
        </w:trPr>
        <w:tc>
          <w:tcPr>
            <w:tcW w:w="806" w:type="dxa"/>
          </w:tcPr>
          <w:p>
            <w:pPr>
              <w:pStyle w:val="TableParagraph"/>
              <w:rPr>
                <w:rFonts w:ascii="Times New Roman"/>
                <w:sz w:val="20"/>
              </w:rPr>
            </w:pPr>
          </w:p>
        </w:tc>
        <w:tc>
          <w:tcPr>
            <w:tcW w:w="1671" w:type="dxa"/>
          </w:tcPr>
          <w:p>
            <w:pPr>
              <w:pStyle w:val="TableParagraph"/>
              <w:rPr>
                <w:rFonts w:ascii="Times New Roman"/>
                <w:sz w:val="20"/>
              </w:rPr>
            </w:pPr>
          </w:p>
        </w:tc>
        <w:tc>
          <w:tcPr>
            <w:tcW w:w="5689" w:type="dxa"/>
          </w:tcPr>
          <w:p>
            <w:pPr>
              <w:pStyle w:val="TableParagraph"/>
              <w:spacing w:before="99"/>
              <w:ind w:left="175"/>
              <w:rPr>
                <w:sz w:val="21"/>
              </w:rPr>
            </w:pPr>
            <w:r>
              <w:rPr>
                <w:spacing w:val="-3"/>
                <w:sz w:val="21"/>
              </w:rPr>
              <w:t>猝死指表面健康的人因潜在疾病、机能障碍或者其他原因在</w:t>
            </w:r>
          </w:p>
        </w:tc>
      </w:tr>
      <w:tr>
        <w:trPr>
          <w:trHeight w:val="314" w:hRule="atLeast"/>
        </w:trPr>
        <w:tc>
          <w:tcPr>
            <w:tcW w:w="806" w:type="dxa"/>
          </w:tcPr>
          <w:p>
            <w:pPr>
              <w:pStyle w:val="TableParagraph"/>
              <w:rPr>
                <w:rFonts w:ascii="Times New Roman"/>
                <w:sz w:val="20"/>
              </w:rPr>
            </w:pPr>
          </w:p>
        </w:tc>
        <w:tc>
          <w:tcPr>
            <w:tcW w:w="1671" w:type="dxa"/>
          </w:tcPr>
          <w:p>
            <w:pPr>
              <w:pStyle w:val="TableParagraph"/>
              <w:rPr>
                <w:rFonts w:ascii="Times New Roman"/>
                <w:sz w:val="20"/>
              </w:rPr>
            </w:pPr>
          </w:p>
        </w:tc>
        <w:tc>
          <w:tcPr>
            <w:tcW w:w="5689" w:type="dxa"/>
          </w:tcPr>
          <w:p>
            <w:pPr>
              <w:pStyle w:val="TableParagraph"/>
              <w:spacing w:before="24"/>
              <w:ind w:left="175"/>
              <w:rPr>
                <w:sz w:val="21"/>
              </w:rPr>
            </w:pPr>
            <w:r>
              <w:rPr>
                <w:spacing w:val="-9"/>
                <w:sz w:val="21"/>
              </w:rPr>
              <w:t>出现症状后 </w:t>
            </w:r>
            <w:r>
              <w:rPr>
                <w:spacing w:val="-2"/>
                <w:sz w:val="21"/>
              </w:rPr>
              <w:t>24</w:t>
            </w:r>
            <w:r>
              <w:rPr>
                <w:spacing w:val="-10"/>
                <w:sz w:val="21"/>
              </w:rPr>
              <w:t> 小时内发生的非暴力性突然死亡。猝死的认</w:t>
            </w:r>
          </w:p>
        </w:tc>
      </w:tr>
      <w:tr>
        <w:trPr>
          <w:trHeight w:val="472" w:hRule="atLeast"/>
        </w:trPr>
        <w:tc>
          <w:tcPr>
            <w:tcW w:w="806" w:type="dxa"/>
          </w:tcPr>
          <w:p>
            <w:pPr>
              <w:pStyle w:val="TableParagraph"/>
              <w:rPr>
                <w:rFonts w:ascii="Times New Roman"/>
                <w:sz w:val="20"/>
              </w:rPr>
            </w:pPr>
          </w:p>
        </w:tc>
        <w:tc>
          <w:tcPr>
            <w:tcW w:w="1671" w:type="dxa"/>
          </w:tcPr>
          <w:p>
            <w:pPr>
              <w:pStyle w:val="TableParagraph"/>
              <w:rPr>
                <w:rFonts w:ascii="Times New Roman"/>
                <w:sz w:val="20"/>
              </w:rPr>
            </w:pPr>
          </w:p>
        </w:tc>
        <w:tc>
          <w:tcPr>
            <w:tcW w:w="5689" w:type="dxa"/>
          </w:tcPr>
          <w:p>
            <w:pPr>
              <w:pStyle w:val="TableParagraph"/>
              <w:spacing w:before="22"/>
              <w:ind w:left="175"/>
              <w:rPr>
                <w:sz w:val="21"/>
              </w:rPr>
            </w:pPr>
            <w:r>
              <w:rPr>
                <w:spacing w:val="-3"/>
                <w:sz w:val="21"/>
              </w:rPr>
              <w:t>定以医院的诊断和公安部门的鉴定为准。</w:t>
            </w:r>
          </w:p>
        </w:tc>
      </w:tr>
      <w:tr>
        <w:trPr>
          <w:trHeight w:val="475" w:hRule="atLeast"/>
        </w:trPr>
        <w:tc>
          <w:tcPr>
            <w:tcW w:w="806" w:type="dxa"/>
          </w:tcPr>
          <w:p>
            <w:pPr>
              <w:pStyle w:val="TableParagraph"/>
              <w:spacing w:line="342" w:lineRule="exact" w:before="113"/>
              <w:ind w:left="50"/>
              <w:rPr>
                <w:rFonts w:ascii="Microsoft JhengHei"/>
                <w:b/>
                <w:sz w:val="21"/>
              </w:rPr>
            </w:pPr>
            <w:r>
              <w:rPr>
                <w:rFonts w:ascii="Microsoft JhengHei"/>
                <w:b/>
                <w:spacing w:val="-2"/>
                <w:sz w:val="21"/>
              </w:rPr>
              <w:t>13.13</w:t>
            </w:r>
          </w:p>
        </w:tc>
        <w:tc>
          <w:tcPr>
            <w:tcW w:w="1671" w:type="dxa"/>
          </w:tcPr>
          <w:p>
            <w:pPr>
              <w:pStyle w:val="TableParagraph"/>
              <w:spacing w:line="342" w:lineRule="exact" w:before="113"/>
              <w:ind w:left="228"/>
              <w:rPr>
                <w:rFonts w:ascii="Microsoft JhengHei" w:eastAsia="Microsoft JhengHei"/>
                <w:b/>
                <w:sz w:val="21"/>
              </w:rPr>
            </w:pPr>
            <w:r>
              <w:rPr>
                <w:rFonts w:ascii="Microsoft JhengHei" w:eastAsia="Microsoft JhengHei"/>
                <w:b/>
                <w:spacing w:val="-3"/>
                <w:sz w:val="21"/>
              </w:rPr>
              <w:t>现金价值</w:t>
            </w:r>
          </w:p>
        </w:tc>
        <w:tc>
          <w:tcPr>
            <w:tcW w:w="5689" w:type="dxa"/>
          </w:tcPr>
          <w:p>
            <w:pPr>
              <w:pStyle w:val="TableParagraph"/>
              <w:spacing w:before="3"/>
              <w:rPr>
                <w:sz w:val="14"/>
              </w:rPr>
            </w:pPr>
          </w:p>
          <w:p>
            <w:pPr>
              <w:pStyle w:val="TableParagraph"/>
              <w:ind w:left="175"/>
              <w:rPr>
                <w:sz w:val="21"/>
              </w:rPr>
            </w:pPr>
            <w:r>
              <w:rPr>
                <w:spacing w:val="-3"/>
                <w:sz w:val="21"/>
              </w:rPr>
              <w:t>指本合同所具有的价值，通常体现为解除合同时，根据精算</w:t>
            </w:r>
          </w:p>
        </w:tc>
      </w:tr>
      <w:tr>
        <w:trPr>
          <w:trHeight w:val="475" w:hRule="atLeast"/>
        </w:trPr>
        <w:tc>
          <w:tcPr>
            <w:tcW w:w="806" w:type="dxa"/>
          </w:tcPr>
          <w:p>
            <w:pPr>
              <w:pStyle w:val="TableParagraph"/>
              <w:rPr>
                <w:rFonts w:ascii="Times New Roman"/>
                <w:sz w:val="20"/>
              </w:rPr>
            </w:pPr>
          </w:p>
        </w:tc>
        <w:tc>
          <w:tcPr>
            <w:tcW w:w="1671" w:type="dxa"/>
          </w:tcPr>
          <w:p>
            <w:pPr>
              <w:pStyle w:val="TableParagraph"/>
              <w:rPr>
                <w:rFonts w:ascii="Times New Roman"/>
                <w:sz w:val="20"/>
              </w:rPr>
            </w:pPr>
          </w:p>
        </w:tc>
        <w:tc>
          <w:tcPr>
            <w:tcW w:w="5689" w:type="dxa"/>
          </w:tcPr>
          <w:p>
            <w:pPr>
              <w:pStyle w:val="TableParagraph"/>
              <w:spacing w:before="24"/>
              <w:ind w:left="175"/>
              <w:rPr>
                <w:sz w:val="21"/>
              </w:rPr>
            </w:pPr>
            <w:r>
              <w:rPr>
                <w:spacing w:val="-3"/>
                <w:sz w:val="21"/>
              </w:rPr>
              <w:t>原理计算的，由我们退还的那部分金额。</w:t>
            </w:r>
          </w:p>
        </w:tc>
      </w:tr>
      <w:tr>
        <w:trPr>
          <w:trHeight w:val="475" w:hRule="atLeast"/>
        </w:trPr>
        <w:tc>
          <w:tcPr>
            <w:tcW w:w="806" w:type="dxa"/>
          </w:tcPr>
          <w:p>
            <w:pPr>
              <w:pStyle w:val="TableParagraph"/>
              <w:spacing w:line="342" w:lineRule="exact" w:before="113"/>
              <w:ind w:left="50"/>
              <w:rPr>
                <w:rFonts w:ascii="Microsoft JhengHei"/>
                <w:b/>
                <w:sz w:val="21"/>
              </w:rPr>
            </w:pPr>
            <w:r>
              <w:rPr>
                <w:rFonts w:ascii="Microsoft JhengHei"/>
                <w:b/>
                <w:spacing w:val="-2"/>
                <w:sz w:val="21"/>
              </w:rPr>
              <w:t>13.14</w:t>
            </w:r>
          </w:p>
        </w:tc>
        <w:tc>
          <w:tcPr>
            <w:tcW w:w="1671" w:type="dxa"/>
          </w:tcPr>
          <w:p>
            <w:pPr>
              <w:pStyle w:val="TableParagraph"/>
              <w:spacing w:line="342" w:lineRule="exact" w:before="113"/>
              <w:ind w:left="228"/>
              <w:rPr>
                <w:rFonts w:ascii="Microsoft JhengHei" w:eastAsia="Microsoft JhengHei"/>
                <w:b/>
                <w:sz w:val="21"/>
              </w:rPr>
            </w:pPr>
            <w:r>
              <w:rPr>
                <w:rFonts w:ascii="Microsoft JhengHei" w:eastAsia="Microsoft JhengHei"/>
                <w:b/>
                <w:spacing w:val="-2"/>
                <w:sz w:val="21"/>
              </w:rPr>
              <w:t>保单周年日</w:t>
            </w:r>
          </w:p>
        </w:tc>
        <w:tc>
          <w:tcPr>
            <w:tcW w:w="5689" w:type="dxa"/>
          </w:tcPr>
          <w:p>
            <w:pPr>
              <w:pStyle w:val="TableParagraph"/>
              <w:spacing w:before="3"/>
              <w:rPr>
                <w:sz w:val="14"/>
              </w:rPr>
            </w:pPr>
          </w:p>
          <w:p>
            <w:pPr>
              <w:pStyle w:val="TableParagraph"/>
              <w:ind w:left="175"/>
              <w:rPr>
                <w:sz w:val="21"/>
              </w:rPr>
            </w:pPr>
            <w:r>
              <w:rPr>
                <w:spacing w:val="-3"/>
                <w:sz w:val="21"/>
              </w:rPr>
              <w:t>指保险合同生效日以后每年对应于保险合同生效日的日期。</w:t>
            </w:r>
          </w:p>
        </w:tc>
      </w:tr>
      <w:tr>
        <w:trPr>
          <w:trHeight w:val="314" w:hRule="atLeast"/>
        </w:trPr>
        <w:tc>
          <w:tcPr>
            <w:tcW w:w="806" w:type="dxa"/>
          </w:tcPr>
          <w:p>
            <w:pPr>
              <w:pStyle w:val="TableParagraph"/>
              <w:rPr>
                <w:rFonts w:ascii="Times New Roman"/>
                <w:sz w:val="20"/>
              </w:rPr>
            </w:pPr>
          </w:p>
        </w:tc>
        <w:tc>
          <w:tcPr>
            <w:tcW w:w="1671" w:type="dxa"/>
          </w:tcPr>
          <w:p>
            <w:pPr>
              <w:pStyle w:val="TableParagraph"/>
              <w:rPr>
                <w:rFonts w:ascii="Times New Roman"/>
                <w:sz w:val="20"/>
              </w:rPr>
            </w:pPr>
          </w:p>
        </w:tc>
        <w:tc>
          <w:tcPr>
            <w:tcW w:w="5689" w:type="dxa"/>
          </w:tcPr>
          <w:p>
            <w:pPr>
              <w:pStyle w:val="TableParagraph"/>
              <w:spacing w:before="24"/>
              <w:ind w:left="175"/>
              <w:rPr>
                <w:sz w:val="21"/>
              </w:rPr>
            </w:pPr>
            <w:r>
              <w:rPr>
                <w:spacing w:val="-3"/>
                <w:sz w:val="21"/>
              </w:rPr>
              <w:t>生效日为闰年二月二十九日的，以后非闰年对应于生效日的</w:t>
            </w:r>
          </w:p>
        </w:tc>
      </w:tr>
      <w:tr>
        <w:trPr>
          <w:trHeight w:val="485" w:hRule="atLeast"/>
        </w:trPr>
        <w:tc>
          <w:tcPr>
            <w:tcW w:w="806" w:type="dxa"/>
          </w:tcPr>
          <w:p>
            <w:pPr>
              <w:pStyle w:val="TableParagraph"/>
              <w:rPr>
                <w:rFonts w:ascii="Times New Roman"/>
                <w:sz w:val="20"/>
              </w:rPr>
            </w:pPr>
          </w:p>
        </w:tc>
        <w:tc>
          <w:tcPr>
            <w:tcW w:w="1671" w:type="dxa"/>
          </w:tcPr>
          <w:p>
            <w:pPr>
              <w:pStyle w:val="TableParagraph"/>
              <w:rPr>
                <w:rFonts w:ascii="Times New Roman"/>
                <w:sz w:val="20"/>
              </w:rPr>
            </w:pPr>
          </w:p>
        </w:tc>
        <w:tc>
          <w:tcPr>
            <w:tcW w:w="5689" w:type="dxa"/>
          </w:tcPr>
          <w:p>
            <w:pPr>
              <w:pStyle w:val="TableParagraph"/>
              <w:spacing w:before="22"/>
              <w:ind w:left="175"/>
              <w:rPr>
                <w:sz w:val="21"/>
              </w:rPr>
            </w:pPr>
            <w:r>
              <w:rPr>
                <w:spacing w:val="-3"/>
                <w:sz w:val="21"/>
              </w:rPr>
              <w:t>日期为二月二十八日。</w:t>
            </w:r>
          </w:p>
        </w:tc>
      </w:tr>
      <w:tr>
        <w:trPr>
          <w:trHeight w:val="485" w:hRule="atLeast"/>
        </w:trPr>
        <w:tc>
          <w:tcPr>
            <w:tcW w:w="806" w:type="dxa"/>
          </w:tcPr>
          <w:p>
            <w:pPr>
              <w:pStyle w:val="TableParagraph"/>
              <w:spacing w:line="339" w:lineRule="exact" w:before="125"/>
              <w:ind w:left="50"/>
              <w:rPr>
                <w:rFonts w:ascii="Microsoft JhengHei"/>
                <w:b/>
                <w:sz w:val="21"/>
              </w:rPr>
            </w:pPr>
            <w:r>
              <w:rPr>
                <w:rFonts w:ascii="Microsoft JhengHei"/>
                <w:b/>
                <w:spacing w:val="-2"/>
                <w:sz w:val="21"/>
              </w:rPr>
              <w:t>13.15</w:t>
            </w:r>
          </w:p>
        </w:tc>
        <w:tc>
          <w:tcPr>
            <w:tcW w:w="1671" w:type="dxa"/>
          </w:tcPr>
          <w:p>
            <w:pPr>
              <w:pStyle w:val="TableParagraph"/>
              <w:spacing w:line="339" w:lineRule="exact" w:before="125"/>
              <w:ind w:left="228"/>
              <w:rPr>
                <w:rFonts w:ascii="Microsoft JhengHei" w:eastAsia="Microsoft JhengHei"/>
                <w:b/>
                <w:sz w:val="21"/>
              </w:rPr>
            </w:pPr>
            <w:r>
              <w:rPr>
                <w:rFonts w:ascii="Microsoft JhengHei" w:eastAsia="Microsoft JhengHei"/>
                <w:b/>
                <w:spacing w:val="-5"/>
                <w:sz w:val="21"/>
              </w:rPr>
              <w:t>毒品</w:t>
            </w:r>
          </w:p>
        </w:tc>
        <w:tc>
          <w:tcPr>
            <w:tcW w:w="5689" w:type="dxa"/>
          </w:tcPr>
          <w:p>
            <w:pPr>
              <w:pStyle w:val="TableParagraph"/>
              <w:spacing w:before="2"/>
              <w:rPr>
                <w:sz w:val="15"/>
              </w:rPr>
            </w:pPr>
          </w:p>
          <w:p>
            <w:pPr>
              <w:pStyle w:val="TableParagraph"/>
              <w:spacing w:before="1"/>
              <w:ind w:left="175"/>
              <w:rPr>
                <w:sz w:val="21"/>
              </w:rPr>
            </w:pPr>
            <w:r>
              <w:rPr>
                <w:spacing w:val="-3"/>
                <w:sz w:val="21"/>
              </w:rPr>
              <w:t>指《中华人民共和国刑法》规定的鸦片、海洛因、甲基苯丙</w:t>
            </w:r>
          </w:p>
        </w:tc>
      </w:tr>
      <w:tr>
        <w:trPr>
          <w:trHeight w:val="312" w:hRule="atLeast"/>
        </w:trPr>
        <w:tc>
          <w:tcPr>
            <w:tcW w:w="806" w:type="dxa"/>
          </w:tcPr>
          <w:p>
            <w:pPr>
              <w:pStyle w:val="TableParagraph"/>
              <w:rPr>
                <w:rFonts w:ascii="Times New Roman"/>
                <w:sz w:val="20"/>
              </w:rPr>
            </w:pPr>
          </w:p>
        </w:tc>
        <w:tc>
          <w:tcPr>
            <w:tcW w:w="1671" w:type="dxa"/>
          </w:tcPr>
          <w:p>
            <w:pPr>
              <w:pStyle w:val="TableParagraph"/>
              <w:rPr>
                <w:rFonts w:ascii="Times New Roman"/>
                <w:sz w:val="20"/>
              </w:rPr>
            </w:pPr>
          </w:p>
        </w:tc>
        <w:tc>
          <w:tcPr>
            <w:tcW w:w="5689" w:type="dxa"/>
          </w:tcPr>
          <w:p>
            <w:pPr>
              <w:pStyle w:val="TableParagraph"/>
              <w:spacing w:before="22"/>
              <w:ind w:left="175"/>
              <w:rPr>
                <w:sz w:val="21"/>
              </w:rPr>
            </w:pPr>
            <w:r>
              <w:rPr>
                <w:spacing w:val="-2"/>
                <w:sz w:val="21"/>
              </w:rPr>
              <w:t>胺（冰毒</w:t>
            </w:r>
            <w:r>
              <w:rPr>
                <w:spacing w:val="-106"/>
                <w:sz w:val="21"/>
              </w:rPr>
              <w:t>）</w:t>
            </w:r>
            <w:r>
              <w:rPr>
                <w:spacing w:val="-3"/>
                <w:sz w:val="21"/>
              </w:rPr>
              <w:t>、吗啡、大麻、可卡因以及国家规定管制的其他</w:t>
            </w:r>
          </w:p>
        </w:tc>
      </w:tr>
      <w:tr>
        <w:trPr>
          <w:trHeight w:val="312" w:hRule="atLeast"/>
        </w:trPr>
        <w:tc>
          <w:tcPr>
            <w:tcW w:w="806" w:type="dxa"/>
          </w:tcPr>
          <w:p>
            <w:pPr>
              <w:pStyle w:val="TableParagraph"/>
              <w:rPr>
                <w:rFonts w:ascii="Times New Roman"/>
                <w:sz w:val="20"/>
              </w:rPr>
            </w:pPr>
          </w:p>
        </w:tc>
        <w:tc>
          <w:tcPr>
            <w:tcW w:w="1671" w:type="dxa"/>
          </w:tcPr>
          <w:p>
            <w:pPr>
              <w:pStyle w:val="TableParagraph"/>
              <w:rPr>
                <w:rFonts w:ascii="Times New Roman"/>
                <w:sz w:val="20"/>
              </w:rPr>
            </w:pPr>
          </w:p>
        </w:tc>
        <w:tc>
          <w:tcPr>
            <w:tcW w:w="5689" w:type="dxa"/>
          </w:tcPr>
          <w:p>
            <w:pPr>
              <w:pStyle w:val="TableParagraph"/>
              <w:spacing w:before="22"/>
              <w:ind w:left="175"/>
              <w:rPr>
                <w:sz w:val="21"/>
              </w:rPr>
            </w:pPr>
            <w:r>
              <w:rPr>
                <w:spacing w:val="-3"/>
                <w:sz w:val="21"/>
              </w:rPr>
              <w:t>能够使人形成瘾癖的麻醉药品和精神药品，但不包括由医生</w:t>
            </w:r>
          </w:p>
        </w:tc>
      </w:tr>
      <w:tr>
        <w:trPr>
          <w:trHeight w:val="312" w:hRule="atLeast"/>
        </w:trPr>
        <w:tc>
          <w:tcPr>
            <w:tcW w:w="806" w:type="dxa"/>
          </w:tcPr>
          <w:p>
            <w:pPr>
              <w:pStyle w:val="TableParagraph"/>
              <w:rPr>
                <w:rFonts w:ascii="Times New Roman"/>
                <w:sz w:val="20"/>
              </w:rPr>
            </w:pPr>
          </w:p>
        </w:tc>
        <w:tc>
          <w:tcPr>
            <w:tcW w:w="1671" w:type="dxa"/>
          </w:tcPr>
          <w:p>
            <w:pPr>
              <w:pStyle w:val="TableParagraph"/>
              <w:rPr>
                <w:rFonts w:ascii="Times New Roman"/>
                <w:sz w:val="20"/>
              </w:rPr>
            </w:pPr>
          </w:p>
        </w:tc>
        <w:tc>
          <w:tcPr>
            <w:tcW w:w="5689" w:type="dxa"/>
          </w:tcPr>
          <w:p>
            <w:pPr>
              <w:pStyle w:val="TableParagraph"/>
              <w:spacing w:before="22"/>
              <w:ind w:left="175"/>
              <w:rPr>
                <w:sz w:val="21"/>
              </w:rPr>
            </w:pPr>
            <w:r>
              <w:rPr>
                <w:spacing w:val="-3"/>
                <w:sz w:val="21"/>
              </w:rPr>
              <w:t>开具并遵医嘱使用的用于治疗疾病但含有毒品成分的处方药</w:t>
            </w:r>
          </w:p>
        </w:tc>
      </w:tr>
      <w:tr>
        <w:trPr>
          <w:trHeight w:val="472" w:hRule="atLeast"/>
        </w:trPr>
        <w:tc>
          <w:tcPr>
            <w:tcW w:w="806" w:type="dxa"/>
          </w:tcPr>
          <w:p>
            <w:pPr>
              <w:pStyle w:val="TableParagraph"/>
              <w:rPr>
                <w:rFonts w:ascii="Times New Roman"/>
                <w:sz w:val="20"/>
              </w:rPr>
            </w:pPr>
          </w:p>
        </w:tc>
        <w:tc>
          <w:tcPr>
            <w:tcW w:w="1671" w:type="dxa"/>
          </w:tcPr>
          <w:p>
            <w:pPr>
              <w:pStyle w:val="TableParagraph"/>
              <w:rPr>
                <w:rFonts w:ascii="Times New Roman"/>
                <w:sz w:val="20"/>
              </w:rPr>
            </w:pPr>
          </w:p>
        </w:tc>
        <w:tc>
          <w:tcPr>
            <w:tcW w:w="5689" w:type="dxa"/>
          </w:tcPr>
          <w:p>
            <w:pPr>
              <w:pStyle w:val="TableParagraph"/>
              <w:spacing w:before="22"/>
              <w:ind w:left="175"/>
              <w:rPr>
                <w:sz w:val="21"/>
              </w:rPr>
            </w:pPr>
            <w:r>
              <w:rPr>
                <w:spacing w:val="-5"/>
                <w:sz w:val="21"/>
              </w:rPr>
              <w:t>品。</w:t>
            </w:r>
          </w:p>
        </w:tc>
      </w:tr>
      <w:tr>
        <w:trPr>
          <w:trHeight w:val="475" w:hRule="atLeast"/>
        </w:trPr>
        <w:tc>
          <w:tcPr>
            <w:tcW w:w="806" w:type="dxa"/>
          </w:tcPr>
          <w:p>
            <w:pPr>
              <w:pStyle w:val="TableParagraph"/>
              <w:spacing w:line="342" w:lineRule="exact" w:before="113"/>
              <w:ind w:left="50"/>
              <w:rPr>
                <w:rFonts w:ascii="Microsoft JhengHei"/>
                <w:b/>
                <w:sz w:val="21"/>
              </w:rPr>
            </w:pPr>
            <w:r>
              <w:rPr>
                <w:rFonts w:ascii="Microsoft JhengHei"/>
                <w:b/>
                <w:spacing w:val="-2"/>
                <w:sz w:val="21"/>
              </w:rPr>
              <w:t>13.16</w:t>
            </w:r>
          </w:p>
        </w:tc>
        <w:tc>
          <w:tcPr>
            <w:tcW w:w="1671" w:type="dxa"/>
          </w:tcPr>
          <w:p>
            <w:pPr>
              <w:pStyle w:val="TableParagraph"/>
              <w:spacing w:line="342" w:lineRule="exact" w:before="113"/>
              <w:ind w:left="228"/>
              <w:rPr>
                <w:rFonts w:ascii="Microsoft JhengHei" w:eastAsia="Microsoft JhengHei"/>
                <w:b/>
                <w:sz w:val="21"/>
              </w:rPr>
            </w:pPr>
            <w:r>
              <w:rPr>
                <w:rFonts w:ascii="Microsoft JhengHei" w:eastAsia="Microsoft JhengHei"/>
                <w:b/>
                <w:spacing w:val="-3"/>
                <w:sz w:val="21"/>
              </w:rPr>
              <w:t>酒后驾驶</w:t>
            </w:r>
          </w:p>
        </w:tc>
        <w:tc>
          <w:tcPr>
            <w:tcW w:w="5689" w:type="dxa"/>
          </w:tcPr>
          <w:p>
            <w:pPr>
              <w:pStyle w:val="TableParagraph"/>
              <w:spacing w:before="3"/>
              <w:rPr>
                <w:sz w:val="14"/>
              </w:rPr>
            </w:pPr>
          </w:p>
          <w:p>
            <w:pPr>
              <w:pStyle w:val="TableParagraph"/>
              <w:ind w:left="175"/>
              <w:rPr>
                <w:sz w:val="21"/>
              </w:rPr>
            </w:pPr>
            <w:r>
              <w:rPr>
                <w:spacing w:val="-3"/>
                <w:sz w:val="21"/>
              </w:rPr>
              <w:t>指经检测或者鉴定，发生保险事故时被保险人每百毫升血液</w:t>
            </w:r>
          </w:p>
        </w:tc>
      </w:tr>
      <w:tr>
        <w:trPr>
          <w:trHeight w:val="314" w:hRule="atLeast"/>
        </w:trPr>
        <w:tc>
          <w:tcPr>
            <w:tcW w:w="806" w:type="dxa"/>
          </w:tcPr>
          <w:p>
            <w:pPr>
              <w:pStyle w:val="TableParagraph"/>
              <w:rPr>
                <w:rFonts w:ascii="Times New Roman"/>
                <w:sz w:val="20"/>
              </w:rPr>
            </w:pPr>
          </w:p>
        </w:tc>
        <w:tc>
          <w:tcPr>
            <w:tcW w:w="1671" w:type="dxa"/>
          </w:tcPr>
          <w:p>
            <w:pPr>
              <w:pStyle w:val="TableParagraph"/>
              <w:rPr>
                <w:rFonts w:ascii="Times New Roman"/>
                <w:sz w:val="20"/>
              </w:rPr>
            </w:pPr>
          </w:p>
        </w:tc>
        <w:tc>
          <w:tcPr>
            <w:tcW w:w="5689" w:type="dxa"/>
          </w:tcPr>
          <w:p>
            <w:pPr>
              <w:pStyle w:val="TableParagraph"/>
              <w:spacing w:before="24"/>
              <w:ind w:left="175"/>
              <w:rPr>
                <w:sz w:val="21"/>
              </w:rPr>
            </w:pPr>
            <w:r>
              <w:rPr>
                <w:spacing w:val="-3"/>
                <w:sz w:val="21"/>
              </w:rPr>
              <w:t>中的酒精含量达到或者超过一定的标准，是否达到前述标准</w:t>
            </w:r>
          </w:p>
        </w:tc>
      </w:tr>
      <w:tr>
        <w:trPr>
          <w:trHeight w:val="312" w:hRule="atLeast"/>
        </w:trPr>
        <w:tc>
          <w:tcPr>
            <w:tcW w:w="806" w:type="dxa"/>
          </w:tcPr>
          <w:p>
            <w:pPr>
              <w:pStyle w:val="TableParagraph"/>
              <w:rPr>
                <w:rFonts w:ascii="Times New Roman"/>
                <w:sz w:val="20"/>
              </w:rPr>
            </w:pPr>
          </w:p>
        </w:tc>
        <w:tc>
          <w:tcPr>
            <w:tcW w:w="1671" w:type="dxa"/>
          </w:tcPr>
          <w:p>
            <w:pPr>
              <w:pStyle w:val="TableParagraph"/>
              <w:rPr>
                <w:rFonts w:ascii="Times New Roman"/>
                <w:sz w:val="20"/>
              </w:rPr>
            </w:pPr>
          </w:p>
        </w:tc>
        <w:tc>
          <w:tcPr>
            <w:tcW w:w="5689" w:type="dxa"/>
          </w:tcPr>
          <w:p>
            <w:pPr>
              <w:pStyle w:val="TableParagraph"/>
              <w:spacing w:before="22"/>
              <w:ind w:left="175"/>
              <w:rPr>
                <w:sz w:val="21"/>
              </w:rPr>
            </w:pPr>
            <w:r>
              <w:rPr>
                <w:spacing w:val="-3"/>
                <w:sz w:val="21"/>
              </w:rPr>
              <w:t>由公安机关交通管理部门依据《道路交通安全法》的规定认</w:t>
            </w:r>
          </w:p>
        </w:tc>
      </w:tr>
      <w:tr>
        <w:trPr>
          <w:trHeight w:val="312" w:hRule="atLeast"/>
        </w:trPr>
        <w:tc>
          <w:tcPr>
            <w:tcW w:w="806" w:type="dxa"/>
          </w:tcPr>
          <w:p>
            <w:pPr>
              <w:pStyle w:val="TableParagraph"/>
              <w:rPr>
                <w:rFonts w:ascii="Times New Roman"/>
                <w:sz w:val="20"/>
              </w:rPr>
            </w:pPr>
          </w:p>
        </w:tc>
        <w:tc>
          <w:tcPr>
            <w:tcW w:w="1671" w:type="dxa"/>
          </w:tcPr>
          <w:p>
            <w:pPr>
              <w:pStyle w:val="TableParagraph"/>
              <w:rPr>
                <w:rFonts w:ascii="Times New Roman"/>
                <w:sz w:val="20"/>
              </w:rPr>
            </w:pPr>
          </w:p>
        </w:tc>
        <w:tc>
          <w:tcPr>
            <w:tcW w:w="5689" w:type="dxa"/>
          </w:tcPr>
          <w:p>
            <w:pPr>
              <w:pStyle w:val="TableParagraph"/>
              <w:spacing w:before="22"/>
              <w:ind w:left="175"/>
              <w:rPr>
                <w:sz w:val="21"/>
              </w:rPr>
            </w:pPr>
            <w:r>
              <w:rPr>
                <w:spacing w:val="-3"/>
                <w:sz w:val="21"/>
              </w:rPr>
              <w:t>定，我们根据公安机关交通管理部门的认定确认被保险人是</w:t>
            </w:r>
          </w:p>
        </w:tc>
      </w:tr>
      <w:tr>
        <w:trPr>
          <w:trHeight w:val="472" w:hRule="atLeast"/>
        </w:trPr>
        <w:tc>
          <w:tcPr>
            <w:tcW w:w="806" w:type="dxa"/>
          </w:tcPr>
          <w:p>
            <w:pPr>
              <w:pStyle w:val="TableParagraph"/>
              <w:rPr>
                <w:rFonts w:ascii="Times New Roman"/>
                <w:sz w:val="20"/>
              </w:rPr>
            </w:pPr>
          </w:p>
        </w:tc>
        <w:tc>
          <w:tcPr>
            <w:tcW w:w="1671" w:type="dxa"/>
          </w:tcPr>
          <w:p>
            <w:pPr>
              <w:pStyle w:val="TableParagraph"/>
              <w:rPr>
                <w:rFonts w:ascii="Times New Roman"/>
                <w:sz w:val="20"/>
              </w:rPr>
            </w:pPr>
          </w:p>
        </w:tc>
        <w:tc>
          <w:tcPr>
            <w:tcW w:w="5689" w:type="dxa"/>
          </w:tcPr>
          <w:p>
            <w:pPr>
              <w:pStyle w:val="TableParagraph"/>
              <w:spacing w:before="22"/>
              <w:ind w:left="175"/>
              <w:rPr>
                <w:sz w:val="21"/>
              </w:rPr>
            </w:pPr>
            <w:r>
              <w:rPr>
                <w:spacing w:val="-3"/>
                <w:sz w:val="21"/>
              </w:rPr>
              <w:t>否属于饮酒后驾驶或醉酒后驾驶。</w:t>
            </w:r>
          </w:p>
        </w:tc>
      </w:tr>
      <w:tr>
        <w:trPr>
          <w:trHeight w:val="422" w:hRule="atLeast"/>
        </w:trPr>
        <w:tc>
          <w:tcPr>
            <w:tcW w:w="806" w:type="dxa"/>
          </w:tcPr>
          <w:p>
            <w:pPr>
              <w:pStyle w:val="TableParagraph"/>
              <w:spacing w:line="289" w:lineRule="exact" w:before="113"/>
              <w:ind w:left="50"/>
              <w:rPr>
                <w:rFonts w:ascii="Microsoft JhengHei"/>
                <w:b/>
                <w:sz w:val="21"/>
              </w:rPr>
            </w:pPr>
            <w:r>
              <w:rPr>
                <w:rFonts w:ascii="Microsoft JhengHei"/>
                <w:b/>
                <w:spacing w:val="-2"/>
                <w:sz w:val="21"/>
              </w:rPr>
              <w:t>13.17</w:t>
            </w:r>
          </w:p>
        </w:tc>
        <w:tc>
          <w:tcPr>
            <w:tcW w:w="1671" w:type="dxa"/>
          </w:tcPr>
          <w:p>
            <w:pPr>
              <w:pStyle w:val="TableParagraph"/>
              <w:spacing w:line="289" w:lineRule="exact" w:before="113"/>
              <w:ind w:left="228"/>
              <w:rPr>
                <w:rFonts w:ascii="Microsoft JhengHei" w:eastAsia="Microsoft JhengHei"/>
                <w:b/>
                <w:sz w:val="21"/>
              </w:rPr>
            </w:pPr>
            <w:r>
              <w:rPr>
                <w:rFonts w:ascii="Microsoft JhengHei" w:eastAsia="Microsoft JhengHei"/>
                <w:b/>
                <w:spacing w:val="-2"/>
                <w:sz w:val="21"/>
              </w:rPr>
              <w:t>无合法有效驾</w:t>
            </w:r>
          </w:p>
        </w:tc>
        <w:tc>
          <w:tcPr>
            <w:tcW w:w="5689" w:type="dxa"/>
          </w:tcPr>
          <w:p>
            <w:pPr>
              <w:pStyle w:val="TableParagraph"/>
              <w:spacing w:before="3"/>
              <w:rPr>
                <w:sz w:val="14"/>
              </w:rPr>
            </w:pPr>
          </w:p>
          <w:p>
            <w:pPr>
              <w:pStyle w:val="TableParagraph"/>
              <w:spacing w:line="220" w:lineRule="exact"/>
              <w:ind w:left="175"/>
              <w:rPr>
                <w:sz w:val="21"/>
              </w:rPr>
            </w:pPr>
            <w:r>
              <w:rPr>
                <w:spacing w:val="-4"/>
                <w:sz w:val="21"/>
              </w:rPr>
              <w:t>指下列情形之一：</w:t>
            </w:r>
          </w:p>
        </w:tc>
      </w:tr>
      <w:tr>
        <w:trPr>
          <w:trHeight w:val="521" w:hRule="atLeast"/>
        </w:trPr>
        <w:tc>
          <w:tcPr>
            <w:tcW w:w="806" w:type="dxa"/>
          </w:tcPr>
          <w:p>
            <w:pPr>
              <w:pStyle w:val="TableParagraph"/>
              <w:rPr>
                <w:rFonts w:ascii="Times New Roman"/>
                <w:sz w:val="20"/>
              </w:rPr>
            </w:pPr>
          </w:p>
        </w:tc>
        <w:tc>
          <w:tcPr>
            <w:tcW w:w="1671" w:type="dxa"/>
          </w:tcPr>
          <w:p>
            <w:pPr>
              <w:pStyle w:val="TableParagraph"/>
              <w:spacing w:before="7"/>
              <w:ind w:left="228"/>
              <w:rPr>
                <w:rFonts w:ascii="Microsoft JhengHei" w:eastAsia="Microsoft JhengHei"/>
                <w:b/>
                <w:sz w:val="21"/>
              </w:rPr>
            </w:pPr>
            <w:r>
              <w:rPr>
                <w:rFonts w:ascii="Microsoft JhengHei" w:eastAsia="Microsoft JhengHei"/>
                <w:b/>
                <w:spacing w:val="-3"/>
                <w:sz w:val="21"/>
              </w:rPr>
              <w:t>驶证驾驶</w:t>
            </w:r>
          </w:p>
        </w:tc>
        <w:tc>
          <w:tcPr>
            <w:tcW w:w="5689" w:type="dxa"/>
          </w:tcPr>
          <w:p>
            <w:pPr>
              <w:pStyle w:val="TableParagraph"/>
              <w:rPr>
                <w:sz w:val="18"/>
              </w:rPr>
            </w:pPr>
          </w:p>
          <w:p>
            <w:pPr>
              <w:pStyle w:val="TableParagraph"/>
              <w:ind w:left="175"/>
              <w:rPr>
                <w:sz w:val="21"/>
              </w:rPr>
            </w:pPr>
            <w:r>
              <w:rPr>
                <w:spacing w:val="-2"/>
                <w:sz w:val="21"/>
              </w:rPr>
              <w:t>（1）</w:t>
            </w:r>
            <w:r>
              <w:rPr>
                <w:spacing w:val="-3"/>
                <w:sz w:val="21"/>
              </w:rPr>
              <w:t>没有取得中华人民共和国有关主管部门颁发或者认可</w:t>
            </w:r>
          </w:p>
        </w:tc>
      </w:tr>
      <w:tr>
        <w:trPr>
          <w:trHeight w:val="312" w:hRule="atLeast"/>
        </w:trPr>
        <w:tc>
          <w:tcPr>
            <w:tcW w:w="806" w:type="dxa"/>
          </w:tcPr>
          <w:p>
            <w:pPr>
              <w:pStyle w:val="TableParagraph"/>
              <w:rPr>
                <w:rFonts w:ascii="Times New Roman"/>
                <w:sz w:val="20"/>
              </w:rPr>
            </w:pPr>
          </w:p>
        </w:tc>
        <w:tc>
          <w:tcPr>
            <w:tcW w:w="1671" w:type="dxa"/>
          </w:tcPr>
          <w:p>
            <w:pPr>
              <w:pStyle w:val="TableParagraph"/>
              <w:rPr>
                <w:rFonts w:ascii="Times New Roman"/>
                <w:sz w:val="20"/>
              </w:rPr>
            </w:pPr>
          </w:p>
        </w:tc>
        <w:tc>
          <w:tcPr>
            <w:tcW w:w="5689" w:type="dxa"/>
          </w:tcPr>
          <w:p>
            <w:pPr>
              <w:pStyle w:val="TableParagraph"/>
              <w:spacing w:before="22"/>
              <w:ind w:left="175"/>
              <w:rPr>
                <w:sz w:val="21"/>
              </w:rPr>
            </w:pPr>
            <w:r>
              <w:rPr>
                <w:spacing w:val="-4"/>
                <w:sz w:val="21"/>
              </w:rPr>
              <w:t>的驾驶资格证书；</w:t>
            </w:r>
          </w:p>
        </w:tc>
      </w:tr>
      <w:tr>
        <w:trPr>
          <w:trHeight w:val="312" w:hRule="atLeast"/>
        </w:trPr>
        <w:tc>
          <w:tcPr>
            <w:tcW w:w="806" w:type="dxa"/>
          </w:tcPr>
          <w:p>
            <w:pPr>
              <w:pStyle w:val="TableParagraph"/>
              <w:rPr>
                <w:rFonts w:ascii="Times New Roman"/>
                <w:sz w:val="20"/>
              </w:rPr>
            </w:pPr>
          </w:p>
        </w:tc>
        <w:tc>
          <w:tcPr>
            <w:tcW w:w="1671" w:type="dxa"/>
          </w:tcPr>
          <w:p>
            <w:pPr>
              <w:pStyle w:val="TableParagraph"/>
              <w:rPr>
                <w:rFonts w:ascii="Times New Roman"/>
                <w:sz w:val="20"/>
              </w:rPr>
            </w:pPr>
          </w:p>
        </w:tc>
        <w:tc>
          <w:tcPr>
            <w:tcW w:w="5689" w:type="dxa"/>
          </w:tcPr>
          <w:p>
            <w:pPr>
              <w:pStyle w:val="TableParagraph"/>
              <w:spacing w:before="22"/>
              <w:ind w:left="175"/>
              <w:rPr>
                <w:sz w:val="21"/>
              </w:rPr>
            </w:pPr>
            <w:r>
              <w:rPr>
                <w:spacing w:val="-2"/>
                <w:sz w:val="21"/>
              </w:rPr>
              <w:t>（2）</w:t>
            </w:r>
            <w:r>
              <w:rPr>
                <w:spacing w:val="-3"/>
                <w:sz w:val="21"/>
              </w:rPr>
              <w:t>驾驶与合法有效驾驶证准驾车型不相符合的车辆；</w:t>
            </w:r>
          </w:p>
        </w:tc>
      </w:tr>
      <w:tr>
        <w:trPr>
          <w:trHeight w:val="312" w:hRule="atLeast"/>
        </w:trPr>
        <w:tc>
          <w:tcPr>
            <w:tcW w:w="806" w:type="dxa"/>
          </w:tcPr>
          <w:p>
            <w:pPr>
              <w:pStyle w:val="TableParagraph"/>
              <w:rPr>
                <w:rFonts w:ascii="Times New Roman"/>
                <w:sz w:val="20"/>
              </w:rPr>
            </w:pPr>
          </w:p>
        </w:tc>
        <w:tc>
          <w:tcPr>
            <w:tcW w:w="1671" w:type="dxa"/>
          </w:tcPr>
          <w:p>
            <w:pPr>
              <w:pStyle w:val="TableParagraph"/>
              <w:rPr>
                <w:rFonts w:ascii="Times New Roman"/>
                <w:sz w:val="20"/>
              </w:rPr>
            </w:pPr>
          </w:p>
        </w:tc>
        <w:tc>
          <w:tcPr>
            <w:tcW w:w="5689" w:type="dxa"/>
          </w:tcPr>
          <w:p>
            <w:pPr>
              <w:pStyle w:val="TableParagraph"/>
              <w:spacing w:before="22"/>
              <w:ind w:left="175"/>
              <w:rPr>
                <w:sz w:val="21"/>
              </w:rPr>
            </w:pPr>
            <w:r>
              <w:rPr>
                <w:spacing w:val="-2"/>
                <w:sz w:val="21"/>
              </w:rPr>
              <w:t>（3）</w:t>
            </w:r>
            <w:r>
              <w:rPr>
                <w:spacing w:val="-3"/>
                <w:sz w:val="21"/>
              </w:rPr>
              <w:t>持审验不合格的驾驶证驾驶；</w:t>
            </w:r>
          </w:p>
        </w:tc>
      </w:tr>
      <w:tr>
        <w:trPr>
          <w:trHeight w:val="311" w:hRule="atLeast"/>
        </w:trPr>
        <w:tc>
          <w:tcPr>
            <w:tcW w:w="806" w:type="dxa"/>
          </w:tcPr>
          <w:p>
            <w:pPr>
              <w:pStyle w:val="TableParagraph"/>
              <w:rPr>
                <w:rFonts w:ascii="Times New Roman"/>
                <w:sz w:val="20"/>
              </w:rPr>
            </w:pPr>
          </w:p>
        </w:tc>
        <w:tc>
          <w:tcPr>
            <w:tcW w:w="1671" w:type="dxa"/>
          </w:tcPr>
          <w:p>
            <w:pPr>
              <w:pStyle w:val="TableParagraph"/>
              <w:rPr>
                <w:rFonts w:ascii="Times New Roman"/>
                <w:sz w:val="20"/>
              </w:rPr>
            </w:pPr>
          </w:p>
        </w:tc>
        <w:tc>
          <w:tcPr>
            <w:tcW w:w="5689" w:type="dxa"/>
          </w:tcPr>
          <w:p>
            <w:pPr>
              <w:pStyle w:val="TableParagraph"/>
              <w:spacing w:before="22"/>
              <w:ind w:left="175"/>
              <w:rPr>
                <w:sz w:val="21"/>
              </w:rPr>
            </w:pPr>
            <w:r>
              <w:rPr>
                <w:spacing w:val="-2"/>
                <w:sz w:val="21"/>
              </w:rPr>
              <w:t>（4）</w:t>
            </w:r>
            <w:r>
              <w:rPr>
                <w:spacing w:val="-3"/>
                <w:sz w:val="21"/>
              </w:rPr>
              <w:t>在驾驶证有效期内未按照中华人民共和国法律、行政</w:t>
            </w:r>
          </w:p>
        </w:tc>
      </w:tr>
      <w:tr>
        <w:trPr>
          <w:trHeight w:val="312" w:hRule="atLeast"/>
        </w:trPr>
        <w:tc>
          <w:tcPr>
            <w:tcW w:w="806" w:type="dxa"/>
          </w:tcPr>
          <w:p>
            <w:pPr>
              <w:pStyle w:val="TableParagraph"/>
              <w:rPr>
                <w:rFonts w:ascii="Times New Roman"/>
                <w:sz w:val="20"/>
              </w:rPr>
            </w:pPr>
          </w:p>
        </w:tc>
        <w:tc>
          <w:tcPr>
            <w:tcW w:w="1671" w:type="dxa"/>
          </w:tcPr>
          <w:p>
            <w:pPr>
              <w:pStyle w:val="TableParagraph"/>
              <w:rPr>
                <w:rFonts w:ascii="Times New Roman"/>
                <w:sz w:val="20"/>
              </w:rPr>
            </w:pPr>
          </w:p>
        </w:tc>
        <w:tc>
          <w:tcPr>
            <w:tcW w:w="5689" w:type="dxa"/>
          </w:tcPr>
          <w:p>
            <w:pPr>
              <w:pStyle w:val="TableParagraph"/>
              <w:spacing w:before="22"/>
              <w:ind w:left="175"/>
              <w:rPr>
                <w:sz w:val="21"/>
              </w:rPr>
            </w:pPr>
            <w:r>
              <w:rPr>
                <w:spacing w:val="-3"/>
                <w:sz w:val="21"/>
              </w:rPr>
              <w:t>法规的规定，定期对机动车驾驶证实施审验的；</w:t>
            </w:r>
          </w:p>
        </w:tc>
      </w:tr>
      <w:tr>
        <w:trPr>
          <w:trHeight w:val="475" w:hRule="atLeast"/>
        </w:trPr>
        <w:tc>
          <w:tcPr>
            <w:tcW w:w="806" w:type="dxa"/>
          </w:tcPr>
          <w:p>
            <w:pPr>
              <w:pStyle w:val="TableParagraph"/>
              <w:rPr>
                <w:rFonts w:ascii="Times New Roman"/>
                <w:sz w:val="20"/>
              </w:rPr>
            </w:pPr>
          </w:p>
        </w:tc>
        <w:tc>
          <w:tcPr>
            <w:tcW w:w="1671" w:type="dxa"/>
          </w:tcPr>
          <w:p>
            <w:pPr>
              <w:pStyle w:val="TableParagraph"/>
              <w:rPr>
                <w:rFonts w:ascii="Times New Roman"/>
                <w:sz w:val="20"/>
              </w:rPr>
            </w:pPr>
          </w:p>
        </w:tc>
        <w:tc>
          <w:tcPr>
            <w:tcW w:w="5689" w:type="dxa"/>
          </w:tcPr>
          <w:p>
            <w:pPr>
              <w:pStyle w:val="TableParagraph"/>
              <w:spacing w:before="22"/>
              <w:ind w:left="175"/>
              <w:rPr>
                <w:sz w:val="21"/>
              </w:rPr>
            </w:pPr>
            <w:r>
              <w:rPr>
                <w:spacing w:val="-2"/>
                <w:sz w:val="21"/>
              </w:rPr>
              <w:t>（5）</w:t>
            </w:r>
            <w:r>
              <w:rPr>
                <w:spacing w:val="-3"/>
                <w:sz w:val="21"/>
              </w:rPr>
              <w:t>驾驶证已过有效期的。</w:t>
            </w:r>
          </w:p>
        </w:tc>
      </w:tr>
      <w:tr>
        <w:trPr>
          <w:trHeight w:val="424" w:hRule="atLeast"/>
        </w:trPr>
        <w:tc>
          <w:tcPr>
            <w:tcW w:w="806" w:type="dxa"/>
          </w:tcPr>
          <w:p>
            <w:pPr>
              <w:pStyle w:val="TableParagraph"/>
              <w:spacing w:line="289" w:lineRule="exact" w:before="115"/>
              <w:ind w:left="50"/>
              <w:rPr>
                <w:rFonts w:ascii="Microsoft JhengHei"/>
                <w:b/>
                <w:sz w:val="21"/>
              </w:rPr>
            </w:pPr>
            <w:r>
              <w:rPr>
                <w:rFonts w:ascii="Microsoft JhengHei"/>
                <w:b/>
                <w:spacing w:val="-2"/>
                <w:sz w:val="21"/>
              </w:rPr>
              <w:t>13.18</w:t>
            </w:r>
          </w:p>
        </w:tc>
        <w:tc>
          <w:tcPr>
            <w:tcW w:w="1671" w:type="dxa"/>
          </w:tcPr>
          <w:p>
            <w:pPr>
              <w:pStyle w:val="TableParagraph"/>
              <w:spacing w:line="289" w:lineRule="exact" w:before="115"/>
              <w:ind w:left="228"/>
              <w:rPr>
                <w:rFonts w:ascii="Microsoft JhengHei" w:eastAsia="Microsoft JhengHei"/>
                <w:b/>
                <w:sz w:val="21"/>
              </w:rPr>
            </w:pPr>
            <w:r>
              <w:rPr>
                <w:rFonts w:ascii="Microsoft JhengHei" w:eastAsia="Microsoft JhengHei"/>
                <w:b/>
                <w:spacing w:val="-2"/>
                <w:sz w:val="21"/>
              </w:rPr>
              <w:t>无合法有效行</w:t>
            </w:r>
          </w:p>
        </w:tc>
        <w:tc>
          <w:tcPr>
            <w:tcW w:w="5689" w:type="dxa"/>
          </w:tcPr>
          <w:p>
            <w:pPr>
              <w:pStyle w:val="TableParagraph"/>
              <w:spacing w:before="5"/>
              <w:rPr>
                <w:sz w:val="14"/>
              </w:rPr>
            </w:pPr>
          </w:p>
          <w:p>
            <w:pPr>
              <w:pStyle w:val="TableParagraph"/>
              <w:spacing w:line="220" w:lineRule="exact"/>
              <w:ind w:left="175"/>
              <w:rPr>
                <w:sz w:val="21"/>
              </w:rPr>
            </w:pPr>
            <w:r>
              <w:rPr>
                <w:spacing w:val="-4"/>
                <w:sz w:val="21"/>
              </w:rPr>
              <w:t>指下列情形之一：</w:t>
            </w:r>
          </w:p>
        </w:tc>
      </w:tr>
      <w:tr>
        <w:trPr>
          <w:trHeight w:val="518" w:hRule="atLeast"/>
        </w:trPr>
        <w:tc>
          <w:tcPr>
            <w:tcW w:w="806" w:type="dxa"/>
          </w:tcPr>
          <w:p>
            <w:pPr>
              <w:pStyle w:val="TableParagraph"/>
              <w:rPr>
                <w:rFonts w:ascii="Times New Roman"/>
                <w:sz w:val="20"/>
              </w:rPr>
            </w:pPr>
          </w:p>
        </w:tc>
        <w:tc>
          <w:tcPr>
            <w:tcW w:w="1671" w:type="dxa"/>
          </w:tcPr>
          <w:p>
            <w:pPr>
              <w:pStyle w:val="TableParagraph"/>
              <w:spacing w:before="3"/>
              <w:ind w:left="228"/>
              <w:rPr>
                <w:rFonts w:ascii="Microsoft JhengHei" w:eastAsia="Microsoft JhengHei"/>
                <w:b/>
                <w:sz w:val="21"/>
              </w:rPr>
            </w:pPr>
            <w:r>
              <w:rPr>
                <w:rFonts w:ascii="Microsoft JhengHei" w:eastAsia="Microsoft JhengHei"/>
                <w:b/>
                <w:spacing w:val="-5"/>
                <w:sz w:val="21"/>
              </w:rPr>
              <w:t>驶证</w:t>
            </w:r>
          </w:p>
        </w:tc>
        <w:tc>
          <w:tcPr>
            <w:tcW w:w="5689" w:type="dxa"/>
          </w:tcPr>
          <w:p>
            <w:pPr>
              <w:pStyle w:val="TableParagraph"/>
              <w:spacing w:before="8"/>
              <w:rPr>
                <w:sz w:val="17"/>
              </w:rPr>
            </w:pPr>
          </w:p>
          <w:p>
            <w:pPr>
              <w:pStyle w:val="TableParagraph"/>
              <w:ind w:left="175"/>
              <w:rPr>
                <w:sz w:val="21"/>
              </w:rPr>
            </w:pPr>
            <w:r>
              <w:rPr>
                <w:spacing w:val="-2"/>
                <w:sz w:val="21"/>
              </w:rPr>
              <w:t>（1）</w:t>
            </w:r>
            <w:r>
              <w:rPr>
                <w:spacing w:val="-3"/>
                <w:sz w:val="21"/>
              </w:rPr>
              <w:t>未办理行驶证或者行驶证在申办过程中的；</w:t>
            </w:r>
          </w:p>
        </w:tc>
      </w:tr>
      <w:tr>
        <w:trPr>
          <w:trHeight w:val="314" w:hRule="atLeast"/>
        </w:trPr>
        <w:tc>
          <w:tcPr>
            <w:tcW w:w="806" w:type="dxa"/>
          </w:tcPr>
          <w:p>
            <w:pPr>
              <w:pStyle w:val="TableParagraph"/>
              <w:rPr>
                <w:rFonts w:ascii="Times New Roman"/>
                <w:sz w:val="20"/>
              </w:rPr>
            </w:pPr>
          </w:p>
        </w:tc>
        <w:tc>
          <w:tcPr>
            <w:tcW w:w="1671" w:type="dxa"/>
          </w:tcPr>
          <w:p>
            <w:pPr>
              <w:pStyle w:val="TableParagraph"/>
              <w:rPr>
                <w:rFonts w:ascii="Times New Roman"/>
                <w:sz w:val="20"/>
              </w:rPr>
            </w:pPr>
          </w:p>
        </w:tc>
        <w:tc>
          <w:tcPr>
            <w:tcW w:w="5689" w:type="dxa"/>
          </w:tcPr>
          <w:p>
            <w:pPr>
              <w:pStyle w:val="TableParagraph"/>
              <w:spacing w:before="24"/>
              <w:ind w:left="175"/>
              <w:rPr>
                <w:sz w:val="21"/>
              </w:rPr>
            </w:pPr>
            <w:r>
              <w:rPr>
                <w:spacing w:val="-2"/>
                <w:sz w:val="21"/>
              </w:rPr>
              <w:t>（2）</w:t>
            </w:r>
            <w:r>
              <w:rPr>
                <w:spacing w:val="-3"/>
                <w:sz w:val="21"/>
              </w:rPr>
              <w:t>机动车行驶证被依法注销登记的；</w:t>
            </w:r>
          </w:p>
        </w:tc>
      </w:tr>
      <w:tr>
        <w:trPr>
          <w:trHeight w:val="312" w:hRule="atLeast"/>
        </w:trPr>
        <w:tc>
          <w:tcPr>
            <w:tcW w:w="806" w:type="dxa"/>
          </w:tcPr>
          <w:p>
            <w:pPr>
              <w:pStyle w:val="TableParagraph"/>
              <w:rPr>
                <w:rFonts w:ascii="Times New Roman"/>
                <w:sz w:val="20"/>
              </w:rPr>
            </w:pPr>
          </w:p>
        </w:tc>
        <w:tc>
          <w:tcPr>
            <w:tcW w:w="1671" w:type="dxa"/>
          </w:tcPr>
          <w:p>
            <w:pPr>
              <w:pStyle w:val="TableParagraph"/>
              <w:rPr>
                <w:rFonts w:ascii="Times New Roman"/>
                <w:sz w:val="20"/>
              </w:rPr>
            </w:pPr>
          </w:p>
        </w:tc>
        <w:tc>
          <w:tcPr>
            <w:tcW w:w="5689" w:type="dxa"/>
          </w:tcPr>
          <w:p>
            <w:pPr>
              <w:pStyle w:val="TableParagraph"/>
              <w:spacing w:before="22"/>
              <w:ind w:left="175"/>
              <w:rPr>
                <w:sz w:val="21"/>
              </w:rPr>
            </w:pPr>
            <w:r>
              <w:rPr>
                <w:spacing w:val="-2"/>
                <w:sz w:val="21"/>
              </w:rPr>
              <w:t>（3）</w:t>
            </w:r>
            <w:r>
              <w:rPr>
                <w:spacing w:val="-3"/>
                <w:sz w:val="21"/>
              </w:rPr>
              <w:t>未在行驶证检验有效期内依法按时进行或者未通过机</w:t>
            </w:r>
          </w:p>
        </w:tc>
      </w:tr>
      <w:tr>
        <w:trPr>
          <w:trHeight w:val="472" w:hRule="atLeast"/>
        </w:trPr>
        <w:tc>
          <w:tcPr>
            <w:tcW w:w="806" w:type="dxa"/>
          </w:tcPr>
          <w:p>
            <w:pPr>
              <w:pStyle w:val="TableParagraph"/>
              <w:rPr>
                <w:rFonts w:ascii="Times New Roman"/>
                <w:sz w:val="20"/>
              </w:rPr>
            </w:pPr>
          </w:p>
        </w:tc>
        <w:tc>
          <w:tcPr>
            <w:tcW w:w="1671" w:type="dxa"/>
          </w:tcPr>
          <w:p>
            <w:pPr>
              <w:pStyle w:val="TableParagraph"/>
              <w:rPr>
                <w:rFonts w:ascii="Times New Roman"/>
                <w:sz w:val="20"/>
              </w:rPr>
            </w:pPr>
          </w:p>
        </w:tc>
        <w:tc>
          <w:tcPr>
            <w:tcW w:w="5689" w:type="dxa"/>
          </w:tcPr>
          <w:p>
            <w:pPr>
              <w:pStyle w:val="TableParagraph"/>
              <w:spacing w:before="22"/>
              <w:ind w:left="175"/>
              <w:rPr>
                <w:sz w:val="21"/>
              </w:rPr>
            </w:pPr>
            <w:r>
              <w:rPr>
                <w:spacing w:val="-3"/>
                <w:sz w:val="21"/>
              </w:rPr>
              <w:t>动车安全技术检验的。</w:t>
            </w:r>
          </w:p>
        </w:tc>
      </w:tr>
      <w:tr>
        <w:trPr>
          <w:trHeight w:val="475" w:hRule="atLeast"/>
        </w:trPr>
        <w:tc>
          <w:tcPr>
            <w:tcW w:w="806" w:type="dxa"/>
          </w:tcPr>
          <w:p>
            <w:pPr>
              <w:pStyle w:val="TableParagraph"/>
              <w:spacing w:line="342" w:lineRule="exact" w:before="113"/>
              <w:ind w:left="50"/>
              <w:rPr>
                <w:rFonts w:ascii="Microsoft JhengHei"/>
                <w:b/>
                <w:sz w:val="21"/>
              </w:rPr>
            </w:pPr>
            <w:r>
              <w:rPr>
                <w:rFonts w:ascii="Microsoft JhengHei"/>
                <w:b/>
                <w:spacing w:val="-4"/>
                <w:w w:val="82"/>
                <w:sz w:val="21"/>
              </w:rPr>
              <w:t>13</w:t>
            </w:r>
            <w:r>
              <w:rPr>
                <w:rFonts w:ascii="Microsoft JhengHei"/>
                <w:b/>
                <w:spacing w:val="-4"/>
                <w:w w:val="195"/>
                <w:sz w:val="21"/>
              </w:rPr>
              <w:t>.</w:t>
            </w:r>
            <w:r>
              <w:rPr>
                <w:rFonts w:ascii="Microsoft JhengHei"/>
                <w:b/>
                <w:spacing w:val="-4"/>
                <w:w w:val="82"/>
                <w:sz w:val="21"/>
              </w:rPr>
              <w:t>19</w:t>
            </w:r>
          </w:p>
        </w:tc>
        <w:tc>
          <w:tcPr>
            <w:tcW w:w="1671" w:type="dxa"/>
          </w:tcPr>
          <w:p>
            <w:pPr>
              <w:pStyle w:val="TableParagraph"/>
              <w:spacing w:line="342" w:lineRule="exact" w:before="113"/>
              <w:ind w:left="228"/>
              <w:rPr>
                <w:rFonts w:ascii="Microsoft JhengHei" w:eastAsia="Microsoft JhengHei"/>
                <w:b/>
                <w:sz w:val="21"/>
              </w:rPr>
            </w:pPr>
            <w:r>
              <w:rPr>
                <w:rFonts w:ascii="Microsoft JhengHei" w:eastAsia="Microsoft JhengHei"/>
                <w:b/>
                <w:spacing w:val="-4"/>
                <w:sz w:val="21"/>
              </w:rPr>
              <w:t>机动车</w:t>
            </w:r>
          </w:p>
        </w:tc>
        <w:tc>
          <w:tcPr>
            <w:tcW w:w="5689" w:type="dxa"/>
          </w:tcPr>
          <w:p>
            <w:pPr>
              <w:pStyle w:val="TableParagraph"/>
              <w:spacing w:before="3"/>
              <w:rPr>
                <w:sz w:val="14"/>
              </w:rPr>
            </w:pPr>
          </w:p>
          <w:p>
            <w:pPr>
              <w:pStyle w:val="TableParagraph"/>
              <w:ind w:left="175"/>
              <w:rPr>
                <w:sz w:val="21"/>
              </w:rPr>
            </w:pPr>
            <w:r>
              <w:rPr>
                <w:spacing w:val="-3"/>
                <w:sz w:val="21"/>
              </w:rPr>
              <w:t>指以动力装置驱动或者牵引，上道路行驶的供人员乘用或者</w:t>
            </w:r>
          </w:p>
        </w:tc>
      </w:tr>
      <w:tr>
        <w:trPr>
          <w:trHeight w:val="263" w:hRule="atLeast"/>
        </w:trPr>
        <w:tc>
          <w:tcPr>
            <w:tcW w:w="806" w:type="dxa"/>
          </w:tcPr>
          <w:p>
            <w:pPr>
              <w:pStyle w:val="TableParagraph"/>
              <w:rPr>
                <w:rFonts w:ascii="Times New Roman"/>
                <w:sz w:val="18"/>
              </w:rPr>
            </w:pPr>
          </w:p>
        </w:tc>
        <w:tc>
          <w:tcPr>
            <w:tcW w:w="1671" w:type="dxa"/>
          </w:tcPr>
          <w:p>
            <w:pPr>
              <w:pStyle w:val="TableParagraph"/>
              <w:rPr>
                <w:rFonts w:ascii="Times New Roman"/>
                <w:sz w:val="18"/>
              </w:rPr>
            </w:pPr>
          </w:p>
        </w:tc>
        <w:tc>
          <w:tcPr>
            <w:tcW w:w="5689" w:type="dxa"/>
          </w:tcPr>
          <w:p>
            <w:pPr>
              <w:pStyle w:val="TableParagraph"/>
              <w:spacing w:line="220" w:lineRule="exact" w:before="24"/>
              <w:ind w:left="175"/>
              <w:rPr>
                <w:sz w:val="21"/>
              </w:rPr>
            </w:pPr>
            <w:r>
              <w:rPr>
                <w:spacing w:val="-3"/>
                <w:sz w:val="21"/>
              </w:rPr>
              <w:t>用于运送物品以及进行工程专项作业的轮式车辆。</w:t>
            </w:r>
          </w:p>
        </w:tc>
      </w:tr>
    </w:tbl>
    <w:p>
      <w:pPr>
        <w:spacing w:after="0" w:line="220" w:lineRule="exact"/>
        <w:rPr>
          <w:sz w:val="21"/>
        </w:rPr>
        <w:sectPr>
          <w:pgSz w:w="11910" w:h="16840"/>
          <w:pgMar w:header="0" w:footer="226" w:top="900" w:bottom="1250" w:left="980" w:right="400"/>
        </w:sectPr>
      </w:pPr>
    </w:p>
    <w:tbl>
      <w:tblPr>
        <w:tblW w:w="0" w:type="auto"/>
        <w:jc w:val="left"/>
        <w:tblInd w:w="8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06"/>
        <w:gridCol w:w="1671"/>
        <w:gridCol w:w="5689"/>
      </w:tblGrid>
      <w:tr>
        <w:trPr>
          <w:trHeight w:val="962" w:hRule="atLeast"/>
        </w:trPr>
        <w:tc>
          <w:tcPr>
            <w:tcW w:w="806" w:type="dxa"/>
          </w:tcPr>
          <w:p>
            <w:pPr>
              <w:pStyle w:val="TableParagraph"/>
              <w:spacing w:line="288" w:lineRule="exact"/>
              <w:ind w:left="50"/>
              <w:rPr>
                <w:rFonts w:ascii="Microsoft JhengHei"/>
                <w:b/>
                <w:sz w:val="21"/>
              </w:rPr>
            </w:pPr>
            <w:r>
              <w:rPr>
                <w:rFonts w:ascii="Microsoft JhengHei"/>
                <w:b/>
                <w:spacing w:val="-4"/>
                <w:w w:val="82"/>
                <w:sz w:val="21"/>
              </w:rPr>
              <w:t>13</w:t>
            </w:r>
            <w:r>
              <w:rPr>
                <w:rFonts w:ascii="Microsoft JhengHei"/>
                <w:b/>
                <w:spacing w:val="-4"/>
                <w:w w:val="195"/>
                <w:sz w:val="21"/>
              </w:rPr>
              <w:t>.</w:t>
            </w:r>
            <w:r>
              <w:rPr>
                <w:rFonts w:ascii="Microsoft JhengHei"/>
                <w:b/>
                <w:spacing w:val="-4"/>
                <w:w w:val="82"/>
                <w:sz w:val="21"/>
              </w:rPr>
              <w:t>20</w:t>
            </w:r>
          </w:p>
        </w:tc>
        <w:tc>
          <w:tcPr>
            <w:tcW w:w="1671" w:type="dxa"/>
          </w:tcPr>
          <w:p>
            <w:pPr>
              <w:pStyle w:val="TableParagraph"/>
              <w:spacing w:line="251" w:lineRule="exact"/>
              <w:ind w:left="228"/>
              <w:rPr>
                <w:rFonts w:ascii="Microsoft JhengHei" w:eastAsia="Microsoft JhengHei"/>
                <w:b/>
                <w:sz w:val="21"/>
              </w:rPr>
            </w:pPr>
            <w:r>
              <w:rPr>
                <w:rFonts w:ascii="Microsoft JhengHei" w:eastAsia="Microsoft JhengHei"/>
                <w:b/>
                <w:spacing w:val="-2"/>
                <w:sz w:val="21"/>
              </w:rPr>
              <w:t>感染艾滋病病</w:t>
            </w:r>
          </w:p>
          <w:p>
            <w:pPr>
              <w:pStyle w:val="TableParagraph"/>
              <w:spacing w:line="349" w:lineRule="exact"/>
              <w:ind w:left="228"/>
              <w:rPr>
                <w:rFonts w:ascii="Microsoft JhengHei" w:eastAsia="Microsoft JhengHei"/>
                <w:b/>
                <w:sz w:val="21"/>
              </w:rPr>
            </w:pPr>
            <w:r>
              <w:rPr>
                <w:rFonts w:ascii="Microsoft JhengHei" w:eastAsia="Microsoft JhengHei"/>
                <w:b/>
                <w:spacing w:val="-2"/>
                <w:sz w:val="21"/>
              </w:rPr>
              <w:t>毒或患艾滋病</w:t>
            </w:r>
          </w:p>
        </w:tc>
        <w:tc>
          <w:tcPr>
            <w:tcW w:w="5689" w:type="dxa"/>
          </w:tcPr>
          <w:p>
            <w:pPr>
              <w:pStyle w:val="TableParagraph"/>
              <w:spacing w:line="241" w:lineRule="exact"/>
              <w:ind w:left="175"/>
              <w:rPr>
                <w:sz w:val="21"/>
              </w:rPr>
            </w:pPr>
            <w:r>
              <w:rPr>
                <w:spacing w:val="-4"/>
                <w:sz w:val="21"/>
              </w:rPr>
              <w:t>艾滋病病毒指人类免疫缺陷病毒，英文缩写为 </w:t>
            </w:r>
            <w:r>
              <w:rPr>
                <w:spacing w:val="-2"/>
                <w:sz w:val="21"/>
              </w:rPr>
              <w:t>HIV</w:t>
            </w:r>
            <w:r>
              <w:rPr>
                <w:spacing w:val="-4"/>
                <w:sz w:val="21"/>
              </w:rPr>
              <w:t>。艾滋病</w:t>
            </w:r>
          </w:p>
          <w:p>
            <w:pPr>
              <w:pStyle w:val="TableParagraph"/>
              <w:spacing w:line="278" w:lineRule="auto" w:before="43"/>
              <w:ind w:left="175" w:right="49"/>
              <w:rPr>
                <w:sz w:val="21"/>
              </w:rPr>
            </w:pPr>
            <w:r>
              <w:rPr>
                <w:spacing w:val="-2"/>
                <w:sz w:val="21"/>
              </w:rPr>
              <w:t>指人类免疫缺陷病毒引起的获得性免疫缺陷综合征，英文缩</w:t>
            </w:r>
            <w:r>
              <w:rPr>
                <w:spacing w:val="-15"/>
                <w:sz w:val="21"/>
              </w:rPr>
              <w:t>写为 </w:t>
            </w:r>
            <w:r>
              <w:rPr>
                <w:sz w:val="21"/>
              </w:rPr>
              <w:t>AIDS。</w:t>
            </w:r>
          </w:p>
        </w:tc>
      </w:tr>
      <w:tr>
        <w:trPr>
          <w:trHeight w:val="391" w:hRule="atLeast"/>
        </w:trPr>
        <w:tc>
          <w:tcPr>
            <w:tcW w:w="806" w:type="dxa"/>
          </w:tcPr>
          <w:p>
            <w:pPr>
              <w:pStyle w:val="TableParagraph"/>
              <w:rPr>
                <w:rFonts w:ascii="Times New Roman"/>
                <w:sz w:val="20"/>
              </w:rPr>
            </w:pPr>
          </w:p>
        </w:tc>
        <w:tc>
          <w:tcPr>
            <w:tcW w:w="1671" w:type="dxa"/>
          </w:tcPr>
          <w:p>
            <w:pPr>
              <w:pStyle w:val="TableParagraph"/>
              <w:rPr>
                <w:rFonts w:ascii="Times New Roman"/>
                <w:sz w:val="20"/>
              </w:rPr>
            </w:pPr>
          </w:p>
        </w:tc>
        <w:tc>
          <w:tcPr>
            <w:tcW w:w="5689" w:type="dxa"/>
          </w:tcPr>
          <w:p>
            <w:pPr>
              <w:pStyle w:val="TableParagraph"/>
              <w:spacing w:before="98"/>
              <w:ind w:left="175"/>
              <w:rPr>
                <w:sz w:val="21"/>
              </w:rPr>
            </w:pPr>
            <w:r>
              <w:rPr>
                <w:spacing w:val="-3"/>
                <w:sz w:val="21"/>
              </w:rPr>
              <w:t>在人体血液或其他样本中检测到艾滋病病毒或其抗体呈阳</w:t>
            </w:r>
          </w:p>
        </w:tc>
      </w:tr>
      <w:tr>
        <w:trPr>
          <w:trHeight w:val="787" w:hRule="atLeast"/>
        </w:trPr>
        <w:tc>
          <w:tcPr>
            <w:tcW w:w="806" w:type="dxa"/>
          </w:tcPr>
          <w:p>
            <w:pPr>
              <w:pStyle w:val="TableParagraph"/>
              <w:rPr>
                <w:rFonts w:ascii="Times New Roman"/>
                <w:sz w:val="20"/>
              </w:rPr>
            </w:pPr>
          </w:p>
        </w:tc>
        <w:tc>
          <w:tcPr>
            <w:tcW w:w="1671" w:type="dxa"/>
          </w:tcPr>
          <w:p>
            <w:pPr>
              <w:pStyle w:val="TableParagraph"/>
              <w:rPr>
                <w:rFonts w:ascii="Times New Roman"/>
                <w:sz w:val="20"/>
              </w:rPr>
            </w:pPr>
          </w:p>
        </w:tc>
        <w:tc>
          <w:tcPr>
            <w:tcW w:w="5689" w:type="dxa"/>
          </w:tcPr>
          <w:p>
            <w:pPr>
              <w:pStyle w:val="TableParagraph"/>
              <w:spacing w:line="278" w:lineRule="auto" w:before="24"/>
              <w:ind w:left="175" w:right="48"/>
              <w:rPr>
                <w:sz w:val="21"/>
              </w:rPr>
            </w:pPr>
            <w:r>
              <w:rPr>
                <w:spacing w:val="-2"/>
                <w:sz w:val="21"/>
              </w:rPr>
              <w:t>性，没有出现临床症状或体征的，为感染艾滋病病毒；如果</w:t>
            </w:r>
            <w:r>
              <w:rPr>
                <w:spacing w:val="-2"/>
                <w:sz w:val="21"/>
              </w:rPr>
              <w:t>同时出现了明显临床症状或体征的，为患艾滋病。</w:t>
            </w:r>
          </w:p>
        </w:tc>
      </w:tr>
      <w:tr>
        <w:trPr>
          <w:trHeight w:val="475" w:hRule="atLeast"/>
        </w:trPr>
        <w:tc>
          <w:tcPr>
            <w:tcW w:w="806" w:type="dxa"/>
          </w:tcPr>
          <w:p>
            <w:pPr>
              <w:pStyle w:val="TableParagraph"/>
              <w:spacing w:line="342" w:lineRule="exact" w:before="113"/>
              <w:ind w:left="50"/>
              <w:rPr>
                <w:rFonts w:ascii="Microsoft JhengHei"/>
                <w:b/>
                <w:sz w:val="21"/>
              </w:rPr>
            </w:pPr>
            <w:r>
              <w:rPr>
                <w:rFonts w:ascii="Microsoft JhengHei"/>
                <w:b/>
                <w:spacing w:val="-2"/>
                <w:sz w:val="21"/>
              </w:rPr>
              <w:t>13.21</w:t>
            </w:r>
          </w:p>
        </w:tc>
        <w:tc>
          <w:tcPr>
            <w:tcW w:w="1671" w:type="dxa"/>
          </w:tcPr>
          <w:p>
            <w:pPr>
              <w:pStyle w:val="TableParagraph"/>
              <w:spacing w:line="342" w:lineRule="exact" w:before="113"/>
              <w:ind w:left="228"/>
              <w:rPr>
                <w:rFonts w:ascii="Microsoft JhengHei" w:eastAsia="Microsoft JhengHei"/>
                <w:b/>
                <w:sz w:val="21"/>
              </w:rPr>
            </w:pPr>
            <w:r>
              <w:rPr>
                <w:rFonts w:ascii="Microsoft JhengHei" w:eastAsia="Microsoft JhengHei"/>
                <w:b/>
                <w:spacing w:val="-2"/>
                <w:sz w:val="21"/>
              </w:rPr>
              <w:t>遗传性疾病</w:t>
            </w:r>
          </w:p>
        </w:tc>
        <w:tc>
          <w:tcPr>
            <w:tcW w:w="5689" w:type="dxa"/>
          </w:tcPr>
          <w:p>
            <w:pPr>
              <w:pStyle w:val="TableParagraph"/>
              <w:spacing w:before="3"/>
              <w:rPr>
                <w:sz w:val="14"/>
              </w:rPr>
            </w:pPr>
          </w:p>
          <w:p>
            <w:pPr>
              <w:pStyle w:val="TableParagraph"/>
              <w:ind w:left="175"/>
              <w:rPr>
                <w:sz w:val="21"/>
              </w:rPr>
            </w:pPr>
            <w:r>
              <w:rPr>
                <w:spacing w:val="-2"/>
                <w:sz w:val="21"/>
              </w:rPr>
              <w:t>指生殖细胞或受精卵的遗传物质（染色体和基因）</w:t>
            </w:r>
            <w:r>
              <w:rPr>
                <w:spacing w:val="-4"/>
                <w:sz w:val="21"/>
              </w:rPr>
              <w:t>发生突变</w:t>
            </w:r>
          </w:p>
        </w:tc>
      </w:tr>
      <w:tr>
        <w:trPr>
          <w:trHeight w:val="787" w:hRule="atLeast"/>
        </w:trPr>
        <w:tc>
          <w:tcPr>
            <w:tcW w:w="806" w:type="dxa"/>
          </w:tcPr>
          <w:p>
            <w:pPr>
              <w:pStyle w:val="TableParagraph"/>
              <w:rPr>
                <w:rFonts w:ascii="Times New Roman"/>
                <w:sz w:val="20"/>
              </w:rPr>
            </w:pPr>
          </w:p>
        </w:tc>
        <w:tc>
          <w:tcPr>
            <w:tcW w:w="1671" w:type="dxa"/>
          </w:tcPr>
          <w:p>
            <w:pPr>
              <w:pStyle w:val="TableParagraph"/>
              <w:rPr>
                <w:rFonts w:ascii="Times New Roman"/>
                <w:sz w:val="20"/>
              </w:rPr>
            </w:pPr>
          </w:p>
        </w:tc>
        <w:tc>
          <w:tcPr>
            <w:tcW w:w="5689" w:type="dxa"/>
          </w:tcPr>
          <w:p>
            <w:pPr>
              <w:pStyle w:val="TableParagraph"/>
              <w:spacing w:line="278" w:lineRule="auto" w:before="24"/>
              <w:ind w:left="175" w:right="49"/>
              <w:rPr>
                <w:sz w:val="21"/>
              </w:rPr>
            </w:pPr>
            <w:r>
              <w:rPr>
                <w:spacing w:val="-2"/>
                <w:sz w:val="21"/>
              </w:rPr>
              <w:t>或畸变所引起的疾病，通常具有由亲代传至后代的垂直传递</w:t>
            </w:r>
            <w:r>
              <w:rPr>
                <w:spacing w:val="-4"/>
                <w:sz w:val="21"/>
              </w:rPr>
              <w:t>的特征。</w:t>
            </w:r>
          </w:p>
        </w:tc>
      </w:tr>
      <w:tr>
        <w:trPr>
          <w:trHeight w:val="475" w:hRule="atLeast"/>
        </w:trPr>
        <w:tc>
          <w:tcPr>
            <w:tcW w:w="806" w:type="dxa"/>
          </w:tcPr>
          <w:p>
            <w:pPr>
              <w:pStyle w:val="TableParagraph"/>
              <w:spacing w:line="342" w:lineRule="exact" w:before="113"/>
              <w:ind w:left="50"/>
              <w:rPr>
                <w:rFonts w:ascii="Microsoft JhengHei"/>
                <w:b/>
                <w:sz w:val="21"/>
              </w:rPr>
            </w:pPr>
            <w:r>
              <w:rPr>
                <w:rFonts w:ascii="Microsoft JhengHei"/>
                <w:b/>
                <w:spacing w:val="-2"/>
                <w:sz w:val="21"/>
              </w:rPr>
              <w:t>13.22</w:t>
            </w:r>
          </w:p>
        </w:tc>
        <w:tc>
          <w:tcPr>
            <w:tcW w:w="1671" w:type="dxa"/>
          </w:tcPr>
          <w:p>
            <w:pPr>
              <w:pStyle w:val="TableParagraph"/>
              <w:spacing w:line="342" w:lineRule="exact" w:before="113"/>
              <w:ind w:left="228"/>
              <w:rPr>
                <w:rFonts w:ascii="Microsoft JhengHei" w:eastAsia="Microsoft JhengHei"/>
                <w:b/>
                <w:sz w:val="21"/>
              </w:rPr>
            </w:pPr>
            <w:r>
              <w:rPr>
                <w:rFonts w:ascii="Microsoft JhengHei" w:eastAsia="Microsoft JhengHei"/>
                <w:b/>
                <w:spacing w:val="-2"/>
                <w:sz w:val="21"/>
              </w:rPr>
              <w:t>先天性畸形、</w:t>
            </w:r>
          </w:p>
        </w:tc>
        <w:tc>
          <w:tcPr>
            <w:tcW w:w="5689" w:type="dxa"/>
          </w:tcPr>
          <w:p>
            <w:pPr>
              <w:pStyle w:val="TableParagraph"/>
              <w:spacing w:before="3"/>
              <w:rPr>
                <w:sz w:val="14"/>
              </w:rPr>
            </w:pPr>
          </w:p>
          <w:p>
            <w:pPr>
              <w:pStyle w:val="TableParagraph"/>
              <w:ind w:left="175"/>
              <w:rPr>
                <w:sz w:val="21"/>
              </w:rPr>
            </w:pPr>
            <w:r>
              <w:rPr>
                <w:spacing w:val="-3"/>
                <w:sz w:val="21"/>
              </w:rPr>
              <w:t>指被保险人出生时就具有的畸形、变形或染色体异常。先天</w:t>
            </w:r>
          </w:p>
        </w:tc>
      </w:tr>
      <w:tr>
        <w:trPr>
          <w:trHeight w:val="787" w:hRule="atLeast"/>
        </w:trPr>
        <w:tc>
          <w:tcPr>
            <w:tcW w:w="806" w:type="dxa"/>
          </w:tcPr>
          <w:p>
            <w:pPr>
              <w:pStyle w:val="TableParagraph"/>
              <w:rPr>
                <w:rFonts w:ascii="Times New Roman"/>
                <w:sz w:val="20"/>
              </w:rPr>
            </w:pPr>
          </w:p>
        </w:tc>
        <w:tc>
          <w:tcPr>
            <w:tcW w:w="1671" w:type="dxa"/>
          </w:tcPr>
          <w:p>
            <w:pPr>
              <w:pStyle w:val="TableParagraph"/>
              <w:spacing w:line="194" w:lineRule="auto" w:before="8"/>
              <w:ind w:left="228" w:right="173"/>
              <w:rPr>
                <w:rFonts w:ascii="Microsoft JhengHei" w:eastAsia="Microsoft JhengHei"/>
                <w:b/>
                <w:sz w:val="21"/>
              </w:rPr>
            </w:pPr>
            <w:r>
              <w:rPr>
                <w:rFonts w:ascii="Microsoft JhengHei" w:eastAsia="Microsoft JhengHei"/>
                <w:b/>
                <w:spacing w:val="-2"/>
                <w:sz w:val="21"/>
              </w:rPr>
              <w:t>变形或染色体</w:t>
            </w:r>
            <w:r>
              <w:rPr>
                <w:rFonts w:ascii="Microsoft JhengHei" w:eastAsia="Microsoft JhengHei"/>
                <w:b/>
                <w:spacing w:val="-6"/>
                <w:sz w:val="21"/>
              </w:rPr>
              <w:t>异常</w:t>
            </w:r>
          </w:p>
        </w:tc>
        <w:tc>
          <w:tcPr>
            <w:tcW w:w="5689" w:type="dxa"/>
          </w:tcPr>
          <w:p>
            <w:pPr>
              <w:pStyle w:val="TableParagraph"/>
              <w:spacing w:line="278" w:lineRule="auto" w:before="24"/>
              <w:ind w:left="175" w:right="47"/>
              <w:rPr>
                <w:sz w:val="21"/>
              </w:rPr>
            </w:pPr>
            <w:r>
              <w:rPr>
                <w:spacing w:val="-2"/>
                <w:sz w:val="21"/>
              </w:rPr>
              <w:t>性畸形、变形和染色体异常依照世界卫生组织《疾病和有关</w:t>
            </w:r>
            <w:r>
              <w:rPr>
                <w:spacing w:val="-2"/>
                <w:sz w:val="21"/>
              </w:rPr>
              <w:t>健康问题的国际统计分类》第十次修订版（ICD-10）</w:t>
            </w:r>
            <w:r>
              <w:rPr>
                <w:spacing w:val="-5"/>
                <w:sz w:val="21"/>
              </w:rPr>
              <w:t>确定。</w:t>
            </w:r>
          </w:p>
        </w:tc>
      </w:tr>
      <w:tr>
        <w:trPr>
          <w:trHeight w:val="1282" w:hRule="atLeast"/>
        </w:trPr>
        <w:tc>
          <w:tcPr>
            <w:tcW w:w="806" w:type="dxa"/>
          </w:tcPr>
          <w:p>
            <w:pPr>
              <w:pStyle w:val="TableParagraph"/>
              <w:spacing w:before="113"/>
              <w:ind w:left="50"/>
              <w:rPr>
                <w:rFonts w:ascii="Microsoft JhengHei"/>
                <w:b/>
                <w:sz w:val="21"/>
              </w:rPr>
            </w:pPr>
            <w:r>
              <w:rPr>
                <w:rFonts w:ascii="Microsoft JhengHei"/>
                <w:b/>
                <w:spacing w:val="-2"/>
                <w:sz w:val="21"/>
              </w:rPr>
              <w:t>13.23</w:t>
            </w:r>
          </w:p>
        </w:tc>
        <w:tc>
          <w:tcPr>
            <w:tcW w:w="1671" w:type="dxa"/>
          </w:tcPr>
          <w:p>
            <w:pPr>
              <w:pStyle w:val="TableParagraph"/>
              <w:spacing w:before="113"/>
              <w:ind w:left="228"/>
              <w:rPr>
                <w:rFonts w:ascii="Microsoft JhengHei" w:eastAsia="Microsoft JhengHei"/>
                <w:b/>
                <w:sz w:val="21"/>
              </w:rPr>
            </w:pPr>
            <w:r>
              <w:rPr>
                <w:rFonts w:ascii="Microsoft JhengHei" w:eastAsia="Microsoft JhengHei"/>
                <w:b/>
                <w:spacing w:val="-3"/>
                <w:sz w:val="21"/>
              </w:rPr>
              <w:t>医疗事故</w:t>
            </w:r>
          </w:p>
        </w:tc>
        <w:tc>
          <w:tcPr>
            <w:tcW w:w="5689" w:type="dxa"/>
          </w:tcPr>
          <w:p>
            <w:pPr>
              <w:pStyle w:val="TableParagraph"/>
              <w:spacing w:before="3"/>
              <w:rPr>
                <w:sz w:val="14"/>
              </w:rPr>
            </w:pPr>
          </w:p>
          <w:p>
            <w:pPr>
              <w:pStyle w:val="TableParagraph"/>
              <w:spacing w:line="278" w:lineRule="auto"/>
              <w:ind w:left="175" w:right="49"/>
              <w:jc w:val="both"/>
              <w:rPr>
                <w:sz w:val="21"/>
              </w:rPr>
            </w:pPr>
            <w:r>
              <w:rPr>
                <w:spacing w:val="-2"/>
                <w:sz w:val="21"/>
              </w:rPr>
              <w:t>指医疗机构及其医务人员在医疗活动中，违反医疗卫生管理</w:t>
            </w:r>
            <w:r>
              <w:rPr>
                <w:spacing w:val="-2"/>
                <w:sz w:val="21"/>
              </w:rPr>
              <w:t>法律、行政法规、部门规章和诊疗护理规范、常规，过失造</w:t>
            </w:r>
            <w:r>
              <w:rPr>
                <w:spacing w:val="-2"/>
                <w:sz w:val="21"/>
              </w:rPr>
              <w:t>成患者人身损害的事故。</w:t>
            </w:r>
          </w:p>
        </w:tc>
      </w:tr>
      <w:tr>
        <w:trPr>
          <w:trHeight w:val="701" w:hRule="atLeast"/>
        </w:trPr>
        <w:tc>
          <w:tcPr>
            <w:tcW w:w="806" w:type="dxa"/>
          </w:tcPr>
          <w:p>
            <w:pPr>
              <w:pStyle w:val="TableParagraph"/>
              <w:spacing w:before="137"/>
              <w:ind w:left="50"/>
              <w:rPr>
                <w:rFonts w:ascii="Microsoft JhengHei"/>
                <w:b/>
                <w:sz w:val="21"/>
              </w:rPr>
            </w:pPr>
            <w:r>
              <w:rPr>
                <w:rFonts w:ascii="Microsoft JhengHei"/>
                <w:b/>
                <w:spacing w:val="-2"/>
                <w:sz w:val="21"/>
              </w:rPr>
              <w:t>13.24</w:t>
            </w:r>
          </w:p>
        </w:tc>
        <w:tc>
          <w:tcPr>
            <w:tcW w:w="1671" w:type="dxa"/>
          </w:tcPr>
          <w:p>
            <w:pPr>
              <w:pStyle w:val="TableParagraph"/>
              <w:spacing w:before="137"/>
              <w:ind w:left="228"/>
              <w:rPr>
                <w:rFonts w:ascii="Microsoft JhengHei" w:eastAsia="Microsoft JhengHei"/>
                <w:b/>
                <w:sz w:val="21"/>
              </w:rPr>
            </w:pPr>
            <w:r>
              <w:rPr>
                <w:rFonts w:ascii="Microsoft JhengHei" w:eastAsia="Microsoft JhengHei"/>
                <w:b/>
                <w:spacing w:val="-4"/>
                <w:sz w:val="21"/>
              </w:rPr>
              <w:t>既往症</w:t>
            </w:r>
          </w:p>
        </w:tc>
        <w:tc>
          <w:tcPr>
            <w:tcW w:w="5689" w:type="dxa"/>
          </w:tcPr>
          <w:p>
            <w:pPr>
              <w:pStyle w:val="TableParagraph"/>
              <w:spacing w:before="1"/>
              <w:rPr>
                <w:sz w:val="16"/>
              </w:rPr>
            </w:pPr>
          </w:p>
          <w:p>
            <w:pPr>
              <w:pStyle w:val="TableParagraph"/>
              <w:spacing w:before="1"/>
              <w:ind w:left="175"/>
              <w:rPr>
                <w:sz w:val="21"/>
              </w:rPr>
            </w:pPr>
            <w:r>
              <w:rPr>
                <w:spacing w:val="-3"/>
                <w:sz w:val="21"/>
              </w:rPr>
              <w:t>指在本合同生效日之前已患的疾病或者已有的症状。</w:t>
            </w:r>
          </w:p>
        </w:tc>
      </w:tr>
      <w:tr>
        <w:trPr>
          <w:trHeight w:val="1008" w:hRule="atLeast"/>
        </w:trPr>
        <w:tc>
          <w:tcPr>
            <w:tcW w:w="806" w:type="dxa"/>
          </w:tcPr>
          <w:p>
            <w:pPr>
              <w:pStyle w:val="TableParagraph"/>
              <w:spacing w:before="156"/>
              <w:ind w:left="50"/>
              <w:rPr>
                <w:rFonts w:ascii="Microsoft JhengHei"/>
                <w:b/>
                <w:sz w:val="21"/>
              </w:rPr>
            </w:pPr>
            <w:r>
              <w:rPr>
                <w:rFonts w:ascii="Microsoft JhengHei"/>
                <w:b/>
                <w:spacing w:val="-2"/>
                <w:sz w:val="21"/>
              </w:rPr>
              <w:t>13.25</w:t>
            </w:r>
          </w:p>
        </w:tc>
        <w:tc>
          <w:tcPr>
            <w:tcW w:w="1671" w:type="dxa"/>
          </w:tcPr>
          <w:p>
            <w:pPr>
              <w:pStyle w:val="TableParagraph"/>
              <w:spacing w:before="156"/>
              <w:ind w:left="228"/>
              <w:rPr>
                <w:rFonts w:ascii="Microsoft JhengHei" w:eastAsia="Microsoft JhengHei"/>
                <w:b/>
                <w:sz w:val="21"/>
              </w:rPr>
            </w:pPr>
            <w:r>
              <w:rPr>
                <w:rFonts w:ascii="Microsoft JhengHei" w:eastAsia="Microsoft JhengHei"/>
                <w:b/>
                <w:spacing w:val="-5"/>
                <w:sz w:val="21"/>
              </w:rPr>
              <w:t>潜水</w:t>
            </w:r>
          </w:p>
        </w:tc>
        <w:tc>
          <w:tcPr>
            <w:tcW w:w="5689" w:type="dxa"/>
          </w:tcPr>
          <w:p>
            <w:pPr>
              <w:pStyle w:val="TableParagraph"/>
              <w:spacing w:before="8"/>
              <w:rPr>
                <w:sz w:val="17"/>
              </w:rPr>
            </w:pPr>
          </w:p>
          <w:p>
            <w:pPr>
              <w:pStyle w:val="TableParagraph"/>
              <w:spacing w:line="278" w:lineRule="auto"/>
              <w:ind w:left="175" w:right="49"/>
              <w:rPr>
                <w:sz w:val="21"/>
              </w:rPr>
            </w:pPr>
            <w:r>
              <w:rPr>
                <w:spacing w:val="-2"/>
                <w:sz w:val="21"/>
              </w:rPr>
              <w:t>指使用辅助呼吸器材在江、河、湖、海、水库、运河等水域</w:t>
            </w:r>
            <w:r>
              <w:rPr>
                <w:spacing w:val="-2"/>
                <w:sz w:val="21"/>
              </w:rPr>
              <w:t>进行的水下运动。</w:t>
            </w:r>
          </w:p>
        </w:tc>
      </w:tr>
      <w:tr>
        <w:trPr>
          <w:trHeight w:val="441" w:hRule="atLeast"/>
        </w:trPr>
        <w:tc>
          <w:tcPr>
            <w:tcW w:w="806" w:type="dxa"/>
          </w:tcPr>
          <w:p>
            <w:pPr>
              <w:pStyle w:val="TableParagraph"/>
              <w:spacing w:line="289" w:lineRule="exact" w:before="132"/>
              <w:ind w:left="50"/>
              <w:rPr>
                <w:rFonts w:ascii="Microsoft JhengHei"/>
                <w:b/>
                <w:sz w:val="21"/>
              </w:rPr>
            </w:pPr>
            <w:r>
              <w:rPr>
                <w:rFonts w:ascii="Microsoft JhengHei"/>
                <w:b/>
                <w:spacing w:val="-2"/>
                <w:sz w:val="21"/>
              </w:rPr>
              <w:t>13.26</w:t>
            </w:r>
          </w:p>
        </w:tc>
        <w:tc>
          <w:tcPr>
            <w:tcW w:w="1671" w:type="dxa"/>
          </w:tcPr>
          <w:p>
            <w:pPr>
              <w:pStyle w:val="TableParagraph"/>
              <w:spacing w:line="289" w:lineRule="exact" w:before="132"/>
              <w:ind w:left="228"/>
              <w:rPr>
                <w:rFonts w:ascii="Microsoft JhengHei" w:eastAsia="Microsoft JhengHei"/>
                <w:b/>
                <w:sz w:val="21"/>
              </w:rPr>
            </w:pPr>
            <w:r>
              <w:rPr>
                <w:rFonts w:ascii="Microsoft JhengHei" w:eastAsia="Microsoft JhengHei"/>
                <w:b/>
                <w:spacing w:val="-5"/>
                <w:sz w:val="21"/>
              </w:rPr>
              <w:t>攀岩</w:t>
            </w:r>
          </w:p>
        </w:tc>
        <w:tc>
          <w:tcPr>
            <w:tcW w:w="5689" w:type="dxa"/>
          </w:tcPr>
          <w:p>
            <w:pPr>
              <w:pStyle w:val="TableParagraph"/>
              <w:spacing w:before="9"/>
              <w:rPr>
                <w:sz w:val="15"/>
              </w:rPr>
            </w:pPr>
          </w:p>
          <w:p>
            <w:pPr>
              <w:pStyle w:val="TableParagraph"/>
              <w:spacing w:line="220" w:lineRule="exact" w:before="1"/>
              <w:ind w:left="175"/>
              <w:rPr>
                <w:sz w:val="21"/>
              </w:rPr>
            </w:pPr>
            <w:r>
              <w:rPr>
                <w:spacing w:val="-3"/>
                <w:sz w:val="21"/>
              </w:rPr>
              <w:t>指攀登悬崖、楼宇外墙、人造悬崖、冰崖、冰山等运动。</w:t>
            </w:r>
          </w:p>
        </w:tc>
      </w:tr>
    </w:tbl>
    <w:p>
      <w:pPr>
        <w:pStyle w:val="BodyText"/>
        <w:spacing w:before="4"/>
        <w:rPr>
          <w:sz w:val="24"/>
        </w:rPr>
      </w:pPr>
    </w:p>
    <w:p>
      <w:pPr>
        <w:pStyle w:val="ListParagraph"/>
        <w:numPr>
          <w:ilvl w:val="1"/>
          <w:numId w:val="87"/>
        </w:numPr>
        <w:tabs>
          <w:tab w:pos="1910" w:val="left" w:leader="none"/>
          <w:tab w:pos="1911" w:val="left" w:leader="none"/>
          <w:tab w:pos="3529" w:val="left" w:leader="none"/>
        </w:tabs>
        <w:spacing w:line="465" w:lineRule="exact" w:before="0" w:after="0"/>
        <w:ind w:left="1910" w:right="0" w:hanging="985"/>
        <w:jc w:val="left"/>
        <w:rPr>
          <w:sz w:val="21"/>
        </w:rPr>
      </w:pPr>
      <w:r>
        <w:rPr>
          <w:rFonts w:ascii="Microsoft JhengHei" w:eastAsia="Microsoft JhengHei"/>
          <w:b/>
          <w:sz w:val="21"/>
        </w:rPr>
        <w:t>探</w:t>
      </w:r>
      <w:r>
        <w:rPr>
          <w:rFonts w:ascii="Microsoft JhengHei" w:eastAsia="Microsoft JhengHei"/>
          <w:b/>
          <w:spacing w:val="-10"/>
          <w:sz w:val="21"/>
        </w:rPr>
        <w:t>险</w:t>
      </w:r>
      <w:r>
        <w:rPr>
          <w:rFonts w:ascii="Microsoft JhengHei" w:eastAsia="Microsoft JhengHei"/>
          <w:b/>
          <w:sz w:val="21"/>
        </w:rPr>
        <w:tab/>
      </w:r>
      <w:r>
        <w:rPr>
          <w:spacing w:val="-2"/>
          <w:sz w:val="21"/>
        </w:rPr>
        <w:t>指</w:t>
      </w:r>
      <w:r>
        <w:rPr>
          <w:spacing w:val="-2"/>
          <w:sz w:val="21"/>
        </w:rPr>
        <w:t>明</w:t>
      </w:r>
      <w:r>
        <w:rPr>
          <w:spacing w:val="-2"/>
          <w:sz w:val="21"/>
        </w:rPr>
        <w:t>知</w:t>
      </w:r>
      <w:r>
        <w:rPr>
          <w:spacing w:val="-2"/>
          <w:sz w:val="21"/>
        </w:rPr>
        <w:t>在</w:t>
      </w:r>
      <w:r>
        <w:rPr>
          <w:spacing w:val="-2"/>
          <w:sz w:val="21"/>
        </w:rPr>
        <w:t>某</w:t>
      </w:r>
      <w:r>
        <w:rPr>
          <w:spacing w:val="-2"/>
          <w:sz w:val="21"/>
        </w:rPr>
        <w:t>种</w:t>
      </w:r>
      <w:r>
        <w:rPr>
          <w:spacing w:val="-2"/>
          <w:sz w:val="21"/>
        </w:rPr>
        <w:t>特</w:t>
      </w:r>
      <w:r>
        <w:rPr>
          <w:spacing w:val="-2"/>
          <w:sz w:val="21"/>
        </w:rPr>
        <w:t>定</w:t>
      </w:r>
      <w:r>
        <w:rPr>
          <w:spacing w:val="-2"/>
          <w:sz w:val="21"/>
        </w:rPr>
        <w:t>的</w:t>
      </w:r>
      <w:r>
        <w:rPr>
          <w:spacing w:val="-2"/>
          <w:sz w:val="21"/>
        </w:rPr>
        <w:t>自</w:t>
      </w:r>
      <w:r>
        <w:rPr>
          <w:spacing w:val="-2"/>
          <w:sz w:val="21"/>
        </w:rPr>
        <w:t>然</w:t>
      </w:r>
      <w:r>
        <w:rPr>
          <w:spacing w:val="-2"/>
          <w:sz w:val="21"/>
        </w:rPr>
        <w:t>条</w:t>
      </w:r>
      <w:r>
        <w:rPr>
          <w:spacing w:val="-2"/>
          <w:sz w:val="21"/>
        </w:rPr>
        <w:t>件</w:t>
      </w:r>
      <w:r>
        <w:rPr>
          <w:spacing w:val="-2"/>
          <w:sz w:val="21"/>
        </w:rPr>
        <w:t>下</w:t>
      </w:r>
      <w:r>
        <w:rPr>
          <w:spacing w:val="-2"/>
          <w:sz w:val="21"/>
        </w:rPr>
        <w:t>有</w:t>
      </w:r>
      <w:r>
        <w:rPr>
          <w:spacing w:val="-2"/>
          <w:sz w:val="21"/>
        </w:rPr>
        <w:t>失</w:t>
      </w:r>
      <w:r>
        <w:rPr>
          <w:spacing w:val="-2"/>
          <w:sz w:val="21"/>
        </w:rPr>
        <w:t>去</w:t>
      </w:r>
      <w:r>
        <w:rPr>
          <w:spacing w:val="-2"/>
          <w:sz w:val="21"/>
        </w:rPr>
        <w:t>生</w:t>
      </w:r>
      <w:r>
        <w:rPr>
          <w:spacing w:val="-2"/>
          <w:sz w:val="21"/>
        </w:rPr>
        <w:t>命</w:t>
      </w:r>
      <w:r>
        <w:rPr>
          <w:spacing w:val="-2"/>
          <w:sz w:val="21"/>
        </w:rPr>
        <w:t>或</w:t>
      </w:r>
      <w:r>
        <w:rPr>
          <w:spacing w:val="-2"/>
          <w:sz w:val="21"/>
        </w:rPr>
        <w:t>使身体</w:t>
      </w:r>
      <w:r>
        <w:rPr>
          <w:spacing w:val="-2"/>
          <w:sz w:val="21"/>
        </w:rPr>
        <w:t>受</w:t>
      </w:r>
      <w:r>
        <w:rPr>
          <w:spacing w:val="-2"/>
          <w:sz w:val="21"/>
        </w:rPr>
        <w:t>到</w:t>
      </w:r>
      <w:r>
        <w:rPr>
          <w:spacing w:val="-10"/>
          <w:sz w:val="21"/>
        </w:rPr>
        <w:t>伤</w:t>
      </w:r>
    </w:p>
    <w:p>
      <w:pPr>
        <w:pStyle w:val="BodyText"/>
        <w:spacing w:line="278" w:lineRule="auto"/>
        <w:ind w:left="3529" w:right="1530"/>
      </w:pPr>
      <w:r>
        <w:rPr>
          <w:spacing w:val="-2"/>
        </w:rPr>
        <w:t>害的危险，而故意使自己置身其中等行为，如江河漂流、徒</w:t>
      </w:r>
      <w:r>
        <w:rPr>
          <w:spacing w:val="-3"/>
        </w:rPr>
        <w:t>步穿越沙漠或人迹罕见的原始森林或进入洞穴探察等活动。</w:t>
      </w:r>
    </w:p>
    <w:p>
      <w:pPr>
        <w:pStyle w:val="BodyText"/>
        <w:spacing w:before="9"/>
        <w:rPr>
          <w:sz w:val="15"/>
        </w:rPr>
      </w:pPr>
    </w:p>
    <w:p>
      <w:pPr>
        <w:pStyle w:val="ListParagraph"/>
        <w:numPr>
          <w:ilvl w:val="1"/>
          <w:numId w:val="87"/>
        </w:numPr>
        <w:tabs>
          <w:tab w:pos="1910" w:val="left" w:leader="none"/>
          <w:tab w:pos="1911" w:val="left" w:leader="none"/>
          <w:tab w:pos="3529" w:val="left" w:leader="none"/>
        </w:tabs>
        <w:spacing w:line="464" w:lineRule="exact" w:before="0" w:after="0"/>
        <w:ind w:left="1910" w:right="0" w:hanging="985"/>
        <w:jc w:val="left"/>
        <w:rPr>
          <w:sz w:val="21"/>
        </w:rPr>
      </w:pPr>
      <w:r>
        <w:rPr>
          <w:rFonts w:ascii="Microsoft JhengHei" w:eastAsia="Microsoft JhengHei"/>
          <w:b/>
          <w:sz w:val="21"/>
        </w:rPr>
        <w:t>武术比</w:t>
      </w:r>
      <w:r>
        <w:rPr>
          <w:rFonts w:ascii="Microsoft JhengHei" w:eastAsia="Microsoft JhengHei"/>
          <w:b/>
          <w:spacing w:val="-10"/>
          <w:sz w:val="21"/>
        </w:rPr>
        <w:t>赛</w:t>
      </w:r>
      <w:r>
        <w:rPr>
          <w:rFonts w:ascii="Microsoft JhengHei" w:eastAsia="Microsoft JhengHei"/>
          <w:b/>
          <w:sz w:val="21"/>
        </w:rPr>
        <w:tab/>
      </w:r>
      <w:r>
        <w:rPr>
          <w:spacing w:val="-2"/>
          <w:sz w:val="21"/>
        </w:rPr>
        <w:t>指</w:t>
      </w:r>
      <w:r>
        <w:rPr>
          <w:spacing w:val="-2"/>
          <w:sz w:val="21"/>
        </w:rPr>
        <w:t>两</w:t>
      </w:r>
      <w:r>
        <w:rPr>
          <w:spacing w:val="-2"/>
          <w:sz w:val="21"/>
        </w:rPr>
        <w:t>人</w:t>
      </w:r>
      <w:r>
        <w:rPr>
          <w:spacing w:val="-2"/>
          <w:sz w:val="21"/>
        </w:rPr>
        <w:t>或</w:t>
      </w:r>
      <w:r>
        <w:rPr>
          <w:spacing w:val="-2"/>
          <w:sz w:val="21"/>
        </w:rPr>
        <w:t>者</w:t>
      </w:r>
      <w:r>
        <w:rPr>
          <w:spacing w:val="-2"/>
          <w:sz w:val="21"/>
        </w:rPr>
        <w:t>两</w:t>
      </w:r>
      <w:r>
        <w:rPr>
          <w:spacing w:val="-2"/>
          <w:sz w:val="21"/>
        </w:rPr>
        <w:t>人</w:t>
      </w:r>
      <w:r>
        <w:rPr>
          <w:spacing w:val="-2"/>
          <w:sz w:val="21"/>
        </w:rPr>
        <w:t>以</w:t>
      </w:r>
      <w:r>
        <w:rPr>
          <w:spacing w:val="-2"/>
          <w:sz w:val="21"/>
        </w:rPr>
        <w:t>上</w:t>
      </w:r>
      <w:r>
        <w:rPr>
          <w:spacing w:val="-2"/>
          <w:sz w:val="21"/>
        </w:rPr>
        <w:t>对</w:t>
      </w:r>
      <w:r>
        <w:rPr>
          <w:spacing w:val="-2"/>
          <w:sz w:val="21"/>
        </w:rPr>
        <w:t>抗</w:t>
      </w:r>
      <w:r>
        <w:rPr>
          <w:spacing w:val="-2"/>
          <w:sz w:val="21"/>
        </w:rPr>
        <w:t>性</w:t>
      </w:r>
      <w:r>
        <w:rPr>
          <w:spacing w:val="-2"/>
          <w:sz w:val="21"/>
        </w:rPr>
        <w:t>柔</w:t>
      </w:r>
      <w:r>
        <w:rPr>
          <w:spacing w:val="-2"/>
          <w:sz w:val="21"/>
        </w:rPr>
        <w:t>道</w:t>
      </w:r>
      <w:r>
        <w:rPr>
          <w:spacing w:val="-2"/>
          <w:sz w:val="21"/>
        </w:rPr>
        <w:t>、</w:t>
      </w:r>
      <w:r>
        <w:rPr>
          <w:spacing w:val="-2"/>
          <w:sz w:val="21"/>
        </w:rPr>
        <w:t>空</w:t>
      </w:r>
      <w:r>
        <w:rPr>
          <w:spacing w:val="-2"/>
          <w:sz w:val="21"/>
        </w:rPr>
        <w:t>手</w:t>
      </w:r>
      <w:r>
        <w:rPr>
          <w:spacing w:val="-2"/>
          <w:sz w:val="21"/>
        </w:rPr>
        <w:t>道</w:t>
      </w:r>
      <w:r>
        <w:rPr>
          <w:spacing w:val="-2"/>
          <w:sz w:val="21"/>
        </w:rPr>
        <w:t>、</w:t>
      </w:r>
      <w:r>
        <w:rPr>
          <w:spacing w:val="-2"/>
          <w:sz w:val="21"/>
        </w:rPr>
        <w:t>跆</w:t>
      </w:r>
      <w:r>
        <w:rPr>
          <w:spacing w:val="-2"/>
          <w:sz w:val="21"/>
        </w:rPr>
        <w:t>拳道、</w:t>
      </w:r>
      <w:r>
        <w:rPr>
          <w:spacing w:val="-2"/>
          <w:sz w:val="21"/>
        </w:rPr>
        <w:t>散</w:t>
      </w:r>
      <w:r>
        <w:rPr>
          <w:spacing w:val="-2"/>
          <w:sz w:val="21"/>
        </w:rPr>
        <w:t>打</w:t>
      </w:r>
      <w:r>
        <w:rPr>
          <w:spacing w:val="-10"/>
          <w:sz w:val="21"/>
        </w:rPr>
        <w:t>、</w:t>
      </w:r>
    </w:p>
    <w:p>
      <w:pPr>
        <w:pStyle w:val="BodyText"/>
        <w:spacing w:line="267" w:lineRule="exact"/>
        <w:ind w:left="3529"/>
      </w:pPr>
      <w:r>
        <w:rPr>
          <w:spacing w:val="-3"/>
        </w:rPr>
        <w:t>拳击等各种拳术及使用器械的对抗性比赛。</w:t>
      </w:r>
    </w:p>
    <w:p>
      <w:pPr>
        <w:pStyle w:val="BodyText"/>
        <w:spacing w:before="5"/>
        <w:rPr>
          <w:sz w:val="19"/>
        </w:rPr>
      </w:pPr>
    </w:p>
    <w:p>
      <w:pPr>
        <w:pStyle w:val="ListParagraph"/>
        <w:numPr>
          <w:ilvl w:val="1"/>
          <w:numId w:val="87"/>
        </w:numPr>
        <w:tabs>
          <w:tab w:pos="1910" w:val="left" w:leader="none"/>
          <w:tab w:pos="1911" w:val="left" w:leader="none"/>
          <w:tab w:pos="3529" w:val="left" w:leader="none"/>
        </w:tabs>
        <w:spacing w:line="240" w:lineRule="auto" w:before="0" w:after="0"/>
        <w:ind w:left="1910" w:right="0" w:hanging="985"/>
        <w:jc w:val="left"/>
        <w:rPr>
          <w:sz w:val="21"/>
        </w:rPr>
      </w:pPr>
      <w:r>
        <w:rPr>
          <w:rFonts w:ascii="Microsoft JhengHei" w:eastAsia="Microsoft JhengHei"/>
          <w:b/>
          <w:sz w:val="21"/>
        </w:rPr>
        <w:t>特技表</w:t>
      </w:r>
      <w:r>
        <w:rPr>
          <w:rFonts w:ascii="Microsoft JhengHei" w:eastAsia="Microsoft JhengHei"/>
          <w:b/>
          <w:spacing w:val="-10"/>
          <w:sz w:val="21"/>
        </w:rPr>
        <w:t>演</w:t>
      </w:r>
      <w:r>
        <w:rPr>
          <w:rFonts w:ascii="Microsoft JhengHei" w:eastAsia="Microsoft JhengHei"/>
          <w:b/>
          <w:sz w:val="21"/>
        </w:rPr>
        <w:tab/>
      </w:r>
      <w:r>
        <w:rPr>
          <w:spacing w:val="-2"/>
          <w:sz w:val="21"/>
        </w:rPr>
        <w:t>指</w:t>
      </w:r>
      <w:r>
        <w:rPr>
          <w:spacing w:val="-2"/>
          <w:sz w:val="21"/>
        </w:rPr>
        <w:t>进</w:t>
      </w:r>
      <w:r>
        <w:rPr>
          <w:spacing w:val="-2"/>
          <w:sz w:val="21"/>
        </w:rPr>
        <w:t>行</w:t>
      </w:r>
      <w:r>
        <w:rPr>
          <w:spacing w:val="-2"/>
          <w:sz w:val="21"/>
        </w:rPr>
        <w:t>马</w:t>
      </w:r>
      <w:r>
        <w:rPr>
          <w:spacing w:val="-2"/>
          <w:sz w:val="21"/>
        </w:rPr>
        <w:t>术</w:t>
      </w:r>
      <w:r>
        <w:rPr>
          <w:spacing w:val="-2"/>
          <w:sz w:val="21"/>
        </w:rPr>
        <w:t>、</w:t>
      </w:r>
      <w:r>
        <w:rPr>
          <w:spacing w:val="-2"/>
          <w:sz w:val="21"/>
        </w:rPr>
        <w:t>杂</w:t>
      </w:r>
      <w:r>
        <w:rPr>
          <w:spacing w:val="-2"/>
          <w:sz w:val="21"/>
        </w:rPr>
        <w:t>技</w:t>
      </w:r>
      <w:r>
        <w:rPr>
          <w:spacing w:val="-2"/>
          <w:sz w:val="21"/>
        </w:rPr>
        <w:t>、</w:t>
      </w:r>
      <w:r>
        <w:rPr>
          <w:spacing w:val="-2"/>
          <w:sz w:val="21"/>
        </w:rPr>
        <w:t>驯</w:t>
      </w:r>
      <w:r>
        <w:rPr>
          <w:spacing w:val="-2"/>
          <w:sz w:val="21"/>
        </w:rPr>
        <w:t>兽</w:t>
      </w:r>
      <w:r>
        <w:rPr>
          <w:spacing w:val="-2"/>
          <w:sz w:val="21"/>
        </w:rPr>
        <w:t>等</w:t>
      </w:r>
      <w:r>
        <w:rPr>
          <w:spacing w:val="-2"/>
          <w:sz w:val="21"/>
        </w:rPr>
        <w:t>表</w:t>
      </w:r>
      <w:r>
        <w:rPr>
          <w:spacing w:val="-2"/>
          <w:sz w:val="21"/>
        </w:rPr>
        <w:t>演</w:t>
      </w:r>
      <w:r>
        <w:rPr>
          <w:spacing w:val="-10"/>
          <w:sz w:val="21"/>
        </w:rPr>
        <w:t>。</w:t>
      </w:r>
    </w:p>
    <w:p>
      <w:pPr>
        <w:pStyle w:val="BodyText"/>
        <w:rPr>
          <w:sz w:val="20"/>
        </w:rPr>
      </w:pPr>
    </w:p>
    <w:p>
      <w:pPr>
        <w:pStyle w:val="BodyText"/>
        <w:spacing w:before="3"/>
        <w:rPr>
          <w:sz w:val="24"/>
        </w:rPr>
      </w:pPr>
    </w:p>
    <w:tbl>
      <w:tblPr>
        <w:tblW w:w="0" w:type="auto"/>
        <w:jc w:val="left"/>
        <w:tblInd w:w="8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06"/>
        <w:gridCol w:w="1671"/>
        <w:gridCol w:w="5688"/>
      </w:tblGrid>
      <w:tr>
        <w:trPr>
          <w:trHeight w:val="264" w:hRule="atLeast"/>
        </w:trPr>
        <w:tc>
          <w:tcPr>
            <w:tcW w:w="806" w:type="dxa"/>
          </w:tcPr>
          <w:p>
            <w:pPr>
              <w:pStyle w:val="TableParagraph"/>
              <w:spacing w:line="212" w:lineRule="exact"/>
              <w:ind w:left="50"/>
              <w:rPr>
                <w:rFonts w:ascii="Microsoft JhengHei"/>
                <w:b/>
                <w:sz w:val="21"/>
              </w:rPr>
            </w:pPr>
            <w:r>
              <w:rPr>
                <w:rFonts w:ascii="Microsoft JhengHei"/>
                <w:b/>
                <w:spacing w:val="-4"/>
                <w:w w:val="82"/>
                <w:sz w:val="21"/>
              </w:rPr>
              <w:t>13</w:t>
            </w:r>
            <w:r>
              <w:rPr>
                <w:rFonts w:ascii="Microsoft JhengHei"/>
                <w:b/>
                <w:spacing w:val="-4"/>
                <w:w w:val="195"/>
                <w:sz w:val="21"/>
              </w:rPr>
              <w:t>.</w:t>
            </w:r>
            <w:r>
              <w:rPr>
                <w:rFonts w:ascii="Microsoft JhengHei"/>
                <w:b/>
                <w:spacing w:val="-4"/>
                <w:w w:val="82"/>
                <w:sz w:val="21"/>
              </w:rPr>
              <w:t>30</w:t>
            </w:r>
          </w:p>
        </w:tc>
        <w:tc>
          <w:tcPr>
            <w:tcW w:w="1671" w:type="dxa"/>
          </w:tcPr>
          <w:p>
            <w:pPr>
              <w:pStyle w:val="TableParagraph"/>
              <w:spacing w:line="244" w:lineRule="exact"/>
              <w:ind w:left="228"/>
              <w:rPr>
                <w:rFonts w:ascii="Microsoft JhengHei" w:eastAsia="Microsoft JhengHei"/>
                <w:b/>
                <w:sz w:val="21"/>
              </w:rPr>
            </w:pPr>
            <w:r>
              <w:rPr>
                <w:rFonts w:ascii="Microsoft JhengHei" w:eastAsia="Microsoft JhengHei"/>
                <w:b/>
                <w:spacing w:val="-2"/>
                <w:sz w:val="21"/>
              </w:rPr>
              <w:t>与基本保险金</w:t>
            </w:r>
          </w:p>
        </w:tc>
        <w:tc>
          <w:tcPr>
            <w:tcW w:w="5688" w:type="dxa"/>
          </w:tcPr>
          <w:p>
            <w:pPr>
              <w:pStyle w:val="TableParagraph"/>
              <w:spacing w:line="241" w:lineRule="exact"/>
              <w:ind w:left="175"/>
              <w:rPr>
                <w:sz w:val="21"/>
              </w:rPr>
            </w:pPr>
            <w:r>
              <w:rPr>
                <w:spacing w:val="-3"/>
                <w:sz w:val="21"/>
              </w:rPr>
              <w:t>指您减保时我们退还的那部分金额，额度等于您申请减保时</w:t>
            </w:r>
          </w:p>
        </w:tc>
      </w:tr>
      <w:tr>
        <w:trPr>
          <w:trHeight w:val="1759" w:hRule="atLeast"/>
        </w:trPr>
        <w:tc>
          <w:tcPr>
            <w:tcW w:w="806" w:type="dxa"/>
          </w:tcPr>
          <w:p>
            <w:pPr>
              <w:pStyle w:val="TableParagraph"/>
              <w:rPr>
                <w:rFonts w:ascii="Times New Roman"/>
                <w:sz w:val="20"/>
              </w:rPr>
            </w:pPr>
          </w:p>
        </w:tc>
        <w:tc>
          <w:tcPr>
            <w:tcW w:w="1671" w:type="dxa"/>
          </w:tcPr>
          <w:p>
            <w:pPr>
              <w:pStyle w:val="TableParagraph"/>
              <w:spacing w:line="194" w:lineRule="auto" w:before="8"/>
              <w:ind w:left="228" w:right="173"/>
              <w:jc w:val="both"/>
              <w:rPr>
                <w:rFonts w:ascii="Microsoft JhengHei" w:eastAsia="Microsoft JhengHei"/>
                <w:b/>
                <w:sz w:val="21"/>
              </w:rPr>
            </w:pPr>
            <w:r>
              <w:rPr>
                <w:rFonts w:ascii="Microsoft JhengHei" w:eastAsia="Microsoft JhengHei"/>
                <w:b/>
                <w:spacing w:val="-2"/>
                <w:sz w:val="21"/>
              </w:rPr>
              <w:t>额减少部分相</w:t>
            </w:r>
            <w:r>
              <w:rPr>
                <w:rFonts w:ascii="Microsoft JhengHei" w:eastAsia="Microsoft JhengHei"/>
                <w:b/>
                <w:spacing w:val="-2"/>
                <w:sz w:val="21"/>
              </w:rPr>
              <w:t>对应的现金价</w:t>
            </w:r>
            <w:r>
              <w:rPr>
                <w:rFonts w:ascii="Microsoft JhengHei" w:eastAsia="Microsoft JhengHei"/>
                <w:b/>
                <w:spacing w:val="-10"/>
                <w:sz w:val="21"/>
              </w:rPr>
              <w:t>值</w:t>
            </w:r>
          </w:p>
        </w:tc>
        <w:tc>
          <w:tcPr>
            <w:tcW w:w="5688" w:type="dxa"/>
          </w:tcPr>
          <w:p>
            <w:pPr>
              <w:pStyle w:val="TableParagraph"/>
              <w:spacing w:line="278" w:lineRule="auto" w:before="24"/>
              <w:ind w:left="175" w:right="48"/>
              <w:rPr>
                <w:sz w:val="21"/>
              </w:rPr>
            </w:pPr>
            <w:r>
              <w:rPr>
                <w:spacing w:val="-2"/>
                <w:sz w:val="21"/>
              </w:rPr>
              <w:t>本合同的现金价值乘以减少的基本保险金额与减保前的基本</w:t>
            </w:r>
            <w:r>
              <w:rPr>
                <w:spacing w:val="-2"/>
                <w:sz w:val="21"/>
              </w:rPr>
              <w:t>保险金额的比例。例如：您减保前投保的基本保险金额是</w:t>
            </w:r>
            <w:r>
              <w:rPr>
                <w:spacing w:val="-2"/>
                <w:sz w:val="21"/>
              </w:rPr>
              <w:t> </w:t>
            </w:r>
            <w:r>
              <w:rPr>
                <w:sz w:val="21"/>
              </w:rPr>
              <w:t>10</w:t>
            </w:r>
            <w:r>
              <w:rPr>
                <w:spacing w:val="-5"/>
                <w:sz w:val="21"/>
              </w:rPr>
              <w:t> 万元，对应的现金价值为 </w:t>
            </w:r>
            <w:r>
              <w:rPr>
                <w:sz w:val="21"/>
              </w:rPr>
              <w:t>8</w:t>
            </w:r>
            <w:r>
              <w:rPr>
                <w:spacing w:val="-5"/>
                <w:sz w:val="21"/>
              </w:rPr>
              <w:t> 万元，您申请将基本保险金</w:t>
            </w:r>
          </w:p>
          <w:p>
            <w:pPr>
              <w:pStyle w:val="TableParagraph"/>
              <w:spacing w:line="278" w:lineRule="auto"/>
              <w:ind w:left="175" w:right="153"/>
              <w:rPr>
                <w:sz w:val="21"/>
              </w:rPr>
            </w:pPr>
            <w:r>
              <w:rPr>
                <w:spacing w:val="-18"/>
                <w:sz w:val="21"/>
              </w:rPr>
              <w:t>额从 </w:t>
            </w:r>
            <w:r>
              <w:rPr>
                <w:sz w:val="21"/>
              </w:rPr>
              <w:t>10</w:t>
            </w:r>
            <w:r>
              <w:rPr>
                <w:spacing w:val="-16"/>
                <w:sz w:val="21"/>
              </w:rPr>
              <w:t> 万元减保至 </w:t>
            </w:r>
            <w:r>
              <w:rPr>
                <w:sz w:val="21"/>
              </w:rPr>
              <w:t>8</w:t>
            </w:r>
            <w:r>
              <w:rPr>
                <w:spacing w:val="-8"/>
                <w:sz w:val="21"/>
              </w:rPr>
              <w:t> 万元，那么与基本保险金额减少部分</w:t>
            </w:r>
            <w:r>
              <w:rPr>
                <w:spacing w:val="-3"/>
                <w:sz w:val="21"/>
              </w:rPr>
              <w:t>相对应的现金价值为 </w:t>
            </w:r>
            <w:r>
              <w:rPr>
                <w:sz w:val="21"/>
              </w:rPr>
              <w:t>8*[（10-8）/10]=1.6</w:t>
            </w:r>
            <w:r>
              <w:rPr>
                <w:spacing w:val="-6"/>
                <w:sz w:val="21"/>
              </w:rPr>
              <w:t> 万元。</w:t>
            </w:r>
          </w:p>
        </w:tc>
      </w:tr>
      <w:tr>
        <w:trPr>
          <w:trHeight w:val="511" w:hRule="atLeast"/>
        </w:trPr>
        <w:tc>
          <w:tcPr>
            <w:tcW w:w="806" w:type="dxa"/>
          </w:tcPr>
          <w:p>
            <w:pPr>
              <w:pStyle w:val="TableParagraph"/>
              <w:spacing w:line="342" w:lineRule="exact" w:before="149"/>
              <w:ind w:left="50"/>
              <w:rPr>
                <w:rFonts w:ascii="Microsoft JhengHei"/>
                <w:b/>
                <w:sz w:val="21"/>
              </w:rPr>
            </w:pPr>
            <w:r>
              <w:rPr>
                <w:rFonts w:ascii="Microsoft JhengHei"/>
                <w:b/>
                <w:spacing w:val="-4"/>
                <w:w w:val="82"/>
                <w:sz w:val="21"/>
              </w:rPr>
              <w:t>13</w:t>
            </w:r>
            <w:r>
              <w:rPr>
                <w:rFonts w:ascii="Microsoft JhengHei"/>
                <w:b/>
                <w:spacing w:val="-4"/>
                <w:w w:val="195"/>
                <w:sz w:val="21"/>
              </w:rPr>
              <w:t>.</w:t>
            </w:r>
            <w:r>
              <w:rPr>
                <w:rFonts w:ascii="Microsoft JhengHei"/>
                <w:b/>
                <w:spacing w:val="-4"/>
                <w:w w:val="82"/>
                <w:sz w:val="21"/>
              </w:rPr>
              <w:t>31</w:t>
            </w:r>
          </w:p>
        </w:tc>
        <w:tc>
          <w:tcPr>
            <w:tcW w:w="1671" w:type="dxa"/>
          </w:tcPr>
          <w:p>
            <w:pPr>
              <w:pStyle w:val="TableParagraph"/>
              <w:spacing w:line="342" w:lineRule="exact" w:before="149"/>
              <w:ind w:left="228"/>
              <w:rPr>
                <w:rFonts w:ascii="Microsoft JhengHei" w:eastAsia="Microsoft JhengHei"/>
                <w:b/>
                <w:sz w:val="21"/>
              </w:rPr>
            </w:pPr>
            <w:r>
              <w:rPr>
                <w:rFonts w:ascii="Microsoft JhengHei" w:eastAsia="Microsoft JhengHei"/>
                <w:b/>
                <w:spacing w:val="-2"/>
                <w:sz w:val="21"/>
              </w:rPr>
              <w:t>组织病理学检</w:t>
            </w:r>
          </w:p>
        </w:tc>
        <w:tc>
          <w:tcPr>
            <w:tcW w:w="5688" w:type="dxa"/>
          </w:tcPr>
          <w:p>
            <w:pPr>
              <w:pStyle w:val="TableParagraph"/>
              <w:rPr>
                <w:sz w:val="17"/>
              </w:rPr>
            </w:pPr>
          </w:p>
          <w:p>
            <w:pPr>
              <w:pStyle w:val="TableParagraph"/>
              <w:spacing w:before="1"/>
              <w:ind w:left="175"/>
              <w:rPr>
                <w:sz w:val="21"/>
              </w:rPr>
            </w:pPr>
            <w:r>
              <w:rPr>
                <w:spacing w:val="-3"/>
                <w:sz w:val="21"/>
              </w:rPr>
              <w:t>组织病理学检查是通过局部切除、钳取、穿刺等手术方法，</w:t>
            </w:r>
          </w:p>
        </w:tc>
      </w:tr>
      <w:tr>
        <w:trPr>
          <w:trHeight w:val="314" w:hRule="atLeast"/>
        </w:trPr>
        <w:tc>
          <w:tcPr>
            <w:tcW w:w="806" w:type="dxa"/>
          </w:tcPr>
          <w:p>
            <w:pPr>
              <w:pStyle w:val="TableParagraph"/>
              <w:rPr>
                <w:rFonts w:ascii="Times New Roman"/>
                <w:sz w:val="20"/>
              </w:rPr>
            </w:pPr>
          </w:p>
        </w:tc>
        <w:tc>
          <w:tcPr>
            <w:tcW w:w="1671" w:type="dxa"/>
          </w:tcPr>
          <w:p>
            <w:pPr>
              <w:pStyle w:val="TableParagraph"/>
              <w:spacing w:line="295" w:lineRule="exact"/>
              <w:ind w:left="228"/>
              <w:rPr>
                <w:rFonts w:ascii="Microsoft JhengHei" w:eastAsia="Microsoft JhengHei"/>
                <w:b/>
                <w:sz w:val="21"/>
              </w:rPr>
            </w:pPr>
            <w:r>
              <w:rPr>
                <w:rFonts w:ascii="Microsoft JhengHei" w:eastAsia="Microsoft JhengHei"/>
                <w:b/>
                <w:w w:val="100"/>
                <w:sz w:val="21"/>
              </w:rPr>
              <w:t>查</w:t>
            </w:r>
          </w:p>
        </w:tc>
        <w:tc>
          <w:tcPr>
            <w:tcW w:w="5688" w:type="dxa"/>
          </w:tcPr>
          <w:p>
            <w:pPr>
              <w:pStyle w:val="TableParagraph"/>
              <w:spacing w:before="24"/>
              <w:ind w:left="175"/>
              <w:rPr>
                <w:sz w:val="21"/>
              </w:rPr>
            </w:pPr>
            <w:r>
              <w:rPr>
                <w:spacing w:val="-3"/>
                <w:sz w:val="21"/>
              </w:rPr>
              <w:t>从患者机体采取病变组织块，经过包埋、切片后，进行病理</w:t>
            </w:r>
          </w:p>
        </w:tc>
      </w:tr>
      <w:tr>
        <w:trPr>
          <w:trHeight w:val="261" w:hRule="atLeast"/>
        </w:trPr>
        <w:tc>
          <w:tcPr>
            <w:tcW w:w="806" w:type="dxa"/>
          </w:tcPr>
          <w:p>
            <w:pPr>
              <w:pStyle w:val="TableParagraph"/>
              <w:rPr>
                <w:rFonts w:ascii="Times New Roman"/>
                <w:sz w:val="18"/>
              </w:rPr>
            </w:pPr>
          </w:p>
        </w:tc>
        <w:tc>
          <w:tcPr>
            <w:tcW w:w="1671" w:type="dxa"/>
          </w:tcPr>
          <w:p>
            <w:pPr>
              <w:pStyle w:val="TableParagraph"/>
              <w:rPr>
                <w:rFonts w:ascii="Times New Roman"/>
                <w:sz w:val="18"/>
              </w:rPr>
            </w:pPr>
          </w:p>
        </w:tc>
        <w:tc>
          <w:tcPr>
            <w:tcW w:w="5688" w:type="dxa"/>
          </w:tcPr>
          <w:p>
            <w:pPr>
              <w:pStyle w:val="TableParagraph"/>
              <w:spacing w:line="220" w:lineRule="exact" w:before="22"/>
              <w:ind w:left="175"/>
              <w:rPr>
                <w:sz w:val="21"/>
              </w:rPr>
            </w:pPr>
            <w:r>
              <w:rPr>
                <w:spacing w:val="-4"/>
                <w:sz w:val="21"/>
              </w:rPr>
              <w:t>检查的方法。</w:t>
            </w:r>
          </w:p>
        </w:tc>
      </w:tr>
    </w:tbl>
    <w:p>
      <w:pPr>
        <w:spacing w:after="0" w:line="220" w:lineRule="exact"/>
        <w:rPr>
          <w:sz w:val="21"/>
        </w:rPr>
        <w:sectPr>
          <w:type w:val="continuous"/>
          <w:pgSz w:w="11910" w:h="16840"/>
          <w:pgMar w:header="0" w:footer="226" w:top="900" w:bottom="420" w:left="980" w:right="400"/>
        </w:sectPr>
      </w:pPr>
    </w:p>
    <w:tbl>
      <w:tblPr>
        <w:tblW w:w="0" w:type="auto"/>
        <w:jc w:val="left"/>
        <w:tblInd w:w="8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06"/>
        <w:gridCol w:w="1724"/>
        <w:gridCol w:w="5636"/>
      </w:tblGrid>
      <w:tr>
        <w:trPr>
          <w:trHeight w:val="1361" w:hRule="atLeast"/>
        </w:trPr>
        <w:tc>
          <w:tcPr>
            <w:tcW w:w="806" w:type="dxa"/>
          </w:tcPr>
          <w:p>
            <w:pPr>
              <w:pStyle w:val="TableParagraph"/>
              <w:rPr>
                <w:rFonts w:ascii="Times New Roman"/>
                <w:sz w:val="20"/>
              </w:rPr>
            </w:pPr>
          </w:p>
        </w:tc>
        <w:tc>
          <w:tcPr>
            <w:tcW w:w="1724" w:type="dxa"/>
          </w:tcPr>
          <w:p>
            <w:pPr>
              <w:pStyle w:val="TableParagraph"/>
              <w:rPr>
                <w:rFonts w:ascii="Times New Roman"/>
                <w:sz w:val="20"/>
              </w:rPr>
            </w:pPr>
          </w:p>
        </w:tc>
        <w:tc>
          <w:tcPr>
            <w:tcW w:w="5636" w:type="dxa"/>
          </w:tcPr>
          <w:p>
            <w:pPr>
              <w:pStyle w:val="TableParagraph"/>
              <w:spacing w:line="241" w:lineRule="exact"/>
              <w:ind w:left="122"/>
              <w:rPr>
                <w:sz w:val="21"/>
              </w:rPr>
            </w:pPr>
            <w:r>
              <w:rPr>
                <w:spacing w:val="-3"/>
                <w:sz w:val="21"/>
              </w:rPr>
              <w:t>通过采集病变部位脱落细胞、细针吸取病变部位细胞、体腔</w:t>
            </w:r>
          </w:p>
          <w:p>
            <w:pPr>
              <w:pStyle w:val="TableParagraph"/>
              <w:spacing w:line="278" w:lineRule="auto" w:before="43"/>
              <w:ind w:left="122" w:right="49"/>
              <w:jc w:val="both"/>
              <w:rPr>
                <w:sz w:val="21"/>
              </w:rPr>
            </w:pPr>
            <w:r>
              <w:rPr>
                <w:spacing w:val="-2"/>
                <w:sz w:val="21"/>
              </w:rPr>
              <w:t>积液分离病变细胞等方式获取病变细胞，制成涂片，进行病</w:t>
            </w:r>
            <w:r>
              <w:rPr>
                <w:spacing w:val="-2"/>
                <w:sz w:val="21"/>
              </w:rPr>
              <w:t>理检查的方法，属于细胞病理学检查，不属于组织病理学检</w:t>
            </w:r>
            <w:r>
              <w:rPr>
                <w:spacing w:val="-6"/>
                <w:sz w:val="21"/>
              </w:rPr>
              <w:t>查。</w:t>
            </w:r>
          </w:p>
        </w:tc>
      </w:tr>
      <w:tr>
        <w:trPr>
          <w:trHeight w:val="4071" w:hRule="atLeast"/>
        </w:trPr>
        <w:tc>
          <w:tcPr>
            <w:tcW w:w="806" w:type="dxa"/>
          </w:tcPr>
          <w:p>
            <w:pPr>
              <w:pStyle w:val="TableParagraph"/>
              <w:spacing w:before="116"/>
              <w:ind w:left="50"/>
              <w:rPr>
                <w:rFonts w:ascii="Microsoft JhengHei"/>
                <w:b/>
                <w:sz w:val="21"/>
              </w:rPr>
            </w:pPr>
            <w:r>
              <w:rPr>
                <w:rFonts w:ascii="Microsoft JhengHei"/>
                <w:b/>
                <w:spacing w:val="-2"/>
                <w:sz w:val="21"/>
              </w:rPr>
              <w:t>13.32</w:t>
            </w:r>
          </w:p>
        </w:tc>
        <w:tc>
          <w:tcPr>
            <w:tcW w:w="1724" w:type="dxa"/>
          </w:tcPr>
          <w:p>
            <w:pPr>
              <w:pStyle w:val="TableParagraph"/>
              <w:spacing w:line="194" w:lineRule="auto" w:before="169"/>
              <w:ind w:left="228" w:right="226"/>
              <w:jc w:val="both"/>
              <w:rPr>
                <w:rFonts w:ascii="Microsoft JhengHei" w:eastAsia="Microsoft JhengHei"/>
                <w:b/>
                <w:sz w:val="21"/>
              </w:rPr>
            </w:pPr>
            <w:r>
              <w:rPr>
                <w:rFonts w:ascii="Microsoft JhengHei" w:eastAsia="Microsoft JhengHei"/>
                <w:b/>
                <w:spacing w:val="-2"/>
                <w:sz w:val="21"/>
              </w:rPr>
              <w:t>《疾病和有关</w:t>
            </w:r>
            <w:r>
              <w:rPr>
                <w:rFonts w:ascii="Microsoft JhengHei" w:eastAsia="Microsoft JhengHei"/>
                <w:b/>
                <w:spacing w:val="-2"/>
                <w:sz w:val="21"/>
              </w:rPr>
              <w:t>健康问题的国</w:t>
            </w:r>
            <w:r>
              <w:rPr>
                <w:rFonts w:ascii="Microsoft JhengHei" w:eastAsia="Microsoft JhengHei"/>
                <w:b/>
                <w:spacing w:val="-2"/>
                <w:sz w:val="21"/>
              </w:rPr>
              <w:t>际统计分类》</w:t>
            </w:r>
            <w:r>
              <w:rPr>
                <w:rFonts w:ascii="Microsoft JhengHei" w:eastAsia="Microsoft JhengHei"/>
                <w:b/>
                <w:spacing w:val="-2"/>
                <w:sz w:val="21"/>
              </w:rPr>
              <w:t>第十次修订版</w:t>
            </w:r>
          </w:p>
          <w:p>
            <w:pPr>
              <w:pStyle w:val="TableParagraph"/>
              <w:spacing w:line="194" w:lineRule="auto"/>
              <w:ind w:left="228" w:right="226"/>
              <w:jc w:val="both"/>
              <w:rPr>
                <w:rFonts w:ascii="Microsoft JhengHei" w:eastAsia="Microsoft JhengHei"/>
                <w:b/>
                <w:sz w:val="21"/>
              </w:rPr>
            </w:pPr>
            <w:r>
              <w:rPr>
                <w:rFonts w:ascii="Microsoft JhengHei" w:eastAsia="Microsoft JhengHei"/>
                <w:b/>
                <w:spacing w:val="-2"/>
                <w:w w:val="95"/>
                <w:sz w:val="21"/>
              </w:rPr>
              <w:t>（ICD-10）</w:t>
            </w:r>
            <w:r>
              <w:rPr>
                <w:rFonts w:ascii="Microsoft JhengHei" w:eastAsia="Microsoft JhengHei"/>
                <w:b/>
                <w:spacing w:val="-2"/>
                <w:w w:val="95"/>
                <w:sz w:val="21"/>
              </w:rPr>
              <w:t>的</w:t>
            </w:r>
            <w:r>
              <w:rPr>
                <w:rFonts w:ascii="Microsoft JhengHei" w:eastAsia="Microsoft JhengHei"/>
                <w:b/>
                <w:spacing w:val="-2"/>
                <w:sz w:val="21"/>
              </w:rPr>
              <w:t>恶性肿瘤类别</w:t>
            </w:r>
            <w:r>
              <w:rPr>
                <w:rFonts w:ascii="Microsoft JhengHei" w:eastAsia="Microsoft JhengHei"/>
                <w:b/>
                <w:spacing w:val="-2"/>
                <w:sz w:val="21"/>
              </w:rPr>
              <w:t>及《国际疾病</w:t>
            </w:r>
            <w:r>
              <w:rPr>
                <w:rFonts w:ascii="Microsoft JhengHei" w:eastAsia="Microsoft JhengHei"/>
                <w:b/>
                <w:spacing w:val="-2"/>
                <w:sz w:val="21"/>
              </w:rPr>
              <w:t>分类肿瘤学专</w:t>
            </w:r>
            <w:r>
              <w:rPr>
                <w:rFonts w:ascii="Microsoft JhengHei" w:eastAsia="Microsoft JhengHei"/>
                <w:b/>
                <w:spacing w:val="-2"/>
                <w:sz w:val="21"/>
              </w:rPr>
              <w:t>辑》第三版</w:t>
            </w:r>
          </w:p>
          <w:p>
            <w:pPr>
              <w:pStyle w:val="TableParagraph"/>
              <w:spacing w:line="194" w:lineRule="auto"/>
              <w:ind w:left="228" w:right="120"/>
              <w:rPr>
                <w:rFonts w:ascii="Microsoft JhengHei" w:eastAsia="Microsoft JhengHei"/>
                <w:b/>
                <w:sz w:val="21"/>
              </w:rPr>
            </w:pPr>
            <w:r>
              <w:rPr>
                <w:rFonts w:ascii="Microsoft JhengHei" w:eastAsia="Microsoft JhengHei"/>
                <w:b/>
                <w:spacing w:val="-2"/>
                <w:w w:val="90"/>
                <w:sz w:val="21"/>
              </w:rPr>
              <w:t>（ICD-O-3）</w:t>
            </w:r>
            <w:r>
              <w:rPr>
                <w:rFonts w:ascii="Microsoft JhengHei" w:eastAsia="Microsoft JhengHei"/>
                <w:b/>
                <w:spacing w:val="-2"/>
                <w:w w:val="90"/>
                <w:sz w:val="21"/>
              </w:rPr>
              <w:t>的</w:t>
            </w:r>
            <w:r>
              <w:rPr>
                <w:rFonts w:ascii="Microsoft JhengHei" w:eastAsia="Microsoft JhengHei"/>
                <w:b/>
                <w:spacing w:val="-2"/>
                <w:sz w:val="21"/>
              </w:rPr>
              <w:t>肿瘤形态学编</w:t>
            </w:r>
            <w:r>
              <w:rPr>
                <w:rFonts w:ascii="Microsoft JhengHei" w:eastAsia="Microsoft JhengHei"/>
                <w:b/>
                <w:spacing w:val="-10"/>
                <w:sz w:val="21"/>
              </w:rPr>
              <w:t>码</w:t>
            </w:r>
          </w:p>
        </w:tc>
        <w:tc>
          <w:tcPr>
            <w:tcW w:w="5636" w:type="dxa"/>
          </w:tcPr>
          <w:p>
            <w:pPr>
              <w:pStyle w:val="TableParagraph"/>
              <w:spacing w:before="6"/>
              <w:rPr>
                <w:sz w:val="14"/>
              </w:rPr>
            </w:pPr>
          </w:p>
          <w:p>
            <w:pPr>
              <w:pStyle w:val="TableParagraph"/>
              <w:ind w:left="122"/>
              <w:rPr>
                <w:sz w:val="21"/>
              </w:rPr>
            </w:pPr>
            <w:r>
              <w:rPr>
                <w:spacing w:val="-3"/>
                <w:sz w:val="21"/>
              </w:rPr>
              <w:t>《疾病和有关健康问题的国际统计分类》第十次修订版</w:t>
            </w:r>
          </w:p>
          <w:p>
            <w:pPr>
              <w:pStyle w:val="TableParagraph"/>
              <w:spacing w:line="278" w:lineRule="auto" w:before="43"/>
              <w:ind w:left="122" w:right="48"/>
              <w:rPr>
                <w:sz w:val="21"/>
              </w:rPr>
            </w:pPr>
            <w:r>
              <w:rPr>
                <w:spacing w:val="-4"/>
                <w:sz w:val="21"/>
              </w:rPr>
              <w:t>（ICD-</w:t>
            </w:r>
            <w:r>
              <w:rPr>
                <w:spacing w:val="23"/>
                <w:sz w:val="21"/>
              </w:rPr>
              <w:t>10</w:t>
            </w:r>
            <w:r>
              <w:rPr>
                <w:spacing w:val="-83"/>
                <w:sz w:val="21"/>
              </w:rPr>
              <w:t>）</w:t>
            </w:r>
            <w:r>
              <w:rPr>
                <w:spacing w:val="-3"/>
                <w:sz w:val="21"/>
              </w:rPr>
              <w:t>，是世界卫生组织</w:t>
            </w:r>
            <w:r>
              <w:rPr>
                <w:spacing w:val="-4"/>
                <w:sz w:val="21"/>
              </w:rPr>
              <w:t>（WHO）发布的国际通用的疾病</w:t>
            </w:r>
            <w:r>
              <w:rPr>
                <w:spacing w:val="-13"/>
                <w:sz w:val="21"/>
              </w:rPr>
              <w:t>分类方法。《国际疾病分类肿瘤学专辑》第三版</w:t>
            </w:r>
            <w:r>
              <w:rPr>
                <w:spacing w:val="-2"/>
                <w:sz w:val="21"/>
              </w:rPr>
              <w:t>（ICD-O- </w:t>
            </w:r>
            <w:r>
              <w:rPr>
                <w:spacing w:val="31"/>
                <w:sz w:val="21"/>
              </w:rPr>
              <w:t>3</w:t>
            </w:r>
            <w:r>
              <w:rPr>
                <w:spacing w:val="-75"/>
                <w:sz w:val="21"/>
              </w:rPr>
              <w:t>）</w:t>
            </w:r>
            <w:r>
              <w:rPr>
                <w:spacing w:val="-9"/>
                <w:sz w:val="21"/>
              </w:rPr>
              <w:t>，是 </w:t>
            </w:r>
            <w:r>
              <w:rPr>
                <w:spacing w:val="-4"/>
                <w:sz w:val="21"/>
              </w:rPr>
              <w:t>WHO</w:t>
            </w:r>
            <w:r>
              <w:rPr>
                <w:spacing w:val="-20"/>
                <w:sz w:val="21"/>
              </w:rPr>
              <w:t> 发布的针对 </w:t>
            </w:r>
            <w:r>
              <w:rPr>
                <w:spacing w:val="-4"/>
                <w:sz w:val="21"/>
              </w:rPr>
              <w:t>ICD</w:t>
            </w:r>
            <w:r>
              <w:rPr>
                <w:spacing w:val="-11"/>
                <w:sz w:val="21"/>
              </w:rPr>
              <w:t> 中肿瘤形态学组织学细胞类型、</w:t>
            </w:r>
            <w:r>
              <w:rPr>
                <w:sz w:val="21"/>
              </w:rPr>
              <w:t>动态、分化程度的补充编码。其中形态学编码：0</w:t>
            </w:r>
            <w:r>
              <w:rPr>
                <w:spacing w:val="-10"/>
                <w:sz w:val="21"/>
              </w:rPr>
              <w:t> 代表良性</w:t>
            </w:r>
            <w:r>
              <w:rPr>
                <w:sz w:val="21"/>
              </w:rPr>
              <w:t>肿瘤；1</w:t>
            </w:r>
            <w:r>
              <w:rPr>
                <w:spacing w:val="-5"/>
                <w:sz w:val="21"/>
              </w:rPr>
              <w:t> 代表动态未定性肿瘤</w:t>
            </w:r>
            <w:r>
              <w:rPr>
                <w:sz w:val="21"/>
              </w:rPr>
              <w:t>；2</w:t>
            </w:r>
            <w:r>
              <w:rPr>
                <w:spacing w:val="-5"/>
                <w:sz w:val="21"/>
              </w:rPr>
              <w:t> 代表原位癌和非侵袭性</w:t>
            </w:r>
          </w:p>
          <w:p>
            <w:pPr>
              <w:pStyle w:val="TableParagraph"/>
              <w:ind w:left="122"/>
              <w:rPr>
                <w:sz w:val="21"/>
              </w:rPr>
            </w:pPr>
            <w:r>
              <w:rPr>
                <w:spacing w:val="-6"/>
                <w:sz w:val="21"/>
              </w:rPr>
              <w:t>癌；3</w:t>
            </w:r>
            <w:r>
              <w:rPr>
                <w:spacing w:val="-14"/>
                <w:sz w:val="21"/>
              </w:rPr>
              <w:t> 代表恶性肿瘤</w:t>
            </w:r>
            <w:r>
              <w:rPr>
                <w:spacing w:val="-6"/>
                <w:sz w:val="21"/>
              </w:rPr>
              <w:t>（原发性</w:t>
            </w:r>
            <w:r>
              <w:rPr>
                <w:spacing w:val="-80"/>
                <w:sz w:val="21"/>
              </w:rPr>
              <w:t>）</w:t>
            </w:r>
            <w:r>
              <w:rPr>
                <w:spacing w:val="31"/>
                <w:sz w:val="21"/>
              </w:rPr>
              <w:t>；6</w:t>
            </w:r>
            <w:r>
              <w:rPr>
                <w:spacing w:val="-14"/>
                <w:sz w:val="21"/>
              </w:rPr>
              <w:t> 代表恶性肿瘤</w:t>
            </w:r>
            <w:r>
              <w:rPr>
                <w:spacing w:val="-6"/>
                <w:sz w:val="21"/>
              </w:rPr>
              <w:t>（</w:t>
            </w:r>
            <w:r>
              <w:rPr>
                <w:spacing w:val="-8"/>
                <w:sz w:val="21"/>
              </w:rPr>
              <w:t>转移</w:t>
            </w:r>
          </w:p>
          <w:p>
            <w:pPr>
              <w:pStyle w:val="TableParagraph"/>
              <w:spacing w:line="278" w:lineRule="auto" w:before="42"/>
              <w:ind w:left="122" w:right="102"/>
              <w:rPr>
                <w:sz w:val="21"/>
              </w:rPr>
            </w:pPr>
            <w:r>
              <w:rPr>
                <w:spacing w:val="-4"/>
                <w:sz w:val="21"/>
              </w:rPr>
              <w:t>性</w:t>
            </w:r>
            <w:r>
              <w:rPr>
                <w:spacing w:val="-75"/>
                <w:sz w:val="21"/>
              </w:rPr>
              <w:t>）</w:t>
            </w:r>
            <w:r>
              <w:rPr>
                <w:spacing w:val="31"/>
                <w:sz w:val="21"/>
              </w:rPr>
              <w:t>；9</w:t>
            </w:r>
            <w:r>
              <w:rPr>
                <w:spacing w:val="-13"/>
                <w:sz w:val="21"/>
              </w:rPr>
              <w:t> 代表恶性肿瘤</w:t>
            </w:r>
            <w:r>
              <w:rPr>
                <w:spacing w:val="-4"/>
                <w:sz w:val="21"/>
              </w:rPr>
              <w:t>（原发性或转移性未肯定</w:t>
            </w:r>
            <w:r>
              <w:rPr>
                <w:spacing w:val="-111"/>
                <w:sz w:val="21"/>
              </w:rPr>
              <w:t>）</w:t>
            </w:r>
            <w:r>
              <w:rPr>
                <w:spacing w:val="-4"/>
                <w:sz w:val="21"/>
              </w:rPr>
              <w:t>。如果出现 </w:t>
            </w:r>
            <w:r>
              <w:rPr>
                <w:sz w:val="21"/>
              </w:rPr>
              <w:t>ICD-10</w:t>
            </w:r>
            <w:r>
              <w:rPr>
                <w:spacing w:val="-15"/>
                <w:sz w:val="21"/>
              </w:rPr>
              <w:t> 与 </w:t>
            </w:r>
            <w:r>
              <w:rPr>
                <w:sz w:val="21"/>
              </w:rPr>
              <w:t>ICD-O-3</w:t>
            </w:r>
            <w:r>
              <w:rPr>
                <w:spacing w:val="-7"/>
                <w:sz w:val="21"/>
              </w:rPr>
              <w:t> 不一致的情况，以 </w:t>
            </w:r>
            <w:r>
              <w:rPr>
                <w:sz w:val="21"/>
              </w:rPr>
              <w:t>ICD-O-3</w:t>
            </w:r>
            <w:r>
              <w:rPr>
                <w:spacing w:val="-6"/>
                <w:sz w:val="21"/>
              </w:rPr>
              <w:t> 为准。</w:t>
            </w:r>
          </w:p>
        </w:tc>
      </w:tr>
      <w:tr>
        <w:trPr>
          <w:trHeight w:val="1500" w:hRule="atLeast"/>
        </w:trPr>
        <w:tc>
          <w:tcPr>
            <w:tcW w:w="806" w:type="dxa"/>
          </w:tcPr>
          <w:p>
            <w:pPr>
              <w:pStyle w:val="TableParagraph"/>
              <w:spacing w:before="115"/>
              <w:ind w:left="50"/>
              <w:rPr>
                <w:rFonts w:ascii="Microsoft JhengHei"/>
                <w:b/>
                <w:sz w:val="21"/>
              </w:rPr>
            </w:pPr>
            <w:r>
              <w:rPr>
                <w:rFonts w:ascii="Microsoft JhengHei"/>
                <w:b/>
                <w:spacing w:val="-4"/>
                <w:w w:val="82"/>
                <w:sz w:val="21"/>
              </w:rPr>
              <w:t>13</w:t>
            </w:r>
            <w:r>
              <w:rPr>
                <w:rFonts w:ascii="Microsoft JhengHei"/>
                <w:b/>
                <w:spacing w:val="-4"/>
                <w:w w:val="195"/>
                <w:sz w:val="21"/>
              </w:rPr>
              <w:t>.</w:t>
            </w:r>
            <w:r>
              <w:rPr>
                <w:rFonts w:ascii="Microsoft JhengHei"/>
                <w:b/>
                <w:spacing w:val="-4"/>
                <w:w w:val="82"/>
                <w:sz w:val="21"/>
              </w:rPr>
              <w:t>33</w:t>
            </w:r>
          </w:p>
        </w:tc>
        <w:tc>
          <w:tcPr>
            <w:tcW w:w="1724" w:type="dxa"/>
          </w:tcPr>
          <w:p>
            <w:pPr>
              <w:pStyle w:val="TableParagraph"/>
              <w:spacing w:before="115"/>
              <w:ind w:left="228"/>
              <w:rPr>
                <w:rFonts w:ascii="Microsoft JhengHei" w:eastAsia="Microsoft JhengHei"/>
                <w:b/>
                <w:sz w:val="21"/>
              </w:rPr>
            </w:pPr>
            <w:r>
              <w:rPr>
                <w:rFonts w:ascii="Microsoft JhengHei" w:eastAsia="Microsoft JhengHei"/>
                <w:b/>
                <w:w w:val="70"/>
                <w:sz w:val="21"/>
              </w:rPr>
              <w:t>TNM</w:t>
            </w:r>
            <w:r>
              <w:rPr>
                <w:rFonts w:ascii="Microsoft JhengHei" w:eastAsia="Microsoft JhengHei"/>
                <w:b/>
                <w:spacing w:val="22"/>
                <w:sz w:val="21"/>
              </w:rPr>
              <w:t> </w:t>
            </w:r>
            <w:r>
              <w:rPr>
                <w:rFonts w:ascii="Microsoft JhengHei" w:eastAsia="Microsoft JhengHei"/>
                <w:b/>
                <w:w w:val="70"/>
                <w:sz w:val="21"/>
              </w:rPr>
              <w:t>分</w:t>
            </w:r>
            <w:r>
              <w:rPr>
                <w:rFonts w:ascii="Microsoft JhengHei" w:eastAsia="Microsoft JhengHei"/>
                <w:b/>
                <w:spacing w:val="-10"/>
                <w:w w:val="70"/>
                <w:sz w:val="21"/>
              </w:rPr>
              <w:t>期</w:t>
            </w:r>
          </w:p>
        </w:tc>
        <w:tc>
          <w:tcPr>
            <w:tcW w:w="5636" w:type="dxa"/>
          </w:tcPr>
          <w:p>
            <w:pPr>
              <w:pStyle w:val="TableParagraph"/>
              <w:spacing w:before="5"/>
              <w:rPr>
                <w:sz w:val="14"/>
              </w:rPr>
            </w:pPr>
          </w:p>
          <w:p>
            <w:pPr>
              <w:pStyle w:val="TableParagraph"/>
              <w:spacing w:line="278" w:lineRule="auto"/>
              <w:ind w:left="122" w:right="153"/>
              <w:jc w:val="both"/>
              <w:rPr>
                <w:sz w:val="21"/>
              </w:rPr>
            </w:pPr>
            <w:r>
              <w:rPr>
                <w:spacing w:val="-2"/>
                <w:sz w:val="21"/>
              </w:rPr>
              <w:t>TNM分期采用AJCC癌症分期手册标准。该标准由美国癌症联</w:t>
            </w:r>
            <w:r>
              <w:rPr>
                <w:spacing w:val="-2"/>
                <w:sz w:val="21"/>
              </w:rPr>
              <w:t>合委员会与国际抗癌联合会TNM委员会联合制定，是目前肿</w:t>
            </w:r>
            <w:r>
              <w:rPr>
                <w:spacing w:val="-2"/>
                <w:sz w:val="21"/>
              </w:rPr>
              <w:t>瘤医学分期的国际通用标准。T指原发肿瘤的大小、形态</w:t>
            </w:r>
          </w:p>
          <w:p>
            <w:pPr>
              <w:pStyle w:val="TableParagraph"/>
              <w:ind w:left="122"/>
              <w:rPr>
                <w:sz w:val="21"/>
              </w:rPr>
            </w:pPr>
            <w:r>
              <w:rPr>
                <w:spacing w:val="-2"/>
                <w:sz w:val="21"/>
              </w:rPr>
              <w:t>等；N指淋巴结的转移情况；M</w:t>
            </w:r>
            <w:r>
              <w:rPr>
                <w:spacing w:val="-3"/>
                <w:sz w:val="21"/>
              </w:rPr>
              <w:t>指有无其他脏器的转移情况。</w:t>
            </w:r>
          </w:p>
        </w:tc>
      </w:tr>
      <w:tr>
        <w:trPr>
          <w:trHeight w:val="424" w:hRule="atLeast"/>
        </w:trPr>
        <w:tc>
          <w:tcPr>
            <w:tcW w:w="806" w:type="dxa"/>
          </w:tcPr>
          <w:p>
            <w:pPr>
              <w:pStyle w:val="TableParagraph"/>
              <w:rPr>
                <w:rFonts w:ascii="Times New Roman"/>
                <w:sz w:val="20"/>
              </w:rPr>
            </w:pPr>
          </w:p>
        </w:tc>
        <w:tc>
          <w:tcPr>
            <w:tcW w:w="1724" w:type="dxa"/>
          </w:tcPr>
          <w:p>
            <w:pPr>
              <w:pStyle w:val="TableParagraph"/>
              <w:rPr>
                <w:rFonts w:ascii="Times New Roman"/>
                <w:sz w:val="20"/>
              </w:rPr>
            </w:pPr>
          </w:p>
        </w:tc>
        <w:tc>
          <w:tcPr>
            <w:tcW w:w="5636" w:type="dxa"/>
          </w:tcPr>
          <w:p>
            <w:pPr>
              <w:pStyle w:val="TableParagraph"/>
              <w:spacing w:before="110"/>
              <w:ind w:left="122"/>
              <w:rPr>
                <w:sz w:val="21"/>
              </w:rPr>
            </w:pPr>
            <w:r>
              <w:rPr>
                <w:spacing w:val="-10"/>
                <w:sz w:val="21"/>
              </w:rPr>
              <w:t>甲状腺癌的 </w:t>
            </w:r>
            <w:r>
              <w:rPr>
                <w:spacing w:val="-2"/>
                <w:sz w:val="21"/>
              </w:rPr>
              <w:t>TNM</w:t>
            </w:r>
            <w:r>
              <w:rPr>
                <w:spacing w:val="-13"/>
                <w:sz w:val="21"/>
              </w:rPr>
              <w:t> 分期采用目前现行的 </w:t>
            </w:r>
            <w:r>
              <w:rPr>
                <w:spacing w:val="-2"/>
                <w:sz w:val="21"/>
              </w:rPr>
              <w:t>AJCC</w:t>
            </w:r>
            <w:r>
              <w:rPr>
                <w:spacing w:val="-11"/>
                <w:sz w:val="21"/>
              </w:rPr>
              <w:t> 第八版定义标</w:t>
            </w:r>
          </w:p>
        </w:tc>
      </w:tr>
      <w:tr>
        <w:trPr>
          <w:trHeight w:val="360" w:hRule="atLeast"/>
        </w:trPr>
        <w:tc>
          <w:tcPr>
            <w:tcW w:w="806" w:type="dxa"/>
          </w:tcPr>
          <w:p>
            <w:pPr>
              <w:pStyle w:val="TableParagraph"/>
              <w:rPr>
                <w:rFonts w:ascii="Times New Roman"/>
                <w:sz w:val="20"/>
              </w:rPr>
            </w:pPr>
          </w:p>
        </w:tc>
        <w:tc>
          <w:tcPr>
            <w:tcW w:w="1724" w:type="dxa"/>
          </w:tcPr>
          <w:p>
            <w:pPr>
              <w:pStyle w:val="TableParagraph"/>
              <w:rPr>
                <w:rFonts w:ascii="Times New Roman"/>
                <w:sz w:val="20"/>
              </w:rPr>
            </w:pPr>
          </w:p>
        </w:tc>
        <w:tc>
          <w:tcPr>
            <w:tcW w:w="5636" w:type="dxa"/>
          </w:tcPr>
          <w:p>
            <w:pPr>
              <w:pStyle w:val="TableParagraph"/>
              <w:spacing w:before="46"/>
              <w:ind w:left="122"/>
              <w:rPr>
                <w:sz w:val="21"/>
              </w:rPr>
            </w:pPr>
            <w:r>
              <w:rPr>
                <w:spacing w:val="-6"/>
                <w:sz w:val="21"/>
              </w:rPr>
              <w:t>准，我国国家卫生健康委员会 </w:t>
            </w:r>
            <w:r>
              <w:rPr>
                <w:spacing w:val="-2"/>
                <w:sz w:val="21"/>
              </w:rPr>
              <w:t>2018</w:t>
            </w:r>
            <w:r>
              <w:rPr>
                <w:spacing w:val="-9"/>
                <w:sz w:val="21"/>
              </w:rPr>
              <w:t> 年发布的《甲状腺癌诊</w:t>
            </w:r>
          </w:p>
        </w:tc>
      </w:tr>
      <w:tr>
        <w:trPr>
          <w:trHeight w:val="437" w:hRule="atLeast"/>
        </w:trPr>
        <w:tc>
          <w:tcPr>
            <w:tcW w:w="806" w:type="dxa"/>
          </w:tcPr>
          <w:p>
            <w:pPr>
              <w:pStyle w:val="TableParagraph"/>
              <w:rPr>
                <w:rFonts w:ascii="Times New Roman"/>
                <w:sz w:val="20"/>
              </w:rPr>
            </w:pPr>
          </w:p>
        </w:tc>
        <w:tc>
          <w:tcPr>
            <w:tcW w:w="1724" w:type="dxa"/>
          </w:tcPr>
          <w:p>
            <w:pPr>
              <w:pStyle w:val="TableParagraph"/>
              <w:rPr>
                <w:rFonts w:ascii="Times New Roman"/>
                <w:sz w:val="20"/>
              </w:rPr>
            </w:pPr>
          </w:p>
        </w:tc>
        <w:tc>
          <w:tcPr>
            <w:tcW w:w="5636" w:type="dxa"/>
          </w:tcPr>
          <w:p>
            <w:pPr>
              <w:pStyle w:val="TableParagraph"/>
              <w:spacing w:before="46"/>
              <w:ind w:left="122"/>
              <w:rPr>
                <w:sz w:val="21"/>
              </w:rPr>
            </w:pPr>
            <w:r>
              <w:rPr>
                <w:spacing w:val="-2"/>
                <w:sz w:val="21"/>
              </w:rPr>
              <w:t>疗规范（2018</w:t>
            </w:r>
            <w:r>
              <w:rPr>
                <w:spacing w:val="-13"/>
                <w:sz w:val="21"/>
              </w:rPr>
              <w:t> 年版</w:t>
            </w:r>
            <w:r>
              <w:rPr>
                <w:spacing w:val="-2"/>
                <w:sz w:val="21"/>
              </w:rPr>
              <w:t>）</w:t>
            </w:r>
            <w:r>
              <w:rPr>
                <w:spacing w:val="-3"/>
                <w:sz w:val="21"/>
              </w:rPr>
              <w:t>》也采用此定义标准，具体见下：</w:t>
            </w:r>
          </w:p>
        </w:tc>
      </w:tr>
      <w:tr>
        <w:trPr>
          <w:trHeight w:val="436" w:hRule="atLeast"/>
        </w:trPr>
        <w:tc>
          <w:tcPr>
            <w:tcW w:w="806" w:type="dxa"/>
          </w:tcPr>
          <w:p>
            <w:pPr>
              <w:pStyle w:val="TableParagraph"/>
              <w:rPr>
                <w:rFonts w:ascii="Times New Roman"/>
                <w:sz w:val="20"/>
              </w:rPr>
            </w:pPr>
          </w:p>
        </w:tc>
        <w:tc>
          <w:tcPr>
            <w:tcW w:w="1724" w:type="dxa"/>
          </w:tcPr>
          <w:p>
            <w:pPr>
              <w:pStyle w:val="TableParagraph"/>
              <w:rPr>
                <w:rFonts w:ascii="Times New Roman"/>
                <w:sz w:val="20"/>
              </w:rPr>
            </w:pPr>
          </w:p>
        </w:tc>
        <w:tc>
          <w:tcPr>
            <w:tcW w:w="5636" w:type="dxa"/>
          </w:tcPr>
          <w:p>
            <w:pPr>
              <w:pStyle w:val="TableParagraph"/>
              <w:spacing w:before="122"/>
              <w:ind w:left="122"/>
              <w:rPr>
                <w:sz w:val="21"/>
              </w:rPr>
            </w:pPr>
            <w:r>
              <w:rPr>
                <w:spacing w:val="-2"/>
                <w:sz w:val="21"/>
              </w:rPr>
              <w:t>甲状腺乳头状癌、滤泡癌、低分化癌、Hürthle</w:t>
            </w:r>
            <w:r>
              <w:rPr>
                <w:spacing w:val="-8"/>
                <w:sz w:val="21"/>
              </w:rPr>
              <w:t> 细胞癌和未</w:t>
            </w:r>
          </w:p>
        </w:tc>
      </w:tr>
      <w:tr>
        <w:trPr>
          <w:trHeight w:val="347" w:hRule="atLeast"/>
        </w:trPr>
        <w:tc>
          <w:tcPr>
            <w:tcW w:w="806" w:type="dxa"/>
          </w:tcPr>
          <w:p>
            <w:pPr>
              <w:pStyle w:val="TableParagraph"/>
              <w:rPr>
                <w:rFonts w:ascii="Times New Roman"/>
                <w:sz w:val="20"/>
              </w:rPr>
            </w:pPr>
          </w:p>
        </w:tc>
        <w:tc>
          <w:tcPr>
            <w:tcW w:w="1724" w:type="dxa"/>
          </w:tcPr>
          <w:p>
            <w:pPr>
              <w:pStyle w:val="TableParagraph"/>
              <w:rPr>
                <w:rFonts w:ascii="Times New Roman"/>
                <w:sz w:val="20"/>
              </w:rPr>
            </w:pPr>
          </w:p>
        </w:tc>
        <w:tc>
          <w:tcPr>
            <w:tcW w:w="5636" w:type="dxa"/>
          </w:tcPr>
          <w:p>
            <w:pPr>
              <w:pStyle w:val="TableParagraph"/>
              <w:spacing w:before="46"/>
              <w:ind w:left="122"/>
              <w:rPr>
                <w:sz w:val="21"/>
              </w:rPr>
            </w:pPr>
            <w:r>
              <w:rPr>
                <w:spacing w:val="-4"/>
                <w:sz w:val="21"/>
              </w:rPr>
              <w:t>分化癌</w:t>
            </w:r>
          </w:p>
        </w:tc>
      </w:tr>
      <w:tr>
        <w:trPr>
          <w:trHeight w:val="323" w:hRule="atLeast"/>
        </w:trPr>
        <w:tc>
          <w:tcPr>
            <w:tcW w:w="806" w:type="dxa"/>
          </w:tcPr>
          <w:p>
            <w:pPr>
              <w:pStyle w:val="TableParagraph"/>
              <w:rPr>
                <w:rFonts w:ascii="Times New Roman"/>
                <w:sz w:val="20"/>
              </w:rPr>
            </w:pPr>
          </w:p>
        </w:tc>
        <w:tc>
          <w:tcPr>
            <w:tcW w:w="1724" w:type="dxa"/>
          </w:tcPr>
          <w:p>
            <w:pPr>
              <w:pStyle w:val="TableParagraph"/>
              <w:rPr>
                <w:rFonts w:ascii="Times New Roman"/>
                <w:sz w:val="20"/>
              </w:rPr>
            </w:pPr>
          </w:p>
        </w:tc>
        <w:tc>
          <w:tcPr>
            <w:tcW w:w="5636" w:type="dxa"/>
          </w:tcPr>
          <w:p>
            <w:pPr>
              <w:pStyle w:val="TableParagraph"/>
              <w:spacing w:before="33"/>
              <w:ind w:left="122"/>
              <w:rPr>
                <w:sz w:val="21"/>
              </w:rPr>
            </w:pPr>
            <w:r>
              <w:rPr>
                <w:spacing w:val="-2"/>
                <w:position w:val="1"/>
                <w:sz w:val="21"/>
              </w:rPr>
              <w:t>pT</w:t>
            </w:r>
            <w:r>
              <w:rPr>
                <w:spacing w:val="-2"/>
                <w:sz w:val="11"/>
              </w:rPr>
              <w:t>X</w:t>
            </w:r>
            <w:r>
              <w:rPr>
                <w:spacing w:val="-3"/>
                <w:position w:val="1"/>
                <w:sz w:val="21"/>
              </w:rPr>
              <w:t>：原发肿瘤不能评估</w:t>
            </w:r>
          </w:p>
        </w:tc>
      </w:tr>
      <w:tr>
        <w:trPr>
          <w:trHeight w:val="312" w:hRule="atLeast"/>
        </w:trPr>
        <w:tc>
          <w:tcPr>
            <w:tcW w:w="806" w:type="dxa"/>
          </w:tcPr>
          <w:p>
            <w:pPr>
              <w:pStyle w:val="TableParagraph"/>
              <w:rPr>
                <w:rFonts w:ascii="Times New Roman"/>
                <w:sz w:val="20"/>
              </w:rPr>
            </w:pPr>
          </w:p>
        </w:tc>
        <w:tc>
          <w:tcPr>
            <w:tcW w:w="1724" w:type="dxa"/>
          </w:tcPr>
          <w:p>
            <w:pPr>
              <w:pStyle w:val="TableParagraph"/>
              <w:rPr>
                <w:rFonts w:ascii="Times New Roman"/>
                <w:sz w:val="20"/>
              </w:rPr>
            </w:pPr>
          </w:p>
        </w:tc>
        <w:tc>
          <w:tcPr>
            <w:tcW w:w="5636" w:type="dxa"/>
          </w:tcPr>
          <w:p>
            <w:pPr>
              <w:pStyle w:val="TableParagraph"/>
              <w:spacing w:before="21"/>
              <w:ind w:left="122"/>
              <w:rPr>
                <w:sz w:val="21"/>
              </w:rPr>
            </w:pPr>
            <w:r>
              <w:rPr>
                <w:spacing w:val="-2"/>
                <w:position w:val="1"/>
                <w:sz w:val="21"/>
              </w:rPr>
              <w:t>pT</w:t>
            </w:r>
            <w:r>
              <w:rPr>
                <w:spacing w:val="-2"/>
                <w:sz w:val="11"/>
              </w:rPr>
              <w:t>0</w:t>
            </w:r>
            <w:r>
              <w:rPr>
                <w:spacing w:val="-4"/>
                <w:position w:val="1"/>
                <w:sz w:val="21"/>
              </w:rPr>
              <w:t>：无肿瘤证据</w:t>
            </w:r>
          </w:p>
        </w:tc>
      </w:tr>
      <w:tr>
        <w:trPr>
          <w:trHeight w:val="261" w:hRule="atLeast"/>
        </w:trPr>
        <w:tc>
          <w:tcPr>
            <w:tcW w:w="806" w:type="dxa"/>
          </w:tcPr>
          <w:p>
            <w:pPr>
              <w:pStyle w:val="TableParagraph"/>
              <w:rPr>
                <w:rFonts w:ascii="Times New Roman"/>
                <w:sz w:val="18"/>
              </w:rPr>
            </w:pPr>
          </w:p>
        </w:tc>
        <w:tc>
          <w:tcPr>
            <w:tcW w:w="1724" w:type="dxa"/>
          </w:tcPr>
          <w:p>
            <w:pPr>
              <w:pStyle w:val="TableParagraph"/>
              <w:rPr>
                <w:rFonts w:ascii="Times New Roman"/>
                <w:sz w:val="18"/>
              </w:rPr>
            </w:pPr>
          </w:p>
        </w:tc>
        <w:tc>
          <w:tcPr>
            <w:tcW w:w="5636" w:type="dxa"/>
          </w:tcPr>
          <w:p>
            <w:pPr>
              <w:pStyle w:val="TableParagraph"/>
              <w:spacing w:line="220" w:lineRule="exact" w:before="22"/>
              <w:ind w:left="122"/>
              <w:rPr>
                <w:sz w:val="21"/>
              </w:rPr>
            </w:pPr>
            <w:r>
              <w:rPr>
                <w:spacing w:val="-2"/>
                <w:position w:val="1"/>
                <w:sz w:val="21"/>
              </w:rPr>
              <w:t>pT</w:t>
            </w:r>
            <w:r>
              <w:rPr>
                <w:spacing w:val="-2"/>
                <w:sz w:val="11"/>
              </w:rPr>
              <w:t>1</w:t>
            </w:r>
            <w:r>
              <w:rPr>
                <w:spacing w:val="-3"/>
                <w:position w:val="1"/>
                <w:sz w:val="21"/>
              </w:rPr>
              <w:t>：肿瘤局限在甲状腺内，最大径≤</w:t>
            </w:r>
            <w:r>
              <w:rPr>
                <w:spacing w:val="-4"/>
                <w:position w:val="1"/>
                <w:sz w:val="21"/>
              </w:rPr>
              <w:t>2cm</w:t>
            </w:r>
          </w:p>
        </w:tc>
      </w:tr>
    </w:tbl>
    <w:p>
      <w:pPr>
        <w:spacing w:before="77"/>
        <w:ind w:left="3951" w:right="0" w:firstLine="0"/>
        <w:jc w:val="left"/>
        <w:rPr>
          <w:sz w:val="21"/>
        </w:rPr>
      </w:pPr>
      <w:r>
        <w:rPr>
          <w:spacing w:val="-2"/>
          <w:position w:val="1"/>
          <w:sz w:val="21"/>
        </w:rPr>
        <w:t>T</w:t>
      </w:r>
      <w:r>
        <w:rPr>
          <w:spacing w:val="-2"/>
          <w:sz w:val="11"/>
        </w:rPr>
        <w:t>1a</w:t>
      </w:r>
      <w:r>
        <w:rPr>
          <w:spacing w:val="-16"/>
          <w:sz w:val="11"/>
        </w:rPr>
        <w:t> </w:t>
      </w:r>
      <w:r>
        <w:rPr>
          <w:spacing w:val="-2"/>
          <w:position w:val="1"/>
          <w:sz w:val="21"/>
        </w:rPr>
        <w:t>肿瘤最大径</w:t>
      </w:r>
      <w:r>
        <w:rPr>
          <w:spacing w:val="-4"/>
          <w:position w:val="1"/>
          <w:sz w:val="21"/>
        </w:rPr>
        <w:t>≤1cm</w:t>
      </w:r>
    </w:p>
    <w:p>
      <w:pPr>
        <w:pStyle w:val="BodyText"/>
        <w:spacing w:line="278" w:lineRule="auto" w:before="43"/>
        <w:ind w:left="3529" w:right="4008" w:firstLine="422"/>
      </w:pPr>
      <w:r>
        <w:rPr>
          <w:position w:val="1"/>
        </w:rPr>
        <w:t>T</w:t>
      </w:r>
      <w:r>
        <w:rPr>
          <w:sz w:val="11"/>
        </w:rPr>
        <w:t>1b</w:t>
      </w:r>
      <w:r>
        <w:rPr>
          <w:spacing w:val="-29"/>
          <w:sz w:val="11"/>
        </w:rPr>
        <w:t> </w:t>
      </w:r>
      <w:r>
        <w:rPr>
          <w:position w:val="1"/>
        </w:rPr>
        <w:t>肿瘤最大径</w:t>
      </w:r>
      <w:r>
        <w:rPr>
          <w:position w:val="1"/>
        </w:rPr>
        <w:t>＞1cm，≤2cm pT</w:t>
      </w:r>
      <w:r>
        <w:rPr>
          <w:sz w:val="11"/>
        </w:rPr>
        <w:t>2</w:t>
      </w:r>
      <w:r>
        <w:rPr>
          <w:position w:val="1"/>
        </w:rPr>
        <w:t>：肿瘤 2～4cm</w:t>
      </w:r>
    </w:p>
    <w:p>
      <w:pPr>
        <w:pStyle w:val="BodyText"/>
        <w:spacing w:line="278" w:lineRule="auto"/>
        <w:ind w:left="3529" w:right="1683"/>
      </w:pPr>
      <w:r>
        <w:rPr>
          <w:spacing w:val="-2"/>
          <w:position w:val="1"/>
        </w:rPr>
        <w:t>pT</w:t>
      </w:r>
      <w:r>
        <w:rPr>
          <w:spacing w:val="-2"/>
          <w:sz w:val="11"/>
        </w:rPr>
        <w:t>3</w:t>
      </w:r>
      <w:r>
        <w:rPr>
          <w:spacing w:val="-2"/>
          <w:position w:val="1"/>
        </w:rPr>
        <w:t>：肿瘤&gt;4cm，局限于甲状腺内或大体侵犯甲状腺外带状</w:t>
      </w:r>
      <w:r>
        <w:rPr>
          <w:spacing w:val="-10"/>
        </w:rPr>
        <w:t>肌</w:t>
      </w:r>
    </w:p>
    <w:p>
      <w:pPr>
        <w:pStyle w:val="BodyText"/>
        <w:spacing w:line="278" w:lineRule="auto"/>
        <w:ind w:left="3529" w:right="2677"/>
      </w:pPr>
      <w:r>
        <w:rPr>
          <w:spacing w:val="-2"/>
          <w:position w:val="1"/>
        </w:rPr>
        <w:t>pT</w:t>
      </w:r>
      <w:r>
        <w:rPr>
          <w:spacing w:val="-2"/>
          <w:sz w:val="11"/>
        </w:rPr>
        <w:t>3a</w:t>
      </w:r>
      <w:r>
        <w:rPr>
          <w:spacing w:val="-2"/>
          <w:position w:val="1"/>
        </w:rPr>
        <w:t>：肿瘤&gt;4cm，局限于甲状腺内</w:t>
      </w:r>
      <w:r>
        <w:rPr>
          <w:spacing w:val="80"/>
          <w:w w:val="150"/>
          <w:position w:val="1"/>
        </w:rPr>
        <w:t>    </w:t>
      </w:r>
      <w:r>
        <w:rPr>
          <w:spacing w:val="-2"/>
          <w:position w:val="1"/>
        </w:rPr>
        <w:t>pT</w:t>
      </w:r>
      <w:r>
        <w:rPr>
          <w:spacing w:val="-2"/>
          <w:sz w:val="11"/>
        </w:rPr>
        <w:t>3b</w:t>
      </w:r>
      <w:r>
        <w:rPr>
          <w:spacing w:val="-2"/>
          <w:position w:val="1"/>
        </w:rPr>
        <w:t>：大体侵犯甲状腺外带状肌，无论肿瘤大小</w:t>
      </w:r>
    </w:p>
    <w:p>
      <w:pPr>
        <w:pStyle w:val="BodyText"/>
        <w:spacing w:line="278" w:lineRule="auto" w:before="1"/>
        <w:ind w:left="3951" w:right="1530"/>
      </w:pPr>
      <w:r>
        <w:rPr>
          <w:spacing w:val="-2"/>
        </w:rPr>
        <w:t>带状肌包括：胸骨舌骨肌、胸骨甲状肌、甲状舌骨肌、</w:t>
      </w:r>
      <w:r>
        <w:rPr>
          <w:spacing w:val="-2"/>
        </w:rPr>
        <w:t>肩胛舌骨肌</w:t>
      </w:r>
    </w:p>
    <w:p>
      <w:pPr>
        <w:pStyle w:val="BodyText"/>
        <w:ind w:left="3529"/>
      </w:pPr>
      <w:r>
        <w:rPr>
          <w:spacing w:val="-2"/>
          <w:position w:val="1"/>
        </w:rPr>
        <w:t>pT</w:t>
      </w:r>
      <w:r>
        <w:rPr>
          <w:spacing w:val="-2"/>
          <w:sz w:val="11"/>
        </w:rPr>
        <w:t>4</w:t>
      </w:r>
      <w:r>
        <w:rPr>
          <w:spacing w:val="-3"/>
          <w:position w:val="1"/>
        </w:rPr>
        <w:t>：大体侵犯甲状腺外带状肌外</w:t>
      </w:r>
    </w:p>
    <w:p>
      <w:pPr>
        <w:pStyle w:val="BodyText"/>
        <w:spacing w:line="278" w:lineRule="auto" w:before="42"/>
        <w:ind w:left="3529" w:right="2260"/>
      </w:pPr>
      <w:r>
        <w:rPr>
          <w:spacing w:val="-2"/>
          <w:position w:val="1"/>
        </w:rPr>
        <w:t>pT</w:t>
      </w:r>
      <w:r>
        <w:rPr>
          <w:spacing w:val="-2"/>
          <w:sz w:val="11"/>
        </w:rPr>
        <w:t>4a</w:t>
      </w:r>
      <w:r>
        <w:rPr>
          <w:spacing w:val="-2"/>
          <w:position w:val="1"/>
        </w:rPr>
        <w:t>：侵犯喉、气管、食管、喉反神经及皮下软组织 pT</w:t>
      </w:r>
      <w:r>
        <w:rPr>
          <w:spacing w:val="-2"/>
          <w:sz w:val="11"/>
        </w:rPr>
        <w:t>4b</w:t>
      </w:r>
      <w:r>
        <w:rPr>
          <w:spacing w:val="-2"/>
          <w:position w:val="1"/>
        </w:rPr>
        <w:t>：侵犯椎前筋膜，或包裹颈动脉、纵隔血管</w:t>
      </w:r>
    </w:p>
    <w:p>
      <w:pPr>
        <w:pStyle w:val="BodyText"/>
        <w:spacing w:before="1"/>
        <w:ind w:left="3529"/>
      </w:pPr>
      <w:r>
        <w:rPr>
          <w:spacing w:val="-4"/>
        </w:rPr>
        <w:t>甲状腺髓样癌</w:t>
      </w:r>
    </w:p>
    <w:p>
      <w:pPr>
        <w:pStyle w:val="BodyText"/>
        <w:spacing w:line="278" w:lineRule="auto" w:before="42"/>
        <w:ind w:left="3529" w:right="4832"/>
      </w:pPr>
      <w:r>
        <w:rPr>
          <w:spacing w:val="-2"/>
          <w:position w:val="1"/>
        </w:rPr>
        <w:t>pT</w:t>
      </w:r>
      <w:r>
        <w:rPr>
          <w:spacing w:val="-2"/>
          <w:sz w:val="11"/>
        </w:rPr>
        <w:t>X</w:t>
      </w:r>
      <w:r>
        <w:rPr>
          <w:spacing w:val="-2"/>
          <w:position w:val="1"/>
        </w:rPr>
        <w:t>：原发肿瘤不能评估 pT</w:t>
      </w:r>
      <w:r>
        <w:rPr>
          <w:spacing w:val="-2"/>
          <w:sz w:val="11"/>
        </w:rPr>
        <w:t>0</w:t>
      </w:r>
      <w:r>
        <w:rPr>
          <w:spacing w:val="-2"/>
          <w:position w:val="1"/>
        </w:rPr>
        <w:t>：无肿瘤证据</w:t>
      </w:r>
    </w:p>
    <w:p>
      <w:pPr>
        <w:pStyle w:val="BodyText"/>
        <w:spacing w:line="278" w:lineRule="auto"/>
        <w:ind w:left="3951" w:right="3069" w:hanging="423"/>
      </w:pPr>
      <w:r>
        <w:rPr>
          <w:spacing w:val="-2"/>
          <w:position w:val="1"/>
        </w:rPr>
        <w:t>pT</w:t>
      </w:r>
      <w:r>
        <w:rPr>
          <w:spacing w:val="-2"/>
          <w:sz w:val="11"/>
        </w:rPr>
        <w:t>1</w:t>
      </w:r>
      <w:r>
        <w:rPr>
          <w:spacing w:val="-2"/>
          <w:position w:val="1"/>
        </w:rPr>
        <w:t>：肿瘤局限在甲状腺内，最大径≤2c</w:t>
      </w:r>
      <w:r>
        <w:rPr>
          <w:spacing w:val="-2"/>
          <w:position w:val="1"/>
        </w:rPr>
        <w:t>m </w:t>
      </w:r>
      <w:r>
        <w:rPr>
          <w:position w:val="1"/>
        </w:rPr>
        <w:t>T1</w:t>
      </w:r>
      <w:r>
        <w:rPr>
          <w:sz w:val="11"/>
        </w:rPr>
        <w:t>a</w:t>
      </w:r>
      <w:r>
        <w:rPr>
          <w:spacing w:val="-26"/>
          <w:sz w:val="11"/>
        </w:rPr>
        <w:t> </w:t>
      </w:r>
      <w:r>
        <w:rPr>
          <w:position w:val="1"/>
        </w:rPr>
        <w:t>肿瘤最大径≤1cm</w:t>
      </w:r>
    </w:p>
    <w:p>
      <w:pPr>
        <w:spacing w:after="0" w:line="278" w:lineRule="auto"/>
        <w:sectPr>
          <w:type w:val="continuous"/>
          <w:pgSz w:w="11910" w:h="16840"/>
          <w:pgMar w:header="0" w:footer="226" w:top="900" w:bottom="420" w:left="980" w:right="400"/>
        </w:sectPr>
      </w:pPr>
    </w:p>
    <w:p>
      <w:pPr>
        <w:pStyle w:val="BodyText"/>
        <w:spacing w:line="278" w:lineRule="auto" w:before="57"/>
        <w:ind w:left="3529" w:right="3953" w:firstLine="422"/>
      </w:pPr>
      <w:r>
        <w:rPr>
          <w:position w:val="1"/>
        </w:rPr>
        <w:t>T1</w:t>
      </w:r>
      <w:r>
        <w:rPr>
          <w:sz w:val="11"/>
        </w:rPr>
        <w:t>b</w:t>
      </w:r>
      <w:r>
        <w:rPr>
          <w:spacing w:val="-24"/>
          <w:sz w:val="11"/>
        </w:rPr>
        <w:t> </w:t>
      </w:r>
      <w:r>
        <w:rPr>
          <w:position w:val="1"/>
        </w:rPr>
        <w:t>肿瘤最大径</w:t>
      </w:r>
      <w:r>
        <w:rPr>
          <w:position w:val="1"/>
        </w:rPr>
        <w:t>＞1cm，≤2cm pT</w:t>
      </w:r>
      <w:r>
        <w:rPr>
          <w:sz w:val="11"/>
        </w:rPr>
        <w:t>2</w:t>
      </w:r>
      <w:r>
        <w:rPr>
          <w:position w:val="1"/>
        </w:rPr>
        <w:t>：肿瘤 2～4cm</w:t>
      </w:r>
    </w:p>
    <w:p>
      <w:pPr>
        <w:pStyle w:val="BodyText"/>
        <w:spacing w:line="278" w:lineRule="auto"/>
        <w:ind w:left="3529" w:right="1683"/>
      </w:pPr>
      <w:r>
        <w:rPr>
          <w:spacing w:val="-2"/>
          <w:position w:val="1"/>
        </w:rPr>
        <w:t>pT</w:t>
      </w:r>
      <w:r>
        <w:rPr>
          <w:spacing w:val="-2"/>
          <w:sz w:val="11"/>
        </w:rPr>
        <w:t>3</w:t>
      </w:r>
      <w:r>
        <w:rPr>
          <w:spacing w:val="-2"/>
          <w:position w:val="1"/>
        </w:rPr>
        <w:t>：肿瘤&gt;4cm，局限于甲状腺内或大体侵犯甲状腺外带状</w:t>
      </w:r>
      <w:r>
        <w:rPr>
          <w:spacing w:val="-10"/>
        </w:rPr>
        <w:t>肌</w:t>
      </w:r>
    </w:p>
    <w:p>
      <w:pPr>
        <w:pStyle w:val="BodyText"/>
        <w:spacing w:line="278" w:lineRule="auto"/>
        <w:ind w:left="3529" w:right="2677"/>
      </w:pPr>
      <w:r>
        <w:rPr>
          <w:spacing w:val="-2"/>
          <w:position w:val="1"/>
        </w:rPr>
        <w:t>pT</w:t>
      </w:r>
      <w:r>
        <w:rPr>
          <w:spacing w:val="-2"/>
          <w:sz w:val="11"/>
        </w:rPr>
        <w:t>3a</w:t>
      </w:r>
      <w:r>
        <w:rPr>
          <w:spacing w:val="-2"/>
          <w:position w:val="1"/>
        </w:rPr>
        <w:t>：肿瘤&gt;4cm，局限于甲状腺内</w:t>
      </w:r>
      <w:r>
        <w:rPr>
          <w:spacing w:val="80"/>
          <w:w w:val="150"/>
          <w:position w:val="1"/>
        </w:rPr>
        <w:t>    </w:t>
      </w:r>
      <w:r>
        <w:rPr>
          <w:spacing w:val="-2"/>
          <w:position w:val="1"/>
        </w:rPr>
        <w:t>pT</w:t>
      </w:r>
      <w:r>
        <w:rPr>
          <w:spacing w:val="-2"/>
          <w:sz w:val="11"/>
        </w:rPr>
        <w:t>3b</w:t>
      </w:r>
      <w:r>
        <w:rPr>
          <w:spacing w:val="-2"/>
          <w:position w:val="1"/>
        </w:rPr>
        <w:t>：大体侵犯甲状腺外带状肌，无论肿瘤大小</w:t>
      </w:r>
    </w:p>
    <w:p>
      <w:pPr>
        <w:pStyle w:val="BodyText"/>
        <w:spacing w:line="278" w:lineRule="auto"/>
        <w:ind w:left="3951" w:right="1530"/>
      </w:pPr>
      <w:r>
        <w:rPr>
          <w:spacing w:val="-2"/>
        </w:rPr>
        <w:t>带状肌包括：胸骨舌骨肌、胸骨甲状肌、甲状舌骨肌、</w:t>
      </w:r>
      <w:r>
        <w:rPr>
          <w:spacing w:val="-2"/>
        </w:rPr>
        <w:t>肩胛舌骨肌</w:t>
      </w:r>
    </w:p>
    <w:p>
      <w:pPr>
        <w:pStyle w:val="BodyText"/>
        <w:spacing w:line="268" w:lineRule="exact"/>
        <w:ind w:left="3529"/>
      </w:pPr>
      <w:r>
        <w:rPr>
          <w:spacing w:val="-2"/>
          <w:position w:val="1"/>
        </w:rPr>
        <w:t>pT</w:t>
      </w:r>
      <w:r>
        <w:rPr>
          <w:spacing w:val="-2"/>
          <w:sz w:val="11"/>
        </w:rPr>
        <w:t>4</w:t>
      </w:r>
      <w:r>
        <w:rPr>
          <w:spacing w:val="-4"/>
          <w:position w:val="1"/>
        </w:rPr>
        <w:t>：进展期病变</w:t>
      </w:r>
    </w:p>
    <w:p>
      <w:pPr>
        <w:pStyle w:val="BodyText"/>
        <w:spacing w:line="278" w:lineRule="auto" w:before="43"/>
        <w:ind w:left="3529" w:right="1631"/>
        <w:jc w:val="both"/>
      </w:pPr>
      <w:r>
        <w:rPr>
          <w:spacing w:val="-2"/>
          <w:position w:val="1"/>
        </w:rPr>
        <w:t>pT</w:t>
      </w:r>
      <w:r>
        <w:rPr>
          <w:spacing w:val="-2"/>
          <w:sz w:val="11"/>
        </w:rPr>
        <w:t>4a</w:t>
      </w:r>
      <w:r>
        <w:rPr>
          <w:spacing w:val="-2"/>
          <w:position w:val="1"/>
        </w:rPr>
        <w:t>：中度进展，任何大小的肿瘤，侵犯甲状腺外颈部周围</w:t>
      </w:r>
      <w:r>
        <w:rPr>
          <w:spacing w:val="-2"/>
        </w:rPr>
        <w:t>器官和软组织，如喉、气管、食 管、喉反神经及皮下软组</w:t>
      </w:r>
      <w:r>
        <w:rPr>
          <w:spacing w:val="-10"/>
        </w:rPr>
        <w:t>织</w:t>
      </w:r>
    </w:p>
    <w:p>
      <w:pPr>
        <w:pStyle w:val="BodyText"/>
        <w:spacing w:line="278" w:lineRule="auto"/>
        <w:ind w:left="3529" w:right="1631"/>
      </w:pPr>
      <w:r>
        <w:rPr>
          <w:spacing w:val="-2"/>
          <w:position w:val="1"/>
        </w:rPr>
        <w:t>pT</w:t>
      </w:r>
      <w:r>
        <w:rPr>
          <w:spacing w:val="-2"/>
          <w:sz w:val="11"/>
        </w:rPr>
        <w:t>4b</w:t>
      </w:r>
      <w:r>
        <w:rPr>
          <w:spacing w:val="-2"/>
          <w:position w:val="1"/>
        </w:rPr>
        <w:t>：重度进展，任何大小的肿瘤，侵犯椎前筋膜，或包裹</w:t>
      </w:r>
      <w:r>
        <w:rPr>
          <w:spacing w:val="-2"/>
        </w:rPr>
        <w:t>颈动脉、纵隔血管</w:t>
      </w:r>
    </w:p>
    <w:p>
      <w:pPr>
        <w:pStyle w:val="BodyText"/>
        <w:spacing w:line="278" w:lineRule="auto"/>
        <w:ind w:left="3529" w:right="3839"/>
      </w:pPr>
      <w:r>
        <w:rPr>
          <w:spacing w:val="-2"/>
        </w:rPr>
        <w:t>区域淋巴结：适用于所有甲状腺癌 </w:t>
      </w:r>
      <w:r>
        <w:rPr>
          <w:spacing w:val="-2"/>
          <w:position w:val="1"/>
        </w:rPr>
        <w:t>pN</w:t>
      </w:r>
      <w:r>
        <w:rPr>
          <w:spacing w:val="-2"/>
          <w:sz w:val="11"/>
        </w:rPr>
        <w:t>x</w:t>
      </w:r>
      <w:r>
        <w:rPr>
          <w:spacing w:val="-2"/>
          <w:position w:val="1"/>
        </w:rPr>
        <w:t>：区域淋巴结无法评估</w:t>
      </w:r>
      <w:r>
        <w:rPr>
          <w:spacing w:val="80"/>
          <w:w w:val="150"/>
          <w:position w:val="1"/>
        </w:rPr>
        <w:t>  </w:t>
      </w:r>
      <w:r>
        <w:rPr>
          <w:spacing w:val="-2"/>
          <w:position w:val="1"/>
        </w:rPr>
        <w:t>pN</w:t>
      </w:r>
      <w:r>
        <w:rPr>
          <w:spacing w:val="-2"/>
          <w:sz w:val="11"/>
        </w:rPr>
        <w:t>0</w:t>
      </w:r>
      <w:r>
        <w:rPr>
          <w:spacing w:val="-2"/>
          <w:position w:val="1"/>
        </w:rPr>
        <w:t>：无淋巴结转移证据</w:t>
      </w:r>
    </w:p>
    <w:p>
      <w:pPr>
        <w:pStyle w:val="BodyText"/>
        <w:spacing w:line="278" w:lineRule="auto"/>
        <w:ind w:left="3529" w:right="2260"/>
      </w:pPr>
      <w:r>
        <w:rPr>
          <w:spacing w:val="-2"/>
          <w:position w:val="1"/>
        </w:rPr>
        <w:t>pN</w:t>
      </w:r>
      <w:r>
        <w:rPr>
          <w:spacing w:val="-2"/>
          <w:sz w:val="11"/>
        </w:rPr>
        <w:t>1</w:t>
      </w:r>
      <w:r>
        <w:rPr>
          <w:spacing w:val="-2"/>
          <w:position w:val="1"/>
        </w:rPr>
        <w:t>：区域淋巴结转移</w:t>
      </w:r>
      <w:r>
        <w:rPr>
          <w:spacing w:val="80"/>
          <w:w w:val="150"/>
          <w:position w:val="1"/>
        </w:rPr>
        <w:t>          </w:t>
      </w:r>
      <w:r>
        <w:rPr>
          <w:spacing w:val="-2"/>
          <w:position w:val="1"/>
        </w:rPr>
        <w:t>pN</w:t>
      </w:r>
      <w:r>
        <w:rPr>
          <w:spacing w:val="-2"/>
          <w:sz w:val="11"/>
        </w:rPr>
        <w:t>1a</w:t>
      </w:r>
      <w:r>
        <w:rPr>
          <w:spacing w:val="-2"/>
          <w:position w:val="1"/>
        </w:rPr>
        <w:t>：转移至Ⅵ、Ⅶ区（包括气管旁、气管前、喉前</w:t>
      </w:r>
    </w:p>
    <w:p>
      <w:pPr>
        <w:pStyle w:val="BodyText"/>
        <w:spacing w:line="278" w:lineRule="auto"/>
        <w:ind w:left="3529" w:right="1631"/>
      </w:pPr>
      <w:r>
        <w:rPr/>
        <w:t>/Delphian</w:t>
      </w:r>
      <w:r>
        <w:rPr>
          <w:spacing w:val="-9"/>
        </w:rPr>
        <w:t> 或上纵隔</w:t>
      </w:r>
      <w:r>
        <w:rPr/>
        <w:t>）淋巴结，可以为单侧或双侧。 </w:t>
      </w:r>
      <w:r>
        <w:rPr>
          <w:spacing w:val="-2"/>
          <w:position w:val="1"/>
        </w:rPr>
        <w:t>pN</w:t>
      </w:r>
      <w:r>
        <w:rPr>
          <w:spacing w:val="-2"/>
          <w:sz w:val="11"/>
        </w:rPr>
        <w:t>1b</w:t>
      </w:r>
      <w:r>
        <w:rPr>
          <w:spacing w:val="-2"/>
          <w:position w:val="1"/>
        </w:rPr>
        <w:t>：单侧、双侧或对侧颈淋巴结转移（包括Ⅰ、Ⅱ、Ⅲ、 </w:t>
      </w:r>
      <w:r>
        <w:rPr>
          <w:spacing w:val="-2"/>
        </w:rPr>
        <w:t>Ⅳ或Ⅴ区）淋巴结或咽后淋巴结转移。</w:t>
      </w:r>
    </w:p>
    <w:p>
      <w:pPr>
        <w:pStyle w:val="BodyText"/>
        <w:spacing w:line="278" w:lineRule="auto"/>
        <w:ind w:left="3529" w:right="4050"/>
      </w:pPr>
      <w:r>
        <w:rPr>
          <w:spacing w:val="-2"/>
        </w:rPr>
        <w:t>远处转移：适用于所有甲状腺癌 </w:t>
      </w:r>
      <w:r>
        <w:rPr>
          <w:spacing w:val="-2"/>
          <w:position w:val="1"/>
        </w:rPr>
        <w:t>M</w:t>
      </w:r>
      <w:r>
        <w:rPr>
          <w:spacing w:val="-2"/>
          <w:sz w:val="11"/>
        </w:rPr>
        <w:t>0</w:t>
      </w:r>
      <w:r>
        <w:rPr>
          <w:spacing w:val="-2"/>
          <w:position w:val="1"/>
        </w:rPr>
        <w:t>：无远处转移</w:t>
      </w:r>
    </w:p>
    <w:p>
      <w:pPr>
        <w:pStyle w:val="BodyText"/>
        <w:spacing w:line="268" w:lineRule="exact" w:after="19"/>
        <w:ind w:left="3529"/>
      </w:pPr>
      <w:r>
        <w:rPr>
          <w:spacing w:val="-2"/>
          <w:position w:val="1"/>
        </w:rPr>
        <w:t>M</w:t>
      </w:r>
      <w:r>
        <w:rPr>
          <w:spacing w:val="-2"/>
          <w:sz w:val="11"/>
        </w:rPr>
        <w:t>1</w:t>
      </w:r>
      <w:r>
        <w:rPr>
          <w:spacing w:val="-4"/>
          <w:position w:val="1"/>
        </w:rPr>
        <w:t>：有远处转移</w:t>
      </w:r>
    </w:p>
    <w:tbl>
      <w:tblPr>
        <w:tblW w:w="0" w:type="auto"/>
        <w:jc w:val="left"/>
        <w:tblInd w:w="35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368"/>
        <w:gridCol w:w="1373"/>
        <w:gridCol w:w="1373"/>
        <w:gridCol w:w="1368"/>
      </w:tblGrid>
      <w:tr>
        <w:trPr>
          <w:trHeight w:val="312" w:hRule="atLeast"/>
        </w:trPr>
        <w:tc>
          <w:tcPr>
            <w:tcW w:w="5482" w:type="dxa"/>
            <w:gridSpan w:val="4"/>
          </w:tcPr>
          <w:p>
            <w:pPr>
              <w:pStyle w:val="TableParagraph"/>
              <w:spacing w:line="267" w:lineRule="exact" w:before="25"/>
              <w:ind w:left="105"/>
              <w:rPr>
                <w:sz w:val="21"/>
              </w:rPr>
            </w:pPr>
            <w:r>
              <w:rPr>
                <w:spacing w:val="-2"/>
                <w:sz w:val="21"/>
              </w:rPr>
              <w:t>乳头状或滤泡状癌（分化型</w:t>
            </w:r>
            <w:r>
              <w:rPr>
                <w:spacing w:val="-10"/>
                <w:sz w:val="21"/>
              </w:rPr>
              <w:t>）</w:t>
            </w:r>
          </w:p>
        </w:tc>
      </w:tr>
      <w:tr>
        <w:trPr>
          <w:trHeight w:val="311" w:hRule="atLeast"/>
        </w:trPr>
        <w:tc>
          <w:tcPr>
            <w:tcW w:w="5482" w:type="dxa"/>
            <w:gridSpan w:val="4"/>
          </w:tcPr>
          <w:p>
            <w:pPr>
              <w:pStyle w:val="TableParagraph"/>
              <w:spacing w:line="267" w:lineRule="exact" w:before="25"/>
              <w:ind w:left="105"/>
              <w:rPr>
                <w:sz w:val="21"/>
              </w:rPr>
            </w:pPr>
            <w:r>
              <w:rPr>
                <w:sz w:val="21"/>
              </w:rPr>
              <w:t>年龄&lt;55</w:t>
            </w:r>
            <w:r>
              <w:rPr>
                <w:spacing w:val="-32"/>
                <w:sz w:val="21"/>
              </w:rPr>
              <w:t> 岁</w:t>
            </w:r>
          </w:p>
        </w:tc>
      </w:tr>
      <w:tr>
        <w:trPr>
          <w:trHeight w:val="311" w:hRule="atLeast"/>
        </w:trPr>
        <w:tc>
          <w:tcPr>
            <w:tcW w:w="1368" w:type="dxa"/>
          </w:tcPr>
          <w:p>
            <w:pPr>
              <w:pStyle w:val="TableParagraph"/>
              <w:rPr>
                <w:rFonts w:ascii="Times New Roman"/>
                <w:sz w:val="20"/>
              </w:rPr>
            </w:pPr>
          </w:p>
        </w:tc>
        <w:tc>
          <w:tcPr>
            <w:tcW w:w="1373" w:type="dxa"/>
          </w:tcPr>
          <w:p>
            <w:pPr>
              <w:pStyle w:val="TableParagraph"/>
              <w:spacing w:line="267" w:lineRule="exact" w:before="25"/>
              <w:ind w:left="105"/>
              <w:rPr>
                <w:sz w:val="21"/>
              </w:rPr>
            </w:pPr>
            <w:r>
              <w:rPr>
                <w:w w:val="100"/>
                <w:sz w:val="21"/>
              </w:rPr>
              <w:t>T</w:t>
            </w:r>
          </w:p>
        </w:tc>
        <w:tc>
          <w:tcPr>
            <w:tcW w:w="1373" w:type="dxa"/>
          </w:tcPr>
          <w:p>
            <w:pPr>
              <w:pStyle w:val="TableParagraph"/>
              <w:spacing w:line="267" w:lineRule="exact" w:before="25"/>
              <w:ind w:left="106"/>
              <w:rPr>
                <w:sz w:val="21"/>
              </w:rPr>
            </w:pPr>
            <w:r>
              <w:rPr>
                <w:w w:val="100"/>
                <w:sz w:val="21"/>
              </w:rPr>
              <w:t>N</w:t>
            </w:r>
          </w:p>
        </w:tc>
        <w:tc>
          <w:tcPr>
            <w:tcW w:w="1368" w:type="dxa"/>
          </w:tcPr>
          <w:p>
            <w:pPr>
              <w:pStyle w:val="TableParagraph"/>
              <w:spacing w:line="267" w:lineRule="exact" w:before="25"/>
              <w:ind w:left="106"/>
              <w:rPr>
                <w:sz w:val="21"/>
              </w:rPr>
            </w:pPr>
            <w:r>
              <w:rPr>
                <w:w w:val="100"/>
                <w:sz w:val="21"/>
              </w:rPr>
              <w:t>M</w:t>
            </w:r>
          </w:p>
        </w:tc>
      </w:tr>
      <w:tr>
        <w:trPr>
          <w:trHeight w:val="311" w:hRule="atLeast"/>
        </w:trPr>
        <w:tc>
          <w:tcPr>
            <w:tcW w:w="1368" w:type="dxa"/>
          </w:tcPr>
          <w:p>
            <w:pPr>
              <w:pStyle w:val="TableParagraph"/>
              <w:spacing w:line="267" w:lineRule="exact" w:before="25"/>
              <w:ind w:left="105"/>
              <w:rPr>
                <w:sz w:val="21"/>
              </w:rPr>
            </w:pPr>
            <w:r>
              <w:rPr>
                <w:spacing w:val="-5"/>
                <w:sz w:val="21"/>
              </w:rPr>
              <w:t>Ⅰ期</w:t>
            </w:r>
          </w:p>
        </w:tc>
        <w:tc>
          <w:tcPr>
            <w:tcW w:w="1373" w:type="dxa"/>
          </w:tcPr>
          <w:p>
            <w:pPr>
              <w:pStyle w:val="TableParagraph"/>
              <w:spacing w:line="267" w:lineRule="exact" w:before="25"/>
              <w:ind w:left="105"/>
              <w:rPr>
                <w:sz w:val="21"/>
              </w:rPr>
            </w:pPr>
            <w:r>
              <w:rPr>
                <w:spacing w:val="-5"/>
                <w:sz w:val="21"/>
              </w:rPr>
              <w:t>任何</w:t>
            </w:r>
          </w:p>
        </w:tc>
        <w:tc>
          <w:tcPr>
            <w:tcW w:w="1373" w:type="dxa"/>
          </w:tcPr>
          <w:p>
            <w:pPr>
              <w:pStyle w:val="TableParagraph"/>
              <w:spacing w:line="267" w:lineRule="exact" w:before="25"/>
              <w:ind w:left="106"/>
              <w:rPr>
                <w:sz w:val="21"/>
              </w:rPr>
            </w:pPr>
            <w:r>
              <w:rPr>
                <w:spacing w:val="-5"/>
                <w:sz w:val="21"/>
              </w:rPr>
              <w:t>任何</w:t>
            </w:r>
          </w:p>
        </w:tc>
        <w:tc>
          <w:tcPr>
            <w:tcW w:w="1368" w:type="dxa"/>
          </w:tcPr>
          <w:p>
            <w:pPr>
              <w:pStyle w:val="TableParagraph"/>
              <w:spacing w:line="267" w:lineRule="exact" w:before="25"/>
              <w:ind w:left="106"/>
              <w:rPr>
                <w:sz w:val="21"/>
              </w:rPr>
            </w:pPr>
            <w:r>
              <w:rPr>
                <w:w w:val="100"/>
                <w:sz w:val="21"/>
              </w:rPr>
              <w:t>0</w:t>
            </w:r>
          </w:p>
        </w:tc>
      </w:tr>
      <w:tr>
        <w:trPr>
          <w:trHeight w:val="311" w:hRule="atLeast"/>
        </w:trPr>
        <w:tc>
          <w:tcPr>
            <w:tcW w:w="1368" w:type="dxa"/>
          </w:tcPr>
          <w:p>
            <w:pPr>
              <w:pStyle w:val="TableParagraph"/>
              <w:spacing w:line="267" w:lineRule="exact" w:before="25"/>
              <w:ind w:left="105"/>
              <w:rPr>
                <w:sz w:val="21"/>
              </w:rPr>
            </w:pPr>
            <w:r>
              <w:rPr>
                <w:spacing w:val="-5"/>
                <w:sz w:val="21"/>
              </w:rPr>
              <w:t>Ⅱ期</w:t>
            </w:r>
          </w:p>
        </w:tc>
        <w:tc>
          <w:tcPr>
            <w:tcW w:w="1373" w:type="dxa"/>
          </w:tcPr>
          <w:p>
            <w:pPr>
              <w:pStyle w:val="TableParagraph"/>
              <w:spacing w:line="267" w:lineRule="exact" w:before="25"/>
              <w:ind w:left="105"/>
              <w:rPr>
                <w:sz w:val="21"/>
              </w:rPr>
            </w:pPr>
            <w:r>
              <w:rPr>
                <w:spacing w:val="-5"/>
                <w:sz w:val="21"/>
              </w:rPr>
              <w:t>任何</w:t>
            </w:r>
          </w:p>
        </w:tc>
        <w:tc>
          <w:tcPr>
            <w:tcW w:w="1373" w:type="dxa"/>
          </w:tcPr>
          <w:p>
            <w:pPr>
              <w:pStyle w:val="TableParagraph"/>
              <w:spacing w:line="267" w:lineRule="exact" w:before="25"/>
              <w:ind w:left="106"/>
              <w:rPr>
                <w:sz w:val="21"/>
              </w:rPr>
            </w:pPr>
            <w:r>
              <w:rPr>
                <w:spacing w:val="-5"/>
                <w:sz w:val="21"/>
              </w:rPr>
              <w:t>任何</w:t>
            </w:r>
          </w:p>
        </w:tc>
        <w:tc>
          <w:tcPr>
            <w:tcW w:w="1368" w:type="dxa"/>
          </w:tcPr>
          <w:p>
            <w:pPr>
              <w:pStyle w:val="TableParagraph"/>
              <w:spacing w:line="267" w:lineRule="exact" w:before="25"/>
              <w:ind w:left="106"/>
              <w:rPr>
                <w:sz w:val="21"/>
              </w:rPr>
            </w:pPr>
            <w:r>
              <w:rPr>
                <w:w w:val="100"/>
                <w:sz w:val="21"/>
              </w:rPr>
              <w:t>1</w:t>
            </w:r>
          </w:p>
        </w:tc>
      </w:tr>
      <w:tr>
        <w:trPr>
          <w:trHeight w:val="312" w:hRule="atLeast"/>
        </w:trPr>
        <w:tc>
          <w:tcPr>
            <w:tcW w:w="5482" w:type="dxa"/>
            <w:gridSpan w:val="4"/>
          </w:tcPr>
          <w:p>
            <w:pPr>
              <w:pStyle w:val="TableParagraph"/>
              <w:spacing w:line="267" w:lineRule="exact" w:before="25"/>
              <w:ind w:left="105"/>
              <w:rPr>
                <w:sz w:val="21"/>
              </w:rPr>
            </w:pPr>
            <w:r>
              <w:rPr>
                <w:sz w:val="21"/>
              </w:rPr>
              <w:t>年龄≥55</w:t>
            </w:r>
            <w:r>
              <w:rPr>
                <w:spacing w:val="-31"/>
                <w:sz w:val="21"/>
              </w:rPr>
              <w:t> 岁</w:t>
            </w:r>
          </w:p>
        </w:tc>
      </w:tr>
      <w:tr>
        <w:trPr>
          <w:trHeight w:val="311" w:hRule="atLeast"/>
        </w:trPr>
        <w:tc>
          <w:tcPr>
            <w:tcW w:w="1368" w:type="dxa"/>
            <w:vMerge w:val="restart"/>
          </w:tcPr>
          <w:p>
            <w:pPr>
              <w:pStyle w:val="TableParagraph"/>
              <w:spacing w:before="8"/>
              <w:rPr>
                <w:sz w:val="14"/>
              </w:rPr>
            </w:pPr>
          </w:p>
          <w:p>
            <w:pPr>
              <w:pStyle w:val="TableParagraph"/>
              <w:spacing w:before="1"/>
              <w:ind w:left="105"/>
              <w:rPr>
                <w:sz w:val="21"/>
              </w:rPr>
            </w:pPr>
            <w:r>
              <w:rPr>
                <w:spacing w:val="-5"/>
                <w:sz w:val="21"/>
              </w:rPr>
              <w:t>Ⅰ期</w:t>
            </w:r>
          </w:p>
        </w:tc>
        <w:tc>
          <w:tcPr>
            <w:tcW w:w="1373" w:type="dxa"/>
          </w:tcPr>
          <w:p>
            <w:pPr>
              <w:pStyle w:val="TableParagraph"/>
              <w:spacing w:line="267" w:lineRule="exact" w:before="25"/>
              <w:ind w:left="105"/>
              <w:rPr>
                <w:sz w:val="21"/>
              </w:rPr>
            </w:pPr>
            <w:r>
              <w:rPr>
                <w:w w:val="100"/>
                <w:sz w:val="21"/>
              </w:rPr>
              <w:t>1</w:t>
            </w:r>
          </w:p>
        </w:tc>
        <w:tc>
          <w:tcPr>
            <w:tcW w:w="1373" w:type="dxa"/>
          </w:tcPr>
          <w:p>
            <w:pPr>
              <w:pStyle w:val="TableParagraph"/>
              <w:spacing w:line="267" w:lineRule="exact" w:before="25"/>
              <w:ind w:left="106"/>
              <w:rPr>
                <w:sz w:val="21"/>
              </w:rPr>
            </w:pPr>
            <w:r>
              <w:rPr>
                <w:spacing w:val="-5"/>
                <w:sz w:val="21"/>
              </w:rPr>
              <w:t>0/x</w:t>
            </w:r>
          </w:p>
        </w:tc>
        <w:tc>
          <w:tcPr>
            <w:tcW w:w="1368" w:type="dxa"/>
          </w:tcPr>
          <w:p>
            <w:pPr>
              <w:pStyle w:val="TableParagraph"/>
              <w:spacing w:line="267" w:lineRule="exact" w:before="25"/>
              <w:ind w:left="106"/>
              <w:rPr>
                <w:sz w:val="21"/>
              </w:rPr>
            </w:pPr>
            <w:r>
              <w:rPr>
                <w:w w:val="100"/>
                <w:sz w:val="21"/>
              </w:rPr>
              <w:t>0</w:t>
            </w:r>
          </w:p>
        </w:tc>
      </w:tr>
      <w:tr>
        <w:trPr>
          <w:trHeight w:val="311" w:hRule="atLeast"/>
        </w:trPr>
        <w:tc>
          <w:tcPr>
            <w:tcW w:w="1368" w:type="dxa"/>
            <w:vMerge/>
            <w:tcBorders>
              <w:top w:val="nil"/>
            </w:tcBorders>
          </w:tcPr>
          <w:p>
            <w:pPr>
              <w:rPr>
                <w:sz w:val="2"/>
                <w:szCs w:val="2"/>
              </w:rPr>
            </w:pPr>
          </w:p>
        </w:tc>
        <w:tc>
          <w:tcPr>
            <w:tcW w:w="1373" w:type="dxa"/>
          </w:tcPr>
          <w:p>
            <w:pPr>
              <w:pStyle w:val="TableParagraph"/>
              <w:spacing w:line="267" w:lineRule="exact" w:before="25"/>
              <w:ind w:left="105"/>
              <w:rPr>
                <w:sz w:val="21"/>
              </w:rPr>
            </w:pPr>
            <w:r>
              <w:rPr>
                <w:w w:val="100"/>
                <w:sz w:val="21"/>
              </w:rPr>
              <w:t>2</w:t>
            </w:r>
          </w:p>
        </w:tc>
        <w:tc>
          <w:tcPr>
            <w:tcW w:w="1373" w:type="dxa"/>
          </w:tcPr>
          <w:p>
            <w:pPr>
              <w:pStyle w:val="TableParagraph"/>
              <w:spacing w:line="267" w:lineRule="exact" w:before="25"/>
              <w:ind w:left="106"/>
              <w:rPr>
                <w:sz w:val="21"/>
              </w:rPr>
            </w:pPr>
            <w:r>
              <w:rPr>
                <w:spacing w:val="-5"/>
                <w:sz w:val="21"/>
              </w:rPr>
              <w:t>0/x</w:t>
            </w:r>
          </w:p>
        </w:tc>
        <w:tc>
          <w:tcPr>
            <w:tcW w:w="1368" w:type="dxa"/>
          </w:tcPr>
          <w:p>
            <w:pPr>
              <w:pStyle w:val="TableParagraph"/>
              <w:spacing w:line="267" w:lineRule="exact" w:before="25"/>
              <w:ind w:left="106"/>
              <w:rPr>
                <w:sz w:val="21"/>
              </w:rPr>
            </w:pPr>
            <w:r>
              <w:rPr>
                <w:w w:val="100"/>
                <w:sz w:val="21"/>
              </w:rPr>
              <w:t>0</w:t>
            </w:r>
          </w:p>
        </w:tc>
      </w:tr>
      <w:tr>
        <w:trPr>
          <w:trHeight w:val="311" w:hRule="atLeast"/>
        </w:trPr>
        <w:tc>
          <w:tcPr>
            <w:tcW w:w="1368" w:type="dxa"/>
            <w:vMerge w:val="restart"/>
          </w:tcPr>
          <w:p>
            <w:pPr>
              <w:pStyle w:val="TableParagraph"/>
              <w:spacing w:before="8"/>
              <w:rPr>
                <w:sz w:val="14"/>
              </w:rPr>
            </w:pPr>
          </w:p>
          <w:p>
            <w:pPr>
              <w:pStyle w:val="TableParagraph"/>
              <w:spacing w:before="1"/>
              <w:ind w:left="105"/>
              <w:rPr>
                <w:sz w:val="21"/>
              </w:rPr>
            </w:pPr>
            <w:r>
              <w:rPr>
                <w:spacing w:val="-5"/>
                <w:sz w:val="21"/>
              </w:rPr>
              <w:t>Ⅱ期</w:t>
            </w:r>
          </w:p>
        </w:tc>
        <w:tc>
          <w:tcPr>
            <w:tcW w:w="1373" w:type="dxa"/>
          </w:tcPr>
          <w:p>
            <w:pPr>
              <w:pStyle w:val="TableParagraph"/>
              <w:spacing w:line="267" w:lineRule="exact" w:before="25"/>
              <w:ind w:left="105"/>
              <w:rPr>
                <w:sz w:val="21"/>
              </w:rPr>
            </w:pPr>
            <w:r>
              <w:rPr>
                <w:spacing w:val="-5"/>
                <w:sz w:val="21"/>
              </w:rPr>
              <w:t>1～2</w:t>
            </w:r>
          </w:p>
        </w:tc>
        <w:tc>
          <w:tcPr>
            <w:tcW w:w="1373" w:type="dxa"/>
          </w:tcPr>
          <w:p>
            <w:pPr>
              <w:pStyle w:val="TableParagraph"/>
              <w:spacing w:line="267" w:lineRule="exact" w:before="25"/>
              <w:ind w:left="106"/>
              <w:rPr>
                <w:sz w:val="21"/>
              </w:rPr>
            </w:pPr>
            <w:r>
              <w:rPr>
                <w:w w:val="100"/>
                <w:sz w:val="21"/>
              </w:rPr>
              <w:t>1</w:t>
            </w:r>
          </w:p>
        </w:tc>
        <w:tc>
          <w:tcPr>
            <w:tcW w:w="1368" w:type="dxa"/>
          </w:tcPr>
          <w:p>
            <w:pPr>
              <w:pStyle w:val="TableParagraph"/>
              <w:spacing w:line="267" w:lineRule="exact" w:before="25"/>
              <w:ind w:left="106"/>
              <w:rPr>
                <w:sz w:val="21"/>
              </w:rPr>
            </w:pPr>
            <w:r>
              <w:rPr>
                <w:w w:val="100"/>
                <w:sz w:val="21"/>
              </w:rPr>
              <w:t>0</w:t>
            </w:r>
          </w:p>
        </w:tc>
      </w:tr>
      <w:tr>
        <w:trPr>
          <w:trHeight w:val="316" w:hRule="atLeast"/>
        </w:trPr>
        <w:tc>
          <w:tcPr>
            <w:tcW w:w="1368" w:type="dxa"/>
            <w:vMerge/>
            <w:tcBorders>
              <w:top w:val="nil"/>
            </w:tcBorders>
          </w:tcPr>
          <w:p>
            <w:pPr>
              <w:rPr>
                <w:sz w:val="2"/>
                <w:szCs w:val="2"/>
              </w:rPr>
            </w:pPr>
          </w:p>
        </w:tc>
        <w:tc>
          <w:tcPr>
            <w:tcW w:w="1373" w:type="dxa"/>
          </w:tcPr>
          <w:p>
            <w:pPr>
              <w:pStyle w:val="TableParagraph"/>
              <w:spacing w:line="267" w:lineRule="exact" w:before="29"/>
              <w:ind w:left="105"/>
              <w:rPr>
                <w:sz w:val="21"/>
              </w:rPr>
            </w:pPr>
            <w:r>
              <w:rPr>
                <w:spacing w:val="-2"/>
                <w:sz w:val="21"/>
              </w:rPr>
              <w:t>3a～3b</w:t>
            </w:r>
          </w:p>
        </w:tc>
        <w:tc>
          <w:tcPr>
            <w:tcW w:w="1373" w:type="dxa"/>
          </w:tcPr>
          <w:p>
            <w:pPr>
              <w:pStyle w:val="TableParagraph"/>
              <w:spacing w:line="267" w:lineRule="exact" w:before="29"/>
              <w:ind w:left="106"/>
              <w:rPr>
                <w:sz w:val="21"/>
              </w:rPr>
            </w:pPr>
            <w:r>
              <w:rPr>
                <w:spacing w:val="-5"/>
                <w:sz w:val="21"/>
              </w:rPr>
              <w:t>任何</w:t>
            </w:r>
          </w:p>
        </w:tc>
        <w:tc>
          <w:tcPr>
            <w:tcW w:w="1368" w:type="dxa"/>
          </w:tcPr>
          <w:p>
            <w:pPr>
              <w:pStyle w:val="TableParagraph"/>
              <w:spacing w:line="267" w:lineRule="exact" w:before="29"/>
              <w:ind w:left="106"/>
              <w:rPr>
                <w:sz w:val="21"/>
              </w:rPr>
            </w:pPr>
            <w:r>
              <w:rPr>
                <w:w w:val="100"/>
                <w:sz w:val="21"/>
              </w:rPr>
              <w:t>0</w:t>
            </w:r>
          </w:p>
        </w:tc>
      </w:tr>
      <w:tr>
        <w:trPr>
          <w:trHeight w:val="311" w:hRule="atLeast"/>
        </w:trPr>
        <w:tc>
          <w:tcPr>
            <w:tcW w:w="1368" w:type="dxa"/>
          </w:tcPr>
          <w:p>
            <w:pPr>
              <w:pStyle w:val="TableParagraph"/>
              <w:spacing w:line="267" w:lineRule="exact" w:before="25"/>
              <w:ind w:left="105"/>
              <w:rPr>
                <w:sz w:val="21"/>
              </w:rPr>
            </w:pPr>
            <w:r>
              <w:rPr>
                <w:spacing w:val="-5"/>
                <w:sz w:val="21"/>
              </w:rPr>
              <w:t>Ⅲ期</w:t>
            </w:r>
          </w:p>
        </w:tc>
        <w:tc>
          <w:tcPr>
            <w:tcW w:w="1373" w:type="dxa"/>
          </w:tcPr>
          <w:p>
            <w:pPr>
              <w:pStyle w:val="TableParagraph"/>
              <w:spacing w:line="267" w:lineRule="exact" w:before="25"/>
              <w:ind w:left="105"/>
              <w:rPr>
                <w:sz w:val="21"/>
              </w:rPr>
            </w:pPr>
            <w:r>
              <w:rPr>
                <w:spacing w:val="-5"/>
                <w:sz w:val="21"/>
              </w:rPr>
              <w:t>4a</w:t>
            </w:r>
          </w:p>
        </w:tc>
        <w:tc>
          <w:tcPr>
            <w:tcW w:w="1373" w:type="dxa"/>
          </w:tcPr>
          <w:p>
            <w:pPr>
              <w:pStyle w:val="TableParagraph"/>
              <w:spacing w:line="267" w:lineRule="exact" w:before="25"/>
              <w:ind w:left="106"/>
              <w:rPr>
                <w:sz w:val="21"/>
              </w:rPr>
            </w:pPr>
            <w:r>
              <w:rPr>
                <w:spacing w:val="-5"/>
                <w:sz w:val="21"/>
              </w:rPr>
              <w:t>任何</w:t>
            </w:r>
          </w:p>
        </w:tc>
        <w:tc>
          <w:tcPr>
            <w:tcW w:w="1368" w:type="dxa"/>
          </w:tcPr>
          <w:p>
            <w:pPr>
              <w:pStyle w:val="TableParagraph"/>
              <w:spacing w:line="267" w:lineRule="exact" w:before="25"/>
              <w:ind w:left="106"/>
              <w:rPr>
                <w:sz w:val="21"/>
              </w:rPr>
            </w:pPr>
            <w:r>
              <w:rPr>
                <w:w w:val="100"/>
                <w:sz w:val="21"/>
              </w:rPr>
              <w:t>0</w:t>
            </w:r>
          </w:p>
        </w:tc>
      </w:tr>
      <w:tr>
        <w:trPr>
          <w:trHeight w:val="311" w:hRule="atLeast"/>
        </w:trPr>
        <w:tc>
          <w:tcPr>
            <w:tcW w:w="1368" w:type="dxa"/>
          </w:tcPr>
          <w:p>
            <w:pPr>
              <w:pStyle w:val="TableParagraph"/>
              <w:spacing w:line="267" w:lineRule="exact" w:before="25"/>
              <w:ind w:left="105"/>
              <w:rPr>
                <w:sz w:val="21"/>
              </w:rPr>
            </w:pPr>
            <w:r>
              <w:rPr>
                <w:sz w:val="21"/>
              </w:rPr>
              <w:t>ⅣA</w:t>
            </w:r>
            <w:r>
              <w:rPr>
                <w:spacing w:val="-32"/>
                <w:sz w:val="21"/>
              </w:rPr>
              <w:t> 期</w:t>
            </w:r>
          </w:p>
        </w:tc>
        <w:tc>
          <w:tcPr>
            <w:tcW w:w="1373" w:type="dxa"/>
          </w:tcPr>
          <w:p>
            <w:pPr>
              <w:pStyle w:val="TableParagraph"/>
              <w:spacing w:line="267" w:lineRule="exact" w:before="25"/>
              <w:ind w:left="105"/>
              <w:rPr>
                <w:sz w:val="21"/>
              </w:rPr>
            </w:pPr>
            <w:r>
              <w:rPr>
                <w:spacing w:val="-5"/>
                <w:sz w:val="21"/>
              </w:rPr>
              <w:t>4b</w:t>
            </w:r>
          </w:p>
        </w:tc>
        <w:tc>
          <w:tcPr>
            <w:tcW w:w="1373" w:type="dxa"/>
          </w:tcPr>
          <w:p>
            <w:pPr>
              <w:pStyle w:val="TableParagraph"/>
              <w:spacing w:line="267" w:lineRule="exact" w:before="25"/>
              <w:ind w:left="106"/>
              <w:rPr>
                <w:sz w:val="21"/>
              </w:rPr>
            </w:pPr>
            <w:r>
              <w:rPr>
                <w:spacing w:val="-5"/>
                <w:sz w:val="21"/>
              </w:rPr>
              <w:t>任何</w:t>
            </w:r>
          </w:p>
        </w:tc>
        <w:tc>
          <w:tcPr>
            <w:tcW w:w="1368" w:type="dxa"/>
          </w:tcPr>
          <w:p>
            <w:pPr>
              <w:pStyle w:val="TableParagraph"/>
              <w:spacing w:line="267" w:lineRule="exact" w:before="25"/>
              <w:ind w:left="106"/>
              <w:rPr>
                <w:sz w:val="21"/>
              </w:rPr>
            </w:pPr>
            <w:r>
              <w:rPr>
                <w:w w:val="100"/>
                <w:sz w:val="21"/>
              </w:rPr>
              <w:t>0</w:t>
            </w:r>
          </w:p>
        </w:tc>
      </w:tr>
      <w:tr>
        <w:trPr>
          <w:trHeight w:val="311" w:hRule="atLeast"/>
        </w:trPr>
        <w:tc>
          <w:tcPr>
            <w:tcW w:w="1368" w:type="dxa"/>
          </w:tcPr>
          <w:p>
            <w:pPr>
              <w:pStyle w:val="TableParagraph"/>
              <w:spacing w:line="267" w:lineRule="exact" w:before="25"/>
              <w:ind w:left="105"/>
              <w:rPr>
                <w:sz w:val="21"/>
              </w:rPr>
            </w:pPr>
            <w:r>
              <w:rPr>
                <w:sz w:val="21"/>
              </w:rPr>
              <w:t>ⅣB</w:t>
            </w:r>
            <w:r>
              <w:rPr>
                <w:spacing w:val="-32"/>
                <w:sz w:val="21"/>
              </w:rPr>
              <w:t> 期</w:t>
            </w:r>
          </w:p>
        </w:tc>
        <w:tc>
          <w:tcPr>
            <w:tcW w:w="1373" w:type="dxa"/>
          </w:tcPr>
          <w:p>
            <w:pPr>
              <w:pStyle w:val="TableParagraph"/>
              <w:spacing w:line="267" w:lineRule="exact" w:before="25"/>
              <w:ind w:left="105"/>
              <w:rPr>
                <w:sz w:val="21"/>
              </w:rPr>
            </w:pPr>
            <w:r>
              <w:rPr>
                <w:spacing w:val="-5"/>
                <w:sz w:val="21"/>
              </w:rPr>
              <w:t>任何</w:t>
            </w:r>
          </w:p>
        </w:tc>
        <w:tc>
          <w:tcPr>
            <w:tcW w:w="1373" w:type="dxa"/>
          </w:tcPr>
          <w:p>
            <w:pPr>
              <w:pStyle w:val="TableParagraph"/>
              <w:spacing w:line="267" w:lineRule="exact" w:before="25"/>
              <w:ind w:left="106"/>
              <w:rPr>
                <w:sz w:val="21"/>
              </w:rPr>
            </w:pPr>
            <w:r>
              <w:rPr>
                <w:spacing w:val="-5"/>
                <w:sz w:val="21"/>
              </w:rPr>
              <w:t>任何</w:t>
            </w:r>
          </w:p>
        </w:tc>
        <w:tc>
          <w:tcPr>
            <w:tcW w:w="1368" w:type="dxa"/>
          </w:tcPr>
          <w:p>
            <w:pPr>
              <w:pStyle w:val="TableParagraph"/>
              <w:spacing w:line="267" w:lineRule="exact" w:before="25"/>
              <w:ind w:left="106"/>
              <w:rPr>
                <w:sz w:val="21"/>
              </w:rPr>
            </w:pPr>
            <w:r>
              <w:rPr>
                <w:w w:val="100"/>
                <w:sz w:val="21"/>
              </w:rPr>
              <w:t>1</w:t>
            </w:r>
          </w:p>
        </w:tc>
      </w:tr>
      <w:tr>
        <w:trPr>
          <w:trHeight w:val="311" w:hRule="atLeast"/>
        </w:trPr>
        <w:tc>
          <w:tcPr>
            <w:tcW w:w="5482" w:type="dxa"/>
            <w:gridSpan w:val="4"/>
          </w:tcPr>
          <w:p>
            <w:pPr>
              <w:pStyle w:val="TableParagraph"/>
              <w:spacing w:line="267" w:lineRule="exact" w:before="25"/>
              <w:ind w:left="105"/>
              <w:rPr>
                <w:sz w:val="21"/>
              </w:rPr>
            </w:pPr>
            <w:r>
              <w:rPr>
                <w:spacing w:val="-2"/>
                <w:sz w:val="21"/>
              </w:rPr>
              <w:t>髓样癌（所有年龄组</w:t>
            </w:r>
            <w:r>
              <w:rPr>
                <w:spacing w:val="-10"/>
                <w:sz w:val="21"/>
              </w:rPr>
              <w:t>）</w:t>
            </w:r>
          </w:p>
        </w:tc>
      </w:tr>
      <w:tr>
        <w:trPr>
          <w:trHeight w:val="311" w:hRule="atLeast"/>
        </w:trPr>
        <w:tc>
          <w:tcPr>
            <w:tcW w:w="1368" w:type="dxa"/>
          </w:tcPr>
          <w:p>
            <w:pPr>
              <w:pStyle w:val="TableParagraph"/>
              <w:spacing w:line="267" w:lineRule="exact" w:before="25"/>
              <w:ind w:left="105"/>
              <w:rPr>
                <w:sz w:val="21"/>
              </w:rPr>
            </w:pPr>
            <w:r>
              <w:rPr>
                <w:spacing w:val="-5"/>
                <w:sz w:val="21"/>
              </w:rPr>
              <w:t>Ⅰ期</w:t>
            </w:r>
          </w:p>
        </w:tc>
        <w:tc>
          <w:tcPr>
            <w:tcW w:w="1373" w:type="dxa"/>
          </w:tcPr>
          <w:p>
            <w:pPr>
              <w:pStyle w:val="TableParagraph"/>
              <w:spacing w:line="267" w:lineRule="exact" w:before="25"/>
              <w:ind w:left="105"/>
              <w:rPr>
                <w:sz w:val="21"/>
              </w:rPr>
            </w:pPr>
            <w:r>
              <w:rPr>
                <w:w w:val="100"/>
                <w:sz w:val="21"/>
              </w:rPr>
              <w:t>1</w:t>
            </w:r>
          </w:p>
        </w:tc>
        <w:tc>
          <w:tcPr>
            <w:tcW w:w="1373" w:type="dxa"/>
          </w:tcPr>
          <w:p>
            <w:pPr>
              <w:pStyle w:val="TableParagraph"/>
              <w:spacing w:line="267" w:lineRule="exact" w:before="25"/>
              <w:ind w:left="106"/>
              <w:rPr>
                <w:sz w:val="21"/>
              </w:rPr>
            </w:pPr>
            <w:r>
              <w:rPr>
                <w:w w:val="100"/>
                <w:sz w:val="21"/>
              </w:rPr>
              <w:t>0</w:t>
            </w:r>
          </w:p>
        </w:tc>
        <w:tc>
          <w:tcPr>
            <w:tcW w:w="1368" w:type="dxa"/>
          </w:tcPr>
          <w:p>
            <w:pPr>
              <w:pStyle w:val="TableParagraph"/>
              <w:spacing w:line="267" w:lineRule="exact" w:before="25"/>
              <w:ind w:left="106"/>
              <w:rPr>
                <w:sz w:val="21"/>
              </w:rPr>
            </w:pPr>
            <w:r>
              <w:rPr>
                <w:w w:val="100"/>
                <w:sz w:val="21"/>
              </w:rPr>
              <w:t>0</w:t>
            </w:r>
          </w:p>
        </w:tc>
      </w:tr>
      <w:tr>
        <w:trPr>
          <w:trHeight w:val="312" w:hRule="atLeast"/>
        </w:trPr>
        <w:tc>
          <w:tcPr>
            <w:tcW w:w="1368" w:type="dxa"/>
          </w:tcPr>
          <w:p>
            <w:pPr>
              <w:pStyle w:val="TableParagraph"/>
              <w:spacing w:line="267" w:lineRule="exact" w:before="25"/>
              <w:ind w:left="105"/>
              <w:rPr>
                <w:sz w:val="21"/>
              </w:rPr>
            </w:pPr>
            <w:r>
              <w:rPr>
                <w:spacing w:val="-5"/>
                <w:sz w:val="21"/>
              </w:rPr>
              <w:t>Ⅱ期</w:t>
            </w:r>
          </w:p>
        </w:tc>
        <w:tc>
          <w:tcPr>
            <w:tcW w:w="1373" w:type="dxa"/>
          </w:tcPr>
          <w:p>
            <w:pPr>
              <w:pStyle w:val="TableParagraph"/>
              <w:spacing w:line="267" w:lineRule="exact" w:before="25"/>
              <w:ind w:left="105"/>
              <w:rPr>
                <w:sz w:val="21"/>
              </w:rPr>
            </w:pPr>
            <w:r>
              <w:rPr>
                <w:spacing w:val="-5"/>
                <w:sz w:val="21"/>
              </w:rPr>
              <w:t>2～3</w:t>
            </w:r>
          </w:p>
        </w:tc>
        <w:tc>
          <w:tcPr>
            <w:tcW w:w="1373" w:type="dxa"/>
          </w:tcPr>
          <w:p>
            <w:pPr>
              <w:pStyle w:val="TableParagraph"/>
              <w:spacing w:line="267" w:lineRule="exact" w:before="25"/>
              <w:ind w:left="106"/>
              <w:rPr>
                <w:sz w:val="21"/>
              </w:rPr>
            </w:pPr>
            <w:r>
              <w:rPr>
                <w:w w:val="100"/>
                <w:sz w:val="21"/>
              </w:rPr>
              <w:t>0</w:t>
            </w:r>
          </w:p>
        </w:tc>
        <w:tc>
          <w:tcPr>
            <w:tcW w:w="1368" w:type="dxa"/>
          </w:tcPr>
          <w:p>
            <w:pPr>
              <w:pStyle w:val="TableParagraph"/>
              <w:spacing w:line="267" w:lineRule="exact" w:before="25"/>
              <w:ind w:left="106"/>
              <w:rPr>
                <w:sz w:val="21"/>
              </w:rPr>
            </w:pPr>
            <w:r>
              <w:rPr>
                <w:w w:val="100"/>
                <w:sz w:val="21"/>
              </w:rPr>
              <w:t>0</w:t>
            </w:r>
          </w:p>
        </w:tc>
      </w:tr>
      <w:tr>
        <w:trPr>
          <w:trHeight w:val="311" w:hRule="atLeast"/>
        </w:trPr>
        <w:tc>
          <w:tcPr>
            <w:tcW w:w="1368" w:type="dxa"/>
          </w:tcPr>
          <w:p>
            <w:pPr>
              <w:pStyle w:val="TableParagraph"/>
              <w:spacing w:line="267" w:lineRule="exact" w:before="25"/>
              <w:ind w:left="105"/>
              <w:rPr>
                <w:sz w:val="21"/>
              </w:rPr>
            </w:pPr>
            <w:r>
              <w:rPr>
                <w:spacing w:val="-5"/>
                <w:sz w:val="21"/>
              </w:rPr>
              <w:t>Ⅲ期</w:t>
            </w:r>
          </w:p>
        </w:tc>
        <w:tc>
          <w:tcPr>
            <w:tcW w:w="1373" w:type="dxa"/>
          </w:tcPr>
          <w:p>
            <w:pPr>
              <w:pStyle w:val="TableParagraph"/>
              <w:spacing w:line="267" w:lineRule="exact" w:before="25"/>
              <w:ind w:left="105"/>
              <w:rPr>
                <w:sz w:val="21"/>
              </w:rPr>
            </w:pPr>
            <w:r>
              <w:rPr>
                <w:spacing w:val="-5"/>
                <w:sz w:val="21"/>
              </w:rPr>
              <w:t>1～3</w:t>
            </w:r>
          </w:p>
        </w:tc>
        <w:tc>
          <w:tcPr>
            <w:tcW w:w="1373" w:type="dxa"/>
          </w:tcPr>
          <w:p>
            <w:pPr>
              <w:pStyle w:val="TableParagraph"/>
              <w:spacing w:line="267" w:lineRule="exact" w:before="25"/>
              <w:ind w:left="106"/>
              <w:rPr>
                <w:sz w:val="21"/>
              </w:rPr>
            </w:pPr>
            <w:r>
              <w:rPr>
                <w:spacing w:val="-5"/>
                <w:sz w:val="21"/>
              </w:rPr>
              <w:t>1a</w:t>
            </w:r>
          </w:p>
        </w:tc>
        <w:tc>
          <w:tcPr>
            <w:tcW w:w="1368" w:type="dxa"/>
          </w:tcPr>
          <w:p>
            <w:pPr>
              <w:pStyle w:val="TableParagraph"/>
              <w:spacing w:line="267" w:lineRule="exact" w:before="25"/>
              <w:ind w:left="106"/>
              <w:rPr>
                <w:sz w:val="21"/>
              </w:rPr>
            </w:pPr>
            <w:r>
              <w:rPr>
                <w:w w:val="100"/>
                <w:sz w:val="21"/>
              </w:rPr>
              <w:t>0</w:t>
            </w:r>
          </w:p>
        </w:tc>
      </w:tr>
      <w:tr>
        <w:trPr>
          <w:trHeight w:val="311" w:hRule="atLeast"/>
        </w:trPr>
        <w:tc>
          <w:tcPr>
            <w:tcW w:w="1368" w:type="dxa"/>
            <w:vMerge w:val="restart"/>
          </w:tcPr>
          <w:p>
            <w:pPr>
              <w:pStyle w:val="TableParagraph"/>
              <w:spacing w:before="8"/>
              <w:rPr>
                <w:sz w:val="14"/>
              </w:rPr>
            </w:pPr>
          </w:p>
          <w:p>
            <w:pPr>
              <w:pStyle w:val="TableParagraph"/>
              <w:spacing w:before="1"/>
              <w:ind w:left="105"/>
              <w:rPr>
                <w:sz w:val="21"/>
              </w:rPr>
            </w:pPr>
            <w:r>
              <w:rPr>
                <w:sz w:val="21"/>
              </w:rPr>
              <w:t>ⅣA</w:t>
            </w:r>
            <w:r>
              <w:rPr>
                <w:spacing w:val="-32"/>
                <w:sz w:val="21"/>
              </w:rPr>
              <w:t> 期</w:t>
            </w:r>
          </w:p>
        </w:tc>
        <w:tc>
          <w:tcPr>
            <w:tcW w:w="1373" w:type="dxa"/>
          </w:tcPr>
          <w:p>
            <w:pPr>
              <w:pStyle w:val="TableParagraph"/>
              <w:spacing w:line="267" w:lineRule="exact" w:before="25"/>
              <w:ind w:left="105"/>
              <w:rPr>
                <w:sz w:val="21"/>
              </w:rPr>
            </w:pPr>
            <w:r>
              <w:rPr>
                <w:spacing w:val="-5"/>
                <w:sz w:val="21"/>
              </w:rPr>
              <w:t>4a</w:t>
            </w:r>
          </w:p>
        </w:tc>
        <w:tc>
          <w:tcPr>
            <w:tcW w:w="1373" w:type="dxa"/>
          </w:tcPr>
          <w:p>
            <w:pPr>
              <w:pStyle w:val="TableParagraph"/>
              <w:spacing w:line="267" w:lineRule="exact" w:before="25"/>
              <w:ind w:left="106"/>
              <w:rPr>
                <w:sz w:val="21"/>
              </w:rPr>
            </w:pPr>
            <w:r>
              <w:rPr>
                <w:spacing w:val="-5"/>
                <w:sz w:val="21"/>
              </w:rPr>
              <w:t>任何</w:t>
            </w:r>
          </w:p>
        </w:tc>
        <w:tc>
          <w:tcPr>
            <w:tcW w:w="1368" w:type="dxa"/>
          </w:tcPr>
          <w:p>
            <w:pPr>
              <w:pStyle w:val="TableParagraph"/>
              <w:spacing w:line="267" w:lineRule="exact" w:before="25"/>
              <w:ind w:left="106"/>
              <w:rPr>
                <w:sz w:val="21"/>
              </w:rPr>
            </w:pPr>
            <w:r>
              <w:rPr>
                <w:w w:val="100"/>
                <w:sz w:val="21"/>
              </w:rPr>
              <w:t>0</w:t>
            </w:r>
          </w:p>
        </w:tc>
      </w:tr>
      <w:tr>
        <w:trPr>
          <w:trHeight w:val="311" w:hRule="atLeast"/>
        </w:trPr>
        <w:tc>
          <w:tcPr>
            <w:tcW w:w="1368" w:type="dxa"/>
            <w:vMerge/>
            <w:tcBorders>
              <w:top w:val="nil"/>
            </w:tcBorders>
          </w:tcPr>
          <w:p>
            <w:pPr>
              <w:rPr>
                <w:sz w:val="2"/>
                <w:szCs w:val="2"/>
              </w:rPr>
            </w:pPr>
          </w:p>
        </w:tc>
        <w:tc>
          <w:tcPr>
            <w:tcW w:w="1373" w:type="dxa"/>
          </w:tcPr>
          <w:p>
            <w:pPr>
              <w:pStyle w:val="TableParagraph"/>
              <w:spacing w:line="267" w:lineRule="exact" w:before="25"/>
              <w:ind w:left="105"/>
              <w:rPr>
                <w:sz w:val="21"/>
              </w:rPr>
            </w:pPr>
            <w:r>
              <w:rPr>
                <w:spacing w:val="-5"/>
                <w:sz w:val="21"/>
              </w:rPr>
              <w:t>1～3</w:t>
            </w:r>
          </w:p>
        </w:tc>
        <w:tc>
          <w:tcPr>
            <w:tcW w:w="1373" w:type="dxa"/>
          </w:tcPr>
          <w:p>
            <w:pPr>
              <w:pStyle w:val="TableParagraph"/>
              <w:spacing w:line="267" w:lineRule="exact" w:before="25"/>
              <w:ind w:left="106"/>
              <w:rPr>
                <w:sz w:val="21"/>
              </w:rPr>
            </w:pPr>
            <w:r>
              <w:rPr>
                <w:spacing w:val="-5"/>
                <w:sz w:val="21"/>
              </w:rPr>
              <w:t>1b</w:t>
            </w:r>
          </w:p>
        </w:tc>
        <w:tc>
          <w:tcPr>
            <w:tcW w:w="1368" w:type="dxa"/>
          </w:tcPr>
          <w:p>
            <w:pPr>
              <w:pStyle w:val="TableParagraph"/>
              <w:spacing w:line="267" w:lineRule="exact" w:before="25"/>
              <w:ind w:left="106"/>
              <w:rPr>
                <w:sz w:val="21"/>
              </w:rPr>
            </w:pPr>
            <w:r>
              <w:rPr>
                <w:w w:val="100"/>
                <w:sz w:val="21"/>
              </w:rPr>
              <w:t>0</w:t>
            </w:r>
          </w:p>
        </w:tc>
      </w:tr>
      <w:tr>
        <w:trPr>
          <w:trHeight w:val="311" w:hRule="atLeast"/>
        </w:trPr>
        <w:tc>
          <w:tcPr>
            <w:tcW w:w="1368" w:type="dxa"/>
          </w:tcPr>
          <w:p>
            <w:pPr>
              <w:pStyle w:val="TableParagraph"/>
              <w:spacing w:line="267" w:lineRule="exact" w:before="25"/>
              <w:ind w:left="105"/>
              <w:rPr>
                <w:sz w:val="21"/>
              </w:rPr>
            </w:pPr>
            <w:r>
              <w:rPr>
                <w:sz w:val="21"/>
              </w:rPr>
              <w:t>ⅣB</w:t>
            </w:r>
            <w:r>
              <w:rPr>
                <w:spacing w:val="-32"/>
                <w:sz w:val="21"/>
              </w:rPr>
              <w:t> 期</w:t>
            </w:r>
          </w:p>
        </w:tc>
        <w:tc>
          <w:tcPr>
            <w:tcW w:w="1373" w:type="dxa"/>
          </w:tcPr>
          <w:p>
            <w:pPr>
              <w:pStyle w:val="TableParagraph"/>
              <w:spacing w:line="267" w:lineRule="exact" w:before="25"/>
              <w:ind w:left="105"/>
              <w:rPr>
                <w:sz w:val="21"/>
              </w:rPr>
            </w:pPr>
            <w:r>
              <w:rPr>
                <w:spacing w:val="-5"/>
                <w:sz w:val="21"/>
              </w:rPr>
              <w:t>4b</w:t>
            </w:r>
          </w:p>
        </w:tc>
        <w:tc>
          <w:tcPr>
            <w:tcW w:w="1373" w:type="dxa"/>
          </w:tcPr>
          <w:p>
            <w:pPr>
              <w:pStyle w:val="TableParagraph"/>
              <w:spacing w:line="267" w:lineRule="exact" w:before="25"/>
              <w:ind w:left="106"/>
              <w:rPr>
                <w:sz w:val="21"/>
              </w:rPr>
            </w:pPr>
            <w:r>
              <w:rPr>
                <w:spacing w:val="-5"/>
                <w:sz w:val="21"/>
              </w:rPr>
              <w:t>任何</w:t>
            </w:r>
          </w:p>
        </w:tc>
        <w:tc>
          <w:tcPr>
            <w:tcW w:w="1368" w:type="dxa"/>
          </w:tcPr>
          <w:p>
            <w:pPr>
              <w:pStyle w:val="TableParagraph"/>
              <w:spacing w:line="267" w:lineRule="exact" w:before="25"/>
              <w:ind w:left="106"/>
              <w:rPr>
                <w:sz w:val="21"/>
              </w:rPr>
            </w:pPr>
            <w:r>
              <w:rPr>
                <w:w w:val="100"/>
                <w:sz w:val="21"/>
              </w:rPr>
              <w:t>0</w:t>
            </w:r>
          </w:p>
        </w:tc>
      </w:tr>
      <w:tr>
        <w:trPr>
          <w:trHeight w:val="309" w:hRule="atLeast"/>
        </w:trPr>
        <w:tc>
          <w:tcPr>
            <w:tcW w:w="1368" w:type="dxa"/>
            <w:tcBorders>
              <w:bottom w:val="single" w:sz="6" w:space="0" w:color="000000"/>
            </w:tcBorders>
          </w:tcPr>
          <w:p>
            <w:pPr>
              <w:pStyle w:val="TableParagraph"/>
              <w:spacing w:line="264" w:lineRule="exact" w:before="25"/>
              <w:ind w:left="105"/>
              <w:rPr>
                <w:sz w:val="21"/>
              </w:rPr>
            </w:pPr>
            <w:r>
              <w:rPr>
                <w:sz w:val="21"/>
              </w:rPr>
              <w:t>ⅣC</w:t>
            </w:r>
            <w:r>
              <w:rPr>
                <w:spacing w:val="-32"/>
                <w:sz w:val="21"/>
              </w:rPr>
              <w:t> 期</w:t>
            </w:r>
          </w:p>
        </w:tc>
        <w:tc>
          <w:tcPr>
            <w:tcW w:w="1373" w:type="dxa"/>
            <w:tcBorders>
              <w:bottom w:val="single" w:sz="6" w:space="0" w:color="000000"/>
            </w:tcBorders>
          </w:tcPr>
          <w:p>
            <w:pPr>
              <w:pStyle w:val="TableParagraph"/>
              <w:spacing w:line="264" w:lineRule="exact" w:before="25"/>
              <w:ind w:left="105"/>
              <w:rPr>
                <w:sz w:val="21"/>
              </w:rPr>
            </w:pPr>
            <w:r>
              <w:rPr>
                <w:spacing w:val="-5"/>
                <w:sz w:val="21"/>
              </w:rPr>
              <w:t>任何</w:t>
            </w:r>
          </w:p>
        </w:tc>
        <w:tc>
          <w:tcPr>
            <w:tcW w:w="1373" w:type="dxa"/>
            <w:tcBorders>
              <w:bottom w:val="single" w:sz="6" w:space="0" w:color="000000"/>
            </w:tcBorders>
          </w:tcPr>
          <w:p>
            <w:pPr>
              <w:pStyle w:val="TableParagraph"/>
              <w:spacing w:line="264" w:lineRule="exact" w:before="25"/>
              <w:ind w:left="106"/>
              <w:rPr>
                <w:sz w:val="21"/>
              </w:rPr>
            </w:pPr>
            <w:r>
              <w:rPr>
                <w:spacing w:val="-5"/>
                <w:sz w:val="21"/>
              </w:rPr>
              <w:t>任何</w:t>
            </w:r>
          </w:p>
        </w:tc>
        <w:tc>
          <w:tcPr>
            <w:tcW w:w="1368" w:type="dxa"/>
            <w:tcBorders>
              <w:bottom w:val="single" w:sz="6" w:space="0" w:color="000000"/>
            </w:tcBorders>
          </w:tcPr>
          <w:p>
            <w:pPr>
              <w:pStyle w:val="TableParagraph"/>
              <w:spacing w:line="264" w:lineRule="exact" w:before="25"/>
              <w:ind w:left="106"/>
              <w:rPr>
                <w:sz w:val="21"/>
              </w:rPr>
            </w:pPr>
            <w:r>
              <w:rPr>
                <w:w w:val="100"/>
                <w:sz w:val="21"/>
              </w:rPr>
              <w:t>1</w:t>
            </w:r>
          </w:p>
        </w:tc>
      </w:tr>
      <w:tr>
        <w:trPr>
          <w:trHeight w:val="314" w:hRule="atLeast"/>
        </w:trPr>
        <w:tc>
          <w:tcPr>
            <w:tcW w:w="5482" w:type="dxa"/>
            <w:gridSpan w:val="4"/>
            <w:tcBorders>
              <w:top w:val="single" w:sz="6" w:space="0" w:color="000000"/>
            </w:tcBorders>
          </w:tcPr>
          <w:p>
            <w:pPr>
              <w:pStyle w:val="TableParagraph"/>
              <w:spacing w:line="267" w:lineRule="exact" w:before="27"/>
              <w:ind w:left="105"/>
              <w:rPr>
                <w:sz w:val="21"/>
              </w:rPr>
            </w:pPr>
            <w:r>
              <w:rPr>
                <w:spacing w:val="-2"/>
                <w:sz w:val="21"/>
              </w:rPr>
              <w:t>未分化癌（所有年龄组</w:t>
            </w:r>
            <w:r>
              <w:rPr>
                <w:spacing w:val="-10"/>
                <w:sz w:val="21"/>
              </w:rPr>
              <w:t>）</w:t>
            </w:r>
          </w:p>
        </w:tc>
      </w:tr>
      <w:tr>
        <w:trPr>
          <w:trHeight w:val="311" w:hRule="atLeast"/>
        </w:trPr>
        <w:tc>
          <w:tcPr>
            <w:tcW w:w="1368" w:type="dxa"/>
          </w:tcPr>
          <w:p>
            <w:pPr>
              <w:pStyle w:val="TableParagraph"/>
              <w:spacing w:line="267" w:lineRule="exact" w:before="25"/>
              <w:ind w:left="105"/>
              <w:rPr>
                <w:sz w:val="21"/>
              </w:rPr>
            </w:pPr>
            <w:r>
              <w:rPr>
                <w:sz w:val="21"/>
              </w:rPr>
              <w:t>ⅣA</w:t>
            </w:r>
            <w:r>
              <w:rPr>
                <w:spacing w:val="-32"/>
                <w:sz w:val="21"/>
              </w:rPr>
              <w:t> 期</w:t>
            </w:r>
          </w:p>
        </w:tc>
        <w:tc>
          <w:tcPr>
            <w:tcW w:w="1373" w:type="dxa"/>
          </w:tcPr>
          <w:p>
            <w:pPr>
              <w:pStyle w:val="TableParagraph"/>
              <w:spacing w:line="267" w:lineRule="exact" w:before="25"/>
              <w:ind w:left="105"/>
              <w:rPr>
                <w:sz w:val="21"/>
              </w:rPr>
            </w:pPr>
            <w:r>
              <w:rPr>
                <w:spacing w:val="-4"/>
                <w:sz w:val="21"/>
              </w:rPr>
              <w:t>1～3a</w:t>
            </w:r>
          </w:p>
        </w:tc>
        <w:tc>
          <w:tcPr>
            <w:tcW w:w="1373" w:type="dxa"/>
          </w:tcPr>
          <w:p>
            <w:pPr>
              <w:pStyle w:val="TableParagraph"/>
              <w:spacing w:line="267" w:lineRule="exact" w:before="25"/>
              <w:ind w:left="106"/>
              <w:rPr>
                <w:sz w:val="21"/>
              </w:rPr>
            </w:pPr>
            <w:r>
              <w:rPr>
                <w:spacing w:val="-5"/>
                <w:sz w:val="21"/>
              </w:rPr>
              <w:t>0/x</w:t>
            </w:r>
          </w:p>
        </w:tc>
        <w:tc>
          <w:tcPr>
            <w:tcW w:w="1368" w:type="dxa"/>
          </w:tcPr>
          <w:p>
            <w:pPr>
              <w:pStyle w:val="TableParagraph"/>
              <w:spacing w:line="267" w:lineRule="exact" w:before="25"/>
              <w:ind w:left="106"/>
              <w:rPr>
                <w:sz w:val="21"/>
              </w:rPr>
            </w:pPr>
            <w:r>
              <w:rPr>
                <w:w w:val="100"/>
                <w:sz w:val="21"/>
              </w:rPr>
              <w:t>0</w:t>
            </w:r>
          </w:p>
        </w:tc>
      </w:tr>
    </w:tbl>
    <w:p>
      <w:pPr>
        <w:spacing w:after="0" w:line="267" w:lineRule="exact"/>
        <w:rPr>
          <w:sz w:val="21"/>
        </w:rPr>
        <w:sectPr>
          <w:pgSz w:w="11910" w:h="16840"/>
          <w:pgMar w:header="0" w:footer="226" w:top="660" w:bottom="783" w:left="980" w:right="400"/>
        </w:sectPr>
      </w:pPr>
    </w:p>
    <w:tbl>
      <w:tblPr>
        <w:tblW w:w="0" w:type="auto"/>
        <w:jc w:val="left"/>
        <w:tblInd w:w="35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368"/>
        <w:gridCol w:w="1373"/>
        <w:gridCol w:w="1373"/>
        <w:gridCol w:w="1368"/>
      </w:tblGrid>
      <w:tr>
        <w:trPr>
          <w:trHeight w:val="311" w:hRule="atLeast"/>
        </w:trPr>
        <w:tc>
          <w:tcPr>
            <w:tcW w:w="1368" w:type="dxa"/>
            <w:vMerge w:val="restart"/>
          </w:tcPr>
          <w:p>
            <w:pPr>
              <w:pStyle w:val="TableParagraph"/>
              <w:spacing w:before="176"/>
              <w:ind w:left="105"/>
              <w:rPr>
                <w:sz w:val="21"/>
              </w:rPr>
            </w:pPr>
            <w:r>
              <w:rPr>
                <w:sz w:val="21"/>
              </w:rPr>
              <w:t>ⅣB</w:t>
            </w:r>
            <w:r>
              <w:rPr>
                <w:spacing w:val="-32"/>
                <w:sz w:val="21"/>
              </w:rPr>
              <w:t> 期</w:t>
            </w:r>
          </w:p>
        </w:tc>
        <w:tc>
          <w:tcPr>
            <w:tcW w:w="1373" w:type="dxa"/>
          </w:tcPr>
          <w:p>
            <w:pPr>
              <w:pStyle w:val="TableParagraph"/>
              <w:spacing w:before="17"/>
              <w:ind w:left="105"/>
              <w:rPr>
                <w:sz w:val="21"/>
              </w:rPr>
            </w:pPr>
            <w:r>
              <w:rPr>
                <w:spacing w:val="-4"/>
                <w:sz w:val="21"/>
              </w:rPr>
              <w:t>1～3a</w:t>
            </w:r>
          </w:p>
        </w:tc>
        <w:tc>
          <w:tcPr>
            <w:tcW w:w="1373" w:type="dxa"/>
          </w:tcPr>
          <w:p>
            <w:pPr>
              <w:pStyle w:val="TableParagraph"/>
              <w:spacing w:before="17"/>
              <w:ind w:left="106"/>
              <w:rPr>
                <w:sz w:val="21"/>
              </w:rPr>
            </w:pPr>
            <w:r>
              <w:rPr>
                <w:w w:val="100"/>
                <w:sz w:val="21"/>
              </w:rPr>
              <w:t>1</w:t>
            </w:r>
          </w:p>
        </w:tc>
        <w:tc>
          <w:tcPr>
            <w:tcW w:w="1368" w:type="dxa"/>
          </w:tcPr>
          <w:p>
            <w:pPr>
              <w:pStyle w:val="TableParagraph"/>
              <w:spacing w:before="17"/>
              <w:ind w:left="106"/>
              <w:rPr>
                <w:sz w:val="21"/>
              </w:rPr>
            </w:pPr>
            <w:r>
              <w:rPr>
                <w:w w:val="100"/>
                <w:sz w:val="21"/>
              </w:rPr>
              <w:t>0</w:t>
            </w:r>
          </w:p>
        </w:tc>
      </w:tr>
      <w:tr>
        <w:trPr>
          <w:trHeight w:val="311" w:hRule="atLeast"/>
        </w:trPr>
        <w:tc>
          <w:tcPr>
            <w:tcW w:w="1368" w:type="dxa"/>
            <w:vMerge/>
            <w:tcBorders>
              <w:top w:val="nil"/>
            </w:tcBorders>
          </w:tcPr>
          <w:p>
            <w:pPr>
              <w:rPr>
                <w:sz w:val="2"/>
                <w:szCs w:val="2"/>
              </w:rPr>
            </w:pPr>
          </w:p>
        </w:tc>
        <w:tc>
          <w:tcPr>
            <w:tcW w:w="1373" w:type="dxa"/>
          </w:tcPr>
          <w:p>
            <w:pPr>
              <w:pStyle w:val="TableParagraph"/>
              <w:spacing w:before="17"/>
              <w:ind w:left="105"/>
              <w:rPr>
                <w:sz w:val="21"/>
              </w:rPr>
            </w:pPr>
            <w:r>
              <w:rPr>
                <w:spacing w:val="-4"/>
                <w:sz w:val="21"/>
              </w:rPr>
              <w:t>3b～4</w:t>
            </w:r>
          </w:p>
        </w:tc>
        <w:tc>
          <w:tcPr>
            <w:tcW w:w="1373" w:type="dxa"/>
          </w:tcPr>
          <w:p>
            <w:pPr>
              <w:pStyle w:val="TableParagraph"/>
              <w:spacing w:before="17"/>
              <w:ind w:left="106"/>
              <w:rPr>
                <w:sz w:val="21"/>
              </w:rPr>
            </w:pPr>
            <w:r>
              <w:rPr>
                <w:spacing w:val="-5"/>
                <w:sz w:val="21"/>
              </w:rPr>
              <w:t>任何</w:t>
            </w:r>
          </w:p>
        </w:tc>
        <w:tc>
          <w:tcPr>
            <w:tcW w:w="1368" w:type="dxa"/>
          </w:tcPr>
          <w:p>
            <w:pPr>
              <w:pStyle w:val="TableParagraph"/>
              <w:spacing w:before="17"/>
              <w:ind w:left="106"/>
              <w:rPr>
                <w:sz w:val="21"/>
              </w:rPr>
            </w:pPr>
            <w:r>
              <w:rPr>
                <w:w w:val="100"/>
                <w:sz w:val="21"/>
              </w:rPr>
              <w:t>0</w:t>
            </w:r>
          </w:p>
        </w:tc>
      </w:tr>
      <w:tr>
        <w:trPr>
          <w:trHeight w:val="311" w:hRule="atLeast"/>
        </w:trPr>
        <w:tc>
          <w:tcPr>
            <w:tcW w:w="1368" w:type="dxa"/>
          </w:tcPr>
          <w:p>
            <w:pPr>
              <w:pStyle w:val="TableParagraph"/>
              <w:spacing w:before="17"/>
              <w:ind w:left="105"/>
              <w:rPr>
                <w:sz w:val="21"/>
              </w:rPr>
            </w:pPr>
            <w:r>
              <w:rPr>
                <w:sz w:val="21"/>
              </w:rPr>
              <w:t>ⅣC</w:t>
            </w:r>
            <w:r>
              <w:rPr>
                <w:spacing w:val="-32"/>
                <w:sz w:val="21"/>
              </w:rPr>
              <w:t> 期</w:t>
            </w:r>
          </w:p>
        </w:tc>
        <w:tc>
          <w:tcPr>
            <w:tcW w:w="1373" w:type="dxa"/>
          </w:tcPr>
          <w:p>
            <w:pPr>
              <w:pStyle w:val="TableParagraph"/>
              <w:spacing w:before="17"/>
              <w:ind w:left="105"/>
              <w:rPr>
                <w:sz w:val="21"/>
              </w:rPr>
            </w:pPr>
            <w:r>
              <w:rPr>
                <w:spacing w:val="-5"/>
                <w:sz w:val="21"/>
              </w:rPr>
              <w:t>任何</w:t>
            </w:r>
          </w:p>
        </w:tc>
        <w:tc>
          <w:tcPr>
            <w:tcW w:w="1373" w:type="dxa"/>
          </w:tcPr>
          <w:p>
            <w:pPr>
              <w:pStyle w:val="TableParagraph"/>
              <w:spacing w:before="17"/>
              <w:ind w:left="106"/>
              <w:rPr>
                <w:sz w:val="21"/>
              </w:rPr>
            </w:pPr>
            <w:r>
              <w:rPr>
                <w:spacing w:val="-5"/>
                <w:sz w:val="21"/>
              </w:rPr>
              <w:t>任何</w:t>
            </w:r>
          </w:p>
        </w:tc>
        <w:tc>
          <w:tcPr>
            <w:tcW w:w="1368" w:type="dxa"/>
          </w:tcPr>
          <w:p>
            <w:pPr>
              <w:pStyle w:val="TableParagraph"/>
              <w:spacing w:before="17"/>
              <w:ind w:left="106"/>
              <w:rPr>
                <w:sz w:val="21"/>
              </w:rPr>
            </w:pPr>
            <w:r>
              <w:rPr>
                <w:w w:val="100"/>
                <w:sz w:val="21"/>
              </w:rPr>
              <w:t>1</w:t>
            </w:r>
          </w:p>
        </w:tc>
      </w:tr>
    </w:tbl>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3"/>
        <w:rPr>
          <w:sz w:val="20"/>
        </w:rPr>
      </w:pPr>
    </w:p>
    <w:p>
      <w:pPr>
        <w:spacing w:after="0"/>
        <w:rPr>
          <w:sz w:val="20"/>
        </w:rPr>
        <w:sectPr>
          <w:type w:val="continuous"/>
          <w:pgSz w:w="11910" w:h="16840"/>
          <w:pgMar w:header="0" w:footer="226" w:top="700" w:bottom="420" w:left="980" w:right="400"/>
        </w:sectPr>
      </w:pPr>
    </w:p>
    <w:p>
      <w:pPr>
        <w:pStyle w:val="BodyText"/>
        <w:spacing w:before="9"/>
        <w:rPr>
          <w:sz w:val="16"/>
        </w:rPr>
      </w:pPr>
    </w:p>
    <w:p>
      <w:pPr>
        <w:pStyle w:val="Heading2"/>
        <w:spacing w:line="194" w:lineRule="auto" w:before="0"/>
      </w:pPr>
      <w:r>
        <w:rPr>
          <w:spacing w:val="-2"/>
          <w:w w:val="95"/>
        </w:rPr>
        <w:t>Association， </w:t>
      </w:r>
      <w:r>
        <w:rPr>
          <w:spacing w:val="-2"/>
          <w:w w:val="90"/>
        </w:rPr>
        <w:t>NYHA）</w:t>
      </w:r>
      <w:r>
        <w:rPr>
          <w:spacing w:val="-2"/>
          <w:w w:val="90"/>
        </w:rPr>
        <w:t>心</w:t>
      </w:r>
      <w:r>
        <w:rPr>
          <w:spacing w:val="-2"/>
          <w:w w:val="90"/>
        </w:rPr>
        <w:t>功</w:t>
      </w:r>
      <w:r>
        <w:rPr>
          <w:spacing w:val="-2"/>
          <w:w w:val="90"/>
        </w:rPr>
        <w:t>能</w:t>
      </w:r>
      <w:r>
        <w:rPr>
          <w:spacing w:val="-4"/>
        </w:rPr>
        <w:t>状态分级</w:t>
      </w:r>
    </w:p>
    <w:p>
      <w:pPr>
        <w:pStyle w:val="BodyText"/>
        <w:spacing w:line="278" w:lineRule="auto" w:before="72"/>
        <w:ind w:left="205" w:right="1501"/>
      </w:pPr>
      <w:r>
        <w:rPr/>
        <w:br w:type="column"/>
      </w:r>
      <w:r>
        <w:rPr>
          <w:spacing w:val="-2"/>
        </w:rPr>
        <w:t>Ⅰ级：心脏病病人日常活动量不受限制，一般活动不引起乏</w:t>
      </w:r>
      <w:r>
        <w:rPr>
          <w:spacing w:val="-2"/>
        </w:rPr>
        <w:t>力、呼吸困难等心衰症状。</w:t>
      </w:r>
    </w:p>
    <w:p>
      <w:pPr>
        <w:pStyle w:val="BodyText"/>
        <w:spacing w:line="278" w:lineRule="auto"/>
        <w:ind w:left="205" w:right="1391"/>
      </w:pPr>
      <w:r>
        <w:rPr/>
        <w:pict>
          <v:shape style="position:absolute;margin-left:92.828003pt;margin-top:-627.095032pt;width:415.35pt;height:599.6pt;mso-position-horizontal-relative:page;mso-position-vertical-relative:paragraph;z-index:15733248" type="#_x0000_t202" id="docshape5"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18"/>
                    <w:gridCol w:w="1659"/>
                    <w:gridCol w:w="5829"/>
                  </w:tblGrid>
                  <w:tr>
                    <w:trPr>
                      <w:trHeight w:val="738" w:hRule="atLeast"/>
                    </w:trPr>
                    <w:tc>
                      <w:tcPr>
                        <w:tcW w:w="2477" w:type="dxa"/>
                        <w:gridSpan w:val="2"/>
                      </w:tcPr>
                      <w:p>
                        <w:pPr>
                          <w:pStyle w:val="TableParagraph"/>
                          <w:rPr>
                            <w:rFonts w:ascii="Times New Roman"/>
                            <w:sz w:val="20"/>
                          </w:rPr>
                        </w:pPr>
                      </w:p>
                    </w:tc>
                    <w:tc>
                      <w:tcPr>
                        <w:tcW w:w="5829" w:type="dxa"/>
                      </w:tcPr>
                      <w:p>
                        <w:pPr>
                          <w:pStyle w:val="TableParagraph"/>
                          <w:spacing w:line="241" w:lineRule="exact"/>
                          <w:ind w:left="175"/>
                          <w:rPr>
                            <w:sz w:val="21"/>
                          </w:rPr>
                        </w:pPr>
                        <w:r>
                          <w:rPr>
                            <w:spacing w:val="-3"/>
                            <w:sz w:val="21"/>
                          </w:rPr>
                          <w:t>注：以上表格中“年龄”指患者病理组织标本获取日期时的</w:t>
                        </w:r>
                      </w:p>
                      <w:p>
                        <w:pPr>
                          <w:pStyle w:val="TableParagraph"/>
                          <w:spacing w:before="48"/>
                          <w:ind w:left="175"/>
                          <w:rPr>
                            <w:sz w:val="21"/>
                          </w:rPr>
                        </w:pPr>
                        <w:r>
                          <w:rPr>
                            <w:spacing w:val="-4"/>
                            <w:sz w:val="21"/>
                          </w:rPr>
                          <w:t>年龄。</w:t>
                        </w:r>
                      </w:p>
                    </w:tc>
                  </w:tr>
                  <w:tr>
                    <w:trPr>
                      <w:trHeight w:val="640" w:hRule="atLeast"/>
                    </w:trPr>
                    <w:tc>
                      <w:tcPr>
                        <w:tcW w:w="818" w:type="dxa"/>
                      </w:tcPr>
                      <w:p>
                        <w:pPr>
                          <w:pStyle w:val="TableParagraph"/>
                          <w:spacing w:before="106"/>
                          <w:ind w:left="50"/>
                          <w:rPr>
                            <w:rFonts w:ascii="Microsoft JhengHei"/>
                            <w:b/>
                            <w:sz w:val="22"/>
                          </w:rPr>
                        </w:pPr>
                        <w:r>
                          <w:rPr>
                            <w:rFonts w:ascii="Microsoft JhengHei"/>
                            <w:b/>
                            <w:spacing w:val="-2"/>
                            <w:sz w:val="22"/>
                          </w:rPr>
                          <w:t>13.34</w:t>
                        </w:r>
                      </w:p>
                    </w:tc>
                    <w:tc>
                      <w:tcPr>
                        <w:tcW w:w="1659" w:type="dxa"/>
                      </w:tcPr>
                      <w:p>
                        <w:pPr>
                          <w:pStyle w:val="TableParagraph"/>
                          <w:spacing w:before="115"/>
                          <w:ind w:left="216"/>
                          <w:rPr>
                            <w:rFonts w:ascii="Microsoft JhengHei" w:eastAsia="Microsoft JhengHei"/>
                            <w:b/>
                            <w:sz w:val="21"/>
                          </w:rPr>
                        </w:pPr>
                        <w:r>
                          <w:rPr>
                            <w:rFonts w:ascii="Microsoft JhengHei" w:eastAsia="Microsoft JhengHei"/>
                            <w:b/>
                            <w:spacing w:val="-5"/>
                            <w:sz w:val="21"/>
                          </w:rPr>
                          <w:t>肢体</w:t>
                        </w:r>
                      </w:p>
                    </w:tc>
                    <w:tc>
                      <w:tcPr>
                        <w:tcW w:w="5829" w:type="dxa"/>
                      </w:tcPr>
                      <w:p>
                        <w:pPr>
                          <w:pStyle w:val="TableParagraph"/>
                          <w:spacing w:before="5"/>
                          <w:rPr>
                            <w:sz w:val="14"/>
                          </w:rPr>
                        </w:pPr>
                      </w:p>
                      <w:p>
                        <w:pPr>
                          <w:pStyle w:val="TableParagraph"/>
                          <w:ind w:left="175"/>
                          <w:rPr>
                            <w:sz w:val="21"/>
                          </w:rPr>
                        </w:pPr>
                        <w:r>
                          <w:rPr>
                            <w:spacing w:val="-3"/>
                            <w:sz w:val="21"/>
                          </w:rPr>
                          <w:t>肢体是指包括肩关节的整个上肢或包括髋关节的整个下肢。</w:t>
                        </w:r>
                      </w:p>
                    </w:tc>
                  </w:tr>
                  <w:tr>
                    <w:trPr>
                      <w:trHeight w:val="549" w:hRule="atLeast"/>
                    </w:trPr>
                    <w:tc>
                      <w:tcPr>
                        <w:tcW w:w="818" w:type="dxa"/>
                      </w:tcPr>
                      <w:p>
                        <w:pPr>
                          <w:pStyle w:val="TableParagraph"/>
                          <w:spacing w:before="112"/>
                          <w:ind w:left="50"/>
                          <w:rPr>
                            <w:rFonts w:ascii="Microsoft JhengHei"/>
                            <w:b/>
                            <w:sz w:val="21"/>
                          </w:rPr>
                        </w:pPr>
                        <w:r>
                          <w:rPr>
                            <w:rFonts w:ascii="Microsoft JhengHei"/>
                            <w:b/>
                            <w:spacing w:val="-2"/>
                            <w:sz w:val="21"/>
                          </w:rPr>
                          <w:t>13.35</w:t>
                        </w:r>
                      </w:p>
                    </w:tc>
                    <w:tc>
                      <w:tcPr>
                        <w:tcW w:w="1659" w:type="dxa"/>
                      </w:tcPr>
                      <w:p>
                        <w:pPr>
                          <w:pStyle w:val="TableParagraph"/>
                          <w:spacing w:before="112"/>
                          <w:ind w:left="216"/>
                          <w:rPr>
                            <w:rFonts w:ascii="Microsoft JhengHei" w:eastAsia="Microsoft JhengHei"/>
                            <w:b/>
                            <w:sz w:val="21"/>
                          </w:rPr>
                        </w:pPr>
                        <w:r>
                          <w:rPr>
                            <w:rFonts w:ascii="Microsoft JhengHei" w:eastAsia="Microsoft JhengHei"/>
                            <w:b/>
                            <w:spacing w:val="-5"/>
                            <w:sz w:val="21"/>
                          </w:rPr>
                          <w:t>肌力</w:t>
                        </w:r>
                      </w:p>
                    </w:tc>
                    <w:tc>
                      <w:tcPr>
                        <w:tcW w:w="5829" w:type="dxa"/>
                      </w:tcPr>
                      <w:p>
                        <w:pPr>
                          <w:pStyle w:val="TableParagraph"/>
                          <w:spacing w:before="2"/>
                          <w:rPr>
                            <w:sz w:val="14"/>
                          </w:rPr>
                        </w:pPr>
                      </w:p>
                      <w:p>
                        <w:pPr>
                          <w:pStyle w:val="TableParagraph"/>
                          <w:ind w:left="175"/>
                          <w:rPr>
                            <w:sz w:val="21"/>
                          </w:rPr>
                        </w:pPr>
                        <w:r>
                          <w:rPr>
                            <w:spacing w:val="-5"/>
                            <w:sz w:val="21"/>
                          </w:rPr>
                          <w:t>指肌肉收缩时的力量。肌力划分为 </w:t>
                        </w:r>
                        <w:r>
                          <w:rPr>
                            <w:spacing w:val="-2"/>
                            <w:sz w:val="21"/>
                          </w:rPr>
                          <w:t>0-5</w:t>
                        </w:r>
                        <w:r>
                          <w:rPr>
                            <w:spacing w:val="-10"/>
                            <w:sz w:val="21"/>
                          </w:rPr>
                          <w:t> 级，具体为：</w:t>
                        </w:r>
                      </w:p>
                    </w:tc>
                  </w:tr>
                  <w:tr>
                    <w:trPr>
                      <w:trHeight w:val="391" w:hRule="atLeast"/>
                    </w:trPr>
                    <w:tc>
                      <w:tcPr>
                        <w:tcW w:w="818" w:type="dxa"/>
                      </w:tcPr>
                      <w:p>
                        <w:pPr>
                          <w:pStyle w:val="TableParagraph"/>
                          <w:rPr>
                            <w:rFonts w:ascii="Times New Roman"/>
                            <w:sz w:val="20"/>
                          </w:rPr>
                        </w:pPr>
                      </w:p>
                    </w:tc>
                    <w:tc>
                      <w:tcPr>
                        <w:tcW w:w="1659" w:type="dxa"/>
                      </w:tcPr>
                      <w:p>
                        <w:pPr>
                          <w:pStyle w:val="TableParagraph"/>
                          <w:rPr>
                            <w:rFonts w:ascii="Times New Roman"/>
                            <w:sz w:val="20"/>
                          </w:rPr>
                        </w:pPr>
                      </w:p>
                    </w:tc>
                    <w:tc>
                      <w:tcPr>
                        <w:tcW w:w="5829" w:type="dxa"/>
                      </w:tcPr>
                      <w:p>
                        <w:pPr>
                          <w:pStyle w:val="TableParagraph"/>
                          <w:spacing w:before="99"/>
                          <w:ind w:left="175"/>
                          <w:rPr>
                            <w:sz w:val="21"/>
                          </w:rPr>
                        </w:pPr>
                        <w:r>
                          <w:rPr>
                            <w:spacing w:val="-2"/>
                            <w:sz w:val="21"/>
                          </w:rPr>
                          <w:t>0</w:t>
                        </w:r>
                        <w:r>
                          <w:rPr>
                            <w:spacing w:val="-10"/>
                            <w:sz w:val="21"/>
                          </w:rPr>
                          <w:t> 级：肌肉完全瘫痪，毫无收缩。</w:t>
                        </w:r>
                      </w:p>
                    </w:tc>
                  </w:tr>
                  <w:tr>
                    <w:trPr>
                      <w:trHeight w:val="314" w:hRule="atLeast"/>
                    </w:trPr>
                    <w:tc>
                      <w:tcPr>
                        <w:tcW w:w="818" w:type="dxa"/>
                      </w:tcPr>
                      <w:p>
                        <w:pPr>
                          <w:pStyle w:val="TableParagraph"/>
                          <w:rPr>
                            <w:rFonts w:ascii="Times New Roman"/>
                            <w:sz w:val="20"/>
                          </w:rPr>
                        </w:pPr>
                      </w:p>
                    </w:tc>
                    <w:tc>
                      <w:tcPr>
                        <w:tcW w:w="1659" w:type="dxa"/>
                      </w:tcPr>
                      <w:p>
                        <w:pPr>
                          <w:pStyle w:val="TableParagraph"/>
                          <w:rPr>
                            <w:rFonts w:ascii="Times New Roman"/>
                            <w:sz w:val="20"/>
                          </w:rPr>
                        </w:pPr>
                      </w:p>
                    </w:tc>
                    <w:tc>
                      <w:tcPr>
                        <w:tcW w:w="5829" w:type="dxa"/>
                      </w:tcPr>
                      <w:p>
                        <w:pPr>
                          <w:pStyle w:val="TableParagraph"/>
                          <w:spacing w:before="24"/>
                          <w:ind w:left="175"/>
                          <w:rPr>
                            <w:sz w:val="21"/>
                          </w:rPr>
                        </w:pPr>
                        <w:r>
                          <w:rPr>
                            <w:spacing w:val="-2"/>
                            <w:sz w:val="21"/>
                          </w:rPr>
                          <w:t>1</w:t>
                        </w:r>
                        <w:r>
                          <w:rPr>
                            <w:spacing w:val="-9"/>
                            <w:sz w:val="21"/>
                          </w:rPr>
                          <w:t> 级：可看到或者触及肌肉轻微收缩，但不能产生动作。</w:t>
                        </w:r>
                      </w:p>
                    </w:tc>
                  </w:tr>
                  <w:tr>
                    <w:trPr>
                      <w:trHeight w:val="312" w:hRule="atLeast"/>
                    </w:trPr>
                    <w:tc>
                      <w:tcPr>
                        <w:tcW w:w="818" w:type="dxa"/>
                      </w:tcPr>
                      <w:p>
                        <w:pPr>
                          <w:pStyle w:val="TableParagraph"/>
                          <w:rPr>
                            <w:rFonts w:ascii="Times New Roman"/>
                            <w:sz w:val="20"/>
                          </w:rPr>
                        </w:pPr>
                      </w:p>
                    </w:tc>
                    <w:tc>
                      <w:tcPr>
                        <w:tcW w:w="1659" w:type="dxa"/>
                      </w:tcPr>
                      <w:p>
                        <w:pPr>
                          <w:pStyle w:val="TableParagraph"/>
                          <w:rPr>
                            <w:rFonts w:ascii="Times New Roman"/>
                            <w:sz w:val="20"/>
                          </w:rPr>
                        </w:pPr>
                      </w:p>
                    </w:tc>
                    <w:tc>
                      <w:tcPr>
                        <w:tcW w:w="5829" w:type="dxa"/>
                      </w:tcPr>
                      <w:p>
                        <w:pPr>
                          <w:pStyle w:val="TableParagraph"/>
                          <w:spacing w:before="22"/>
                          <w:ind w:left="175"/>
                          <w:rPr>
                            <w:sz w:val="21"/>
                          </w:rPr>
                        </w:pPr>
                        <w:r>
                          <w:rPr>
                            <w:spacing w:val="-2"/>
                            <w:sz w:val="21"/>
                          </w:rPr>
                          <w:t>2</w:t>
                        </w:r>
                        <w:r>
                          <w:rPr>
                            <w:spacing w:val="-9"/>
                            <w:sz w:val="21"/>
                          </w:rPr>
                          <w:t> 级：肌肉在不受重力影响下，可进行运动，即肢体能在床</w:t>
                        </w:r>
                      </w:p>
                    </w:tc>
                  </w:tr>
                  <w:tr>
                    <w:trPr>
                      <w:trHeight w:val="312" w:hRule="atLeast"/>
                    </w:trPr>
                    <w:tc>
                      <w:tcPr>
                        <w:tcW w:w="818" w:type="dxa"/>
                      </w:tcPr>
                      <w:p>
                        <w:pPr>
                          <w:pStyle w:val="TableParagraph"/>
                          <w:rPr>
                            <w:rFonts w:ascii="Times New Roman"/>
                            <w:sz w:val="20"/>
                          </w:rPr>
                        </w:pPr>
                      </w:p>
                    </w:tc>
                    <w:tc>
                      <w:tcPr>
                        <w:tcW w:w="1659" w:type="dxa"/>
                      </w:tcPr>
                      <w:p>
                        <w:pPr>
                          <w:pStyle w:val="TableParagraph"/>
                          <w:rPr>
                            <w:rFonts w:ascii="Times New Roman"/>
                            <w:sz w:val="20"/>
                          </w:rPr>
                        </w:pPr>
                      </w:p>
                    </w:tc>
                    <w:tc>
                      <w:tcPr>
                        <w:tcW w:w="5829" w:type="dxa"/>
                      </w:tcPr>
                      <w:p>
                        <w:pPr>
                          <w:pStyle w:val="TableParagraph"/>
                          <w:spacing w:before="22"/>
                          <w:ind w:left="175"/>
                          <w:rPr>
                            <w:sz w:val="21"/>
                          </w:rPr>
                        </w:pPr>
                        <w:r>
                          <w:rPr>
                            <w:spacing w:val="-3"/>
                            <w:sz w:val="21"/>
                          </w:rPr>
                          <w:t>面上移动，但不能抬高。</w:t>
                        </w:r>
                      </w:p>
                    </w:tc>
                  </w:tr>
                  <w:tr>
                    <w:trPr>
                      <w:trHeight w:val="312" w:hRule="atLeast"/>
                    </w:trPr>
                    <w:tc>
                      <w:tcPr>
                        <w:tcW w:w="818" w:type="dxa"/>
                      </w:tcPr>
                      <w:p>
                        <w:pPr>
                          <w:pStyle w:val="TableParagraph"/>
                          <w:rPr>
                            <w:rFonts w:ascii="Times New Roman"/>
                            <w:sz w:val="20"/>
                          </w:rPr>
                        </w:pPr>
                      </w:p>
                    </w:tc>
                    <w:tc>
                      <w:tcPr>
                        <w:tcW w:w="1659" w:type="dxa"/>
                      </w:tcPr>
                      <w:p>
                        <w:pPr>
                          <w:pStyle w:val="TableParagraph"/>
                          <w:rPr>
                            <w:rFonts w:ascii="Times New Roman"/>
                            <w:sz w:val="20"/>
                          </w:rPr>
                        </w:pPr>
                      </w:p>
                    </w:tc>
                    <w:tc>
                      <w:tcPr>
                        <w:tcW w:w="5829" w:type="dxa"/>
                      </w:tcPr>
                      <w:p>
                        <w:pPr>
                          <w:pStyle w:val="TableParagraph"/>
                          <w:spacing w:before="22"/>
                          <w:ind w:left="175"/>
                          <w:rPr>
                            <w:sz w:val="21"/>
                          </w:rPr>
                        </w:pPr>
                        <w:r>
                          <w:rPr>
                            <w:spacing w:val="-2"/>
                            <w:sz w:val="21"/>
                          </w:rPr>
                          <w:t>3</w:t>
                        </w:r>
                        <w:r>
                          <w:rPr>
                            <w:spacing w:val="-9"/>
                            <w:sz w:val="21"/>
                          </w:rPr>
                          <w:t> 级：在和地心引力相反的方向中尚能完成其动作，但不能</w:t>
                        </w:r>
                      </w:p>
                    </w:tc>
                  </w:tr>
                  <w:tr>
                    <w:trPr>
                      <w:trHeight w:val="312" w:hRule="atLeast"/>
                    </w:trPr>
                    <w:tc>
                      <w:tcPr>
                        <w:tcW w:w="818" w:type="dxa"/>
                      </w:tcPr>
                      <w:p>
                        <w:pPr>
                          <w:pStyle w:val="TableParagraph"/>
                          <w:rPr>
                            <w:rFonts w:ascii="Times New Roman"/>
                            <w:sz w:val="20"/>
                          </w:rPr>
                        </w:pPr>
                      </w:p>
                    </w:tc>
                    <w:tc>
                      <w:tcPr>
                        <w:tcW w:w="1659" w:type="dxa"/>
                      </w:tcPr>
                      <w:p>
                        <w:pPr>
                          <w:pStyle w:val="TableParagraph"/>
                          <w:rPr>
                            <w:rFonts w:ascii="Times New Roman"/>
                            <w:sz w:val="20"/>
                          </w:rPr>
                        </w:pPr>
                      </w:p>
                    </w:tc>
                    <w:tc>
                      <w:tcPr>
                        <w:tcW w:w="5829" w:type="dxa"/>
                      </w:tcPr>
                      <w:p>
                        <w:pPr>
                          <w:pStyle w:val="TableParagraph"/>
                          <w:spacing w:before="22"/>
                          <w:ind w:left="175"/>
                          <w:rPr>
                            <w:sz w:val="21"/>
                          </w:rPr>
                        </w:pPr>
                        <w:r>
                          <w:rPr>
                            <w:spacing w:val="-4"/>
                            <w:sz w:val="21"/>
                          </w:rPr>
                          <w:t>对抗外加阻力。</w:t>
                        </w:r>
                      </w:p>
                    </w:tc>
                  </w:tr>
                  <w:tr>
                    <w:trPr>
                      <w:trHeight w:val="311" w:hRule="atLeast"/>
                    </w:trPr>
                    <w:tc>
                      <w:tcPr>
                        <w:tcW w:w="818" w:type="dxa"/>
                      </w:tcPr>
                      <w:p>
                        <w:pPr>
                          <w:pStyle w:val="TableParagraph"/>
                          <w:rPr>
                            <w:rFonts w:ascii="Times New Roman"/>
                            <w:sz w:val="20"/>
                          </w:rPr>
                        </w:pPr>
                      </w:p>
                    </w:tc>
                    <w:tc>
                      <w:tcPr>
                        <w:tcW w:w="1659" w:type="dxa"/>
                      </w:tcPr>
                      <w:p>
                        <w:pPr>
                          <w:pStyle w:val="TableParagraph"/>
                          <w:rPr>
                            <w:rFonts w:ascii="Times New Roman"/>
                            <w:sz w:val="20"/>
                          </w:rPr>
                        </w:pPr>
                      </w:p>
                    </w:tc>
                    <w:tc>
                      <w:tcPr>
                        <w:tcW w:w="5829" w:type="dxa"/>
                      </w:tcPr>
                      <w:p>
                        <w:pPr>
                          <w:pStyle w:val="TableParagraph"/>
                          <w:spacing w:before="22"/>
                          <w:ind w:left="175"/>
                          <w:rPr>
                            <w:sz w:val="21"/>
                          </w:rPr>
                        </w:pPr>
                        <w:r>
                          <w:rPr>
                            <w:spacing w:val="-2"/>
                            <w:sz w:val="21"/>
                          </w:rPr>
                          <w:t>4</w:t>
                        </w:r>
                        <w:r>
                          <w:rPr>
                            <w:spacing w:val="-9"/>
                            <w:sz w:val="21"/>
                          </w:rPr>
                          <w:t> 级：能对抗一定的阻力，但较正常人为低。</w:t>
                        </w:r>
                      </w:p>
                    </w:tc>
                  </w:tr>
                  <w:tr>
                    <w:trPr>
                      <w:trHeight w:val="472" w:hRule="atLeast"/>
                    </w:trPr>
                    <w:tc>
                      <w:tcPr>
                        <w:tcW w:w="818" w:type="dxa"/>
                      </w:tcPr>
                      <w:p>
                        <w:pPr>
                          <w:pStyle w:val="TableParagraph"/>
                          <w:rPr>
                            <w:rFonts w:ascii="Times New Roman"/>
                            <w:sz w:val="20"/>
                          </w:rPr>
                        </w:pPr>
                      </w:p>
                    </w:tc>
                    <w:tc>
                      <w:tcPr>
                        <w:tcW w:w="1659" w:type="dxa"/>
                      </w:tcPr>
                      <w:p>
                        <w:pPr>
                          <w:pStyle w:val="TableParagraph"/>
                          <w:rPr>
                            <w:rFonts w:ascii="Times New Roman"/>
                            <w:sz w:val="20"/>
                          </w:rPr>
                        </w:pPr>
                      </w:p>
                    </w:tc>
                    <w:tc>
                      <w:tcPr>
                        <w:tcW w:w="5829" w:type="dxa"/>
                      </w:tcPr>
                      <w:p>
                        <w:pPr>
                          <w:pStyle w:val="TableParagraph"/>
                          <w:spacing w:before="22"/>
                          <w:ind w:left="175"/>
                          <w:rPr>
                            <w:sz w:val="21"/>
                          </w:rPr>
                        </w:pPr>
                        <w:r>
                          <w:rPr>
                            <w:spacing w:val="-2"/>
                            <w:sz w:val="21"/>
                          </w:rPr>
                          <w:t>5</w:t>
                        </w:r>
                        <w:r>
                          <w:rPr>
                            <w:spacing w:val="-10"/>
                            <w:sz w:val="21"/>
                          </w:rPr>
                          <w:t> 级：正常肌力。</w:t>
                        </w:r>
                      </w:p>
                    </w:tc>
                  </w:tr>
                  <w:tr>
                    <w:trPr>
                      <w:trHeight w:val="475" w:hRule="atLeast"/>
                    </w:trPr>
                    <w:tc>
                      <w:tcPr>
                        <w:tcW w:w="818" w:type="dxa"/>
                      </w:tcPr>
                      <w:p>
                        <w:pPr>
                          <w:pStyle w:val="TableParagraph"/>
                          <w:spacing w:line="342" w:lineRule="exact" w:before="113"/>
                          <w:ind w:left="50"/>
                          <w:rPr>
                            <w:rFonts w:ascii="Microsoft JhengHei"/>
                            <w:b/>
                            <w:sz w:val="21"/>
                          </w:rPr>
                        </w:pPr>
                        <w:r>
                          <w:rPr>
                            <w:rFonts w:ascii="Microsoft JhengHei"/>
                            <w:b/>
                            <w:spacing w:val="-4"/>
                            <w:w w:val="82"/>
                            <w:sz w:val="21"/>
                          </w:rPr>
                          <w:t>13</w:t>
                        </w:r>
                        <w:r>
                          <w:rPr>
                            <w:rFonts w:ascii="Microsoft JhengHei"/>
                            <w:b/>
                            <w:spacing w:val="-4"/>
                            <w:w w:val="195"/>
                            <w:sz w:val="21"/>
                          </w:rPr>
                          <w:t>.</w:t>
                        </w:r>
                        <w:r>
                          <w:rPr>
                            <w:rFonts w:ascii="Microsoft JhengHei"/>
                            <w:b/>
                            <w:spacing w:val="-4"/>
                            <w:w w:val="82"/>
                            <w:sz w:val="21"/>
                          </w:rPr>
                          <w:t>36</w:t>
                        </w:r>
                      </w:p>
                    </w:tc>
                    <w:tc>
                      <w:tcPr>
                        <w:tcW w:w="1659" w:type="dxa"/>
                      </w:tcPr>
                      <w:p>
                        <w:pPr>
                          <w:pStyle w:val="TableParagraph"/>
                          <w:spacing w:line="334" w:lineRule="exact" w:before="122"/>
                          <w:ind w:left="216"/>
                          <w:rPr>
                            <w:rFonts w:ascii="Microsoft JhengHei" w:eastAsia="Microsoft JhengHei"/>
                            <w:b/>
                            <w:sz w:val="20"/>
                          </w:rPr>
                        </w:pPr>
                        <w:r>
                          <w:rPr>
                            <w:rFonts w:ascii="Microsoft JhengHei" w:eastAsia="Microsoft JhengHei"/>
                            <w:b/>
                            <w:spacing w:val="-2"/>
                            <w:sz w:val="20"/>
                          </w:rPr>
                          <w:t>语言能力完全</w:t>
                        </w:r>
                      </w:p>
                    </w:tc>
                    <w:tc>
                      <w:tcPr>
                        <w:tcW w:w="5829" w:type="dxa"/>
                      </w:tcPr>
                      <w:p>
                        <w:pPr>
                          <w:pStyle w:val="TableParagraph"/>
                          <w:spacing w:before="3"/>
                          <w:rPr>
                            <w:sz w:val="14"/>
                          </w:rPr>
                        </w:pPr>
                      </w:p>
                      <w:p>
                        <w:pPr>
                          <w:pStyle w:val="TableParagraph"/>
                          <w:ind w:left="175"/>
                          <w:rPr>
                            <w:sz w:val="21"/>
                          </w:rPr>
                        </w:pPr>
                        <w:r>
                          <w:rPr>
                            <w:spacing w:val="-2"/>
                            <w:sz w:val="21"/>
                          </w:rPr>
                          <w:t>语言能力完全丧失，指无法发出四种语音（</w:t>
                        </w:r>
                        <w:r>
                          <w:rPr>
                            <w:spacing w:val="-4"/>
                            <w:sz w:val="21"/>
                          </w:rPr>
                          <w:t>包括口唇音、齿</w:t>
                        </w:r>
                      </w:p>
                    </w:tc>
                  </w:tr>
                  <w:tr>
                    <w:trPr>
                      <w:trHeight w:val="314" w:hRule="atLeast"/>
                    </w:trPr>
                    <w:tc>
                      <w:tcPr>
                        <w:tcW w:w="818" w:type="dxa"/>
                      </w:tcPr>
                      <w:p>
                        <w:pPr>
                          <w:pStyle w:val="TableParagraph"/>
                          <w:rPr>
                            <w:rFonts w:ascii="Times New Roman"/>
                            <w:sz w:val="20"/>
                          </w:rPr>
                        </w:pPr>
                      </w:p>
                    </w:tc>
                    <w:tc>
                      <w:tcPr>
                        <w:tcW w:w="1659" w:type="dxa"/>
                      </w:tcPr>
                      <w:p>
                        <w:pPr>
                          <w:pStyle w:val="TableParagraph"/>
                          <w:spacing w:line="295" w:lineRule="exact"/>
                          <w:ind w:left="216"/>
                          <w:rPr>
                            <w:rFonts w:ascii="Microsoft JhengHei" w:eastAsia="Microsoft JhengHei"/>
                            <w:b/>
                            <w:sz w:val="20"/>
                          </w:rPr>
                        </w:pPr>
                        <w:r>
                          <w:rPr>
                            <w:rFonts w:ascii="Microsoft JhengHei" w:eastAsia="Microsoft JhengHei"/>
                            <w:b/>
                            <w:spacing w:val="-2"/>
                            <w:sz w:val="20"/>
                          </w:rPr>
                          <w:t>丧失或严重咀</w:t>
                        </w:r>
                      </w:p>
                    </w:tc>
                    <w:tc>
                      <w:tcPr>
                        <w:tcW w:w="5829" w:type="dxa"/>
                      </w:tcPr>
                      <w:p>
                        <w:pPr>
                          <w:pStyle w:val="TableParagraph"/>
                          <w:spacing w:before="24"/>
                          <w:ind w:left="175"/>
                          <w:rPr>
                            <w:sz w:val="21"/>
                          </w:rPr>
                        </w:pPr>
                        <w:r>
                          <w:rPr>
                            <w:spacing w:val="-2"/>
                            <w:sz w:val="21"/>
                          </w:rPr>
                          <w:t>舌音、口盖音和喉头音）</w:t>
                        </w:r>
                        <w:r>
                          <w:rPr>
                            <w:spacing w:val="-3"/>
                            <w:sz w:val="21"/>
                          </w:rPr>
                          <w:t>中的任何三种、或声带全部切除，</w:t>
                        </w:r>
                      </w:p>
                    </w:tc>
                  </w:tr>
                  <w:tr>
                    <w:trPr>
                      <w:trHeight w:val="261" w:hRule="atLeast"/>
                    </w:trPr>
                    <w:tc>
                      <w:tcPr>
                        <w:tcW w:w="818" w:type="dxa"/>
                      </w:tcPr>
                      <w:p>
                        <w:pPr>
                          <w:pStyle w:val="TableParagraph"/>
                          <w:rPr>
                            <w:rFonts w:ascii="Times New Roman"/>
                            <w:sz w:val="18"/>
                          </w:rPr>
                        </w:pPr>
                      </w:p>
                    </w:tc>
                    <w:tc>
                      <w:tcPr>
                        <w:tcW w:w="1659" w:type="dxa"/>
                      </w:tcPr>
                      <w:p>
                        <w:pPr>
                          <w:pStyle w:val="TableParagraph"/>
                          <w:spacing w:line="242" w:lineRule="exact"/>
                          <w:ind w:left="216"/>
                          <w:rPr>
                            <w:rFonts w:ascii="Microsoft JhengHei" w:eastAsia="Microsoft JhengHei"/>
                            <w:b/>
                            <w:sz w:val="20"/>
                          </w:rPr>
                        </w:pPr>
                        <w:r>
                          <w:rPr>
                            <w:rFonts w:ascii="Microsoft JhengHei" w:eastAsia="Microsoft JhengHei"/>
                            <w:b/>
                            <w:spacing w:val="-2"/>
                            <w:sz w:val="20"/>
                          </w:rPr>
                          <w:t>嚼吞咽功能障</w:t>
                        </w:r>
                      </w:p>
                    </w:tc>
                    <w:tc>
                      <w:tcPr>
                        <w:tcW w:w="5829" w:type="dxa"/>
                      </w:tcPr>
                      <w:p>
                        <w:pPr>
                          <w:pStyle w:val="TableParagraph"/>
                          <w:spacing w:line="220" w:lineRule="exact" w:before="22"/>
                          <w:ind w:left="175"/>
                          <w:rPr>
                            <w:sz w:val="21"/>
                          </w:rPr>
                        </w:pPr>
                        <w:r>
                          <w:rPr>
                            <w:spacing w:val="-3"/>
                            <w:sz w:val="21"/>
                          </w:rPr>
                          <w:t>或因大脑语言中枢受伤害而患失语症。</w:t>
                        </w:r>
                      </w:p>
                    </w:tc>
                  </w:tr>
                  <w:tr>
                    <w:trPr>
                      <w:trHeight w:val="254" w:hRule="atLeast"/>
                    </w:trPr>
                    <w:tc>
                      <w:tcPr>
                        <w:tcW w:w="818" w:type="dxa"/>
                      </w:tcPr>
                      <w:p>
                        <w:pPr>
                          <w:pStyle w:val="TableParagraph"/>
                          <w:rPr>
                            <w:rFonts w:ascii="Times New Roman"/>
                            <w:sz w:val="18"/>
                          </w:rPr>
                        </w:pPr>
                      </w:p>
                    </w:tc>
                    <w:tc>
                      <w:tcPr>
                        <w:tcW w:w="1659" w:type="dxa"/>
                      </w:tcPr>
                      <w:p>
                        <w:pPr>
                          <w:pStyle w:val="TableParagraph"/>
                          <w:spacing w:line="223" w:lineRule="exact" w:before="11"/>
                          <w:ind w:left="216"/>
                          <w:rPr>
                            <w:rFonts w:ascii="Microsoft JhengHei" w:eastAsia="Microsoft JhengHei"/>
                            <w:b/>
                            <w:sz w:val="20"/>
                          </w:rPr>
                        </w:pPr>
                        <w:r>
                          <w:rPr>
                            <w:rFonts w:ascii="Microsoft JhengHei" w:eastAsia="Microsoft JhengHei"/>
                            <w:b/>
                            <w:w w:val="100"/>
                            <w:sz w:val="20"/>
                          </w:rPr>
                          <w:t>碍</w:t>
                        </w:r>
                      </w:p>
                    </w:tc>
                    <w:tc>
                      <w:tcPr>
                        <w:tcW w:w="5829" w:type="dxa"/>
                      </w:tcPr>
                      <w:p>
                        <w:pPr>
                          <w:pStyle w:val="TableParagraph"/>
                          <w:rPr>
                            <w:rFonts w:ascii="Times New Roman"/>
                            <w:sz w:val="18"/>
                          </w:rPr>
                        </w:pPr>
                      </w:p>
                    </w:tc>
                  </w:tr>
                  <w:tr>
                    <w:trPr>
                      <w:trHeight w:val="261" w:hRule="atLeast"/>
                    </w:trPr>
                    <w:tc>
                      <w:tcPr>
                        <w:tcW w:w="818" w:type="dxa"/>
                      </w:tcPr>
                      <w:p>
                        <w:pPr>
                          <w:pStyle w:val="TableParagraph"/>
                          <w:rPr>
                            <w:rFonts w:ascii="Times New Roman"/>
                            <w:sz w:val="18"/>
                          </w:rPr>
                        </w:pPr>
                      </w:p>
                    </w:tc>
                    <w:tc>
                      <w:tcPr>
                        <w:tcW w:w="1659" w:type="dxa"/>
                      </w:tcPr>
                      <w:p>
                        <w:pPr>
                          <w:pStyle w:val="TableParagraph"/>
                          <w:rPr>
                            <w:rFonts w:ascii="Times New Roman"/>
                            <w:sz w:val="18"/>
                          </w:rPr>
                        </w:pPr>
                      </w:p>
                    </w:tc>
                    <w:tc>
                      <w:tcPr>
                        <w:tcW w:w="5829" w:type="dxa"/>
                      </w:tcPr>
                      <w:p>
                        <w:pPr>
                          <w:pStyle w:val="TableParagraph"/>
                          <w:spacing w:line="241" w:lineRule="exact"/>
                          <w:ind w:left="175"/>
                          <w:rPr>
                            <w:sz w:val="21"/>
                          </w:rPr>
                        </w:pPr>
                        <w:r>
                          <w:rPr>
                            <w:spacing w:val="-3"/>
                            <w:sz w:val="21"/>
                          </w:rPr>
                          <w:t>严重咀嚼吞咽功能障碍，指因牙齿以外的原因导致器质障碍</w:t>
                        </w:r>
                      </w:p>
                    </w:tc>
                  </w:tr>
                  <w:tr>
                    <w:trPr>
                      <w:trHeight w:val="311" w:hRule="atLeast"/>
                    </w:trPr>
                    <w:tc>
                      <w:tcPr>
                        <w:tcW w:w="818" w:type="dxa"/>
                      </w:tcPr>
                      <w:p>
                        <w:pPr>
                          <w:pStyle w:val="TableParagraph"/>
                          <w:rPr>
                            <w:rFonts w:ascii="Times New Roman"/>
                            <w:sz w:val="20"/>
                          </w:rPr>
                        </w:pPr>
                      </w:p>
                    </w:tc>
                    <w:tc>
                      <w:tcPr>
                        <w:tcW w:w="1659" w:type="dxa"/>
                      </w:tcPr>
                      <w:p>
                        <w:pPr>
                          <w:pStyle w:val="TableParagraph"/>
                          <w:rPr>
                            <w:rFonts w:ascii="Times New Roman"/>
                            <w:sz w:val="20"/>
                          </w:rPr>
                        </w:pPr>
                      </w:p>
                    </w:tc>
                    <w:tc>
                      <w:tcPr>
                        <w:tcW w:w="5829" w:type="dxa"/>
                      </w:tcPr>
                      <w:p>
                        <w:pPr>
                          <w:pStyle w:val="TableParagraph"/>
                          <w:spacing w:before="22"/>
                          <w:ind w:left="175"/>
                          <w:rPr>
                            <w:sz w:val="21"/>
                          </w:rPr>
                        </w:pPr>
                        <w:r>
                          <w:rPr>
                            <w:spacing w:val="-3"/>
                            <w:sz w:val="21"/>
                          </w:rPr>
                          <w:t>或机能障碍，以致不能作咀嚼吞咽运动，除流质食物外不能</w:t>
                        </w:r>
                      </w:p>
                    </w:tc>
                  </w:tr>
                  <w:tr>
                    <w:trPr>
                      <w:trHeight w:val="475" w:hRule="atLeast"/>
                    </w:trPr>
                    <w:tc>
                      <w:tcPr>
                        <w:tcW w:w="818" w:type="dxa"/>
                      </w:tcPr>
                      <w:p>
                        <w:pPr>
                          <w:pStyle w:val="TableParagraph"/>
                          <w:rPr>
                            <w:rFonts w:ascii="Times New Roman"/>
                            <w:sz w:val="20"/>
                          </w:rPr>
                        </w:pPr>
                      </w:p>
                    </w:tc>
                    <w:tc>
                      <w:tcPr>
                        <w:tcW w:w="1659" w:type="dxa"/>
                      </w:tcPr>
                      <w:p>
                        <w:pPr>
                          <w:pStyle w:val="TableParagraph"/>
                          <w:rPr>
                            <w:rFonts w:ascii="Times New Roman"/>
                            <w:sz w:val="20"/>
                          </w:rPr>
                        </w:pPr>
                      </w:p>
                    </w:tc>
                    <w:tc>
                      <w:tcPr>
                        <w:tcW w:w="5829" w:type="dxa"/>
                      </w:tcPr>
                      <w:p>
                        <w:pPr>
                          <w:pStyle w:val="TableParagraph"/>
                          <w:spacing w:before="22"/>
                          <w:ind w:left="175"/>
                          <w:rPr>
                            <w:sz w:val="21"/>
                          </w:rPr>
                        </w:pPr>
                        <w:r>
                          <w:rPr>
                            <w:spacing w:val="-3"/>
                            <w:sz w:val="21"/>
                          </w:rPr>
                          <w:t>摄取或吞咽的状态。</w:t>
                        </w:r>
                      </w:p>
                    </w:tc>
                  </w:tr>
                  <w:tr>
                    <w:trPr>
                      <w:trHeight w:val="425" w:hRule="atLeast"/>
                    </w:trPr>
                    <w:tc>
                      <w:tcPr>
                        <w:tcW w:w="818" w:type="dxa"/>
                      </w:tcPr>
                      <w:p>
                        <w:pPr>
                          <w:pStyle w:val="TableParagraph"/>
                          <w:spacing w:line="289" w:lineRule="exact" w:before="116"/>
                          <w:ind w:left="50"/>
                          <w:rPr>
                            <w:rFonts w:ascii="Microsoft JhengHei"/>
                            <w:b/>
                            <w:sz w:val="21"/>
                          </w:rPr>
                        </w:pPr>
                        <w:r>
                          <w:rPr>
                            <w:rFonts w:ascii="Microsoft JhengHei"/>
                            <w:b/>
                            <w:spacing w:val="-4"/>
                            <w:w w:val="82"/>
                            <w:sz w:val="21"/>
                          </w:rPr>
                          <w:t>13</w:t>
                        </w:r>
                        <w:r>
                          <w:rPr>
                            <w:rFonts w:ascii="Microsoft JhengHei"/>
                            <w:b/>
                            <w:spacing w:val="-4"/>
                            <w:w w:val="195"/>
                            <w:sz w:val="21"/>
                          </w:rPr>
                          <w:t>.</w:t>
                        </w:r>
                        <w:r>
                          <w:rPr>
                            <w:rFonts w:ascii="Microsoft JhengHei"/>
                            <w:b/>
                            <w:spacing w:val="-4"/>
                            <w:w w:val="82"/>
                            <w:sz w:val="21"/>
                          </w:rPr>
                          <w:t>37</w:t>
                        </w:r>
                      </w:p>
                    </w:tc>
                    <w:tc>
                      <w:tcPr>
                        <w:tcW w:w="1659" w:type="dxa"/>
                      </w:tcPr>
                      <w:p>
                        <w:pPr>
                          <w:pStyle w:val="TableParagraph"/>
                          <w:spacing w:line="289" w:lineRule="exact" w:before="116"/>
                          <w:ind w:left="216"/>
                          <w:rPr>
                            <w:rFonts w:ascii="Microsoft JhengHei" w:eastAsia="Microsoft JhengHei"/>
                            <w:b/>
                            <w:sz w:val="21"/>
                          </w:rPr>
                        </w:pPr>
                        <w:r>
                          <w:rPr>
                            <w:rFonts w:ascii="Microsoft JhengHei" w:eastAsia="Microsoft JhengHei"/>
                            <w:b/>
                            <w:spacing w:val="-2"/>
                            <w:sz w:val="21"/>
                          </w:rPr>
                          <w:t>六项基本日常</w:t>
                        </w:r>
                      </w:p>
                    </w:tc>
                    <w:tc>
                      <w:tcPr>
                        <w:tcW w:w="5829" w:type="dxa"/>
                      </w:tcPr>
                      <w:p>
                        <w:pPr>
                          <w:pStyle w:val="TableParagraph"/>
                          <w:spacing w:before="5"/>
                          <w:rPr>
                            <w:sz w:val="14"/>
                          </w:rPr>
                        </w:pPr>
                      </w:p>
                      <w:p>
                        <w:pPr>
                          <w:pStyle w:val="TableParagraph"/>
                          <w:spacing w:line="220" w:lineRule="exact" w:before="1"/>
                          <w:ind w:left="175"/>
                          <w:rPr>
                            <w:sz w:val="21"/>
                          </w:rPr>
                        </w:pPr>
                        <w:r>
                          <w:rPr>
                            <w:spacing w:val="-3"/>
                            <w:sz w:val="21"/>
                          </w:rPr>
                          <w:t>指六项基本日常生活活动是指：</w:t>
                        </w:r>
                      </w:p>
                    </w:tc>
                  </w:tr>
                  <w:tr>
                    <w:trPr>
                      <w:trHeight w:val="518" w:hRule="atLeast"/>
                    </w:trPr>
                    <w:tc>
                      <w:tcPr>
                        <w:tcW w:w="818" w:type="dxa"/>
                      </w:tcPr>
                      <w:p>
                        <w:pPr>
                          <w:pStyle w:val="TableParagraph"/>
                          <w:rPr>
                            <w:rFonts w:ascii="Times New Roman"/>
                            <w:sz w:val="20"/>
                          </w:rPr>
                        </w:pPr>
                      </w:p>
                    </w:tc>
                    <w:tc>
                      <w:tcPr>
                        <w:tcW w:w="1659" w:type="dxa"/>
                      </w:tcPr>
                      <w:p>
                        <w:pPr>
                          <w:pStyle w:val="TableParagraph"/>
                          <w:spacing w:before="3"/>
                          <w:ind w:left="216"/>
                          <w:rPr>
                            <w:rFonts w:ascii="Microsoft JhengHei" w:eastAsia="Microsoft JhengHei"/>
                            <w:b/>
                            <w:sz w:val="21"/>
                          </w:rPr>
                        </w:pPr>
                        <w:r>
                          <w:rPr>
                            <w:rFonts w:ascii="Microsoft JhengHei" w:eastAsia="Microsoft JhengHei"/>
                            <w:b/>
                            <w:spacing w:val="-3"/>
                            <w:sz w:val="21"/>
                          </w:rPr>
                          <w:t>生活活动</w:t>
                        </w:r>
                      </w:p>
                    </w:tc>
                    <w:tc>
                      <w:tcPr>
                        <w:tcW w:w="5829" w:type="dxa"/>
                      </w:tcPr>
                      <w:p>
                        <w:pPr>
                          <w:pStyle w:val="TableParagraph"/>
                          <w:spacing w:before="8"/>
                          <w:rPr>
                            <w:sz w:val="17"/>
                          </w:rPr>
                        </w:pPr>
                      </w:p>
                      <w:p>
                        <w:pPr>
                          <w:pStyle w:val="TableParagraph"/>
                          <w:ind w:left="175"/>
                          <w:rPr>
                            <w:sz w:val="21"/>
                          </w:rPr>
                        </w:pPr>
                        <w:r>
                          <w:rPr>
                            <w:spacing w:val="-2"/>
                            <w:sz w:val="21"/>
                          </w:rPr>
                          <w:t>（1）</w:t>
                        </w:r>
                        <w:r>
                          <w:rPr>
                            <w:spacing w:val="-3"/>
                            <w:sz w:val="21"/>
                          </w:rPr>
                          <w:t>穿衣：自己能够穿衣及脱衣；</w:t>
                        </w:r>
                      </w:p>
                    </w:tc>
                  </w:tr>
                  <w:tr>
                    <w:trPr>
                      <w:trHeight w:val="314" w:hRule="atLeast"/>
                    </w:trPr>
                    <w:tc>
                      <w:tcPr>
                        <w:tcW w:w="818" w:type="dxa"/>
                      </w:tcPr>
                      <w:p>
                        <w:pPr>
                          <w:pStyle w:val="TableParagraph"/>
                          <w:rPr>
                            <w:rFonts w:ascii="Times New Roman"/>
                            <w:sz w:val="20"/>
                          </w:rPr>
                        </w:pPr>
                      </w:p>
                    </w:tc>
                    <w:tc>
                      <w:tcPr>
                        <w:tcW w:w="1659" w:type="dxa"/>
                      </w:tcPr>
                      <w:p>
                        <w:pPr>
                          <w:pStyle w:val="TableParagraph"/>
                          <w:rPr>
                            <w:rFonts w:ascii="Times New Roman"/>
                            <w:sz w:val="20"/>
                          </w:rPr>
                        </w:pPr>
                      </w:p>
                    </w:tc>
                    <w:tc>
                      <w:tcPr>
                        <w:tcW w:w="5829" w:type="dxa"/>
                      </w:tcPr>
                      <w:p>
                        <w:pPr>
                          <w:pStyle w:val="TableParagraph"/>
                          <w:spacing w:before="24"/>
                          <w:ind w:left="175"/>
                          <w:rPr>
                            <w:sz w:val="21"/>
                          </w:rPr>
                        </w:pPr>
                        <w:r>
                          <w:rPr>
                            <w:spacing w:val="-2"/>
                            <w:sz w:val="21"/>
                          </w:rPr>
                          <w:t>（2）</w:t>
                        </w:r>
                        <w:r>
                          <w:rPr>
                            <w:spacing w:val="-3"/>
                            <w:sz w:val="21"/>
                          </w:rPr>
                          <w:t>移动：自己从一个房间到另一个房间；</w:t>
                        </w:r>
                      </w:p>
                    </w:tc>
                  </w:tr>
                  <w:tr>
                    <w:trPr>
                      <w:trHeight w:val="312" w:hRule="atLeast"/>
                    </w:trPr>
                    <w:tc>
                      <w:tcPr>
                        <w:tcW w:w="818" w:type="dxa"/>
                      </w:tcPr>
                      <w:p>
                        <w:pPr>
                          <w:pStyle w:val="TableParagraph"/>
                          <w:rPr>
                            <w:rFonts w:ascii="Times New Roman"/>
                            <w:sz w:val="20"/>
                          </w:rPr>
                        </w:pPr>
                      </w:p>
                    </w:tc>
                    <w:tc>
                      <w:tcPr>
                        <w:tcW w:w="1659" w:type="dxa"/>
                      </w:tcPr>
                      <w:p>
                        <w:pPr>
                          <w:pStyle w:val="TableParagraph"/>
                          <w:rPr>
                            <w:rFonts w:ascii="Times New Roman"/>
                            <w:sz w:val="20"/>
                          </w:rPr>
                        </w:pPr>
                      </w:p>
                    </w:tc>
                    <w:tc>
                      <w:tcPr>
                        <w:tcW w:w="5829" w:type="dxa"/>
                      </w:tcPr>
                      <w:p>
                        <w:pPr>
                          <w:pStyle w:val="TableParagraph"/>
                          <w:spacing w:before="22"/>
                          <w:ind w:left="175"/>
                          <w:rPr>
                            <w:sz w:val="21"/>
                          </w:rPr>
                        </w:pPr>
                        <w:r>
                          <w:rPr>
                            <w:spacing w:val="-2"/>
                            <w:sz w:val="21"/>
                          </w:rPr>
                          <w:t>（3）</w:t>
                        </w:r>
                        <w:r>
                          <w:rPr>
                            <w:spacing w:val="-3"/>
                            <w:sz w:val="21"/>
                          </w:rPr>
                          <w:t>行动：自己上下床或上下轮椅；</w:t>
                        </w:r>
                      </w:p>
                    </w:tc>
                  </w:tr>
                  <w:tr>
                    <w:trPr>
                      <w:trHeight w:val="312" w:hRule="atLeast"/>
                    </w:trPr>
                    <w:tc>
                      <w:tcPr>
                        <w:tcW w:w="818" w:type="dxa"/>
                      </w:tcPr>
                      <w:p>
                        <w:pPr>
                          <w:pStyle w:val="TableParagraph"/>
                          <w:rPr>
                            <w:rFonts w:ascii="Times New Roman"/>
                            <w:sz w:val="20"/>
                          </w:rPr>
                        </w:pPr>
                      </w:p>
                    </w:tc>
                    <w:tc>
                      <w:tcPr>
                        <w:tcW w:w="1659" w:type="dxa"/>
                      </w:tcPr>
                      <w:p>
                        <w:pPr>
                          <w:pStyle w:val="TableParagraph"/>
                          <w:rPr>
                            <w:rFonts w:ascii="Times New Roman"/>
                            <w:sz w:val="20"/>
                          </w:rPr>
                        </w:pPr>
                      </w:p>
                    </w:tc>
                    <w:tc>
                      <w:tcPr>
                        <w:tcW w:w="5829" w:type="dxa"/>
                      </w:tcPr>
                      <w:p>
                        <w:pPr>
                          <w:pStyle w:val="TableParagraph"/>
                          <w:spacing w:before="22"/>
                          <w:ind w:left="175"/>
                          <w:rPr>
                            <w:sz w:val="21"/>
                          </w:rPr>
                        </w:pPr>
                        <w:r>
                          <w:rPr>
                            <w:spacing w:val="-2"/>
                            <w:sz w:val="21"/>
                          </w:rPr>
                          <w:t>（4）</w:t>
                        </w:r>
                        <w:r>
                          <w:rPr>
                            <w:spacing w:val="-3"/>
                            <w:sz w:val="21"/>
                          </w:rPr>
                          <w:t>如厕：自己控制进行大小便；</w:t>
                        </w:r>
                      </w:p>
                    </w:tc>
                  </w:tr>
                  <w:tr>
                    <w:trPr>
                      <w:trHeight w:val="311" w:hRule="atLeast"/>
                    </w:trPr>
                    <w:tc>
                      <w:tcPr>
                        <w:tcW w:w="818" w:type="dxa"/>
                      </w:tcPr>
                      <w:p>
                        <w:pPr>
                          <w:pStyle w:val="TableParagraph"/>
                          <w:rPr>
                            <w:rFonts w:ascii="Times New Roman"/>
                            <w:sz w:val="20"/>
                          </w:rPr>
                        </w:pPr>
                      </w:p>
                    </w:tc>
                    <w:tc>
                      <w:tcPr>
                        <w:tcW w:w="1659" w:type="dxa"/>
                      </w:tcPr>
                      <w:p>
                        <w:pPr>
                          <w:pStyle w:val="TableParagraph"/>
                          <w:rPr>
                            <w:rFonts w:ascii="Times New Roman"/>
                            <w:sz w:val="20"/>
                          </w:rPr>
                        </w:pPr>
                      </w:p>
                    </w:tc>
                    <w:tc>
                      <w:tcPr>
                        <w:tcW w:w="5829" w:type="dxa"/>
                      </w:tcPr>
                      <w:p>
                        <w:pPr>
                          <w:pStyle w:val="TableParagraph"/>
                          <w:spacing w:before="22"/>
                          <w:ind w:left="175"/>
                          <w:rPr>
                            <w:sz w:val="21"/>
                          </w:rPr>
                        </w:pPr>
                        <w:r>
                          <w:rPr>
                            <w:spacing w:val="-2"/>
                            <w:sz w:val="21"/>
                          </w:rPr>
                          <w:t>（5）</w:t>
                        </w:r>
                        <w:r>
                          <w:rPr>
                            <w:spacing w:val="-3"/>
                            <w:sz w:val="21"/>
                          </w:rPr>
                          <w:t>进食：自己从已准备好的碗或碟中取食物放入口中；</w:t>
                        </w:r>
                      </w:p>
                    </w:tc>
                  </w:tr>
                  <w:tr>
                    <w:trPr>
                      <w:trHeight w:val="312" w:hRule="atLeast"/>
                    </w:trPr>
                    <w:tc>
                      <w:tcPr>
                        <w:tcW w:w="818" w:type="dxa"/>
                      </w:tcPr>
                      <w:p>
                        <w:pPr>
                          <w:pStyle w:val="TableParagraph"/>
                          <w:rPr>
                            <w:rFonts w:ascii="Times New Roman"/>
                            <w:sz w:val="20"/>
                          </w:rPr>
                        </w:pPr>
                      </w:p>
                    </w:tc>
                    <w:tc>
                      <w:tcPr>
                        <w:tcW w:w="1659" w:type="dxa"/>
                      </w:tcPr>
                      <w:p>
                        <w:pPr>
                          <w:pStyle w:val="TableParagraph"/>
                          <w:rPr>
                            <w:rFonts w:ascii="Times New Roman"/>
                            <w:sz w:val="20"/>
                          </w:rPr>
                        </w:pPr>
                      </w:p>
                    </w:tc>
                    <w:tc>
                      <w:tcPr>
                        <w:tcW w:w="5829" w:type="dxa"/>
                      </w:tcPr>
                      <w:p>
                        <w:pPr>
                          <w:pStyle w:val="TableParagraph"/>
                          <w:spacing w:before="22"/>
                          <w:ind w:left="175"/>
                          <w:rPr>
                            <w:sz w:val="21"/>
                          </w:rPr>
                        </w:pPr>
                        <w:r>
                          <w:rPr>
                            <w:spacing w:val="-2"/>
                            <w:sz w:val="21"/>
                          </w:rPr>
                          <w:t>（6）</w:t>
                        </w:r>
                        <w:r>
                          <w:rPr>
                            <w:spacing w:val="-3"/>
                            <w:sz w:val="21"/>
                          </w:rPr>
                          <w:t>洗澡：自己进行淋浴或盆浴。</w:t>
                        </w:r>
                      </w:p>
                    </w:tc>
                  </w:tr>
                  <w:tr>
                    <w:trPr>
                      <w:trHeight w:val="473" w:hRule="atLeast"/>
                    </w:trPr>
                    <w:tc>
                      <w:tcPr>
                        <w:tcW w:w="818" w:type="dxa"/>
                      </w:tcPr>
                      <w:p>
                        <w:pPr>
                          <w:pStyle w:val="TableParagraph"/>
                          <w:rPr>
                            <w:rFonts w:ascii="Times New Roman"/>
                            <w:sz w:val="20"/>
                          </w:rPr>
                        </w:pPr>
                      </w:p>
                    </w:tc>
                    <w:tc>
                      <w:tcPr>
                        <w:tcW w:w="1659" w:type="dxa"/>
                      </w:tcPr>
                      <w:p>
                        <w:pPr>
                          <w:pStyle w:val="TableParagraph"/>
                          <w:rPr>
                            <w:rFonts w:ascii="Times New Roman"/>
                            <w:sz w:val="20"/>
                          </w:rPr>
                        </w:pPr>
                      </w:p>
                    </w:tc>
                    <w:tc>
                      <w:tcPr>
                        <w:tcW w:w="5829" w:type="dxa"/>
                      </w:tcPr>
                      <w:p>
                        <w:pPr>
                          <w:pStyle w:val="TableParagraph"/>
                          <w:spacing w:before="22"/>
                          <w:ind w:left="175"/>
                          <w:rPr>
                            <w:sz w:val="21"/>
                          </w:rPr>
                        </w:pPr>
                        <w:r>
                          <w:rPr>
                            <w:spacing w:val="-4"/>
                            <w:sz w:val="21"/>
                          </w:rPr>
                          <w:t>六项基本日常生活活动能力的鉴定不适用于 </w:t>
                        </w:r>
                        <w:r>
                          <w:rPr>
                            <w:spacing w:val="-2"/>
                            <w:sz w:val="21"/>
                          </w:rPr>
                          <w:t>0-3</w:t>
                        </w:r>
                        <w:r>
                          <w:rPr>
                            <w:spacing w:val="-11"/>
                            <w:sz w:val="21"/>
                          </w:rPr>
                          <w:t> 周岁幼儿。</w:t>
                        </w:r>
                      </w:p>
                    </w:tc>
                  </w:tr>
                  <w:tr>
                    <w:trPr>
                      <w:trHeight w:val="475" w:hRule="atLeast"/>
                    </w:trPr>
                    <w:tc>
                      <w:tcPr>
                        <w:tcW w:w="818" w:type="dxa"/>
                      </w:tcPr>
                      <w:p>
                        <w:pPr>
                          <w:pStyle w:val="TableParagraph"/>
                          <w:spacing w:line="342" w:lineRule="exact" w:before="113"/>
                          <w:ind w:left="50"/>
                          <w:rPr>
                            <w:rFonts w:ascii="Microsoft JhengHei"/>
                            <w:b/>
                            <w:sz w:val="21"/>
                          </w:rPr>
                        </w:pPr>
                        <w:r>
                          <w:rPr>
                            <w:rFonts w:ascii="Microsoft JhengHei"/>
                            <w:b/>
                            <w:spacing w:val="-2"/>
                            <w:sz w:val="21"/>
                          </w:rPr>
                          <w:t>13.38</w:t>
                        </w:r>
                      </w:p>
                    </w:tc>
                    <w:tc>
                      <w:tcPr>
                        <w:tcW w:w="1659" w:type="dxa"/>
                      </w:tcPr>
                      <w:p>
                        <w:pPr>
                          <w:pStyle w:val="TableParagraph"/>
                          <w:spacing w:line="342" w:lineRule="exact" w:before="113"/>
                          <w:ind w:left="216"/>
                          <w:rPr>
                            <w:rFonts w:ascii="Microsoft JhengHei" w:eastAsia="Microsoft JhengHei"/>
                            <w:b/>
                            <w:sz w:val="21"/>
                          </w:rPr>
                        </w:pPr>
                        <w:r>
                          <w:rPr>
                            <w:rFonts w:ascii="Microsoft JhengHei" w:eastAsia="Microsoft JhengHei"/>
                            <w:b/>
                            <w:spacing w:val="-2"/>
                            <w:sz w:val="21"/>
                          </w:rPr>
                          <w:t>永久不可逆</w:t>
                        </w:r>
                      </w:p>
                    </w:tc>
                    <w:tc>
                      <w:tcPr>
                        <w:tcW w:w="5829" w:type="dxa"/>
                      </w:tcPr>
                      <w:p>
                        <w:pPr>
                          <w:pStyle w:val="TableParagraph"/>
                          <w:spacing w:before="3"/>
                          <w:rPr>
                            <w:sz w:val="14"/>
                          </w:rPr>
                        </w:pPr>
                      </w:p>
                      <w:p>
                        <w:pPr>
                          <w:pStyle w:val="TableParagraph"/>
                          <w:ind w:left="175"/>
                          <w:rPr>
                            <w:sz w:val="21"/>
                          </w:rPr>
                        </w:pPr>
                        <w:r>
                          <w:rPr>
                            <w:spacing w:val="-4"/>
                            <w:sz w:val="21"/>
                          </w:rPr>
                          <w:t>指自疾病确诊或意外伤害发生之日起，经过积极治疗 </w:t>
                        </w:r>
                        <w:r>
                          <w:rPr>
                            <w:spacing w:val="-2"/>
                            <w:sz w:val="21"/>
                          </w:rPr>
                          <w:t>180</w:t>
                        </w:r>
                        <w:r>
                          <w:rPr>
                            <w:spacing w:val="-25"/>
                            <w:sz w:val="21"/>
                          </w:rPr>
                          <w:t> 天</w:t>
                        </w:r>
                      </w:p>
                    </w:tc>
                  </w:tr>
                  <w:tr>
                    <w:trPr>
                      <w:trHeight w:val="475" w:hRule="atLeast"/>
                    </w:trPr>
                    <w:tc>
                      <w:tcPr>
                        <w:tcW w:w="818" w:type="dxa"/>
                      </w:tcPr>
                      <w:p>
                        <w:pPr>
                          <w:pStyle w:val="TableParagraph"/>
                          <w:rPr>
                            <w:rFonts w:ascii="Times New Roman"/>
                            <w:sz w:val="20"/>
                          </w:rPr>
                        </w:pPr>
                      </w:p>
                    </w:tc>
                    <w:tc>
                      <w:tcPr>
                        <w:tcW w:w="1659" w:type="dxa"/>
                      </w:tcPr>
                      <w:p>
                        <w:pPr>
                          <w:pStyle w:val="TableParagraph"/>
                          <w:rPr>
                            <w:rFonts w:ascii="Times New Roman"/>
                            <w:sz w:val="20"/>
                          </w:rPr>
                        </w:pPr>
                      </w:p>
                    </w:tc>
                    <w:tc>
                      <w:tcPr>
                        <w:tcW w:w="5829" w:type="dxa"/>
                      </w:tcPr>
                      <w:p>
                        <w:pPr>
                          <w:pStyle w:val="TableParagraph"/>
                          <w:spacing w:before="24"/>
                          <w:ind w:left="175"/>
                          <w:rPr>
                            <w:sz w:val="21"/>
                          </w:rPr>
                        </w:pPr>
                        <w:r>
                          <w:rPr>
                            <w:spacing w:val="-3"/>
                            <w:sz w:val="21"/>
                          </w:rPr>
                          <w:t>后，仍无法通过现有医疗手段恢复。</w:t>
                        </w:r>
                      </w:p>
                    </w:tc>
                  </w:tr>
                  <w:tr>
                    <w:trPr>
                      <w:trHeight w:val="475" w:hRule="atLeast"/>
                    </w:trPr>
                    <w:tc>
                      <w:tcPr>
                        <w:tcW w:w="818" w:type="dxa"/>
                      </w:tcPr>
                      <w:p>
                        <w:pPr>
                          <w:pStyle w:val="TableParagraph"/>
                          <w:spacing w:line="342" w:lineRule="exact" w:before="113"/>
                          <w:ind w:left="50"/>
                          <w:rPr>
                            <w:rFonts w:ascii="Microsoft JhengHei"/>
                            <w:b/>
                            <w:sz w:val="21"/>
                          </w:rPr>
                        </w:pPr>
                        <w:r>
                          <w:rPr>
                            <w:rFonts w:ascii="Microsoft JhengHei"/>
                            <w:b/>
                            <w:spacing w:val="-2"/>
                            <w:sz w:val="21"/>
                          </w:rPr>
                          <w:t>13.39</w:t>
                        </w:r>
                      </w:p>
                    </w:tc>
                    <w:tc>
                      <w:tcPr>
                        <w:tcW w:w="1659" w:type="dxa"/>
                      </w:tcPr>
                      <w:p>
                        <w:pPr>
                          <w:pStyle w:val="TableParagraph"/>
                          <w:spacing w:line="342" w:lineRule="exact" w:before="113"/>
                          <w:ind w:left="216"/>
                          <w:rPr>
                            <w:rFonts w:ascii="Microsoft JhengHei" w:eastAsia="Microsoft JhengHei"/>
                            <w:b/>
                            <w:sz w:val="21"/>
                          </w:rPr>
                        </w:pPr>
                        <w:r>
                          <w:rPr>
                            <w:rFonts w:ascii="Microsoft JhengHei" w:eastAsia="Microsoft JhengHei"/>
                            <w:b/>
                            <w:spacing w:val="-2"/>
                            <w:sz w:val="21"/>
                          </w:rPr>
                          <w:t>美国纽约心脏</w:t>
                        </w:r>
                      </w:p>
                    </w:tc>
                    <w:tc>
                      <w:tcPr>
                        <w:tcW w:w="5829" w:type="dxa"/>
                      </w:tcPr>
                      <w:p>
                        <w:pPr>
                          <w:pStyle w:val="TableParagraph"/>
                          <w:spacing w:before="3"/>
                          <w:rPr>
                            <w:sz w:val="14"/>
                          </w:rPr>
                        </w:pPr>
                      </w:p>
                      <w:p>
                        <w:pPr>
                          <w:pStyle w:val="TableParagraph"/>
                          <w:ind w:left="175"/>
                          <w:rPr>
                            <w:sz w:val="21"/>
                          </w:rPr>
                        </w:pPr>
                        <w:r>
                          <w:rPr>
                            <w:spacing w:val="-2"/>
                            <w:sz w:val="21"/>
                          </w:rPr>
                          <w:t>美国纽约心脏病学会（New</w:t>
                        </w:r>
                        <w:r>
                          <w:rPr>
                            <w:spacing w:val="-15"/>
                            <w:sz w:val="21"/>
                          </w:rPr>
                          <w:t> </w:t>
                        </w:r>
                        <w:r>
                          <w:rPr>
                            <w:spacing w:val="-2"/>
                            <w:sz w:val="21"/>
                          </w:rPr>
                          <w:t>York</w:t>
                        </w:r>
                        <w:r>
                          <w:rPr>
                            <w:spacing w:val="-14"/>
                            <w:sz w:val="21"/>
                          </w:rPr>
                          <w:t> </w:t>
                        </w:r>
                        <w:r>
                          <w:rPr>
                            <w:spacing w:val="-2"/>
                            <w:sz w:val="21"/>
                          </w:rPr>
                          <w:t>Heart</w:t>
                        </w:r>
                        <w:r>
                          <w:rPr>
                            <w:spacing w:val="-19"/>
                            <w:sz w:val="21"/>
                          </w:rPr>
                          <w:t> </w:t>
                        </w:r>
                        <w:r>
                          <w:rPr>
                            <w:spacing w:val="-2"/>
                            <w:sz w:val="21"/>
                          </w:rPr>
                          <w:t>Association，NYHA）</w:t>
                        </w:r>
                      </w:p>
                    </w:tc>
                  </w:tr>
                  <w:tr>
                    <w:trPr>
                      <w:trHeight w:val="264" w:hRule="atLeast"/>
                    </w:trPr>
                    <w:tc>
                      <w:tcPr>
                        <w:tcW w:w="818" w:type="dxa"/>
                      </w:tcPr>
                      <w:p>
                        <w:pPr>
                          <w:pStyle w:val="TableParagraph"/>
                          <w:rPr>
                            <w:rFonts w:ascii="Times New Roman"/>
                            <w:sz w:val="18"/>
                          </w:rPr>
                        </w:pPr>
                      </w:p>
                    </w:tc>
                    <w:tc>
                      <w:tcPr>
                        <w:tcW w:w="1659" w:type="dxa"/>
                      </w:tcPr>
                      <w:p>
                        <w:pPr>
                          <w:pStyle w:val="TableParagraph"/>
                          <w:spacing w:line="244" w:lineRule="exact"/>
                          <w:ind w:left="216"/>
                          <w:rPr>
                            <w:rFonts w:ascii="Microsoft JhengHei" w:eastAsia="Microsoft JhengHei"/>
                            <w:b/>
                            <w:sz w:val="21"/>
                          </w:rPr>
                        </w:pPr>
                        <w:r>
                          <w:rPr>
                            <w:rFonts w:ascii="Microsoft JhengHei" w:eastAsia="Microsoft JhengHei"/>
                            <w:b/>
                            <w:sz w:val="21"/>
                          </w:rPr>
                          <w:t>病学会</w:t>
                        </w:r>
                        <w:r>
                          <w:rPr>
                            <w:rFonts w:ascii="Microsoft JhengHei" w:eastAsia="Microsoft JhengHei"/>
                            <w:b/>
                            <w:spacing w:val="-4"/>
                            <w:sz w:val="21"/>
                          </w:rPr>
                          <w:t>（New</w:t>
                        </w:r>
                      </w:p>
                    </w:tc>
                    <w:tc>
                      <w:tcPr>
                        <w:tcW w:w="5829" w:type="dxa"/>
                      </w:tcPr>
                      <w:p>
                        <w:pPr>
                          <w:pStyle w:val="TableParagraph"/>
                          <w:spacing w:line="220" w:lineRule="exact" w:before="24"/>
                          <w:ind w:left="175"/>
                          <w:rPr>
                            <w:sz w:val="21"/>
                          </w:rPr>
                        </w:pPr>
                        <w:r>
                          <w:rPr>
                            <w:spacing w:val="-3"/>
                            <w:sz w:val="21"/>
                          </w:rPr>
                          <w:t>将心功能状态分为四级：</w:t>
                        </w:r>
                      </w:p>
                    </w:tc>
                  </w:tr>
                  <w:tr>
                    <w:trPr>
                      <w:trHeight w:val="312" w:hRule="atLeast"/>
                    </w:trPr>
                    <w:tc>
                      <w:tcPr>
                        <w:tcW w:w="818" w:type="dxa"/>
                      </w:tcPr>
                      <w:p>
                        <w:pPr>
                          <w:pStyle w:val="TableParagraph"/>
                          <w:rPr>
                            <w:rFonts w:ascii="Times New Roman"/>
                            <w:sz w:val="20"/>
                          </w:rPr>
                        </w:pPr>
                      </w:p>
                    </w:tc>
                    <w:tc>
                      <w:tcPr>
                        <w:tcW w:w="1659" w:type="dxa"/>
                      </w:tcPr>
                      <w:p>
                        <w:pPr>
                          <w:pStyle w:val="TableParagraph"/>
                          <w:spacing w:line="289" w:lineRule="exact" w:before="3"/>
                          <w:ind w:left="216"/>
                          <w:rPr>
                            <w:rFonts w:ascii="Microsoft JhengHei"/>
                            <w:b/>
                            <w:sz w:val="21"/>
                          </w:rPr>
                        </w:pPr>
                        <w:r>
                          <w:rPr>
                            <w:rFonts w:ascii="Microsoft JhengHei"/>
                            <w:b/>
                            <w:w w:val="95"/>
                            <w:sz w:val="21"/>
                          </w:rPr>
                          <w:t>York</w:t>
                        </w:r>
                        <w:r>
                          <w:rPr>
                            <w:rFonts w:ascii="Microsoft JhengHei"/>
                            <w:b/>
                            <w:spacing w:val="29"/>
                            <w:sz w:val="21"/>
                          </w:rPr>
                          <w:t> </w:t>
                        </w:r>
                        <w:r>
                          <w:rPr>
                            <w:rFonts w:ascii="Microsoft JhengHei"/>
                            <w:b/>
                            <w:spacing w:val="-2"/>
                            <w:sz w:val="21"/>
                          </w:rPr>
                          <w:t>Heart</w:t>
                        </w:r>
                      </w:p>
                    </w:tc>
                    <w:tc>
                      <w:tcPr>
                        <w:tcW w:w="5829" w:type="dxa"/>
                      </w:tcPr>
                      <w:p>
                        <w:pPr>
                          <w:pStyle w:val="TableParagraph"/>
                          <w:rPr>
                            <w:rFonts w:ascii="Times New Roman"/>
                            <w:sz w:val="20"/>
                          </w:rPr>
                        </w:pPr>
                      </w:p>
                    </w:tc>
                  </w:tr>
                </w:tbl>
                <w:p>
                  <w:pPr>
                    <w:pStyle w:val="BodyText"/>
                  </w:pPr>
                </w:p>
              </w:txbxContent>
            </v:textbox>
            <w10:wrap type="none"/>
          </v:shape>
        </w:pict>
      </w:r>
      <w:r>
        <w:rPr>
          <w:spacing w:val="-4"/>
        </w:rPr>
        <w:t>Ⅱ级：心脏病病人体力活动轻度受限制，休息时无自觉症状，</w:t>
      </w:r>
      <w:r>
        <w:rPr>
          <w:spacing w:val="-2"/>
        </w:rPr>
        <w:t>一般活动下可出现心衰症状。</w:t>
      </w:r>
    </w:p>
    <w:p>
      <w:pPr>
        <w:pStyle w:val="BodyText"/>
        <w:spacing w:line="278" w:lineRule="auto"/>
        <w:ind w:left="205" w:right="1501"/>
      </w:pPr>
      <w:r>
        <w:rPr>
          <w:spacing w:val="-2"/>
        </w:rPr>
        <w:t>Ⅲ级：心脏病病人体力活动明显受限，低于平时一般活动即</w:t>
      </w:r>
      <w:r>
        <w:rPr>
          <w:spacing w:val="-2"/>
        </w:rPr>
        <w:t>引起心衰症状。</w:t>
      </w:r>
    </w:p>
    <w:p>
      <w:pPr>
        <w:pStyle w:val="BodyText"/>
        <w:ind w:left="205"/>
      </w:pPr>
      <w:r>
        <w:rPr>
          <w:spacing w:val="-1"/>
        </w:rPr>
        <w:t>Ⅳ级：心脏病病人不能从事任何体力活动，休息状态下也存</w:t>
      </w:r>
    </w:p>
    <w:p>
      <w:pPr>
        <w:spacing w:after="0"/>
        <w:sectPr>
          <w:type w:val="continuous"/>
          <w:pgSz w:w="11910" w:h="16840"/>
          <w:pgMar w:header="0" w:footer="226" w:top="240" w:bottom="420" w:left="980" w:right="400"/>
          <w:cols w:num="2" w:equalWidth="0">
            <w:col w:w="3284" w:space="40"/>
            <w:col w:w="7206"/>
          </w:cols>
        </w:sectPr>
      </w:pPr>
    </w:p>
    <w:p>
      <w:pPr>
        <w:pStyle w:val="BodyText"/>
        <w:spacing w:before="57"/>
        <w:ind w:left="940" w:right="1878"/>
        <w:jc w:val="center"/>
      </w:pPr>
      <w:r>
        <w:rPr>
          <w:spacing w:val="-3"/>
        </w:rPr>
        <w:t>在心衰症状，活动后加重。</w:t>
      </w:r>
    </w:p>
    <w:p>
      <w:pPr>
        <w:pStyle w:val="BodyText"/>
        <w:spacing w:before="11"/>
        <w:rPr>
          <w:sz w:val="22"/>
        </w:rPr>
      </w:pPr>
    </w:p>
    <w:p>
      <w:pPr>
        <w:spacing w:after="0"/>
        <w:rPr>
          <w:sz w:val="22"/>
        </w:rPr>
        <w:sectPr>
          <w:pgSz w:w="11910" w:h="16840"/>
          <w:pgMar w:header="0" w:footer="226" w:top="660" w:bottom="420" w:left="980" w:right="400"/>
        </w:sectPr>
      </w:pPr>
    </w:p>
    <w:p>
      <w:pPr>
        <w:pStyle w:val="Heading2"/>
        <w:tabs>
          <w:tab w:pos="1910" w:val="left" w:leader="none"/>
        </w:tabs>
        <w:spacing w:line="196" w:lineRule="auto" w:before="53"/>
        <w:ind w:hanging="985"/>
      </w:pPr>
      <w:r>
        <w:rPr>
          <w:spacing w:val="-4"/>
          <w:w w:val="82"/>
        </w:rPr>
        <w:t>13</w:t>
      </w:r>
      <w:r>
        <w:rPr>
          <w:spacing w:val="-4"/>
          <w:w w:val="195"/>
        </w:rPr>
        <w:t>.</w:t>
      </w:r>
      <w:r>
        <w:rPr>
          <w:spacing w:val="-4"/>
          <w:w w:val="82"/>
        </w:rPr>
        <w:t>40</w:t>
      </w:r>
      <w:r>
        <w:rPr/>
        <w:tab/>
      </w:r>
      <w:r>
        <w:rPr>
          <w:spacing w:val="-2"/>
        </w:rPr>
        <w:t>肢体机能完全</w:t>
      </w:r>
      <w:r>
        <w:rPr>
          <w:spacing w:val="-6"/>
          <w:w w:val="105"/>
        </w:rPr>
        <w:t>丧</w:t>
      </w:r>
      <w:r>
        <w:rPr>
          <w:spacing w:val="-6"/>
          <w:w w:val="105"/>
        </w:rPr>
        <w:t>失</w:t>
      </w:r>
    </w:p>
    <w:p>
      <w:pPr>
        <w:pStyle w:val="BodyText"/>
        <w:spacing w:line="283" w:lineRule="auto" w:before="72"/>
        <w:ind w:left="310" w:right="1530"/>
      </w:pPr>
      <w:r>
        <w:rPr/>
        <w:br w:type="column"/>
      </w:r>
      <w:r>
        <w:rPr>
          <w:spacing w:val="-2"/>
        </w:rPr>
        <w:t>指肢体的三大关节中的两大关节僵硬，或不能随意识活动。</w:t>
      </w:r>
      <w:r>
        <w:rPr>
          <w:spacing w:val="-3"/>
        </w:rPr>
        <w:t>肢体是指包括肩关节的整个上肢或包括髋关节的整个下肢。</w:t>
      </w:r>
    </w:p>
    <w:sectPr>
      <w:type w:val="continuous"/>
      <w:pgSz w:w="11910" w:h="16840"/>
      <w:pgMar w:header="0" w:footer="226" w:top="240" w:bottom="420" w:left="980" w:right="400"/>
      <w:cols w:num="2" w:equalWidth="0">
        <w:col w:w="3179" w:space="40"/>
        <w:col w:w="7311"/>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Calibri">
    <w:altName w:val="Calibri"/>
    <w:charset w:val="0"/>
    <w:family w:val="swiss"/>
    <w:pitch w:val="variable"/>
  </w:font>
  <w:font w:name="宋体">
    <w:altName w:val="宋体"/>
    <w:charset w:val="86"/>
    <w:family w:val="auto"/>
    <w:pitch w:val="variable"/>
  </w:font>
  <w:font w:name="微软雅黑">
    <w:altName w:val="微软雅黑"/>
    <w:charset w:val="86"/>
    <w:family w:val="swiss"/>
    <w:pitch w:val="variable"/>
  </w:font>
  <w:font w:name="Microsoft JhengHei">
    <w:altName w:val="Microsoft JhengHei"/>
    <w:charset w:val="0"/>
    <w:family w:val="swiss"/>
    <w:pitch w:val="variable"/>
  </w:font>
  <w:font w:name="Wingdings">
    <w:altName w:val="Wingdings"/>
    <w:charset w:val="2"/>
    <w:family w:val="auto"/>
    <w:pitch w:val="variable"/>
  </w:font>
  <w:font w:name="Malgun Gothic">
    <w:altName w:val="Malgun Gothic"/>
    <w:charset w:val="0"/>
    <w:family w:val="swiss"/>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type id="_x0000_t202" o:spt="202" coordsize="21600,21600" path="m,l,21600r21600,l21600,xe">
          <v:stroke joinstyle="miter"/>
          <v:path gradientshapeok="t" o:connecttype="rect"/>
        </v:shapetype>
        <v:shape style="position:absolute;margin-left:260.459991pt;margin-top:819.642456pt;width:74.5pt;height:12.15pt;mso-position-horizontal-relative:page;mso-position-vertical-relative:page;z-index:-17972736" type="#_x0000_t202" id="docshape1" filled="false" stroked="false">
          <v:textbox inset="0,0,0,0">
            <w:txbxContent>
              <w:p>
                <w:pPr>
                  <w:spacing w:line="227" w:lineRule="exact" w:before="0"/>
                  <w:ind w:left="20" w:right="0" w:firstLine="0"/>
                  <w:jc w:val="left"/>
                  <w:rPr>
                    <w:sz w:val="18"/>
                  </w:rPr>
                </w:pPr>
                <w:r>
                  <w:rPr>
                    <w:spacing w:val="-23"/>
                    <w:sz w:val="18"/>
                  </w:rPr>
                  <w:t>第 </w:t>
                </w:r>
                <w:r>
                  <w:rPr>
                    <w:rFonts w:ascii="Calibri" w:eastAsia="Calibri"/>
                    <w:sz w:val="18"/>
                  </w:rPr>
                  <w:fldChar w:fldCharType="begin"/>
                </w:r>
                <w:r>
                  <w:rPr>
                    <w:rFonts w:ascii="Calibri" w:eastAsia="Calibri"/>
                    <w:sz w:val="18"/>
                  </w:rPr>
                  <w:instrText> PAGE </w:instrText>
                </w:r>
                <w:r>
                  <w:rPr>
                    <w:rFonts w:ascii="Calibri" w:eastAsia="Calibri"/>
                    <w:sz w:val="18"/>
                  </w:rPr>
                  <w:fldChar w:fldCharType="separate"/>
                </w:r>
                <w:r>
                  <w:rPr>
                    <w:rFonts w:ascii="Calibri" w:eastAsia="Calibri"/>
                    <w:sz w:val="18"/>
                  </w:rPr>
                  <w:t>10</w:t>
                </w:r>
                <w:r>
                  <w:rPr>
                    <w:rFonts w:ascii="Calibri" w:eastAsia="Calibri"/>
                    <w:sz w:val="18"/>
                  </w:rPr>
                  <w:fldChar w:fldCharType="end"/>
                </w:r>
                <w:r>
                  <w:rPr>
                    <w:rFonts w:ascii="Calibri" w:eastAsia="Calibri"/>
                    <w:spacing w:val="2"/>
                    <w:sz w:val="18"/>
                  </w:rPr>
                  <w:t> </w:t>
                </w:r>
                <w:r>
                  <w:rPr>
                    <w:sz w:val="18"/>
                  </w:rPr>
                  <w:t>页</w:t>
                </w:r>
                <w:r>
                  <w:rPr>
                    <w:spacing w:val="51"/>
                    <w:w w:val="150"/>
                    <w:sz w:val="18"/>
                  </w:rPr>
                  <w:t> </w:t>
                </w:r>
                <w:r>
                  <w:rPr>
                    <w:spacing w:val="-23"/>
                    <w:sz w:val="18"/>
                  </w:rPr>
                  <w:t>共 </w:t>
                </w:r>
                <w:r>
                  <w:rPr>
                    <w:rFonts w:ascii="Calibri" w:eastAsia="Calibri"/>
                    <w:sz w:val="18"/>
                  </w:rPr>
                  <w:fldChar w:fldCharType="begin"/>
                </w:r>
                <w:r>
                  <w:rPr>
                    <w:rFonts w:ascii="Calibri" w:eastAsia="Calibri"/>
                    <w:sz w:val="18"/>
                  </w:rPr>
                  <w:instrText> NUMPAGES </w:instrText>
                </w:r>
                <w:r>
                  <w:rPr>
                    <w:rFonts w:ascii="Calibri" w:eastAsia="Calibri"/>
                    <w:sz w:val="18"/>
                  </w:rPr>
                  <w:fldChar w:fldCharType="separate"/>
                </w:r>
                <w:r>
                  <w:rPr>
                    <w:rFonts w:ascii="Calibri" w:eastAsia="Calibri"/>
                    <w:sz w:val="18"/>
                  </w:rPr>
                  <w:t>56</w:t>
                </w:r>
                <w:r>
                  <w:rPr>
                    <w:rFonts w:ascii="Calibri" w:eastAsia="Calibri"/>
                    <w:sz w:val="18"/>
                  </w:rPr>
                  <w:fldChar w:fldCharType="end"/>
                </w:r>
                <w:r>
                  <w:rPr>
                    <w:rFonts w:ascii="Calibri" w:eastAsia="Calibri"/>
                    <w:spacing w:val="3"/>
                    <w:sz w:val="18"/>
                  </w:rPr>
                  <w:t> </w:t>
                </w:r>
                <w:r>
                  <w:rPr>
                    <w:spacing w:val="-10"/>
                    <w:sz w:val="18"/>
                  </w:rPr>
                  <w:t>页</w:t>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86">
    <w:multiLevelType w:val="hybridMultilevel"/>
    <w:lvl w:ilvl="0">
      <w:start w:val="13"/>
      <w:numFmt w:val="decimal"/>
      <w:lvlText w:val="%1"/>
      <w:lvlJc w:val="left"/>
      <w:pPr>
        <w:ind w:left="1910" w:hanging="985"/>
        <w:jc w:val="left"/>
      </w:pPr>
      <w:rPr>
        <w:rFonts w:hint="default"/>
        <w:lang w:val="en-US" w:eastAsia="zh-CN" w:bidi="ar-SA"/>
      </w:rPr>
    </w:lvl>
    <w:lvl w:ilvl="1">
      <w:start w:val="27"/>
      <w:numFmt w:val="decimal"/>
      <w:lvlText w:val="%1.%2"/>
      <w:lvlJc w:val="left"/>
      <w:pPr>
        <w:ind w:left="1910" w:hanging="985"/>
        <w:jc w:val="left"/>
      </w:pPr>
      <w:rPr>
        <w:rFonts w:hint="default" w:ascii="Microsoft JhengHei" w:hAnsi="Microsoft JhengHei" w:eastAsia="Microsoft JhengHei" w:cs="Microsoft JhengHei"/>
        <w:b/>
        <w:bCs/>
        <w:i w:val="0"/>
        <w:iCs w:val="0"/>
        <w:w w:val="84"/>
        <w:position w:val="8"/>
        <w:sz w:val="21"/>
        <w:szCs w:val="21"/>
        <w:lang w:val="en-US" w:eastAsia="zh-CN" w:bidi="ar-SA"/>
      </w:rPr>
    </w:lvl>
    <w:lvl w:ilvl="2">
      <w:start w:val="0"/>
      <w:numFmt w:val="bullet"/>
      <w:lvlText w:val="•"/>
      <w:lvlJc w:val="left"/>
      <w:pPr>
        <w:ind w:left="3640" w:hanging="985"/>
      </w:pPr>
      <w:rPr>
        <w:rFonts w:hint="default"/>
        <w:lang w:val="en-US" w:eastAsia="zh-CN" w:bidi="ar-SA"/>
      </w:rPr>
    </w:lvl>
    <w:lvl w:ilvl="3">
      <w:start w:val="0"/>
      <w:numFmt w:val="bullet"/>
      <w:lvlText w:val="•"/>
      <w:lvlJc w:val="left"/>
      <w:pPr>
        <w:ind w:left="4501" w:hanging="985"/>
      </w:pPr>
      <w:rPr>
        <w:rFonts w:hint="default"/>
        <w:lang w:val="en-US" w:eastAsia="zh-CN" w:bidi="ar-SA"/>
      </w:rPr>
    </w:lvl>
    <w:lvl w:ilvl="4">
      <w:start w:val="0"/>
      <w:numFmt w:val="bullet"/>
      <w:lvlText w:val="•"/>
      <w:lvlJc w:val="left"/>
      <w:pPr>
        <w:ind w:left="5361" w:hanging="985"/>
      </w:pPr>
      <w:rPr>
        <w:rFonts w:hint="default"/>
        <w:lang w:val="en-US" w:eastAsia="zh-CN" w:bidi="ar-SA"/>
      </w:rPr>
    </w:lvl>
    <w:lvl w:ilvl="5">
      <w:start w:val="0"/>
      <w:numFmt w:val="bullet"/>
      <w:lvlText w:val="•"/>
      <w:lvlJc w:val="left"/>
      <w:pPr>
        <w:ind w:left="6222" w:hanging="985"/>
      </w:pPr>
      <w:rPr>
        <w:rFonts w:hint="default"/>
        <w:lang w:val="en-US" w:eastAsia="zh-CN" w:bidi="ar-SA"/>
      </w:rPr>
    </w:lvl>
    <w:lvl w:ilvl="6">
      <w:start w:val="0"/>
      <w:numFmt w:val="bullet"/>
      <w:lvlText w:val="•"/>
      <w:lvlJc w:val="left"/>
      <w:pPr>
        <w:ind w:left="7082" w:hanging="985"/>
      </w:pPr>
      <w:rPr>
        <w:rFonts w:hint="default"/>
        <w:lang w:val="en-US" w:eastAsia="zh-CN" w:bidi="ar-SA"/>
      </w:rPr>
    </w:lvl>
    <w:lvl w:ilvl="7">
      <w:start w:val="0"/>
      <w:numFmt w:val="bullet"/>
      <w:lvlText w:val="•"/>
      <w:lvlJc w:val="left"/>
      <w:pPr>
        <w:ind w:left="7942" w:hanging="985"/>
      </w:pPr>
      <w:rPr>
        <w:rFonts w:hint="default"/>
        <w:lang w:val="en-US" w:eastAsia="zh-CN" w:bidi="ar-SA"/>
      </w:rPr>
    </w:lvl>
    <w:lvl w:ilvl="8">
      <w:start w:val="0"/>
      <w:numFmt w:val="bullet"/>
      <w:lvlText w:val="•"/>
      <w:lvlJc w:val="left"/>
      <w:pPr>
        <w:ind w:left="8803" w:hanging="985"/>
      </w:pPr>
      <w:rPr>
        <w:rFonts w:hint="default"/>
        <w:lang w:val="en-US" w:eastAsia="zh-CN" w:bidi="ar-SA"/>
      </w:rPr>
    </w:lvl>
  </w:abstractNum>
  <w:abstractNum w:abstractNumId="85">
    <w:multiLevelType w:val="hybridMultilevel"/>
    <w:lvl w:ilvl="0">
      <w:start w:val="1"/>
      <w:numFmt w:val="decimal"/>
      <w:lvlText w:val="（%1）"/>
      <w:lvlJc w:val="left"/>
      <w:pPr>
        <w:ind w:left="405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4706" w:hanging="529"/>
      </w:pPr>
      <w:rPr>
        <w:rFonts w:hint="default"/>
        <w:lang w:val="en-US" w:eastAsia="zh-CN" w:bidi="ar-SA"/>
      </w:rPr>
    </w:lvl>
    <w:lvl w:ilvl="2">
      <w:start w:val="0"/>
      <w:numFmt w:val="bullet"/>
      <w:lvlText w:val="•"/>
      <w:lvlJc w:val="left"/>
      <w:pPr>
        <w:ind w:left="5352" w:hanging="529"/>
      </w:pPr>
      <w:rPr>
        <w:rFonts w:hint="default"/>
        <w:lang w:val="en-US" w:eastAsia="zh-CN" w:bidi="ar-SA"/>
      </w:rPr>
    </w:lvl>
    <w:lvl w:ilvl="3">
      <w:start w:val="0"/>
      <w:numFmt w:val="bullet"/>
      <w:lvlText w:val="•"/>
      <w:lvlJc w:val="left"/>
      <w:pPr>
        <w:ind w:left="5999" w:hanging="529"/>
      </w:pPr>
      <w:rPr>
        <w:rFonts w:hint="default"/>
        <w:lang w:val="en-US" w:eastAsia="zh-CN" w:bidi="ar-SA"/>
      </w:rPr>
    </w:lvl>
    <w:lvl w:ilvl="4">
      <w:start w:val="0"/>
      <w:numFmt w:val="bullet"/>
      <w:lvlText w:val="•"/>
      <w:lvlJc w:val="left"/>
      <w:pPr>
        <w:ind w:left="6645" w:hanging="529"/>
      </w:pPr>
      <w:rPr>
        <w:rFonts w:hint="default"/>
        <w:lang w:val="en-US" w:eastAsia="zh-CN" w:bidi="ar-SA"/>
      </w:rPr>
    </w:lvl>
    <w:lvl w:ilvl="5">
      <w:start w:val="0"/>
      <w:numFmt w:val="bullet"/>
      <w:lvlText w:val="•"/>
      <w:lvlJc w:val="left"/>
      <w:pPr>
        <w:ind w:left="7292" w:hanging="529"/>
      </w:pPr>
      <w:rPr>
        <w:rFonts w:hint="default"/>
        <w:lang w:val="en-US" w:eastAsia="zh-CN" w:bidi="ar-SA"/>
      </w:rPr>
    </w:lvl>
    <w:lvl w:ilvl="6">
      <w:start w:val="0"/>
      <w:numFmt w:val="bullet"/>
      <w:lvlText w:val="•"/>
      <w:lvlJc w:val="left"/>
      <w:pPr>
        <w:ind w:left="7938" w:hanging="529"/>
      </w:pPr>
      <w:rPr>
        <w:rFonts w:hint="default"/>
        <w:lang w:val="en-US" w:eastAsia="zh-CN" w:bidi="ar-SA"/>
      </w:rPr>
    </w:lvl>
    <w:lvl w:ilvl="7">
      <w:start w:val="0"/>
      <w:numFmt w:val="bullet"/>
      <w:lvlText w:val="•"/>
      <w:lvlJc w:val="left"/>
      <w:pPr>
        <w:ind w:left="8584" w:hanging="529"/>
      </w:pPr>
      <w:rPr>
        <w:rFonts w:hint="default"/>
        <w:lang w:val="en-US" w:eastAsia="zh-CN" w:bidi="ar-SA"/>
      </w:rPr>
    </w:lvl>
    <w:lvl w:ilvl="8">
      <w:start w:val="0"/>
      <w:numFmt w:val="bullet"/>
      <w:lvlText w:val="•"/>
      <w:lvlJc w:val="left"/>
      <w:pPr>
        <w:ind w:left="9231" w:hanging="529"/>
      </w:pPr>
      <w:rPr>
        <w:rFonts w:hint="default"/>
        <w:lang w:val="en-US" w:eastAsia="zh-CN" w:bidi="ar-SA"/>
      </w:rPr>
    </w:lvl>
  </w:abstractNum>
  <w:abstractNum w:abstractNumId="84">
    <w:multiLevelType w:val="hybridMultilevel"/>
    <w:lvl w:ilvl="0">
      <w:start w:val="13"/>
      <w:numFmt w:val="decimal"/>
      <w:lvlText w:val="%1"/>
      <w:lvlJc w:val="left"/>
      <w:pPr>
        <w:ind w:left="1910" w:hanging="985"/>
        <w:jc w:val="left"/>
      </w:pPr>
      <w:rPr>
        <w:rFonts w:hint="default"/>
        <w:lang w:val="en-US" w:eastAsia="zh-CN" w:bidi="ar-SA"/>
      </w:rPr>
    </w:lvl>
    <w:lvl w:ilvl="1">
      <w:start w:val="7"/>
      <w:numFmt w:val="decimal"/>
      <w:lvlText w:val="%1.%2"/>
      <w:lvlJc w:val="left"/>
      <w:pPr>
        <w:ind w:left="1910" w:hanging="985"/>
        <w:jc w:val="left"/>
      </w:pPr>
      <w:rPr>
        <w:rFonts w:hint="default" w:ascii="Microsoft JhengHei" w:hAnsi="Microsoft JhengHei" w:eastAsia="Microsoft JhengHei" w:cs="Microsoft JhengHei"/>
        <w:b/>
        <w:bCs/>
        <w:i w:val="0"/>
        <w:iCs w:val="0"/>
        <w:w w:val="84"/>
        <w:sz w:val="21"/>
        <w:szCs w:val="21"/>
        <w:lang w:val="en-US" w:eastAsia="zh-CN" w:bidi="ar-SA"/>
      </w:rPr>
    </w:lvl>
    <w:lvl w:ilvl="2">
      <w:start w:val="1"/>
      <w:numFmt w:val="decimal"/>
      <w:lvlText w:val="（%3）"/>
      <w:lvlJc w:val="left"/>
      <w:pPr>
        <w:ind w:left="4058" w:hanging="529"/>
        <w:jc w:val="left"/>
      </w:pPr>
      <w:rPr>
        <w:rFonts w:hint="default" w:ascii="宋体" w:hAnsi="宋体" w:eastAsia="宋体" w:cs="宋体"/>
        <w:b w:val="0"/>
        <w:bCs w:val="0"/>
        <w:i w:val="0"/>
        <w:iCs w:val="0"/>
        <w:w w:val="100"/>
        <w:sz w:val="19"/>
        <w:szCs w:val="19"/>
        <w:lang w:val="en-US" w:eastAsia="zh-CN" w:bidi="ar-SA"/>
      </w:rPr>
    </w:lvl>
    <w:lvl w:ilvl="3">
      <w:start w:val="0"/>
      <w:numFmt w:val="bullet"/>
      <w:lvlText w:val="•"/>
      <w:lvlJc w:val="left"/>
      <w:pPr>
        <w:ind w:left="5496" w:hanging="529"/>
      </w:pPr>
      <w:rPr>
        <w:rFonts w:hint="default"/>
        <w:lang w:val="en-US" w:eastAsia="zh-CN" w:bidi="ar-SA"/>
      </w:rPr>
    </w:lvl>
    <w:lvl w:ilvl="4">
      <w:start w:val="0"/>
      <w:numFmt w:val="bullet"/>
      <w:lvlText w:val="•"/>
      <w:lvlJc w:val="left"/>
      <w:pPr>
        <w:ind w:left="6214" w:hanging="529"/>
      </w:pPr>
      <w:rPr>
        <w:rFonts w:hint="default"/>
        <w:lang w:val="en-US" w:eastAsia="zh-CN" w:bidi="ar-SA"/>
      </w:rPr>
    </w:lvl>
    <w:lvl w:ilvl="5">
      <w:start w:val="0"/>
      <w:numFmt w:val="bullet"/>
      <w:lvlText w:val="•"/>
      <w:lvlJc w:val="left"/>
      <w:pPr>
        <w:ind w:left="6932" w:hanging="529"/>
      </w:pPr>
      <w:rPr>
        <w:rFonts w:hint="default"/>
        <w:lang w:val="en-US" w:eastAsia="zh-CN" w:bidi="ar-SA"/>
      </w:rPr>
    </w:lvl>
    <w:lvl w:ilvl="6">
      <w:start w:val="0"/>
      <w:numFmt w:val="bullet"/>
      <w:lvlText w:val="•"/>
      <w:lvlJc w:val="left"/>
      <w:pPr>
        <w:ind w:left="7651" w:hanging="529"/>
      </w:pPr>
      <w:rPr>
        <w:rFonts w:hint="default"/>
        <w:lang w:val="en-US" w:eastAsia="zh-CN" w:bidi="ar-SA"/>
      </w:rPr>
    </w:lvl>
    <w:lvl w:ilvl="7">
      <w:start w:val="0"/>
      <w:numFmt w:val="bullet"/>
      <w:lvlText w:val="•"/>
      <w:lvlJc w:val="left"/>
      <w:pPr>
        <w:ind w:left="8369" w:hanging="529"/>
      </w:pPr>
      <w:rPr>
        <w:rFonts w:hint="default"/>
        <w:lang w:val="en-US" w:eastAsia="zh-CN" w:bidi="ar-SA"/>
      </w:rPr>
    </w:lvl>
    <w:lvl w:ilvl="8">
      <w:start w:val="0"/>
      <w:numFmt w:val="bullet"/>
      <w:lvlText w:val="•"/>
      <w:lvlJc w:val="left"/>
      <w:pPr>
        <w:ind w:left="9087" w:hanging="529"/>
      </w:pPr>
      <w:rPr>
        <w:rFonts w:hint="default"/>
        <w:lang w:val="en-US" w:eastAsia="zh-CN" w:bidi="ar-SA"/>
      </w:rPr>
    </w:lvl>
  </w:abstractNum>
  <w:abstractNum w:abstractNumId="83">
    <w:multiLevelType w:val="hybridMultilevel"/>
    <w:lvl w:ilvl="0">
      <w:start w:val="1"/>
      <w:numFmt w:val="decimal"/>
      <w:lvlText w:val="（%1）"/>
      <w:lvlJc w:val="left"/>
      <w:pPr>
        <w:ind w:left="705"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198" w:hanging="529"/>
      </w:pPr>
      <w:rPr>
        <w:rFonts w:hint="default"/>
        <w:lang w:val="en-US" w:eastAsia="zh-CN" w:bidi="ar-SA"/>
      </w:rPr>
    </w:lvl>
    <w:lvl w:ilvl="2">
      <w:start w:val="0"/>
      <w:numFmt w:val="bullet"/>
      <w:lvlText w:val="•"/>
      <w:lvlJc w:val="left"/>
      <w:pPr>
        <w:ind w:left="1697" w:hanging="529"/>
      </w:pPr>
      <w:rPr>
        <w:rFonts w:hint="default"/>
        <w:lang w:val="en-US" w:eastAsia="zh-CN" w:bidi="ar-SA"/>
      </w:rPr>
    </w:lvl>
    <w:lvl w:ilvl="3">
      <w:start w:val="0"/>
      <w:numFmt w:val="bullet"/>
      <w:lvlText w:val="•"/>
      <w:lvlJc w:val="left"/>
      <w:pPr>
        <w:ind w:left="2196" w:hanging="529"/>
      </w:pPr>
      <w:rPr>
        <w:rFonts w:hint="default"/>
        <w:lang w:val="en-US" w:eastAsia="zh-CN" w:bidi="ar-SA"/>
      </w:rPr>
    </w:lvl>
    <w:lvl w:ilvl="4">
      <w:start w:val="0"/>
      <w:numFmt w:val="bullet"/>
      <w:lvlText w:val="•"/>
      <w:lvlJc w:val="left"/>
      <w:pPr>
        <w:ind w:left="2695" w:hanging="529"/>
      </w:pPr>
      <w:rPr>
        <w:rFonts w:hint="default"/>
        <w:lang w:val="en-US" w:eastAsia="zh-CN" w:bidi="ar-SA"/>
      </w:rPr>
    </w:lvl>
    <w:lvl w:ilvl="5">
      <w:start w:val="0"/>
      <w:numFmt w:val="bullet"/>
      <w:lvlText w:val="•"/>
      <w:lvlJc w:val="left"/>
      <w:pPr>
        <w:ind w:left="3194" w:hanging="529"/>
      </w:pPr>
      <w:rPr>
        <w:rFonts w:hint="default"/>
        <w:lang w:val="en-US" w:eastAsia="zh-CN" w:bidi="ar-SA"/>
      </w:rPr>
    </w:lvl>
    <w:lvl w:ilvl="6">
      <w:start w:val="0"/>
      <w:numFmt w:val="bullet"/>
      <w:lvlText w:val="•"/>
      <w:lvlJc w:val="left"/>
      <w:pPr>
        <w:ind w:left="3693" w:hanging="529"/>
      </w:pPr>
      <w:rPr>
        <w:rFonts w:hint="default"/>
        <w:lang w:val="en-US" w:eastAsia="zh-CN" w:bidi="ar-SA"/>
      </w:rPr>
    </w:lvl>
    <w:lvl w:ilvl="7">
      <w:start w:val="0"/>
      <w:numFmt w:val="bullet"/>
      <w:lvlText w:val="•"/>
      <w:lvlJc w:val="left"/>
      <w:pPr>
        <w:ind w:left="4192" w:hanging="529"/>
      </w:pPr>
      <w:rPr>
        <w:rFonts w:hint="default"/>
        <w:lang w:val="en-US" w:eastAsia="zh-CN" w:bidi="ar-SA"/>
      </w:rPr>
    </w:lvl>
    <w:lvl w:ilvl="8">
      <w:start w:val="0"/>
      <w:numFmt w:val="bullet"/>
      <w:lvlText w:val="•"/>
      <w:lvlJc w:val="left"/>
      <w:pPr>
        <w:ind w:left="4691" w:hanging="529"/>
      </w:pPr>
      <w:rPr>
        <w:rFonts w:hint="default"/>
        <w:lang w:val="en-US" w:eastAsia="zh-CN" w:bidi="ar-SA"/>
      </w:rPr>
    </w:lvl>
  </w:abstractNum>
  <w:abstractNum w:abstractNumId="82">
    <w:multiLevelType w:val="hybridMultilevel"/>
    <w:lvl w:ilvl="0">
      <w:start w:val="1"/>
      <w:numFmt w:val="decimal"/>
      <w:lvlText w:val="（%1）"/>
      <w:lvlJc w:val="left"/>
      <w:pPr>
        <w:ind w:left="772"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432" w:hanging="529"/>
      </w:pPr>
      <w:rPr>
        <w:rFonts w:hint="default"/>
        <w:lang w:val="en-US" w:eastAsia="zh-CN" w:bidi="ar-SA"/>
      </w:rPr>
    </w:lvl>
    <w:lvl w:ilvl="2">
      <w:start w:val="0"/>
      <w:numFmt w:val="bullet"/>
      <w:lvlText w:val="•"/>
      <w:lvlJc w:val="left"/>
      <w:pPr>
        <w:ind w:left="2085" w:hanging="529"/>
      </w:pPr>
      <w:rPr>
        <w:rFonts w:hint="default"/>
        <w:lang w:val="en-US" w:eastAsia="zh-CN" w:bidi="ar-SA"/>
      </w:rPr>
    </w:lvl>
    <w:lvl w:ilvl="3">
      <w:start w:val="0"/>
      <w:numFmt w:val="bullet"/>
      <w:lvlText w:val="•"/>
      <w:lvlJc w:val="left"/>
      <w:pPr>
        <w:ind w:left="2737" w:hanging="529"/>
      </w:pPr>
      <w:rPr>
        <w:rFonts w:hint="default"/>
        <w:lang w:val="en-US" w:eastAsia="zh-CN" w:bidi="ar-SA"/>
      </w:rPr>
    </w:lvl>
    <w:lvl w:ilvl="4">
      <w:start w:val="0"/>
      <w:numFmt w:val="bullet"/>
      <w:lvlText w:val="•"/>
      <w:lvlJc w:val="left"/>
      <w:pPr>
        <w:ind w:left="3390" w:hanging="529"/>
      </w:pPr>
      <w:rPr>
        <w:rFonts w:hint="default"/>
        <w:lang w:val="en-US" w:eastAsia="zh-CN" w:bidi="ar-SA"/>
      </w:rPr>
    </w:lvl>
    <w:lvl w:ilvl="5">
      <w:start w:val="0"/>
      <w:numFmt w:val="bullet"/>
      <w:lvlText w:val="•"/>
      <w:lvlJc w:val="left"/>
      <w:pPr>
        <w:ind w:left="4042" w:hanging="529"/>
      </w:pPr>
      <w:rPr>
        <w:rFonts w:hint="default"/>
        <w:lang w:val="en-US" w:eastAsia="zh-CN" w:bidi="ar-SA"/>
      </w:rPr>
    </w:lvl>
    <w:lvl w:ilvl="6">
      <w:start w:val="0"/>
      <w:numFmt w:val="bullet"/>
      <w:lvlText w:val="•"/>
      <w:lvlJc w:val="left"/>
      <w:pPr>
        <w:ind w:left="4695" w:hanging="529"/>
      </w:pPr>
      <w:rPr>
        <w:rFonts w:hint="default"/>
        <w:lang w:val="en-US" w:eastAsia="zh-CN" w:bidi="ar-SA"/>
      </w:rPr>
    </w:lvl>
    <w:lvl w:ilvl="7">
      <w:start w:val="0"/>
      <w:numFmt w:val="bullet"/>
      <w:lvlText w:val="•"/>
      <w:lvlJc w:val="left"/>
      <w:pPr>
        <w:ind w:left="5348" w:hanging="529"/>
      </w:pPr>
      <w:rPr>
        <w:rFonts w:hint="default"/>
        <w:lang w:val="en-US" w:eastAsia="zh-CN" w:bidi="ar-SA"/>
      </w:rPr>
    </w:lvl>
    <w:lvl w:ilvl="8">
      <w:start w:val="0"/>
      <w:numFmt w:val="bullet"/>
      <w:lvlText w:val="•"/>
      <w:lvlJc w:val="left"/>
      <w:pPr>
        <w:ind w:left="6000" w:hanging="529"/>
      </w:pPr>
      <w:rPr>
        <w:rFonts w:hint="default"/>
        <w:lang w:val="en-US" w:eastAsia="zh-CN" w:bidi="ar-SA"/>
      </w:rPr>
    </w:lvl>
  </w:abstractNum>
  <w:abstractNum w:abstractNumId="81">
    <w:multiLevelType w:val="hybridMultilevel"/>
    <w:lvl w:ilvl="0">
      <w:start w:val="12"/>
      <w:numFmt w:val="decimal"/>
      <w:lvlText w:val="%1."/>
      <w:lvlJc w:val="left"/>
      <w:pPr>
        <w:ind w:left="1910" w:hanging="985"/>
        <w:jc w:val="left"/>
      </w:pPr>
      <w:rPr>
        <w:rFonts w:hint="default" w:ascii="Microsoft JhengHei" w:hAnsi="Microsoft JhengHei" w:eastAsia="Microsoft JhengHei" w:cs="Microsoft JhengHei"/>
        <w:b/>
        <w:bCs/>
        <w:i w:val="0"/>
        <w:iCs w:val="0"/>
        <w:w w:val="83"/>
        <w:sz w:val="24"/>
        <w:szCs w:val="24"/>
        <w:lang w:val="en-US" w:eastAsia="zh-CN" w:bidi="ar-SA"/>
      </w:rPr>
    </w:lvl>
    <w:lvl w:ilvl="1">
      <w:start w:val="1"/>
      <w:numFmt w:val="decimal"/>
      <w:lvlText w:val="%1.%2"/>
      <w:lvlJc w:val="left"/>
      <w:pPr>
        <w:ind w:left="1910" w:hanging="985"/>
        <w:jc w:val="left"/>
      </w:pPr>
      <w:rPr>
        <w:rFonts w:hint="default" w:ascii="Microsoft JhengHei" w:hAnsi="Microsoft JhengHei" w:eastAsia="Microsoft JhengHei" w:cs="Microsoft JhengHei"/>
        <w:b/>
        <w:bCs/>
        <w:i w:val="0"/>
        <w:iCs w:val="0"/>
        <w:w w:val="84"/>
        <w:sz w:val="21"/>
        <w:szCs w:val="21"/>
        <w:lang w:val="en-US" w:eastAsia="zh-CN" w:bidi="ar-SA"/>
      </w:rPr>
    </w:lvl>
    <w:lvl w:ilvl="2">
      <w:start w:val="1"/>
      <w:numFmt w:val="decimal"/>
      <w:lvlText w:val="%3."/>
      <w:lvlJc w:val="left"/>
      <w:pPr>
        <w:ind w:left="1910" w:hanging="213"/>
        <w:jc w:val="left"/>
      </w:pPr>
      <w:rPr>
        <w:rFonts w:hint="default" w:ascii="Microsoft JhengHei" w:hAnsi="Microsoft JhengHei" w:eastAsia="Microsoft JhengHei" w:cs="Microsoft JhengHei"/>
        <w:b/>
        <w:bCs/>
        <w:i w:val="0"/>
        <w:iCs w:val="0"/>
        <w:w w:val="118"/>
        <w:sz w:val="19"/>
        <w:szCs w:val="19"/>
        <w:lang w:val="en-US" w:eastAsia="zh-CN" w:bidi="ar-SA"/>
      </w:rPr>
    </w:lvl>
    <w:lvl w:ilvl="3">
      <w:start w:val="0"/>
      <w:numFmt w:val="bullet"/>
      <w:lvlText w:val="•"/>
      <w:lvlJc w:val="left"/>
      <w:pPr>
        <w:ind w:left="2297" w:hanging="213"/>
      </w:pPr>
      <w:rPr>
        <w:rFonts w:hint="default"/>
        <w:lang w:val="en-US" w:eastAsia="zh-CN" w:bidi="ar-SA"/>
      </w:rPr>
    </w:lvl>
    <w:lvl w:ilvl="4">
      <w:start w:val="0"/>
      <w:numFmt w:val="bullet"/>
      <w:lvlText w:val="•"/>
      <w:lvlJc w:val="left"/>
      <w:pPr>
        <w:ind w:left="2423" w:hanging="213"/>
      </w:pPr>
      <w:rPr>
        <w:rFonts w:hint="default"/>
        <w:lang w:val="en-US" w:eastAsia="zh-CN" w:bidi="ar-SA"/>
      </w:rPr>
    </w:lvl>
    <w:lvl w:ilvl="5">
      <w:start w:val="0"/>
      <w:numFmt w:val="bullet"/>
      <w:lvlText w:val="•"/>
      <w:lvlJc w:val="left"/>
      <w:pPr>
        <w:ind w:left="2549" w:hanging="213"/>
      </w:pPr>
      <w:rPr>
        <w:rFonts w:hint="default"/>
        <w:lang w:val="en-US" w:eastAsia="zh-CN" w:bidi="ar-SA"/>
      </w:rPr>
    </w:lvl>
    <w:lvl w:ilvl="6">
      <w:start w:val="0"/>
      <w:numFmt w:val="bullet"/>
      <w:lvlText w:val="•"/>
      <w:lvlJc w:val="left"/>
      <w:pPr>
        <w:ind w:left="2674" w:hanging="213"/>
      </w:pPr>
      <w:rPr>
        <w:rFonts w:hint="default"/>
        <w:lang w:val="en-US" w:eastAsia="zh-CN" w:bidi="ar-SA"/>
      </w:rPr>
    </w:lvl>
    <w:lvl w:ilvl="7">
      <w:start w:val="0"/>
      <w:numFmt w:val="bullet"/>
      <w:lvlText w:val="•"/>
      <w:lvlJc w:val="left"/>
      <w:pPr>
        <w:ind w:left="2800" w:hanging="213"/>
      </w:pPr>
      <w:rPr>
        <w:rFonts w:hint="default"/>
        <w:lang w:val="en-US" w:eastAsia="zh-CN" w:bidi="ar-SA"/>
      </w:rPr>
    </w:lvl>
    <w:lvl w:ilvl="8">
      <w:start w:val="0"/>
      <w:numFmt w:val="bullet"/>
      <w:lvlText w:val="•"/>
      <w:lvlJc w:val="left"/>
      <w:pPr>
        <w:ind w:left="2926" w:hanging="213"/>
      </w:pPr>
      <w:rPr>
        <w:rFonts w:hint="default"/>
        <w:lang w:val="en-US" w:eastAsia="zh-CN" w:bidi="ar-SA"/>
      </w:rPr>
    </w:lvl>
  </w:abstractNum>
  <w:abstractNum w:abstractNumId="80">
    <w:multiLevelType w:val="hybridMultilevel"/>
    <w:lvl w:ilvl="0">
      <w:start w:val="1"/>
      <w:numFmt w:val="decimal"/>
      <w:lvlText w:val="（%1）"/>
      <w:lvlJc w:val="left"/>
      <w:pPr>
        <w:ind w:left="773" w:hanging="529"/>
        <w:jc w:val="left"/>
      </w:pPr>
      <w:rPr>
        <w:rFonts w:hint="default" w:ascii="宋体" w:hAnsi="宋体" w:eastAsia="宋体" w:cs="宋体"/>
        <w:b w:val="0"/>
        <w:bCs w:val="0"/>
        <w:i w:val="0"/>
        <w:iCs w:val="0"/>
        <w:w w:val="100"/>
        <w:sz w:val="19"/>
        <w:szCs w:val="19"/>
        <w:lang w:val="en-US" w:eastAsia="zh-CN" w:bidi="ar-SA"/>
      </w:rPr>
    </w:lvl>
    <w:lvl w:ilvl="1">
      <w:start w:val="1"/>
      <w:numFmt w:val="lowerLetter"/>
      <w:lvlText w:val="%2."/>
      <w:lvlJc w:val="left"/>
      <w:pPr>
        <w:ind w:left="666" w:hanging="213"/>
        <w:jc w:val="left"/>
      </w:pPr>
      <w:rPr>
        <w:rFonts w:hint="default" w:ascii="宋体" w:hAnsi="宋体" w:eastAsia="宋体" w:cs="宋体"/>
        <w:b w:val="0"/>
        <w:bCs w:val="0"/>
        <w:i w:val="0"/>
        <w:iCs w:val="0"/>
        <w:w w:val="100"/>
        <w:sz w:val="19"/>
        <w:szCs w:val="19"/>
        <w:lang w:val="en-US" w:eastAsia="zh-CN" w:bidi="ar-SA"/>
      </w:rPr>
    </w:lvl>
    <w:lvl w:ilvl="2">
      <w:start w:val="0"/>
      <w:numFmt w:val="bullet"/>
      <w:lvlText w:val="•"/>
      <w:lvlJc w:val="left"/>
      <w:pPr>
        <w:ind w:left="1505" w:hanging="213"/>
      </w:pPr>
      <w:rPr>
        <w:rFonts w:hint="default"/>
        <w:lang w:val="en-US" w:eastAsia="zh-CN" w:bidi="ar-SA"/>
      </w:rPr>
    </w:lvl>
    <w:lvl w:ilvl="3">
      <w:start w:val="0"/>
      <w:numFmt w:val="bullet"/>
      <w:lvlText w:val="•"/>
      <w:lvlJc w:val="left"/>
      <w:pPr>
        <w:ind w:left="2230" w:hanging="213"/>
      </w:pPr>
      <w:rPr>
        <w:rFonts w:hint="default"/>
        <w:lang w:val="en-US" w:eastAsia="zh-CN" w:bidi="ar-SA"/>
      </w:rPr>
    </w:lvl>
    <w:lvl w:ilvl="4">
      <w:start w:val="0"/>
      <w:numFmt w:val="bullet"/>
      <w:lvlText w:val="•"/>
      <w:lvlJc w:val="left"/>
      <w:pPr>
        <w:ind w:left="2955" w:hanging="213"/>
      </w:pPr>
      <w:rPr>
        <w:rFonts w:hint="default"/>
        <w:lang w:val="en-US" w:eastAsia="zh-CN" w:bidi="ar-SA"/>
      </w:rPr>
    </w:lvl>
    <w:lvl w:ilvl="5">
      <w:start w:val="0"/>
      <w:numFmt w:val="bullet"/>
      <w:lvlText w:val="•"/>
      <w:lvlJc w:val="left"/>
      <w:pPr>
        <w:ind w:left="3680" w:hanging="213"/>
      </w:pPr>
      <w:rPr>
        <w:rFonts w:hint="default"/>
        <w:lang w:val="en-US" w:eastAsia="zh-CN" w:bidi="ar-SA"/>
      </w:rPr>
    </w:lvl>
    <w:lvl w:ilvl="6">
      <w:start w:val="0"/>
      <w:numFmt w:val="bullet"/>
      <w:lvlText w:val="•"/>
      <w:lvlJc w:val="left"/>
      <w:pPr>
        <w:ind w:left="4405" w:hanging="213"/>
      </w:pPr>
      <w:rPr>
        <w:rFonts w:hint="default"/>
        <w:lang w:val="en-US" w:eastAsia="zh-CN" w:bidi="ar-SA"/>
      </w:rPr>
    </w:lvl>
    <w:lvl w:ilvl="7">
      <w:start w:val="0"/>
      <w:numFmt w:val="bullet"/>
      <w:lvlText w:val="•"/>
      <w:lvlJc w:val="left"/>
      <w:pPr>
        <w:ind w:left="5130" w:hanging="213"/>
      </w:pPr>
      <w:rPr>
        <w:rFonts w:hint="default"/>
        <w:lang w:val="en-US" w:eastAsia="zh-CN" w:bidi="ar-SA"/>
      </w:rPr>
    </w:lvl>
    <w:lvl w:ilvl="8">
      <w:start w:val="0"/>
      <w:numFmt w:val="bullet"/>
      <w:lvlText w:val="•"/>
      <w:lvlJc w:val="left"/>
      <w:pPr>
        <w:ind w:left="5855" w:hanging="213"/>
      </w:pPr>
      <w:rPr>
        <w:rFonts w:hint="default"/>
        <w:lang w:val="en-US" w:eastAsia="zh-CN" w:bidi="ar-SA"/>
      </w:rPr>
    </w:lvl>
  </w:abstractNum>
  <w:abstractNum w:abstractNumId="79">
    <w:multiLevelType w:val="hybridMultilevel"/>
    <w:lvl w:ilvl="0">
      <w:start w:val="1"/>
      <w:numFmt w:val="decimal"/>
      <w:lvlText w:val="（%1）"/>
      <w:lvlJc w:val="left"/>
      <w:pPr>
        <w:ind w:left="773"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432" w:hanging="529"/>
      </w:pPr>
      <w:rPr>
        <w:rFonts w:hint="default"/>
        <w:lang w:val="en-US" w:eastAsia="zh-CN" w:bidi="ar-SA"/>
      </w:rPr>
    </w:lvl>
    <w:lvl w:ilvl="2">
      <w:start w:val="0"/>
      <w:numFmt w:val="bullet"/>
      <w:lvlText w:val="•"/>
      <w:lvlJc w:val="left"/>
      <w:pPr>
        <w:ind w:left="2085" w:hanging="529"/>
      </w:pPr>
      <w:rPr>
        <w:rFonts w:hint="default"/>
        <w:lang w:val="en-US" w:eastAsia="zh-CN" w:bidi="ar-SA"/>
      </w:rPr>
    </w:lvl>
    <w:lvl w:ilvl="3">
      <w:start w:val="0"/>
      <w:numFmt w:val="bullet"/>
      <w:lvlText w:val="•"/>
      <w:lvlJc w:val="left"/>
      <w:pPr>
        <w:ind w:left="2737" w:hanging="529"/>
      </w:pPr>
      <w:rPr>
        <w:rFonts w:hint="default"/>
        <w:lang w:val="en-US" w:eastAsia="zh-CN" w:bidi="ar-SA"/>
      </w:rPr>
    </w:lvl>
    <w:lvl w:ilvl="4">
      <w:start w:val="0"/>
      <w:numFmt w:val="bullet"/>
      <w:lvlText w:val="•"/>
      <w:lvlJc w:val="left"/>
      <w:pPr>
        <w:ind w:left="3390" w:hanging="529"/>
      </w:pPr>
      <w:rPr>
        <w:rFonts w:hint="default"/>
        <w:lang w:val="en-US" w:eastAsia="zh-CN" w:bidi="ar-SA"/>
      </w:rPr>
    </w:lvl>
    <w:lvl w:ilvl="5">
      <w:start w:val="0"/>
      <w:numFmt w:val="bullet"/>
      <w:lvlText w:val="•"/>
      <w:lvlJc w:val="left"/>
      <w:pPr>
        <w:ind w:left="4043" w:hanging="529"/>
      </w:pPr>
      <w:rPr>
        <w:rFonts w:hint="default"/>
        <w:lang w:val="en-US" w:eastAsia="zh-CN" w:bidi="ar-SA"/>
      </w:rPr>
    </w:lvl>
    <w:lvl w:ilvl="6">
      <w:start w:val="0"/>
      <w:numFmt w:val="bullet"/>
      <w:lvlText w:val="•"/>
      <w:lvlJc w:val="left"/>
      <w:pPr>
        <w:ind w:left="4695" w:hanging="529"/>
      </w:pPr>
      <w:rPr>
        <w:rFonts w:hint="default"/>
        <w:lang w:val="en-US" w:eastAsia="zh-CN" w:bidi="ar-SA"/>
      </w:rPr>
    </w:lvl>
    <w:lvl w:ilvl="7">
      <w:start w:val="0"/>
      <w:numFmt w:val="bullet"/>
      <w:lvlText w:val="•"/>
      <w:lvlJc w:val="left"/>
      <w:pPr>
        <w:ind w:left="5348" w:hanging="529"/>
      </w:pPr>
      <w:rPr>
        <w:rFonts w:hint="default"/>
        <w:lang w:val="en-US" w:eastAsia="zh-CN" w:bidi="ar-SA"/>
      </w:rPr>
    </w:lvl>
    <w:lvl w:ilvl="8">
      <w:start w:val="0"/>
      <w:numFmt w:val="bullet"/>
      <w:lvlText w:val="•"/>
      <w:lvlJc w:val="left"/>
      <w:pPr>
        <w:ind w:left="6000" w:hanging="529"/>
      </w:pPr>
      <w:rPr>
        <w:rFonts w:hint="default"/>
        <w:lang w:val="en-US" w:eastAsia="zh-CN" w:bidi="ar-SA"/>
      </w:rPr>
    </w:lvl>
  </w:abstractNum>
  <w:abstractNum w:abstractNumId="78">
    <w:multiLevelType w:val="hybridMultilevel"/>
    <w:lvl w:ilvl="0">
      <w:start w:val="1"/>
      <w:numFmt w:val="decimal"/>
      <w:lvlText w:val="（%1）"/>
      <w:lvlJc w:val="left"/>
      <w:pPr>
        <w:ind w:left="773" w:hanging="529"/>
        <w:jc w:val="left"/>
      </w:pPr>
      <w:rPr>
        <w:rFonts w:hint="default" w:ascii="宋体" w:hAnsi="宋体" w:eastAsia="宋体" w:cs="宋体"/>
        <w:b w:val="0"/>
        <w:bCs w:val="0"/>
        <w:i w:val="0"/>
        <w:iCs w:val="0"/>
        <w:w w:val="100"/>
        <w:sz w:val="19"/>
        <w:szCs w:val="19"/>
        <w:lang w:val="en-US" w:eastAsia="zh-CN" w:bidi="ar-SA"/>
      </w:rPr>
    </w:lvl>
    <w:lvl w:ilvl="1">
      <w:start w:val="1"/>
      <w:numFmt w:val="decimal"/>
      <w:lvlText w:val="（%2）"/>
      <w:lvlJc w:val="left"/>
      <w:pPr>
        <w:ind w:left="878" w:hanging="529"/>
        <w:jc w:val="left"/>
      </w:pPr>
      <w:rPr>
        <w:rFonts w:hint="default" w:ascii="宋体" w:hAnsi="宋体" w:eastAsia="宋体" w:cs="宋体"/>
        <w:b w:val="0"/>
        <w:bCs w:val="0"/>
        <w:i w:val="0"/>
        <w:iCs w:val="0"/>
        <w:w w:val="100"/>
        <w:sz w:val="19"/>
        <w:szCs w:val="19"/>
        <w:lang w:val="en-US" w:eastAsia="zh-CN" w:bidi="ar-SA"/>
      </w:rPr>
    </w:lvl>
    <w:lvl w:ilvl="2">
      <w:start w:val="0"/>
      <w:numFmt w:val="bullet"/>
      <w:lvlText w:val="•"/>
      <w:lvlJc w:val="left"/>
      <w:pPr>
        <w:ind w:left="1594" w:hanging="529"/>
      </w:pPr>
      <w:rPr>
        <w:rFonts w:hint="default"/>
        <w:lang w:val="en-US" w:eastAsia="zh-CN" w:bidi="ar-SA"/>
      </w:rPr>
    </w:lvl>
    <w:lvl w:ilvl="3">
      <w:start w:val="0"/>
      <w:numFmt w:val="bullet"/>
      <w:lvlText w:val="•"/>
      <w:lvlJc w:val="left"/>
      <w:pPr>
        <w:ind w:left="2308" w:hanging="529"/>
      </w:pPr>
      <w:rPr>
        <w:rFonts w:hint="default"/>
        <w:lang w:val="en-US" w:eastAsia="zh-CN" w:bidi="ar-SA"/>
      </w:rPr>
    </w:lvl>
    <w:lvl w:ilvl="4">
      <w:start w:val="0"/>
      <w:numFmt w:val="bullet"/>
      <w:lvlText w:val="•"/>
      <w:lvlJc w:val="left"/>
      <w:pPr>
        <w:ind w:left="3022" w:hanging="529"/>
      </w:pPr>
      <w:rPr>
        <w:rFonts w:hint="default"/>
        <w:lang w:val="en-US" w:eastAsia="zh-CN" w:bidi="ar-SA"/>
      </w:rPr>
    </w:lvl>
    <w:lvl w:ilvl="5">
      <w:start w:val="0"/>
      <w:numFmt w:val="bullet"/>
      <w:lvlText w:val="•"/>
      <w:lvlJc w:val="left"/>
      <w:pPr>
        <w:ind w:left="3736" w:hanging="529"/>
      </w:pPr>
      <w:rPr>
        <w:rFonts w:hint="default"/>
        <w:lang w:val="en-US" w:eastAsia="zh-CN" w:bidi="ar-SA"/>
      </w:rPr>
    </w:lvl>
    <w:lvl w:ilvl="6">
      <w:start w:val="0"/>
      <w:numFmt w:val="bullet"/>
      <w:lvlText w:val="•"/>
      <w:lvlJc w:val="left"/>
      <w:pPr>
        <w:ind w:left="4450" w:hanging="529"/>
      </w:pPr>
      <w:rPr>
        <w:rFonts w:hint="default"/>
        <w:lang w:val="en-US" w:eastAsia="zh-CN" w:bidi="ar-SA"/>
      </w:rPr>
    </w:lvl>
    <w:lvl w:ilvl="7">
      <w:start w:val="0"/>
      <w:numFmt w:val="bullet"/>
      <w:lvlText w:val="•"/>
      <w:lvlJc w:val="left"/>
      <w:pPr>
        <w:ind w:left="5164" w:hanging="529"/>
      </w:pPr>
      <w:rPr>
        <w:rFonts w:hint="default"/>
        <w:lang w:val="en-US" w:eastAsia="zh-CN" w:bidi="ar-SA"/>
      </w:rPr>
    </w:lvl>
    <w:lvl w:ilvl="8">
      <w:start w:val="0"/>
      <w:numFmt w:val="bullet"/>
      <w:lvlText w:val="•"/>
      <w:lvlJc w:val="left"/>
      <w:pPr>
        <w:ind w:left="5878" w:hanging="529"/>
      </w:pPr>
      <w:rPr>
        <w:rFonts w:hint="default"/>
        <w:lang w:val="en-US" w:eastAsia="zh-CN" w:bidi="ar-SA"/>
      </w:rPr>
    </w:lvl>
  </w:abstractNum>
  <w:abstractNum w:abstractNumId="77">
    <w:multiLevelType w:val="hybridMultilevel"/>
    <w:lvl w:ilvl="0">
      <w:start w:val="1"/>
      <w:numFmt w:val="decimal"/>
      <w:lvlText w:val="（%1）"/>
      <w:lvlJc w:val="left"/>
      <w:pPr>
        <w:ind w:left="243" w:hanging="529"/>
        <w:jc w:val="left"/>
      </w:pPr>
      <w:rPr>
        <w:rFonts w:hint="default" w:ascii="宋体" w:hAnsi="宋体" w:eastAsia="宋体" w:cs="宋体"/>
        <w:b w:val="0"/>
        <w:bCs w:val="0"/>
        <w:i w:val="0"/>
        <w:iCs w:val="0"/>
        <w:w w:val="100"/>
        <w:sz w:val="19"/>
        <w:szCs w:val="19"/>
        <w:lang w:val="en-US" w:eastAsia="zh-CN" w:bidi="ar-SA"/>
      </w:rPr>
    </w:lvl>
    <w:lvl w:ilvl="1">
      <w:start w:val="1"/>
      <w:numFmt w:val="decimal"/>
      <w:lvlText w:val="（%2）"/>
      <w:lvlJc w:val="left"/>
      <w:pPr>
        <w:ind w:left="878" w:hanging="529"/>
        <w:jc w:val="left"/>
      </w:pPr>
      <w:rPr>
        <w:rFonts w:hint="default" w:ascii="宋体" w:hAnsi="宋体" w:eastAsia="宋体" w:cs="宋体"/>
        <w:b w:val="0"/>
        <w:bCs w:val="0"/>
        <w:i w:val="0"/>
        <w:iCs w:val="0"/>
        <w:w w:val="100"/>
        <w:sz w:val="19"/>
        <w:szCs w:val="19"/>
        <w:lang w:val="en-US" w:eastAsia="zh-CN" w:bidi="ar-SA"/>
      </w:rPr>
    </w:lvl>
    <w:lvl w:ilvl="2">
      <w:start w:val="0"/>
      <w:numFmt w:val="bullet"/>
      <w:lvlText w:val="•"/>
      <w:lvlJc w:val="left"/>
      <w:pPr>
        <w:ind w:left="1593" w:hanging="529"/>
      </w:pPr>
      <w:rPr>
        <w:rFonts w:hint="default"/>
        <w:lang w:val="en-US" w:eastAsia="zh-CN" w:bidi="ar-SA"/>
      </w:rPr>
    </w:lvl>
    <w:lvl w:ilvl="3">
      <w:start w:val="0"/>
      <w:numFmt w:val="bullet"/>
      <w:lvlText w:val="•"/>
      <w:lvlJc w:val="left"/>
      <w:pPr>
        <w:ind w:left="2307" w:hanging="529"/>
      </w:pPr>
      <w:rPr>
        <w:rFonts w:hint="default"/>
        <w:lang w:val="en-US" w:eastAsia="zh-CN" w:bidi="ar-SA"/>
      </w:rPr>
    </w:lvl>
    <w:lvl w:ilvl="4">
      <w:start w:val="0"/>
      <w:numFmt w:val="bullet"/>
      <w:lvlText w:val="•"/>
      <w:lvlJc w:val="left"/>
      <w:pPr>
        <w:ind w:left="3021" w:hanging="529"/>
      </w:pPr>
      <w:rPr>
        <w:rFonts w:hint="default"/>
        <w:lang w:val="en-US" w:eastAsia="zh-CN" w:bidi="ar-SA"/>
      </w:rPr>
    </w:lvl>
    <w:lvl w:ilvl="5">
      <w:start w:val="0"/>
      <w:numFmt w:val="bullet"/>
      <w:lvlText w:val="•"/>
      <w:lvlJc w:val="left"/>
      <w:pPr>
        <w:ind w:left="3735" w:hanging="529"/>
      </w:pPr>
      <w:rPr>
        <w:rFonts w:hint="default"/>
        <w:lang w:val="en-US" w:eastAsia="zh-CN" w:bidi="ar-SA"/>
      </w:rPr>
    </w:lvl>
    <w:lvl w:ilvl="6">
      <w:start w:val="0"/>
      <w:numFmt w:val="bullet"/>
      <w:lvlText w:val="•"/>
      <w:lvlJc w:val="left"/>
      <w:pPr>
        <w:ind w:left="4449" w:hanging="529"/>
      </w:pPr>
      <w:rPr>
        <w:rFonts w:hint="default"/>
        <w:lang w:val="en-US" w:eastAsia="zh-CN" w:bidi="ar-SA"/>
      </w:rPr>
    </w:lvl>
    <w:lvl w:ilvl="7">
      <w:start w:val="0"/>
      <w:numFmt w:val="bullet"/>
      <w:lvlText w:val="•"/>
      <w:lvlJc w:val="left"/>
      <w:pPr>
        <w:ind w:left="5163" w:hanging="529"/>
      </w:pPr>
      <w:rPr>
        <w:rFonts w:hint="default"/>
        <w:lang w:val="en-US" w:eastAsia="zh-CN" w:bidi="ar-SA"/>
      </w:rPr>
    </w:lvl>
    <w:lvl w:ilvl="8">
      <w:start w:val="0"/>
      <w:numFmt w:val="bullet"/>
      <w:lvlText w:val="•"/>
      <w:lvlJc w:val="left"/>
      <w:pPr>
        <w:ind w:left="5877" w:hanging="529"/>
      </w:pPr>
      <w:rPr>
        <w:rFonts w:hint="default"/>
        <w:lang w:val="en-US" w:eastAsia="zh-CN" w:bidi="ar-SA"/>
      </w:rPr>
    </w:lvl>
  </w:abstractNum>
  <w:abstractNum w:abstractNumId="76">
    <w:multiLevelType w:val="hybridMultilevel"/>
    <w:lvl w:ilvl="0">
      <w:start w:val="1"/>
      <w:numFmt w:val="decimal"/>
      <w:lvlText w:val="（%1）"/>
      <w:lvlJc w:val="left"/>
      <w:pPr>
        <w:ind w:left="772"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432" w:hanging="529"/>
      </w:pPr>
      <w:rPr>
        <w:rFonts w:hint="default"/>
        <w:lang w:val="en-US" w:eastAsia="zh-CN" w:bidi="ar-SA"/>
      </w:rPr>
    </w:lvl>
    <w:lvl w:ilvl="2">
      <w:start w:val="0"/>
      <w:numFmt w:val="bullet"/>
      <w:lvlText w:val="•"/>
      <w:lvlJc w:val="left"/>
      <w:pPr>
        <w:ind w:left="2085" w:hanging="529"/>
      </w:pPr>
      <w:rPr>
        <w:rFonts w:hint="default"/>
        <w:lang w:val="en-US" w:eastAsia="zh-CN" w:bidi="ar-SA"/>
      </w:rPr>
    </w:lvl>
    <w:lvl w:ilvl="3">
      <w:start w:val="0"/>
      <w:numFmt w:val="bullet"/>
      <w:lvlText w:val="•"/>
      <w:lvlJc w:val="left"/>
      <w:pPr>
        <w:ind w:left="2737" w:hanging="529"/>
      </w:pPr>
      <w:rPr>
        <w:rFonts w:hint="default"/>
        <w:lang w:val="en-US" w:eastAsia="zh-CN" w:bidi="ar-SA"/>
      </w:rPr>
    </w:lvl>
    <w:lvl w:ilvl="4">
      <w:start w:val="0"/>
      <w:numFmt w:val="bullet"/>
      <w:lvlText w:val="•"/>
      <w:lvlJc w:val="left"/>
      <w:pPr>
        <w:ind w:left="3390" w:hanging="529"/>
      </w:pPr>
      <w:rPr>
        <w:rFonts w:hint="default"/>
        <w:lang w:val="en-US" w:eastAsia="zh-CN" w:bidi="ar-SA"/>
      </w:rPr>
    </w:lvl>
    <w:lvl w:ilvl="5">
      <w:start w:val="0"/>
      <w:numFmt w:val="bullet"/>
      <w:lvlText w:val="•"/>
      <w:lvlJc w:val="left"/>
      <w:pPr>
        <w:ind w:left="4042" w:hanging="529"/>
      </w:pPr>
      <w:rPr>
        <w:rFonts w:hint="default"/>
        <w:lang w:val="en-US" w:eastAsia="zh-CN" w:bidi="ar-SA"/>
      </w:rPr>
    </w:lvl>
    <w:lvl w:ilvl="6">
      <w:start w:val="0"/>
      <w:numFmt w:val="bullet"/>
      <w:lvlText w:val="•"/>
      <w:lvlJc w:val="left"/>
      <w:pPr>
        <w:ind w:left="4695" w:hanging="529"/>
      </w:pPr>
      <w:rPr>
        <w:rFonts w:hint="default"/>
        <w:lang w:val="en-US" w:eastAsia="zh-CN" w:bidi="ar-SA"/>
      </w:rPr>
    </w:lvl>
    <w:lvl w:ilvl="7">
      <w:start w:val="0"/>
      <w:numFmt w:val="bullet"/>
      <w:lvlText w:val="•"/>
      <w:lvlJc w:val="left"/>
      <w:pPr>
        <w:ind w:left="5348" w:hanging="529"/>
      </w:pPr>
      <w:rPr>
        <w:rFonts w:hint="default"/>
        <w:lang w:val="en-US" w:eastAsia="zh-CN" w:bidi="ar-SA"/>
      </w:rPr>
    </w:lvl>
    <w:lvl w:ilvl="8">
      <w:start w:val="0"/>
      <w:numFmt w:val="bullet"/>
      <w:lvlText w:val="•"/>
      <w:lvlJc w:val="left"/>
      <w:pPr>
        <w:ind w:left="6000" w:hanging="529"/>
      </w:pPr>
      <w:rPr>
        <w:rFonts w:hint="default"/>
        <w:lang w:val="en-US" w:eastAsia="zh-CN" w:bidi="ar-SA"/>
      </w:rPr>
    </w:lvl>
  </w:abstractNum>
  <w:abstractNum w:abstractNumId="75">
    <w:multiLevelType w:val="hybridMultilevel"/>
    <w:lvl w:ilvl="0">
      <w:start w:val="1"/>
      <w:numFmt w:val="decimal"/>
      <w:lvlText w:val="（%1）"/>
      <w:lvlJc w:val="left"/>
      <w:pPr>
        <w:ind w:left="243" w:hanging="529"/>
        <w:jc w:val="left"/>
      </w:pPr>
      <w:rPr>
        <w:rFonts w:hint="default" w:ascii="宋体" w:hAnsi="宋体" w:eastAsia="宋体" w:cs="宋体"/>
        <w:b w:val="0"/>
        <w:bCs w:val="0"/>
        <w:i w:val="0"/>
        <w:iCs w:val="0"/>
        <w:w w:val="100"/>
        <w:sz w:val="19"/>
        <w:szCs w:val="19"/>
        <w:lang w:val="en-US" w:eastAsia="zh-CN" w:bidi="ar-SA"/>
      </w:rPr>
    </w:lvl>
    <w:lvl w:ilvl="1">
      <w:start w:val="1"/>
      <w:numFmt w:val="decimal"/>
      <w:lvlText w:val="（%2）"/>
      <w:lvlJc w:val="left"/>
      <w:pPr>
        <w:ind w:left="349" w:hanging="529"/>
        <w:jc w:val="left"/>
      </w:pPr>
      <w:rPr>
        <w:rFonts w:hint="default" w:ascii="宋体" w:hAnsi="宋体" w:eastAsia="宋体" w:cs="宋体"/>
        <w:b w:val="0"/>
        <w:bCs w:val="0"/>
        <w:i w:val="0"/>
        <w:iCs w:val="0"/>
        <w:spacing w:val="-5"/>
        <w:w w:val="100"/>
        <w:sz w:val="19"/>
        <w:szCs w:val="19"/>
        <w:lang w:val="en-US" w:eastAsia="zh-CN" w:bidi="ar-SA"/>
      </w:rPr>
    </w:lvl>
    <w:lvl w:ilvl="2">
      <w:start w:val="0"/>
      <w:numFmt w:val="bullet"/>
      <w:lvlText w:val="•"/>
      <w:lvlJc w:val="left"/>
      <w:pPr>
        <w:ind w:left="1113" w:hanging="529"/>
      </w:pPr>
      <w:rPr>
        <w:rFonts w:hint="default"/>
        <w:lang w:val="en-US" w:eastAsia="zh-CN" w:bidi="ar-SA"/>
      </w:rPr>
    </w:lvl>
    <w:lvl w:ilvl="3">
      <w:start w:val="0"/>
      <w:numFmt w:val="bullet"/>
      <w:lvlText w:val="•"/>
      <w:lvlJc w:val="left"/>
      <w:pPr>
        <w:ind w:left="1887" w:hanging="529"/>
      </w:pPr>
      <w:rPr>
        <w:rFonts w:hint="default"/>
        <w:lang w:val="en-US" w:eastAsia="zh-CN" w:bidi="ar-SA"/>
      </w:rPr>
    </w:lvl>
    <w:lvl w:ilvl="4">
      <w:start w:val="0"/>
      <w:numFmt w:val="bullet"/>
      <w:lvlText w:val="•"/>
      <w:lvlJc w:val="left"/>
      <w:pPr>
        <w:ind w:left="2661" w:hanging="529"/>
      </w:pPr>
      <w:rPr>
        <w:rFonts w:hint="default"/>
        <w:lang w:val="en-US" w:eastAsia="zh-CN" w:bidi="ar-SA"/>
      </w:rPr>
    </w:lvl>
    <w:lvl w:ilvl="5">
      <w:start w:val="0"/>
      <w:numFmt w:val="bullet"/>
      <w:lvlText w:val="•"/>
      <w:lvlJc w:val="left"/>
      <w:pPr>
        <w:ind w:left="3435" w:hanging="529"/>
      </w:pPr>
      <w:rPr>
        <w:rFonts w:hint="default"/>
        <w:lang w:val="en-US" w:eastAsia="zh-CN" w:bidi="ar-SA"/>
      </w:rPr>
    </w:lvl>
    <w:lvl w:ilvl="6">
      <w:start w:val="0"/>
      <w:numFmt w:val="bullet"/>
      <w:lvlText w:val="•"/>
      <w:lvlJc w:val="left"/>
      <w:pPr>
        <w:ind w:left="4209" w:hanging="529"/>
      </w:pPr>
      <w:rPr>
        <w:rFonts w:hint="default"/>
        <w:lang w:val="en-US" w:eastAsia="zh-CN" w:bidi="ar-SA"/>
      </w:rPr>
    </w:lvl>
    <w:lvl w:ilvl="7">
      <w:start w:val="0"/>
      <w:numFmt w:val="bullet"/>
      <w:lvlText w:val="•"/>
      <w:lvlJc w:val="left"/>
      <w:pPr>
        <w:ind w:left="4983" w:hanging="529"/>
      </w:pPr>
      <w:rPr>
        <w:rFonts w:hint="default"/>
        <w:lang w:val="en-US" w:eastAsia="zh-CN" w:bidi="ar-SA"/>
      </w:rPr>
    </w:lvl>
    <w:lvl w:ilvl="8">
      <w:start w:val="0"/>
      <w:numFmt w:val="bullet"/>
      <w:lvlText w:val="•"/>
      <w:lvlJc w:val="left"/>
      <w:pPr>
        <w:ind w:left="5757" w:hanging="529"/>
      </w:pPr>
      <w:rPr>
        <w:rFonts w:hint="default"/>
        <w:lang w:val="en-US" w:eastAsia="zh-CN" w:bidi="ar-SA"/>
      </w:rPr>
    </w:lvl>
  </w:abstractNum>
  <w:abstractNum w:abstractNumId="74">
    <w:multiLevelType w:val="hybridMultilevel"/>
    <w:lvl w:ilvl="0">
      <w:start w:val="1"/>
      <w:numFmt w:val="decimal"/>
      <w:lvlText w:val="（%1）"/>
      <w:lvlJc w:val="left"/>
      <w:pPr>
        <w:ind w:left="772"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432" w:hanging="529"/>
      </w:pPr>
      <w:rPr>
        <w:rFonts w:hint="default"/>
        <w:lang w:val="en-US" w:eastAsia="zh-CN" w:bidi="ar-SA"/>
      </w:rPr>
    </w:lvl>
    <w:lvl w:ilvl="2">
      <w:start w:val="0"/>
      <w:numFmt w:val="bullet"/>
      <w:lvlText w:val="•"/>
      <w:lvlJc w:val="left"/>
      <w:pPr>
        <w:ind w:left="2085" w:hanging="529"/>
      </w:pPr>
      <w:rPr>
        <w:rFonts w:hint="default"/>
        <w:lang w:val="en-US" w:eastAsia="zh-CN" w:bidi="ar-SA"/>
      </w:rPr>
    </w:lvl>
    <w:lvl w:ilvl="3">
      <w:start w:val="0"/>
      <w:numFmt w:val="bullet"/>
      <w:lvlText w:val="•"/>
      <w:lvlJc w:val="left"/>
      <w:pPr>
        <w:ind w:left="2737" w:hanging="529"/>
      </w:pPr>
      <w:rPr>
        <w:rFonts w:hint="default"/>
        <w:lang w:val="en-US" w:eastAsia="zh-CN" w:bidi="ar-SA"/>
      </w:rPr>
    </w:lvl>
    <w:lvl w:ilvl="4">
      <w:start w:val="0"/>
      <w:numFmt w:val="bullet"/>
      <w:lvlText w:val="•"/>
      <w:lvlJc w:val="left"/>
      <w:pPr>
        <w:ind w:left="3390" w:hanging="529"/>
      </w:pPr>
      <w:rPr>
        <w:rFonts w:hint="default"/>
        <w:lang w:val="en-US" w:eastAsia="zh-CN" w:bidi="ar-SA"/>
      </w:rPr>
    </w:lvl>
    <w:lvl w:ilvl="5">
      <w:start w:val="0"/>
      <w:numFmt w:val="bullet"/>
      <w:lvlText w:val="•"/>
      <w:lvlJc w:val="left"/>
      <w:pPr>
        <w:ind w:left="4042" w:hanging="529"/>
      </w:pPr>
      <w:rPr>
        <w:rFonts w:hint="default"/>
        <w:lang w:val="en-US" w:eastAsia="zh-CN" w:bidi="ar-SA"/>
      </w:rPr>
    </w:lvl>
    <w:lvl w:ilvl="6">
      <w:start w:val="0"/>
      <w:numFmt w:val="bullet"/>
      <w:lvlText w:val="•"/>
      <w:lvlJc w:val="left"/>
      <w:pPr>
        <w:ind w:left="4695" w:hanging="529"/>
      </w:pPr>
      <w:rPr>
        <w:rFonts w:hint="default"/>
        <w:lang w:val="en-US" w:eastAsia="zh-CN" w:bidi="ar-SA"/>
      </w:rPr>
    </w:lvl>
    <w:lvl w:ilvl="7">
      <w:start w:val="0"/>
      <w:numFmt w:val="bullet"/>
      <w:lvlText w:val="•"/>
      <w:lvlJc w:val="left"/>
      <w:pPr>
        <w:ind w:left="5348" w:hanging="529"/>
      </w:pPr>
      <w:rPr>
        <w:rFonts w:hint="default"/>
        <w:lang w:val="en-US" w:eastAsia="zh-CN" w:bidi="ar-SA"/>
      </w:rPr>
    </w:lvl>
    <w:lvl w:ilvl="8">
      <w:start w:val="0"/>
      <w:numFmt w:val="bullet"/>
      <w:lvlText w:val="•"/>
      <w:lvlJc w:val="left"/>
      <w:pPr>
        <w:ind w:left="6000" w:hanging="529"/>
      </w:pPr>
      <w:rPr>
        <w:rFonts w:hint="default"/>
        <w:lang w:val="en-US" w:eastAsia="zh-CN" w:bidi="ar-SA"/>
      </w:rPr>
    </w:lvl>
  </w:abstractNum>
  <w:abstractNum w:abstractNumId="73">
    <w:multiLevelType w:val="hybridMultilevel"/>
    <w:lvl w:ilvl="0">
      <w:start w:val="1"/>
      <w:numFmt w:val="decimal"/>
      <w:lvlText w:val="（%1）"/>
      <w:lvlJc w:val="left"/>
      <w:pPr>
        <w:ind w:left="243"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946" w:hanging="529"/>
      </w:pPr>
      <w:rPr>
        <w:rFonts w:hint="default"/>
        <w:lang w:val="en-US" w:eastAsia="zh-CN" w:bidi="ar-SA"/>
      </w:rPr>
    </w:lvl>
    <w:lvl w:ilvl="2">
      <w:start w:val="0"/>
      <w:numFmt w:val="bullet"/>
      <w:lvlText w:val="•"/>
      <w:lvlJc w:val="left"/>
      <w:pPr>
        <w:ind w:left="1653" w:hanging="529"/>
      </w:pPr>
      <w:rPr>
        <w:rFonts w:hint="default"/>
        <w:lang w:val="en-US" w:eastAsia="zh-CN" w:bidi="ar-SA"/>
      </w:rPr>
    </w:lvl>
    <w:lvl w:ilvl="3">
      <w:start w:val="0"/>
      <w:numFmt w:val="bullet"/>
      <w:lvlText w:val="•"/>
      <w:lvlJc w:val="left"/>
      <w:pPr>
        <w:ind w:left="2359" w:hanging="529"/>
      </w:pPr>
      <w:rPr>
        <w:rFonts w:hint="default"/>
        <w:lang w:val="en-US" w:eastAsia="zh-CN" w:bidi="ar-SA"/>
      </w:rPr>
    </w:lvl>
    <w:lvl w:ilvl="4">
      <w:start w:val="0"/>
      <w:numFmt w:val="bullet"/>
      <w:lvlText w:val="•"/>
      <w:lvlJc w:val="left"/>
      <w:pPr>
        <w:ind w:left="3066" w:hanging="529"/>
      </w:pPr>
      <w:rPr>
        <w:rFonts w:hint="default"/>
        <w:lang w:val="en-US" w:eastAsia="zh-CN" w:bidi="ar-SA"/>
      </w:rPr>
    </w:lvl>
    <w:lvl w:ilvl="5">
      <w:start w:val="0"/>
      <w:numFmt w:val="bullet"/>
      <w:lvlText w:val="•"/>
      <w:lvlJc w:val="left"/>
      <w:pPr>
        <w:ind w:left="3772" w:hanging="529"/>
      </w:pPr>
      <w:rPr>
        <w:rFonts w:hint="default"/>
        <w:lang w:val="en-US" w:eastAsia="zh-CN" w:bidi="ar-SA"/>
      </w:rPr>
    </w:lvl>
    <w:lvl w:ilvl="6">
      <w:start w:val="0"/>
      <w:numFmt w:val="bullet"/>
      <w:lvlText w:val="•"/>
      <w:lvlJc w:val="left"/>
      <w:pPr>
        <w:ind w:left="4479" w:hanging="529"/>
      </w:pPr>
      <w:rPr>
        <w:rFonts w:hint="default"/>
        <w:lang w:val="en-US" w:eastAsia="zh-CN" w:bidi="ar-SA"/>
      </w:rPr>
    </w:lvl>
    <w:lvl w:ilvl="7">
      <w:start w:val="0"/>
      <w:numFmt w:val="bullet"/>
      <w:lvlText w:val="•"/>
      <w:lvlJc w:val="left"/>
      <w:pPr>
        <w:ind w:left="5186" w:hanging="529"/>
      </w:pPr>
      <w:rPr>
        <w:rFonts w:hint="default"/>
        <w:lang w:val="en-US" w:eastAsia="zh-CN" w:bidi="ar-SA"/>
      </w:rPr>
    </w:lvl>
    <w:lvl w:ilvl="8">
      <w:start w:val="0"/>
      <w:numFmt w:val="bullet"/>
      <w:lvlText w:val="•"/>
      <w:lvlJc w:val="left"/>
      <w:pPr>
        <w:ind w:left="5892" w:hanging="529"/>
      </w:pPr>
      <w:rPr>
        <w:rFonts w:hint="default"/>
        <w:lang w:val="en-US" w:eastAsia="zh-CN" w:bidi="ar-SA"/>
      </w:rPr>
    </w:lvl>
  </w:abstractNum>
  <w:abstractNum w:abstractNumId="72">
    <w:multiLevelType w:val="hybridMultilevel"/>
    <w:lvl w:ilvl="0">
      <w:start w:val="1"/>
      <w:numFmt w:val="decimal"/>
      <w:lvlText w:val="（%1）"/>
      <w:lvlJc w:val="left"/>
      <w:pPr>
        <w:ind w:left="772"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432" w:hanging="529"/>
      </w:pPr>
      <w:rPr>
        <w:rFonts w:hint="default"/>
        <w:lang w:val="en-US" w:eastAsia="zh-CN" w:bidi="ar-SA"/>
      </w:rPr>
    </w:lvl>
    <w:lvl w:ilvl="2">
      <w:start w:val="0"/>
      <w:numFmt w:val="bullet"/>
      <w:lvlText w:val="•"/>
      <w:lvlJc w:val="left"/>
      <w:pPr>
        <w:ind w:left="2085" w:hanging="529"/>
      </w:pPr>
      <w:rPr>
        <w:rFonts w:hint="default"/>
        <w:lang w:val="en-US" w:eastAsia="zh-CN" w:bidi="ar-SA"/>
      </w:rPr>
    </w:lvl>
    <w:lvl w:ilvl="3">
      <w:start w:val="0"/>
      <w:numFmt w:val="bullet"/>
      <w:lvlText w:val="•"/>
      <w:lvlJc w:val="left"/>
      <w:pPr>
        <w:ind w:left="2737" w:hanging="529"/>
      </w:pPr>
      <w:rPr>
        <w:rFonts w:hint="default"/>
        <w:lang w:val="en-US" w:eastAsia="zh-CN" w:bidi="ar-SA"/>
      </w:rPr>
    </w:lvl>
    <w:lvl w:ilvl="4">
      <w:start w:val="0"/>
      <w:numFmt w:val="bullet"/>
      <w:lvlText w:val="•"/>
      <w:lvlJc w:val="left"/>
      <w:pPr>
        <w:ind w:left="3390" w:hanging="529"/>
      </w:pPr>
      <w:rPr>
        <w:rFonts w:hint="default"/>
        <w:lang w:val="en-US" w:eastAsia="zh-CN" w:bidi="ar-SA"/>
      </w:rPr>
    </w:lvl>
    <w:lvl w:ilvl="5">
      <w:start w:val="0"/>
      <w:numFmt w:val="bullet"/>
      <w:lvlText w:val="•"/>
      <w:lvlJc w:val="left"/>
      <w:pPr>
        <w:ind w:left="4042" w:hanging="529"/>
      </w:pPr>
      <w:rPr>
        <w:rFonts w:hint="default"/>
        <w:lang w:val="en-US" w:eastAsia="zh-CN" w:bidi="ar-SA"/>
      </w:rPr>
    </w:lvl>
    <w:lvl w:ilvl="6">
      <w:start w:val="0"/>
      <w:numFmt w:val="bullet"/>
      <w:lvlText w:val="•"/>
      <w:lvlJc w:val="left"/>
      <w:pPr>
        <w:ind w:left="4695" w:hanging="529"/>
      </w:pPr>
      <w:rPr>
        <w:rFonts w:hint="default"/>
        <w:lang w:val="en-US" w:eastAsia="zh-CN" w:bidi="ar-SA"/>
      </w:rPr>
    </w:lvl>
    <w:lvl w:ilvl="7">
      <w:start w:val="0"/>
      <w:numFmt w:val="bullet"/>
      <w:lvlText w:val="•"/>
      <w:lvlJc w:val="left"/>
      <w:pPr>
        <w:ind w:left="5348" w:hanging="529"/>
      </w:pPr>
      <w:rPr>
        <w:rFonts w:hint="default"/>
        <w:lang w:val="en-US" w:eastAsia="zh-CN" w:bidi="ar-SA"/>
      </w:rPr>
    </w:lvl>
    <w:lvl w:ilvl="8">
      <w:start w:val="0"/>
      <w:numFmt w:val="bullet"/>
      <w:lvlText w:val="•"/>
      <w:lvlJc w:val="left"/>
      <w:pPr>
        <w:ind w:left="6000" w:hanging="529"/>
      </w:pPr>
      <w:rPr>
        <w:rFonts w:hint="default"/>
        <w:lang w:val="en-US" w:eastAsia="zh-CN" w:bidi="ar-SA"/>
      </w:rPr>
    </w:lvl>
  </w:abstractNum>
  <w:abstractNum w:abstractNumId="71">
    <w:multiLevelType w:val="hybridMultilevel"/>
    <w:lvl w:ilvl="0">
      <w:start w:val="2"/>
      <w:numFmt w:val="decimal"/>
      <w:lvlText w:val="%1."/>
      <w:lvlJc w:val="left"/>
      <w:pPr>
        <w:ind w:left="1910" w:hanging="213"/>
        <w:jc w:val="left"/>
      </w:pPr>
      <w:rPr>
        <w:rFonts w:hint="default" w:ascii="Microsoft JhengHei" w:hAnsi="Microsoft JhengHei" w:eastAsia="Microsoft JhengHei" w:cs="Microsoft JhengHei"/>
        <w:b/>
        <w:bCs/>
        <w:i w:val="0"/>
        <w:iCs w:val="0"/>
        <w:w w:val="115"/>
        <w:sz w:val="19"/>
        <w:szCs w:val="19"/>
        <w:lang w:val="en-US" w:eastAsia="zh-CN" w:bidi="ar-SA"/>
      </w:rPr>
    </w:lvl>
    <w:lvl w:ilvl="1">
      <w:start w:val="0"/>
      <w:numFmt w:val="bullet"/>
      <w:lvlText w:val="•"/>
      <w:lvlJc w:val="left"/>
      <w:pPr>
        <w:ind w:left="2045" w:hanging="213"/>
      </w:pPr>
      <w:rPr>
        <w:rFonts w:hint="default"/>
        <w:lang w:val="en-US" w:eastAsia="zh-CN" w:bidi="ar-SA"/>
      </w:rPr>
    </w:lvl>
    <w:lvl w:ilvl="2">
      <w:start w:val="0"/>
      <w:numFmt w:val="bullet"/>
      <w:lvlText w:val="•"/>
      <w:lvlJc w:val="left"/>
      <w:pPr>
        <w:ind w:left="2171" w:hanging="213"/>
      </w:pPr>
      <w:rPr>
        <w:rFonts w:hint="default"/>
        <w:lang w:val="en-US" w:eastAsia="zh-CN" w:bidi="ar-SA"/>
      </w:rPr>
    </w:lvl>
    <w:lvl w:ilvl="3">
      <w:start w:val="0"/>
      <w:numFmt w:val="bullet"/>
      <w:lvlText w:val="•"/>
      <w:lvlJc w:val="left"/>
      <w:pPr>
        <w:ind w:left="2297" w:hanging="213"/>
      </w:pPr>
      <w:rPr>
        <w:rFonts w:hint="default"/>
        <w:lang w:val="en-US" w:eastAsia="zh-CN" w:bidi="ar-SA"/>
      </w:rPr>
    </w:lvl>
    <w:lvl w:ilvl="4">
      <w:start w:val="0"/>
      <w:numFmt w:val="bullet"/>
      <w:lvlText w:val="•"/>
      <w:lvlJc w:val="left"/>
      <w:pPr>
        <w:ind w:left="2423" w:hanging="213"/>
      </w:pPr>
      <w:rPr>
        <w:rFonts w:hint="default"/>
        <w:lang w:val="en-US" w:eastAsia="zh-CN" w:bidi="ar-SA"/>
      </w:rPr>
    </w:lvl>
    <w:lvl w:ilvl="5">
      <w:start w:val="0"/>
      <w:numFmt w:val="bullet"/>
      <w:lvlText w:val="•"/>
      <w:lvlJc w:val="left"/>
      <w:pPr>
        <w:ind w:left="2549" w:hanging="213"/>
      </w:pPr>
      <w:rPr>
        <w:rFonts w:hint="default"/>
        <w:lang w:val="en-US" w:eastAsia="zh-CN" w:bidi="ar-SA"/>
      </w:rPr>
    </w:lvl>
    <w:lvl w:ilvl="6">
      <w:start w:val="0"/>
      <w:numFmt w:val="bullet"/>
      <w:lvlText w:val="•"/>
      <w:lvlJc w:val="left"/>
      <w:pPr>
        <w:ind w:left="2674" w:hanging="213"/>
      </w:pPr>
      <w:rPr>
        <w:rFonts w:hint="default"/>
        <w:lang w:val="en-US" w:eastAsia="zh-CN" w:bidi="ar-SA"/>
      </w:rPr>
    </w:lvl>
    <w:lvl w:ilvl="7">
      <w:start w:val="0"/>
      <w:numFmt w:val="bullet"/>
      <w:lvlText w:val="•"/>
      <w:lvlJc w:val="left"/>
      <w:pPr>
        <w:ind w:left="2800" w:hanging="213"/>
      </w:pPr>
      <w:rPr>
        <w:rFonts w:hint="default"/>
        <w:lang w:val="en-US" w:eastAsia="zh-CN" w:bidi="ar-SA"/>
      </w:rPr>
    </w:lvl>
    <w:lvl w:ilvl="8">
      <w:start w:val="0"/>
      <w:numFmt w:val="bullet"/>
      <w:lvlText w:val="•"/>
      <w:lvlJc w:val="left"/>
      <w:pPr>
        <w:ind w:left="2926" w:hanging="213"/>
      </w:pPr>
      <w:rPr>
        <w:rFonts w:hint="default"/>
        <w:lang w:val="en-US" w:eastAsia="zh-CN" w:bidi="ar-SA"/>
      </w:rPr>
    </w:lvl>
  </w:abstractNum>
  <w:abstractNum w:abstractNumId="70">
    <w:multiLevelType w:val="hybridMultilevel"/>
    <w:lvl w:ilvl="0">
      <w:start w:val="1"/>
      <w:numFmt w:val="decimal"/>
      <w:lvlText w:val="（%1）"/>
      <w:lvlJc w:val="left"/>
      <w:pPr>
        <w:ind w:left="3991"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4000" w:hanging="529"/>
      </w:pPr>
      <w:rPr>
        <w:rFonts w:hint="default"/>
        <w:lang w:val="en-US" w:eastAsia="zh-CN" w:bidi="ar-SA"/>
      </w:rPr>
    </w:lvl>
    <w:lvl w:ilvl="2">
      <w:start w:val="0"/>
      <w:numFmt w:val="bullet"/>
      <w:lvlText w:val="•"/>
      <w:lvlJc w:val="left"/>
      <w:pPr>
        <w:ind w:left="4724" w:hanging="529"/>
      </w:pPr>
      <w:rPr>
        <w:rFonts w:hint="default"/>
        <w:lang w:val="en-US" w:eastAsia="zh-CN" w:bidi="ar-SA"/>
      </w:rPr>
    </w:lvl>
    <w:lvl w:ilvl="3">
      <w:start w:val="0"/>
      <w:numFmt w:val="bullet"/>
      <w:lvlText w:val="•"/>
      <w:lvlJc w:val="left"/>
      <w:pPr>
        <w:ind w:left="5449" w:hanging="529"/>
      </w:pPr>
      <w:rPr>
        <w:rFonts w:hint="default"/>
        <w:lang w:val="en-US" w:eastAsia="zh-CN" w:bidi="ar-SA"/>
      </w:rPr>
    </w:lvl>
    <w:lvl w:ilvl="4">
      <w:start w:val="0"/>
      <w:numFmt w:val="bullet"/>
      <w:lvlText w:val="•"/>
      <w:lvlJc w:val="left"/>
      <w:pPr>
        <w:ind w:left="6174" w:hanging="529"/>
      </w:pPr>
      <w:rPr>
        <w:rFonts w:hint="default"/>
        <w:lang w:val="en-US" w:eastAsia="zh-CN" w:bidi="ar-SA"/>
      </w:rPr>
    </w:lvl>
    <w:lvl w:ilvl="5">
      <w:start w:val="0"/>
      <w:numFmt w:val="bullet"/>
      <w:lvlText w:val="•"/>
      <w:lvlJc w:val="left"/>
      <w:pPr>
        <w:ind w:left="6899" w:hanging="529"/>
      </w:pPr>
      <w:rPr>
        <w:rFonts w:hint="default"/>
        <w:lang w:val="en-US" w:eastAsia="zh-CN" w:bidi="ar-SA"/>
      </w:rPr>
    </w:lvl>
    <w:lvl w:ilvl="6">
      <w:start w:val="0"/>
      <w:numFmt w:val="bullet"/>
      <w:lvlText w:val="•"/>
      <w:lvlJc w:val="left"/>
      <w:pPr>
        <w:ind w:left="7624" w:hanging="529"/>
      </w:pPr>
      <w:rPr>
        <w:rFonts w:hint="default"/>
        <w:lang w:val="en-US" w:eastAsia="zh-CN" w:bidi="ar-SA"/>
      </w:rPr>
    </w:lvl>
    <w:lvl w:ilvl="7">
      <w:start w:val="0"/>
      <w:numFmt w:val="bullet"/>
      <w:lvlText w:val="•"/>
      <w:lvlJc w:val="left"/>
      <w:pPr>
        <w:ind w:left="8349" w:hanging="529"/>
      </w:pPr>
      <w:rPr>
        <w:rFonts w:hint="default"/>
        <w:lang w:val="en-US" w:eastAsia="zh-CN" w:bidi="ar-SA"/>
      </w:rPr>
    </w:lvl>
    <w:lvl w:ilvl="8">
      <w:start w:val="0"/>
      <w:numFmt w:val="bullet"/>
      <w:lvlText w:val="•"/>
      <w:lvlJc w:val="left"/>
      <w:pPr>
        <w:ind w:left="9074" w:hanging="529"/>
      </w:pPr>
      <w:rPr>
        <w:rFonts w:hint="default"/>
        <w:lang w:val="en-US" w:eastAsia="zh-CN" w:bidi="ar-SA"/>
      </w:rPr>
    </w:lvl>
  </w:abstractNum>
  <w:abstractNum w:abstractNumId="69">
    <w:multiLevelType w:val="hybridMultilevel"/>
    <w:lvl w:ilvl="0">
      <w:start w:val="1"/>
      <w:numFmt w:val="decimal"/>
      <w:lvlText w:val="（%1）"/>
      <w:lvlJc w:val="left"/>
      <w:pPr>
        <w:ind w:left="582"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093" w:hanging="529"/>
      </w:pPr>
      <w:rPr>
        <w:rFonts w:hint="default"/>
        <w:lang w:val="en-US" w:eastAsia="zh-CN" w:bidi="ar-SA"/>
      </w:rPr>
    </w:lvl>
    <w:lvl w:ilvl="2">
      <w:start w:val="0"/>
      <w:numFmt w:val="bullet"/>
      <w:lvlText w:val="•"/>
      <w:lvlJc w:val="left"/>
      <w:pPr>
        <w:ind w:left="1607" w:hanging="529"/>
      </w:pPr>
      <w:rPr>
        <w:rFonts w:hint="default"/>
        <w:lang w:val="en-US" w:eastAsia="zh-CN" w:bidi="ar-SA"/>
      </w:rPr>
    </w:lvl>
    <w:lvl w:ilvl="3">
      <w:start w:val="0"/>
      <w:numFmt w:val="bullet"/>
      <w:lvlText w:val="•"/>
      <w:lvlJc w:val="left"/>
      <w:pPr>
        <w:ind w:left="2121" w:hanging="529"/>
      </w:pPr>
      <w:rPr>
        <w:rFonts w:hint="default"/>
        <w:lang w:val="en-US" w:eastAsia="zh-CN" w:bidi="ar-SA"/>
      </w:rPr>
    </w:lvl>
    <w:lvl w:ilvl="4">
      <w:start w:val="0"/>
      <w:numFmt w:val="bullet"/>
      <w:lvlText w:val="•"/>
      <w:lvlJc w:val="left"/>
      <w:pPr>
        <w:ind w:left="2635" w:hanging="529"/>
      </w:pPr>
      <w:rPr>
        <w:rFonts w:hint="default"/>
        <w:lang w:val="en-US" w:eastAsia="zh-CN" w:bidi="ar-SA"/>
      </w:rPr>
    </w:lvl>
    <w:lvl w:ilvl="5">
      <w:start w:val="0"/>
      <w:numFmt w:val="bullet"/>
      <w:lvlText w:val="•"/>
      <w:lvlJc w:val="left"/>
      <w:pPr>
        <w:ind w:left="3149" w:hanging="529"/>
      </w:pPr>
      <w:rPr>
        <w:rFonts w:hint="default"/>
        <w:lang w:val="en-US" w:eastAsia="zh-CN" w:bidi="ar-SA"/>
      </w:rPr>
    </w:lvl>
    <w:lvl w:ilvl="6">
      <w:start w:val="0"/>
      <w:numFmt w:val="bullet"/>
      <w:lvlText w:val="•"/>
      <w:lvlJc w:val="left"/>
      <w:pPr>
        <w:ind w:left="3663" w:hanging="529"/>
      </w:pPr>
      <w:rPr>
        <w:rFonts w:hint="default"/>
        <w:lang w:val="en-US" w:eastAsia="zh-CN" w:bidi="ar-SA"/>
      </w:rPr>
    </w:lvl>
    <w:lvl w:ilvl="7">
      <w:start w:val="0"/>
      <w:numFmt w:val="bullet"/>
      <w:lvlText w:val="•"/>
      <w:lvlJc w:val="left"/>
      <w:pPr>
        <w:ind w:left="4177" w:hanging="529"/>
      </w:pPr>
      <w:rPr>
        <w:rFonts w:hint="default"/>
        <w:lang w:val="en-US" w:eastAsia="zh-CN" w:bidi="ar-SA"/>
      </w:rPr>
    </w:lvl>
    <w:lvl w:ilvl="8">
      <w:start w:val="0"/>
      <w:numFmt w:val="bullet"/>
      <w:lvlText w:val="•"/>
      <w:lvlJc w:val="left"/>
      <w:pPr>
        <w:ind w:left="4691" w:hanging="529"/>
      </w:pPr>
      <w:rPr>
        <w:rFonts w:hint="default"/>
        <w:lang w:val="en-US" w:eastAsia="zh-CN" w:bidi="ar-SA"/>
      </w:rPr>
    </w:lvl>
  </w:abstractNum>
  <w:abstractNum w:abstractNumId="68">
    <w:multiLevelType w:val="hybridMultilevel"/>
    <w:lvl w:ilvl="0">
      <w:start w:val="1"/>
      <w:numFmt w:val="decimal"/>
      <w:lvlText w:val="（%1）"/>
      <w:lvlJc w:val="left"/>
      <w:pPr>
        <w:ind w:left="773" w:hanging="529"/>
        <w:jc w:val="left"/>
      </w:pPr>
      <w:rPr>
        <w:rFonts w:hint="default" w:ascii="宋体" w:hAnsi="宋体" w:eastAsia="宋体" w:cs="宋体"/>
        <w:b w:val="0"/>
        <w:bCs w:val="0"/>
        <w:i w:val="0"/>
        <w:iCs w:val="0"/>
        <w:w w:val="100"/>
        <w:sz w:val="19"/>
        <w:szCs w:val="19"/>
        <w:lang w:val="en-US" w:eastAsia="zh-CN" w:bidi="ar-SA"/>
      </w:rPr>
    </w:lvl>
    <w:lvl w:ilvl="1">
      <w:start w:val="1"/>
      <w:numFmt w:val="decimal"/>
      <w:lvlText w:val="（%2）"/>
      <w:lvlJc w:val="left"/>
      <w:pPr>
        <w:ind w:left="349" w:hanging="529"/>
        <w:jc w:val="left"/>
      </w:pPr>
      <w:rPr>
        <w:rFonts w:hint="default" w:ascii="宋体" w:hAnsi="宋体" w:eastAsia="宋体" w:cs="宋体"/>
        <w:b w:val="0"/>
        <w:bCs w:val="0"/>
        <w:i w:val="0"/>
        <w:iCs w:val="0"/>
        <w:w w:val="100"/>
        <w:sz w:val="19"/>
        <w:szCs w:val="19"/>
        <w:lang w:val="en-US" w:eastAsia="zh-CN" w:bidi="ar-SA"/>
      </w:rPr>
    </w:lvl>
    <w:lvl w:ilvl="2">
      <w:start w:val="0"/>
      <w:numFmt w:val="bullet"/>
      <w:lvlText w:val="•"/>
      <w:lvlJc w:val="left"/>
      <w:pPr>
        <w:ind w:left="1505" w:hanging="529"/>
      </w:pPr>
      <w:rPr>
        <w:rFonts w:hint="default"/>
        <w:lang w:val="en-US" w:eastAsia="zh-CN" w:bidi="ar-SA"/>
      </w:rPr>
    </w:lvl>
    <w:lvl w:ilvl="3">
      <w:start w:val="0"/>
      <w:numFmt w:val="bullet"/>
      <w:lvlText w:val="•"/>
      <w:lvlJc w:val="left"/>
      <w:pPr>
        <w:ind w:left="2230" w:hanging="529"/>
      </w:pPr>
      <w:rPr>
        <w:rFonts w:hint="default"/>
        <w:lang w:val="en-US" w:eastAsia="zh-CN" w:bidi="ar-SA"/>
      </w:rPr>
    </w:lvl>
    <w:lvl w:ilvl="4">
      <w:start w:val="0"/>
      <w:numFmt w:val="bullet"/>
      <w:lvlText w:val="•"/>
      <w:lvlJc w:val="left"/>
      <w:pPr>
        <w:ind w:left="2955" w:hanging="529"/>
      </w:pPr>
      <w:rPr>
        <w:rFonts w:hint="default"/>
        <w:lang w:val="en-US" w:eastAsia="zh-CN" w:bidi="ar-SA"/>
      </w:rPr>
    </w:lvl>
    <w:lvl w:ilvl="5">
      <w:start w:val="0"/>
      <w:numFmt w:val="bullet"/>
      <w:lvlText w:val="•"/>
      <w:lvlJc w:val="left"/>
      <w:pPr>
        <w:ind w:left="3680" w:hanging="529"/>
      </w:pPr>
      <w:rPr>
        <w:rFonts w:hint="default"/>
        <w:lang w:val="en-US" w:eastAsia="zh-CN" w:bidi="ar-SA"/>
      </w:rPr>
    </w:lvl>
    <w:lvl w:ilvl="6">
      <w:start w:val="0"/>
      <w:numFmt w:val="bullet"/>
      <w:lvlText w:val="•"/>
      <w:lvlJc w:val="left"/>
      <w:pPr>
        <w:ind w:left="4405" w:hanging="529"/>
      </w:pPr>
      <w:rPr>
        <w:rFonts w:hint="default"/>
        <w:lang w:val="en-US" w:eastAsia="zh-CN" w:bidi="ar-SA"/>
      </w:rPr>
    </w:lvl>
    <w:lvl w:ilvl="7">
      <w:start w:val="0"/>
      <w:numFmt w:val="bullet"/>
      <w:lvlText w:val="•"/>
      <w:lvlJc w:val="left"/>
      <w:pPr>
        <w:ind w:left="5130" w:hanging="529"/>
      </w:pPr>
      <w:rPr>
        <w:rFonts w:hint="default"/>
        <w:lang w:val="en-US" w:eastAsia="zh-CN" w:bidi="ar-SA"/>
      </w:rPr>
    </w:lvl>
    <w:lvl w:ilvl="8">
      <w:start w:val="0"/>
      <w:numFmt w:val="bullet"/>
      <w:lvlText w:val="•"/>
      <w:lvlJc w:val="left"/>
      <w:pPr>
        <w:ind w:left="5855" w:hanging="529"/>
      </w:pPr>
      <w:rPr>
        <w:rFonts w:hint="default"/>
        <w:lang w:val="en-US" w:eastAsia="zh-CN" w:bidi="ar-SA"/>
      </w:rPr>
    </w:lvl>
  </w:abstractNum>
  <w:abstractNum w:abstractNumId="67">
    <w:multiLevelType w:val="hybridMultilevel"/>
    <w:lvl w:ilvl="0">
      <w:start w:val="1"/>
      <w:numFmt w:val="decimal"/>
      <w:lvlText w:val="（%1）"/>
      <w:lvlJc w:val="left"/>
      <w:pPr>
        <w:ind w:left="3991"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4652" w:hanging="529"/>
      </w:pPr>
      <w:rPr>
        <w:rFonts w:hint="default"/>
        <w:lang w:val="en-US" w:eastAsia="zh-CN" w:bidi="ar-SA"/>
      </w:rPr>
    </w:lvl>
    <w:lvl w:ilvl="2">
      <w:start w:val="0"/>
      <w:numFmt w:val="bullet"/>
      <w:lvlText w:val="•"/>
      <w:lvlJc w:val="left"/>
      <w:pPr>
        <w:ind w:left="5304" w:hanging="529"/>
      </w:pPr>
      <w:rPr>
        <w:rFonts w:hint="default"/>
        <w:lang w:val="en-US" w:eastAsia="zh-CN" w:bidi="ar-SA"/>
      </w:rPr>
    </w:lvl>
    <w:lvl w:ilvl="3">
      <w:start w:val="0"/>
      <w:numFmt w:val="bullet"/>
      <w:lvlText w:val="•"/>
      <w:lvlJc w:val="left"/>
      <w:pPr>
        <w:ind w:left="5957" w:hanging="529"/>
      </w:pPr>
      <w:rPr>
        <w:rFonts w:hint="default"/>
        <w:lang w:val="en-US" w:eastAsia="zh-CN" w:bidi="ar-SA"/>
      </w:rPr>
    </w:lvl>
    <w:lvl w:ilvl="4">
      <w:start w:val="0"/>
      <w:numFmt w:val="bullet"/>
      <w:lvlText w:val="•"/>
      <w:lvlJc w:val="left"/>
      <w:pPr>
        <w:ind w:left="6609" w:hanging="529"/>
      </w:pPr>
      <w:rPr>
        <w:rFonts w:hint="default"/>
        <w:lang w:val="en-US" w:eastAsia="zh-CN" w:bidi="ar-SA"/>
      </w:rPr>
    </w:lvl>
    <w:lvl w:ilvl="5">
      <w:start w:val="0"/>
      <w:numFmt w:val="bullet"/>
      <w:lvlText w:val="•"/>
      <w:lvlJc w:val="left"/>
      <w:pPr>
        <w:ind w:left="7262" w:hanging="529"/>
      </w:pPr>
      <w:rPr>
        <w:rFonts w:hint="default"/>
        <w:lang w:val="en-US" w:eastAsia="zh-CN" w:bidi="ar-SA"/>
      </w:rPr>
    </w:lvl>
    <w:lvl w:ilvl="6">
      <w:start w:val="0"/>
      <w:numFmt w:val="bullet"/>
      <w:lvlText w:val="•"/>
      <w:lvlJc w:val="left"/>
      <w:pPr>
        <w:ind w:left="7914" w:hanging="529"/>
      </w:pPr>
      <w:rPr>
        <w:rFonts w:hint="default"/>
        <w:lang w:val="en-US" w:eastAsia="zh-CN" w:bidi="ar-SA"/>
      </w:rPr>
    </w:lvl>
    <w:lvl w:ilvl="7">
      <w:start w:val="0"/>
      <w:numFmt w:val="bullet"/>
      <w:lvlText w:val="•"/>
      <w:lvlJc w:val="left"/>
      <w:pPr>
        <w:ind w:left="8566" w:hanging="529"/>
      </w:pPr>
      <w:rPr>
        <w:rFonts w:hint="default"/>
        <w:lang w:val="en-US" w:eastAsia="zh-CN" w:bidi="ar-SA"/>
      </w:rPr>
    </w:lvl>
    <w:lvl w:ilvl="8">
      <w:start w:val="0"/>
      <w:numFmt w:val="bullet"/>
      <w:lvlText w:val="•"/>
      <w:lvlJc w:val="left"/>
      <w:pPr>
        <w:ind w:left="9219" w:hanging="529"/>
      </w:pPr>
      <w:rPr>
        <w:rFonts w:hint="default"/>
        <w:lang w:val="en-US" w:eastAsia="zh-CN" w:bidi="ar-SA"/>
      </w:rPr>
    </w:lvl>
  </w:abstractNum>
  <w:abstractNum w:abstractNumId="66">
    <w:multiLevelType w:val="hybridMultilevel"/>
    <w:lvl w:ilvl="0">
      <w:start w:val="1"/>
      <w:numFmt w:val="decimal"/>
      <w:lvlText w:val="（%1）"/>
      <w:lvlJc w:val="left"/>
      <w:pPr>
        <w:ind w:left="3991"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4652" w:hanging="529"/>
      </w:pPr>
      <w:rPr>
        <w:rFonts w:hint="default"/>
        <w:lang w:val="en-US" w:eastAsia="zh-CN" w:bidi="ar-SA"/>
      </w:rPr>
    </w:lvl>
    <w:lvl w:ilvl="2">
      <w:start w:val="0"/>
      <w:numFmt w:val="bullet"/>
      <w:lvlText w:val="•"/>
      <w:lvlJc w:val="left"/>
      <w:pPr>
        <w:ind w:left="5304" w:hanging="529"/>
      </w:pPr>
      <w:rPr>
        <w:rFonts w:hint="default"/>
        <w:lang w:val="en-US" w:eastAsia="zh-CN" w:bidi="ar-SA"/>
      </w:rPr>
    </w:lvl>
    <w:lvl w:ilvl="3">
      <w:start w:val="0"/>
      <w:numFmt w:val="bullet"/>
      <w:lvlText w:val="•"/>
      <w:lvlJc w:val="left"/>
      <w:pPr>
        <w:ind w:left="5957" w:hanging="529"/>
      </w:pPr>
      <w:rPr>
        <w:rFonts w:hint="default"/>
        <w:lang w:val="en-US" w:eastAsia="zh-CN" w:bidi="ar-SA"/>
      </w:rPr>
    </w:lvl>
    <w:lvl w:ilvl="4">
      <w:start w:val="0"/>
      <w:numFmt w:val="bullet"/>
      <w:lvlText w:val="•"/>
      <w:lvlJc w:val="left"/>
      <w:pPr>
        <w:ind w:left="6609" w:hanging="529"/>
      </w:pPr>
      <w:rPr>
        <w:rFonts w:hint="default"/>
        <w:lang w:val="en-US" w:eastAsia="zh-CN" w:bidi="ar-SA"/>
      </w:rPr>
    </w:lvl>
    <w:lvl w:ilvl="5">
      <w:start w:val="0"/>
      <w:numFmt w:val="bullet"/>
      <w:lvlText w:val="•"/>
      <w:lvlJc w:val="left"/>
      <w:pPr>
        <w:ind w:left="7262" w:hanging="529"/>
      </w:pPr>
      <w:rPr>
        <w:rFonts w:hint="default"/>
        <w:lang w:val="en-US" w:eastAsia="zh-CN" w:bidi="ar-SA"/>
      </w:rPr>
    </w:lvl>
    <w:lvl w:ilvl="6">
      <w:start w:val="0"/>
      <w:numFmt w:val="bullet"/>
      <w:lvlText w:val="•"/>
      <w:lvlJc w:val="left"/>
      <w:pPr>
        <w:ind w:left="7914" w:hanging="529"/>
      </w:pPr>
      <w:rPr>
        <w:rFonts w:hint="default"/>
        <w:lang w:val="en-US" w:eastAsia="zh-CN" w:bidi="ar-SA"/>
      </w:rPr>
    </w:lvl>
    <w:lvl w:ilvl="7">
      <w:start w:val="0"/>
      <w:numFmt w:val="bullet"/>
      <w:lvlText w:val="•"/>
      <w:lvlJc w:val="left"/>
      <w:pPr>
        <w:ind w:left="8566" w:hanging="529"/>
      </w:pPr>
      <w:rPr>
        <w:rFonts w:hint="default"/>
        <w:lang w:val="en-US" w:eastAsia="zh-CN" w:bidi="ar-SA"/>
      </w:rPr>
    </w:lvl>
    <w:lvl w:ilvl="8">
      <w:start w:val="0"/>
      <w:numFmt w:val="bullet"/>
      <w:lvlText w:val="•"/>
      <w:lvlJc w:val="left"/>
      <w:pPr>
        <w:ind w:left="9219" w:hanging="529"/>
      </w:pPr>
      <w:rPr>
        <w:rFonts w:hint="default"/>
        <w:lang w:val="en-US" w:eastAsia="zh-CN" w:bidi="ar-SA"/>
      </w:rPr>
    </w:lvl>
  </w:abstractNum>
  <w:abstractNum w:abstractNumId="65">
    <w:multiLevelType w:val="hybridMultilevel"/>
    <w:lvl w:ilvl="0">
      <w:start w:val="1"/>
      <w:numFmt w:val="decimal"/>
      <w:lvlText w:val="（%1）"/>
      <w:lvlJc w:val="left"/>
      <w:pPr>
        <w:ind w:left="772" w:hanging="529"/>
        <w:jc w:val="left"/>
      </w:pPr>
      <w:rPr>
        <w:rFonts w:hint="default" w:ascii="宋体" w:hAnsi="宋体" w:eastAsia="宋体" w:cs="宋体"/>
        <w:b w:val="0"/>
        <w:bCs w:val="0"/>
        <w:i w:val="0"/>
        <w:iCs w:val="0"/>
        <w:w w:val="100"/>
        <w:sz w:val="19"/>
        <w:szCs w:val="19"/>
        <w:lang w:val="en-US" w:eastAsia="zh-CN" w:bidi="ar-SA"/>
      </w:rPr>
    </w:lvl>
    <w:lvl w:ilvl="1">
      <w:start w:val="1"/>
      <w:numFmt w:val="decimal"/>
      <w:lvlText w:val="（%2）"/>
      <w:lvlJc w:val="left"/>
      <w:pPr>
        <w:ind w:left="878" w:hanging="529"/>
        <w:jc w:val="left"/>
      </w:pPr>
      <w:rPr>
        <w:rFonts w:hint="default" w:ascii="宋体" w:hAnsi="宋体" w:eastAsia="宋体" w:cs="宋体"/>
        <w:b w:val="0"/>
        <w:bCs w:val="0"/>
        <w:i w:val="0"/>
        <w:iCs w:val="0"/>
        <w:w w:val="100"/>
        <w:sz w:val="19"/>
        <w:szCs w:val="19"/>
        <w:lang w:val="en-US" w:eastAsia="zh-CN" w:bidi="ar-SA"/>
      </w:rPr>
    </w:lvl>
    <w:lvl w:ilvl="2">
      <w:start w:val="0"/>
      <w:numFmt w:val="bullet"/>
      <w:lvlText w:val="•"/>
      <w:lvlJc w:val="left"/>
      <w:pPr>
        <w:ind w:left="1593" w:hanging="529"/>
      </w:pPr>
      <w:rPr>
        <w:rFonts w:hint="default"/>
        <w:lang w:val="en-US" w:eastAsia="zh-CN" w:bidi="ar-SA"/>
      </w:rPr>
    </w:lvl>
    <w:lvl w:ilvl="3">
      <w:start w:val="0"/>
      <w:numFmt w:val="bullet"/>
      <w:lvlText w:val="•"/>
      <w:lvlJc w:val="left"/>
      <w:pPr>
        <w:ind w:left="2307" w:hanging="529"/>
      </w:pPr>
      <w:rPr>
        <w:rFonts w:hint="default"/>
        <w:lang w:val="en-US" w:eastAsia="zh-CN" w:bidi="ar-SA"/>
      </w:rPr>
    </w:lvl>
    <w:lvl w:ilvl="4">
      <w:start w:val="0"/>
      <w:numFmt w:val="bullet"/>
      <w:lvlText w:val="•"/>
      <w:lvlJc w:val="left"/>
      <w:pPr>
        <w:ind w:left="3021" w:hanging="529"/>
      </w:pPr>
      <w:rPr>
        <w:rFonts w:hint="default"/>
        <w:lang w:val="en-US" w:eastAsia="zh-CN" w:bidi="ar-SA"/>
      </w:rPr>
    </w:lvl>
    <w:lvl w:ilvl="5">
      <w:start w:val="0"/>
      <w:numFmt w:val="bullet"/>
      <w:lvlText w:val="•"/>
      <w:lvlJc w:val="left"/>
      <w:pPr>
        <w:ind w:left="3735" w:hanging="529"/>
      </w:pPr>
      <w:rPr>
        <w:rFonts w:hint="default"/>
        <w:lang w:val="en-US" w:eastAsia="zh-CN" w:bidi="ar-SA"/>
      </w:rPr>
    </w:lvl>
    <w:lvl w:ilvl="6">
      <w:start w:val="0"/>
      <w:numFmt w:val="bullet"/>
      <w:lvlText w:val="•"/>
      <w:lvlJc w:val="left"/>
      <w:pPr>
        <w:ind w:left="4449" w:hanging="529"/>
      </w:pPr>
      <w:rPr>
        <w:rFonts w:hint="default"/>
        <w:lang w:val="en-US" w:eastAsia="zh-CN" w:bidi="ar-SA"/>
      </w:rPr>
    </w:lvl>
    <w:lvl w:ilvl="7">
      <w:start w:val="0"/>
      <w:numFmt w:val="bullet"/>
      <w:lvlText w:val="•"/>
      <w:lvlJc w:val="left"/>
      <w:pPr>
        <w:ind w:left="5163" w:hanging="529"/>
      </w:pPr>
      <w:rPr>
        <w:rFonts w:hint="default"/>
        <w:lang w:val="en-US" w:eastAsia="zh-CN" w:bidi="ar-SA"/>
      </w:rPr>
    </w:lvl>
    <w:lvl w:ilvl="8">
      <w:start w:val="0"/>
      <w:numFmt w:val="bullet"/>
      <w:lvlText w:val="•"/>
      <w:lvlJc w:val="left"/>
      <w:pPr>
        <w:ind w:left="5877" w:hanging="529"/>
      </w:pPr>
      <w:rPr>
        <w:rFonts w:hint="default"/>
        <w:lang w:val="en-US" w:eastAsia="zh-CN" w:bidi="ar-SA"/>
      </w:rPr>
    </w:lvl>
  </w:abstractNum>
  <w:abstractNum w:abstractNumId="64">
    <w:multiLevelType w:val="hybridMultilevel"/>
    <w:lvl w:ilvl="0">
      <w:start w:val="1"/>
      <w:numFmt w:val="decimal"/>
      <w:lvlText w:val="（%1）"/>
      <w:lvlJc w:val="left"/>
      <w:pPr>
        <w:ind w:left="344" w:hanging="539"/>
        <w:jc w:val="left"/>
      </w:pPr>
      <w:rPr>
        <w:rFonts w:hint="default" w:ascii="宋体" w:hAnsi="宋体" w:eastAsia="宋体" w:cs="宋体"/>
        <w:b w:val="0"/>
        <w:bCs w:val="0"/>
        <w:i w:val="0"/>
        <w:iCs w:val="0"/>
        <w:spacing w:val="0"/>
        <w:w w:val="100"/>
        <w:sz w:val="19"/>
        <w:szCs w:val="19"/>
        <w:lang w:val="en-US" w:eastAsia="zh-CN" w:bidi="ar-SA"/>
      </w:rPr>
    </w:lvl>
    <w:lvl w:ilvl="1">
      <w:start w:val="0"/>
      <w:numFmt w:val="bullet"/>
      <w:lvlText w:val="•"/>
      <w:lvlJc w:val="left"/>
      <w:pPr>
        <w:ind w:left="1036" w:hanging="539"/>
      </w:pPr>
      <w:rPr>
        <w:rFonts w:hint="default"/>
        <w:lang w:val="en-US" w:eastAsia="zh-CN" w:bidi="ar-SA"/>
      </w:rPr>
    </w:lvl>
    <w:lvl w:ilvl="2">
      <w:start w:val="0"/>
      <w:numFmt w:val="bullet"/>
      <w:lvlText w:val="•"/>
      <w:lvlJc w:val="left"/>
      <w:pPr>
        <w:ind w:left="1733" w:hanging="539"/>
      </w:pPr>
      <w:rPr>
        <w:rFonts w:hint="default"/>
        <w:lang w:val="en-US" w:eastAsia="zh-CN" w:bidi="ar-SA"/>
      </w:rPr>
    </w:lvl>
    <w:lvl w:ilvl="3">
      <w:start w:val="0"/>
      <w:numFmt w:val="bullet"/>
      <w:lvlText w:val="•"/>
      <w:lvlJc w:val="left"/>
      <w:pPr>
        <w:ind w:left="2429" w:hanging="539"/>
      </w:pPr>
      <w:rPr>
        <w:rFonts w:hint="default"/>
        <w:lang w:val="en-US" w:eastAsia="zh-CN" w:bidi="ar-SA"/>
      </w:rPr>
    </w:lvl>
    <w:lvl w:ilvl="4">
      <w:start w:val="0"/>
      <w:numFmt w:val="bullet"/>
      <w:lvlText w:val="•"/>
      <w:lvlJc w:val="left"/>
      <w:pPr>
        <w:ind w:left="3126" w:hanging="539"/>
      </w:pPr>
      <w:rPr>
        <w:rFonts w:hint="default"/>
        <w:lang w:val="en-US" w:eastAsia="zh-CN" w:bidi="ar-SA"/>
      </w:rPr>
    </w:lvl>
    <w:lvl w:ilvl="5">
      <w:start w:val="0"/>
      <w:numFmt w:val="bullet"/>
      <w:lvlText w:val="•"/>
      <w:lvlJc w:val="left"/>
      <w:pPr>
        <w:ind w:left="3822" w:hanging="539"/>
      </w:pPr>
      <w:rPr>
        <w:rFonts w:hint="default"/>
        <w:lang w:val="en-US" w:eastAsia="zh-CN" w:bidi="ar-SA"/>
      </w:rPr>
    </w:lvl>
    <w:lvl w:ilvl="6">
      <w:start w:val="0"/>
      <w:numFmt w:val="bullet"/>
      <w:lvlText w:val="•"/>
      <w:lvlJc w:val="left"/>
      <w:pPr>
        <w:ind w:left="4519" w:hanging="539"/>
      </w:pPr>
      <w:rPr>
        <w:rFonts w:hint="default"/>
        <w:lang w:val="en-US" w:eastAsia="zh-CN" w:bidi="ar-SA"/>
      </w:rPr>
    </w:lvl>
    <w:lvl w:ilvl="7">
      <w:start w:val="0"/>
      <w:numFmt w:val="bullet"/>
      <w:lvlText w:val="•"/>
      <w:lvlJc w:val="left"/>
      <w:pPr>
        <w:ind w:left="5216" w:hanging="539"/>
      </w:pPr>
      <w:rPr>
        <w:rFonts w:hint="default"/>
        <w:lang w:val="en-US" w:eastAsia="zh-CN" w:bidi="ar-SA"/>
      </w:rPr>
    </w:lvl>
    <w:lvl w:ilvl="8">
      <w:start w:val="0"/>
      <w:numFmt w:val="bullet"/>
      <w:lvlText w:val="•"/>
      <w:lvlJc w:val="left"/>
      <w:pPr>
        <w:ind w:left="5912" w:hanging="539"/>
      </w:pPr>
      <w:rPr>
        <w:rFonts w:hint="default"/>
        <w:lang w:val="en-US" w:eastAsia="zh-CN" w:bidi="ar-SA"/>
      </w:rPr>
    </w:lvl>
  </w:abstractNum>
  <w:abstractNum w:abstractNumId="63">
    <w:multiLevelType w:val="hybridMultilevel"/>
    <w:lvl w:ilvl="0">
      <w:start w:val="1"/>
      <w:numFmt w:val="decimal"/>
      <w:lvlText w:val="（%1）"/>
      <w:lvlJc w:val="left"/>
      <w:pPr>
        <w:ind w:left="772" w:hanging="529"/>
        <w:jc w:val="left"/>
      </w:pPr>
      <w:rPr>
        <w:rFonts w:hint="default" w:ascii="宋体" w:hAnsi="宋体" w:eastAsia="宋体" w:cs="宋体"/>
        <w:b w:val="0"/>
        <w:bCs w:val="0"/>
        <w:i w:val="0"/>
        <w:iCs w:val="0"/>
        <w:w w:val="100"/>
        <w:sz w:val="19"/>
        <w:szCs w:val="19"/>
        <w:lang w:val="en-US" w:eastAsia="zh-CN" w:bidi="ar-SA"/>
      </w:rPr>
    </w:lvl>
    <w:lvl w:ilvl="1">
      <w:start w:val="2"/>
      <w:numFmt w:val="decimal"/>
      <w:lvlText w:val="（%2）"/>
      <w:lvlJc w:val="left"/>
      <w:pPr>
        <w:ind w:left="3991" w:hanging="529"/>
        <w:jc w:val="left"/>
      </w:pPr>
      <w:rPr>
        <w:rFonts w:hint="default" w:ascii="宋体" w:hAnsi="宋体" w:eastAsia="宋体" w:cs="宋体"/>
        <w:b w:val="0"/>
        <w:bCs w:val="0"/>
        <w:i w:val="0"/>
        <w:iCs w:val="0"/>
        <w:w w:val="100"/>
        <w:sz w:val="19"/>
        <w:szCs w:val="19"/>
        <w:lang w:val="en-US" w:eastAsia="zh-CN" w:bidi="ar-SA"/>
      </w:rPr>
    </w:lvl>
    <w:lvl w:ilvl="2">
      <w:start w:val="0"/>
      <w:numFmt w:val="bullet"/>
      <w:lvlText w:val="•"/>
      <w:lvlJc w:val="left"/>
      <w:pPr>
        <w:ind w:left="4367" w:hanging="529"/>
      </w:pPr>
      <w:rPr>
        <w:rFonts w:hint="default"/>
        <w:lang w:val="en-US" w:eastAsia="zh-CN" w:bidi="ar-SA"/>
      </w:rPr>
    </w:lvl>
    <w:lvl w:ilvl="3">
      <w:start w:val="0"/>
      <w:numFmt w:val="bullet"/>
      <w:lvlText w:val="•"/>
      <w:lvlJc w:val="left"/>
      <w:pPr>
        <w:ind w:left="4734" w:hanging="529"/>
      </w:pPr>
      <w:rPr>
        <w:rFonts w:hint="default"/>
        <w:lang w:val="en-US" w:eastAsia="zh-CN" w:bidi="ar-SA"/>
      </w:rPr>
    </w:lvl>
    <w:lvl w:ilvl="4">
      <w:start w:val="0"/>
      <w:numFmt w:val="bullet"/>
      <w:lvlText w:val="•"/>
      <w:lvlJc w:val="left"/>
      <w:pPr>
        <w:ind w:left="5101" w:hanging="529"/>
      </w:pPr>
      <w:rPr>
        <w:rFonts w:hint="default"/>
        <w:lang w:val="en-US" w:eastAsia="zh-CN" w:bidi="ar-SA"/>
      </w:rPr>
    </w:lvl>
    <w:lvl w:ilvl="5">
      <w:start w:val="0"/>
      <w:numFmt w:val="bullet"/>
      <w:lvlText w:val="•"/>
      <w:lvlJc w:val="left"/>
      <w:pPr>
        <w:ind w:left="5469" w:hanging="529"/>
      </w:pPr>
      <w:rPr>
        <w:rFonts w:hint="default"/>
        <w:lang w:val="en-US" w:eastAsia="zh-CN" w:bidi="ar-SA"/>
      </w:rPr>
    </w:lvl>
    <w:lvl w:ilvl="6">
      <w:start w:val="0"/>
      <w:numFmt w:val="bullet"/>
      <w:lvlText w:val="•"/>
      <w:lvlJc w:val="left"/>
      <w:pPr>
        <w:ind w:left="5836" w:hanging="529"/>
      </w:pPr>
      <w:rPr>
        <w:rFonts w:hint="default"/>
        <w:lang w:val="en-US" w:eastAsia="zh-CN" w:bidi="ar-SA"/>
      </w:rPr>
    </w:lvl>
    <w:lvl w:ilvl="7">
      <w:start w:val="0"/>
      <w:numFmt w:val="bullet"/>
      <w:lvlText w:val="•"/>
      <w:lvlJc w:val="left"/>
      <w:pPr>
        <w:ind w:left="6203" w:hanging="529"/>
      </w:pPr>
      <w:rPr>
        <w:rFonts w:hint="default"/>
        <w:lang w:val="en-US" w:eastAsia="zh-CN" w:bidi="ar-SA"/>
      </w:rPr>
    </w:lvl>
    <w:lvl w:ilvl="8">
      <w:start w:val="0"/>
      <w:numFmt w:val="bullet"/>
      <w:lvlText w:val="•"/>
      <w:lvlJc w:val="left"/>
      <w:pPr>
        <w:ind w:left="6571" w:hanging="529"/>
      </w:pPr>
      <w:rPr>
        <w:rFonts w:hint="default"/>
        <w:lang w:val="en-US" w:eastAsia="zh-CN" w:bidi="ar-SA"/>
      </w:rPr>
    </w:lvl>
  </w:abstractNum>
  <w:abstractNum w:abstractNumId="62">
    <w:multiLevelType w:val="hybridMultilevel"/>
    <w:lvl w:ilvl="0">
      <w:start w:val="10"/>
      <w:numFmt w:val="decimal"/>
      <w:lvlText w:val="%1."/>
      <w:lvlJc w:val="left"/>
      <w:pPr>
        <w:ind w:left="1910" w:hanging="985"/>
        <w:jc w:val="left"/>
      </w:pPr>
      <w:rPr>
        <w:rFonts w:hint="default" w:ascii="Microsoft JhengHei" w:hAnsi="Microsoft JhengHei" w:eastAsia="Microsoft JhengHei" w:cs="Microsoft JhengHei"/>
        <w:b/>
        <w:bCs/>
        <w:i w:val="0"/>
        <w:iCs w:val="0"/>
        <w:w w:val="83"/>
        <w:sz w:val="24"/>
        <w:szCs w:val="24"/>
        <w:lang w:val="en-US" w:eastAsia="zh-CN" w:bidi="ar-SA"/>
      </w:rPr>
    </w:lvl>
    <w:lvl w:ilvl="1">
      <w:start w:val="1"/>
      <w:numFmt w:val="decimal"/>
      <w:lvlText w:val="%1.%2"/>
      <w:lvlJc w:val="left"/>
      <w:pPr>
        <w:ind w:left="1910" w:hanging="985"/>
        <w:jc w:val="left"/>
      </w:pPr>
      <w:rPr>
        <w:rFonts w:hint="default" w:ascii="Microsoft JhengHei" w:hAnsi="Microsoft JhengHei" w:eastAsia="Microsoft JhengHei" w:cs="Microsoft JhengHei"/>
        <w:b/>
        <w:bCs/>
        <w:i w:val="0"/>
        <w:iCs w:val="0"/>
        <w:w w:val="98"/>
        <w:sz w:val="21"/>
        <w:szCs w:val="21"/>
        <w:lang w:val="en-US" w:eastAsia="zh-CN" w:bidi="ar-SA"/>
      </w:rPr>
    </w:lvl>
    <w:lvl w:ilvl="2">
      <w:start w:val="1"/>
      <w:numFmt w:val="decimal"/>
      <w:lvlText w:val="%3."/>
      <w:lvlJc w:val="left"/>
      <w:pPr>
        <w:ind w:left="3462" w:hanging="213"/>
        <w:jc w:val="left"/>
      </w:pPr>
      <w:rPr>
        <w:rFonts w:hint="default" w:ascii="Microsoft JhengHei" w:hAnsi="Microsoft JhengHei" w:eastAsia="Microsoft JhengHei" w:cs="Microsoft JhengHei"/>
        <w:b/>
        <w:bCs/>
        <w:i w:val="0"/>
        <w:iCs w:val="0"/>
        <w:w w:val="115"/>
        <w:sz w:val="19"/>
        <w:szCs w:val="19"/>
        <w:lang w:val="en-US" w:eastAsia="zh-CN" w:bidi="ar-SA"/>
      </w:rPr>
    </w:lvl>
    <w:lvl w:ilvl="3">
      <w:start w:val="1"/>
      <w:numFmt w:val="decimal"/>
      <w:lvlText w:val="（%4）"/>
      <w:lvlJc w:val="left"/>
      <w:pPr>
        <w:ind w:left="3991" w:hanging="529"/>
        <w:jc w:val="left"/>
      </w:pPr>
      <w:rPr>
        <w:rFonts w:hint="default" w:ascii="宋体" w:hAnsi="宋体" w:eastAsia="宋体" w:cs="宋体"/>
        <w:b w:val="0"/>
        <w:bCs w:val="0"/>
        <w:i w:val="0"/>
        <w:iCs w:val="0"/>
        <w:w w:val="100"/>
        <w:sz w:val="19"/>
        <w:szCs w:val="19"/>
        <w:lang w:val="en-US" w:eastAsia="zh-CN" w:bidi="ar-SA"/>
      </w:rPr>
    </w:lvl>
    <w:lvl w:ilvl="4">
      <w:start w:val="0"/>
      <w:numFmt w:val="bullet"/>
      <w:lvlText w:val="•"/>
      <w:lvlJc w:val="left"/>
      <w:pPr>
        <w:ind w:left="5631" w:hanging="529"/>
      </w:pPr>
      <w:rPr>
        <w:rFonts w:hint="default"/>
        <w:lang w:val="en-US" w:eastAsia="zh-CN" w:bidi="ar-SA"/>
      </w:rPr>
    </w:lvl>
    <w:lvl w:ilvl="5">
      <w:start w:val="0"/>
      <w:numFmt w:val="bullet"/>
      <w:lvlText w:val="•"/>
      <w:lvlJc w:val="left"/>
      <w:pPr>
        <w:ind w:left="6446" w:hanging="529"/>
      </w:pPr>
      <w:rPr>
        <w:rFonts w:hint="default"/>
        <w:lang w:val="en-US" w:eastAsia="zh-CN" w:bidi="ar-SA"/>
      </w:rPr>
    </w:lvl>
    <w:lvl w:ilvl="6">
      <w:start w:val="0"/>
      <w:numFmt w:val="bullet"/>
      <w:lvlText w:val="•"/>
      <w:lvlJc w:val="left"/>
      <w:pPr>
        <w:ind w:left="7262" w:hanging="529"/>
      </w:pPr>
      <w:rPr>
        <w:rFonts w:hint="default"/>
        <w:lang w:val="en-US" w:eastAsia="zh-CN" w:bidi="ar-SA"/>
      </w:rPr>
    </w:lvl>
    <w:lvl w:ilvl="7">
      <w:start w:val="0"/>
      <w:numFmt w:val="bullet"/>
      <w:lvlText w:val="•"/>
      <w:lvlJc w:val="left"/>
      <w:pPr>
        <w:ind w:left="8077" w:hanging="529"/>
      </w:pPr>
      <w:rPr>
        <w:rFonts w:hint="default"/>
        <w:lang w:val="en-US" w:eastAsia="zh-CN" w:bidi="ar-SA"/>
      </w:rPr>
    </w:lvl>
    <w:lvl w:ilvl="8">
      <w:start w:val="0"/>
      <w:numFmt w:val="bullet"/>
      <w:lvlText w:val="•"/>
      <w:lvlJc w:val="left"/>
      <w:pPr>
        <w:ind w:left="8893" w:hanging="529"/>
      </w:pPr>
      <w:rPr>
        <w:rFonts w:hint="default"/>
        <w:lang w:val="en-US" w:eastAsia="zh-CN" w:bidi="ar-SA"/>
      </w:rPr>
    </w:lvl>
  </w:abstractNum>
  <w:abstractNum w:abstractNumId="61">
    <w:multiLevelType w:val="hybridMultilevel"/>
    <w:lvl w:ilvl="0">
      <w:start w:val="2"/>
      <w:numFmt w:val="decimal"/>
      <w:lvlText w:val="%1."/>
      <w:lvlJc w:val="left"/>
      <w:pPr>
        <w:ind w:left="3778" w:hanging="31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4454" w:hanging="317"/>
      </w:pPr>
      <w:rPr>
        <w:rFonts w:hint="default"/>
        <w:lang w:val="en-US" w:eastAsia="zh-CN" w:bidi="ar-SA"/>
      </w:rPr>
    </w:lvl>
    <w:lvl w:ilvl="2">
      <w:start w:val="0"/>
      <w:numFmt w:val="bullet"/>
      <w:lvlText w:val="•"/>
      <w:lvlJc w:val="left"/>
      <w:pPr>
        <w:ind w:left="5128" w:hanging="317"/>
      </w:pPr>
      <w:rPr>
        <w:rFonts w:hint="default"/>
        <w:lang w:val="en-US" w:eastAsia="zh-CN" w:bidi="ar-SA"/>
      </w:rPr>
    </w:lvl>
    <w:lvl w:ilvl="3">
      <w:start w:val="0"/>
      <w:numFmt w:val="bullet"/>
      <w:lvlText w:val="•"/>
      <w:lvlJc w:val="left"/>
      <w:pPr>
        <w:ind w:left="5803" w:hanging="317"/>
      </w:pPr>
      <w:rPr>
        <w:rFonts w:hint="default"/>
        <w:lang w:val="en-US" w:eastAsia="zh-CN" w:bidi="ar-SA"/>
      </w:rPr>
    </w:lvl>
    <w:lvl w:ilvl="4">
      <w:start w:val="0"/>
      <w:numFmt w:val="bullet"/>
      <w:lvlText w:val="•"/>
      <w:lvlJc w:val="left"/>
      <w:pPr>
        <w:ind w:left="6477" w:hanging="317"/>
      </w:pPr>
      <w:rPr>
        <w:rFonts w:hint="default"/>
        <w:lang w:val="en-US" w:eastAsia="zh-CN" w:bidi="ar-SA"/>
      </w:rPr>
    </w:lvl>
    <w:lvl w:ilvl="5">
      <w:start w:val="0"/>
      <w:numFmt w:val="bullet"/>
      <w:lvlText w:val="•"/>
      <w:lvlJc w:val="left"/>
      <w:pPr>
        <w:ind w:left="7152" w:hanging="317"/>
      </w:pPr>
      <w:rPr>
        <w:rFonts w:hint="default"/>
        <w:lang w:val="en-US" w:eastAsia="zh-CN" w:bidi="ar-SA"/>
      </w:rPr>
    </w:lvl>
    <w:lvl w:ilvl="6">
      <w:start w:val="0"/>
      <w:numFmt w:val="bullet"/>
      <w:lvlText w:val="•"/>
      <w:lvlJc w:val="left"/>
      <w:pPr>
        <w:ind w:left="7826" w:hanging="317"/>
      </w:pPr>
      <w:rPr>
        <w:rFonts w:hint="default"/>
        <w:lang w:val="en-US" w:eastAsia="zh-CN" w:bidi="ar-SA"/>
      </w:rPr>
    </w:lvl>
    <w:lvl w:ilvl="7">
      <w:start w:val="0"/>
      <w:numFmt w:val="bullet"/>
      <w:lvlText w:val="•"/>
      <w:lvlJc w:val="left"/>
      <w:pPr>
        <w:ind w:left="8500" w:hanging="317"/>
      </w:pPr>
      <w:rPr>
        <w:rFonts w:hint="default"/>
        <w:lang w:val="en-US" w:eastAsia="zh-CN" w:bidi="ar-SA"/>
      </w:rPr>
    </w:lvl>
    <w:lvl w:ilvl="8">
      <w:start w:val="0"/>
      <w:numFmt w:val="bullet"/>
      <w:lvlText w:val="•"/>
      <w:lvlJc w:val="left"/>
      <w:pPr>
        <w:ind w:left="9175" w:hanging="317"/>
      </w:pPr>
      <w:rPr>
        <w:rFonts w:hint="default"/>
        <w:lang w:val="en-US" w:eastAsia="zh-CN" w:bidi="ar-SA"/>
      </w:rPr>
    </w:lvl>
  </w:abstractNum>
  <w:abstractNum w:abstractNumId="60">
    <w:multiLevelType w:val="hybridMultilevel"/>
    <w:lvl w:ilvl="0">
      <w:start w:val="2"/>
      <w:numFmt w:val="decimal"/>
      <w:lvlText w:val="%1."/>
      <w:lvlJc w:val="left"/>
      <w:pPr>
        <w:ind w:left="3778" w:hanging="31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4454" w:hanging="317"/>
      </w:pPr>
      <w:rPr>
        <w:rFonts w:hint="default"/>
        <w:lang w:val="en-US" w:eastAsia="zh-CN" w:bidi="ar-SA"/>
      </w:rPr>
    </w:lvl>
    <w:lvl w:ilvl="2">
      <w:start w:val="0"/>
      <w:numFmt w:val="bullet"/>
      <w:lvlText w:val="•"/>
      <w:lvlJc w:val="left"/>
      <w:pPr>
        <w:ind w:left="5128" w:hanging="317"/>
      </w:pPr>
      <w:rPr>
        <w:rFonts w:hint="default"/>
        <w:lang w:val="en-US" w:eastAsia="zh-CN" w:bidi="ar-SA"/>
      </w:rPr>
    </w:lvl>
    <w:lvl w:ilvl="3">
      <w:start w:val="0"/>
      <w:numFmt w:val="bullet"/>
      <w:lvlText w:val="•"/>
      <w:lvlJc w:val="left"/>
      <w:pPr>
        <w:ind w:left="5803" w:hanging="317"/>
      </w:pPr>
      <w:rPr>
        <w:rFonts w:hint="default"/>
        <w:lang w:val="en-US" w:eastAsia="zh-CN" w:bidi="ar-SA"/>
      </w:rPr>
    </w:lvl>
    <w:lvl w:ilvl="4">
      <w:start w:val="0"/>
      <w:numFmt w:val="bullet"/>
      <w:lvlText w:val="•"/>
      <w:lvlJc w:val="left"/>
      <w:pPr>
        <w:ind w:left="6477" w:hanging="317"/>
      </w:pPr>
      <w:rPr>
        <w:rFonts w:hint="default"/>
        <w:lang w:val="en-US" w:eastAsia="zh-CN" w:bidi="ar-SA"/>
      </w:rPr>
    </w:lvl>
    <w:lvl w:ilvl="5">
      <w:start w:val="0"/>
      <w:numFmt w:val="bullet"/>
      <w:lvlText w:val="•"/>
      <w:lvlJc w:val="left"/>
      <w:pPr>
        <w:ind w:left="7152" w:hanging="317"/>
      </w:pPr>
      <w:rPr>
        <w:rFonts w:hint="default"/>
        <w:lang w:val="en-US" w:eastAsia="zh-CN" w:bidi="ar-SA"/>
      </w:rPr>
    </w:lvl>
    <w:lvl w:ilvl="6">
      <w:start w:val="0"/>
      <w:numFmt w:val="bullet"/>
      <w:lvlText w:val="•"/>
      <w:lvlJc w:val="left"/>
      <w:pPr>
        <w:ind w:left="7826" w:hanging="317"/>
      </w:pPr>
      <w:rPr>
        <w:rFonts w:hint="default"/>
        <w:lang w:val="en-US" w:eastAsia="zh-CN" w:bidi="ar-SA"/>
      </w:rPr>
    </w:lvl>
    <w:lvl w:ilvl="7">
      <w:start w:val="0"/>
      <w:numFmt w:val="bullet"/>
      <w:lvlText w:val="•"/>
      <w:lvlJc w:val="left"/>
      <w:pPr>
        <w:ind w:left="8500" w:hanging="317"/>
      </w:pPr>
      <w:rPr>
        <w:rFonts w:hint="default"/>
        <w:lang w:val="en-US" w:eastAsia="zh-CN" w:bidi="ar-SA"/>
      </w:rPr>
    </w:lvl>
    <w:lvl w:ilvl="8">
      <w:start w:val="0"/>
      <w:numFmt w:val="bullet"/>
      <w:lvlText w:val="•"/>
      <w:lvlJc w:val="left"/>
      <w:pPr>
        <w:ind w:left="9175" w:hanging="317"/>
      </w:pPr>
      <w:rPr>
        <w:rFonts w:hint="default"/>
        <w:lang w:val="en-US" w:eastAsia="zh-CN" w:bidi="ar-SA"/>
      </w:rPr>
    </w:lvl>
  </w:abstractNum>
  <w:abstractNum w:abstractNumId="59">
    <w:multiLevelType w:val="hybridMultilevel"/>
    <w:lvl w:ilvl="0">
      <w:start w:val="2"/>
      <w:numFmt w:val="decimal"/>
      <w:lvlText w:val="%1."/>
      <w:lvlJc w:val="left"/>
      <w:pPr>
        <w:ind w:left="3778" w:hanging="31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4454" w:hanging="317"/>
      </w:pPr>
      <w:rPr>
        <w:rFonts w:hint="default"/>
        <w:lang w:val="en-US" w:eastAsia="zh-CN" w:bidi="ar-SA"/>
      </w:rPr>
    </w:lvl>
    <w:lvl w:ilvl="2">
      <w:start w:val="0"/>
      <w:numFmt w:val="bullet"/>
      <w:lvlText w:val="•"/>
      <w:lvlJc w:val="left"/>
      <w:pPr>
        <w:ind w:left="5128" w:hanging="317"/>
      </w:pPr>
      <w:rPr>
        <w:rFonts w:hint="default"/>
        <w:lang w:val="en-US" w:eastAsia="zh-CN" w:bidi="ar-SA"/>
      </w:rPr>
    </w:lvl>
    <w:lvl w:ilvl="3">
      <w:start w:val="0"/>
      <w:numFmt w:val="bullet"/>
      <w:lvlText w:val="•"/>
      <w:lvlJc w:val="left"/>
      <w:pPr>
        <w:ind w:left="5803" w:hanging="317"/>
      </w:pPr>
      <w:rPr>
        <w:rFonts w:hint="default"/>
        <w:lang w:val="en-US" w:eastAsia="zh-CN" w:bidi="ar-SA"/>
      </w:rPr>
    </w:lvl>
    <w:lvl w:ilvl="4">
      <w:start w:val="0"/>
      <w:numFmt w:val="bullet"/>
      <w:lvlText w:val="•"/>
      <w:lvlJc w:val="left"/>
      <w:pPr>
        <w:ind w:left="6477" w:hanging="317"/>
      </w:pPr>
      <w:rPr>
        <w:rFonts w:hint="default"/>
        <w:lang w:val="en-US" w:eastAsia="zh-CN" w:bidi="ar-SA"/>
      </w:rPr>
    </w:lvl>
    <w:lvl w:ilvl="5">
      <w:start w:val="0"/>
      <w:numFmt w:val="bullet"/>
      <w:lvlText w:val="•"/>
      <w:lvlJc w:val="left"/>
      <w:pPr>
        <w:ind w:left="7152" w:hanging="317"/>
      </w:pPr>
      <w:rPr>
        <w:rFonts w:hint="default"/>
        <w:lang w:val="en-US" w:eastAsia="zh-CN" w:bidi="ar-SA"/>
      </w:rPr>
    </w:lvl>
    <w:lvl w:ilvl="6">
      <w:start w:val="0"/>
      <w:numFmt w:val="bullet"/>
      <w:lvlText w:val="•"/>
      <w:lvlJc w:val="left"/>
      <w:pPr>
        <w:ind w:left="7826" w:hanging="317"/>
      </w:pPr>
      <w:rPr>
        <w:rFonts w:hint="default"/>
        <w:lang w:val="en-US" w:eastAsia="zh-CN" w:bidi="ar-SA"/>
      </w:rPr>
    </w:lvl>
    <w:lvl w:ilvl="7">
      <w:start w:val="0"/>
      <w:numFmt w:val="bullet"/>
      <w:lvlText w:val="•"/>
      <w:lvlJc w:val="left"/>
      <w:pPr>
        <w:ind w:left="8500" w:hanging="317"/>
      </w:pPr>
      <w:rPr>
        <w:rFonts w:hint="default"/>
        <w:lang w:val="en-US" w:eastAsia="zh-CN" w:bidi="ar-SA"/>
      </w:rPr>
    </w:lvl>
    <w:lvl w:ilvl="8">
      <w:start w:val="0"/>
      <w:numFmt w:val="bullet"/>
      <w:lvlText w:val="•"/>
      <w:lvlJc w:val="left"/>
      <w:pPr>
        <w:ind w:left="9175" w:hanging="317"/>
      </w:pPr>
      <w:rPr>
        <w:rFonts w:hint="default"/>
        <w:lang w:val="en-US" w:eastAsia="zh-CN" w:bidi="ar-SA"/>
      </w:rPr>
    </w:lvl>
  </w:abstractNum>
  <w:abstractNum w:abstractNumId="58">
    <w:multiLevelType w:val="hybridMultilevel"/>
    <w:lvl w:ilvl="0">
      <w:start w:val="2"/>
      <w:numFmt w:val="decimal"/>
      <w:lvlText w:val="%1."/>
      <w:lvlJc w:val="left"/>
      <w:pPr>
        <w:ind w:left="3778" w:hanging="31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4454" w:hanging="317"/>
      </w:pPr>
      <w:rPr>
        <w:rFonts w:hint="default"/>
        <w:lang w:val="en-US" w:eastAsia="zh-CN" w:bidi="ar-SA"/>
      </w:rPr>
    </w:lvl>
    <w:lvl w:ilvl="2">
      <w:start w:val="0"/>
      <w:numFmt w:val="bullet"/>
      <w:lvlText w:val="•"/>
      <w:lvlJc w:val="left"/>
      <w:pPr>
        <w:ind w:left="5128" w:hanging="317"/>
      </w:pPr>
      <w:rPr>
        <w:rFonts w:hint="default"/>
        <w:lang w:val="en-US" w:eastAsia="zh-CN" w:bidi="ar-SA"/>
      </w:rPr>
    </w:lvl>
    <w:lvl w:ilvl="3">
      <w:start w:val="0"/>
      <w:numFmt w:val="bullet"/>
      <w:lvlText w:val="•"/>
      <w:lvlJc w:val="left"/>
      <w:pPr>
        <w:ind w:left="5803" w:hanging="317"/>
      </w:pPr>
      <w:rPr>
        <w:rFonts w:hint="default"/>
        <w:lang w:val="en-US" w:eastAsia="zh-CN" w:bidi="ar-SA"/>
      </w:rPr>
    </w:lvl>
    <w:lvl w:ilvl="4">
      <w:start w:val="0"/>
      <w:numFmt w:val="bullet"/>
      <w:lvlText w:val="•"/>
      <w:lvlJc w:val="left"/>
      <w:pPr>
        <w:ind w:left="6477" w:hanging="317"/>
      </w:pPr>
      <w:rPr>
        <w:rFonts w:hint="default"/>
        <w:lang w:val="en-US" w:eastAsia="zh-CN" w:bidi="ar-SA"/>
      </w:rPr>
    </w:lvl>
    <w:lvl w:ilvl="5">
      <w:start w:val="0"/>
      <w:numFmt w:val="bullet"/>
      <w:lvlText w:val="•"/>
      <w:lvlJc w:val="left"/>
      <w:pPr>
        <w:ind w:left="7152" w:hanging="317"/>
      </w:pPr>
      <w:rPr>
        <w:rFonts w:hint="default"/>
        <w:lang w:val="en-US" w:eastAsia="zh-CN" w:bidi="ar-SA"/>
      </w:rPr>
    </w:lvl>
    <w:lvl w:ilvl="6">
      <w:start w:val="0"/>
      <w:numFmt w:val="bullet"/>
      <w:lvlText w:val="•"/>
      <w:lvlJc w:val="left"/>
      <w:pPr>
        <w:ind w:left="7826" w:hanging="317"/>
      </w:pPr>
      <w:rPr>
        <w:rFonts w:hint="default"/>
        <w:lang w:val="en-US" w:eastAsia="zh-CN" w:bidi="ar-SA"/>
      </w:rPr>
    </w:lvl>
    <w:lvl w:ilvl="7">
      <w:start w:val="0"/>
      <w:numFmt w:val="bullet"/>
      <w:lvlText w:val="•"/>
      <w:lvlJc w:val="left"/>
      <w:pPr>
        <w:ind w:left="8500" w:hanging="317"/>
      </w:pPr>
      <w:rPr>
        <w:rFonts w:hint="default"/>
        <w:lang w:val="en-US" w:eastAsia="zh-CN" w:bidi="ar-SA"/>
      </w:rPr>
    </w:lvl>
    <w:lvl w:ilvl="8">
      <w:start w:val="0"/>
      <w:numFmt w:val="bullet"/>
      <w:lvlText w:val="•"/>
      <w:lvlJc w:val="left"/>
      <w:pPr>
        <w:ind w:left="9175" w:hanging="317"/>
      </w:pPr>
      <w:rPr>
        <w:rFonts w:hint="default"/>
        <w:lang w:val="en-US" w:eastAsia="zh-CN" w:bidi="ar-SA"/>
      </w:rPr>
    </w:lvl>
  </w:abstractNum>
  <w:abstractNum w:abstractNumId="57">
    <w:multiLevelType w:val="hybridMultilevel"/>
    <w:lvl w:ilvl="0">
      <w:start w:val="2"/>
      <w:numFmt w:val="decimal"/>
      <w:lvlText w:val="%1."/>
      <w:lvlJc w:val="left"/>
      <w:pPr>
        <w:ind w:left="3778" w:hanging="31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4454" w:hanging="317"/>
      </w:pPr>
      <w:rPr>
        <w:rFonts w:hint="default"/>
        <w:lang w:val="en-US" w:eastAsia="zh-CN" w:bidi="ar-SA"/>
      </w:rPr>
    </w:lvl>
    <w:lvl w:ilvl="2">
      <w:start w:val="0"/>
      <w:numFmt w:val="bullet"/>
      <w:lvlText w:val="•"/>
      <w:lvlJc w:val="left"/>
      <w:pPr>
        <w:ind w:left="5128" w:hanging="317"/>
      </w:pPr>
      <w:rPr>
        <w:rFonts w:hint="default"/>
        <w:lang w:val="en-US" w:eastAsia="zh-CN" w:bidi="ar-SA"/>
      </w:rPr>
    </w:lvl>
    <w:lvl w:ilvl="3">
      <w:start w:val="0"/>
      <w:numFmt w:val="bullet"/>
      <w:lvlText w:val="•"/>
      <w:lvlJc w:val="left"/>
      <w:pPr>
        <w:ind w:left="5803" w:hanging="317"/>
      </w:pPr>
      <w:rPr>
        <w:rFonts w:hint="default"/>
        <w:lang w:val="en-US" w:eastAsia="zh-CN" w:bidi="ar-SA"/>
      </w:rPr>
    </w:lvl>
    <w:lvl w:ilvl="4">
      <w:start w:val="0"/>
      <w:numFmt w:val="bullet"/>
      <w:lvlText w:val="•"/>
      <w:lvlJc w:val="left"/>
      <w:pPr>
        <w:ind w:left="6477" w:hanging="317"/>
      </w:pPr>
      <w:rPr>
        <w:rFonts w:hint="default"/>
        <w:lang w:val="en-US" w:eastAsia="zh-CN" w:bidi="ar-SA"/>
      </w:rPr>
    </w:lvl>
    <w:lvl w:ilvl="5">
      <w:start w:val="0"/>
      <w:numFmt w:val="bullet"/>
      <w:lvlText w:val="•"/>
      <w:lvlJc w:val="left"/>
      <w:pPr>
        <w:ind w:left="7152" w:hanging="317"/>
      </w:pPr>
      <w:rPr>
        <w:rFonts w:hint="default"/>
        <w:lang w:val="en-US" w:eastAsia="zh-CN" w:bidi="ar-SA"/>
      </w:rPr>
    </w:lvl>
    <w:lvl w:ilvl="6">
      <w:start w:val="0"/>
      <w:numFmt w:val="bullet"/>
      <w:lvlText w:val="•"/>
      <w:lvlJc w:val="left"/>
      <w:pPr>
        <w:ind w:left="7826" w:hanging="317"/>
      </w:pPr>
      <w:rPr>
        <w:rFonts w:hint="default"/>
        <w:lang w:val="en-US" w:eastAsia="zh-CN" w:bidi="ar-SA"/>
      </w:rPr>
    </w:lvl>
    <w:lvl w:ilvl="7">
      <w:start w:val="0"/>
      <w:numFmt w:val="bullet"/>
      <w:lvlText w:val="•"/>
      <w:lvlJc w:val="left"/>
      <w:pPr>
        <w:ind w:left="8500" w:hanging="317"/>
      </w:pPr>
      <w:rPr>
        <w:rFonts w:hint="default"/>
        <w:lang w:val="en-US" w:eastAsia="zh-CN" w:bidi="ar-SA"/>
      </w:rPr>
    </w:lvl>
    <w:lvl w:ilvl="8">
      <w:start w:val="0"/>
      <w:numFmt w:val="bullet"/>
      <w:lvlText w:val="•"/>
      <w:lvlJc w:val="left"/>
      <w:pPr>
        <w:ind w:left="9175" w:hanging="317"/>
      </w:pPr>
      <w:rPr>
        <w:rFonts w:hint="default"/>
        <w:lang w:val="en-US" w:eastAsia="zh-CN" w:bidi="ar-SA"/>
      </w:rPr>
    </w:lvl>
  </w:abstractNum>
  <w:abstractNum w:abstractNumId="56">
    <w:multiLevelType w:val="hybridMultilevel"/>
    <w:lvl w:ilvl="0">
      <w:start w:val="2"/>
      <w:numFmt w:val="decimal"/>
      <w:lvlText w:val="%1."/>
      <w:lvlJc w:val="left"/>
      <w:pPr>
        <w:ind w:left="3778" w:hanging="31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4454" w:hanging="317"/>
      </w:pPr>
      <w:rPr>
        <w:rFonts w:hint="default"/>
        <w:lang w:val="en-US" w:eastAsia="zh-CN" w:bidi="ar-SA"/>
      </w:rPr>
    </w:lvl>
    <w:lvl w:ilvl="2">
      <w:start w:val="0"/>
      <w:numFmt w:val="bullet"/>
      <w:lvlText w:val="•"/>
      <w:lvlJc w:val="left"/>
      <w:pPr>
        <w:ind w:left="5128" w:hanging="317"/>
      </w:pPr>
      <w:rPr>
        <w:rFonts w:hint="default"/>
        <w:lang w:val="en-US" w:eastAsia="zh-CN" w:bidi="ar-SA"/>
      </w:rPr>
    </w:lvl>
    <w:lvl w:ilvl="3">
      <w:start w:val="0"/>
      <w:numFmt w:val="bullet"/>
      <w:lvlText w:val="•"/>
      <w:lvlJc w:val="left"/>
      <w:pPr>
        <w:ind w:left="5803" w:hanging="317"/>
      </w:pPr>
      <w:rPr>
        <w:rFonts w:hint="default"/>
        <w:lang w:val="en-US" w:eastAsia="zh-CN" w:bidi="ar-SA"/>
      </w:rPr>
    </w:lvl>
    <w:lvl w:ilvl="4">
      <w:start w:val="0"/>
      <w:numFmt w:val="bullet"/>
      <w:lvlText w:val="•"/>
      <w:lvlJc w:val="left"/>
      <w:pPr>
        <w:ind w:left="6477" w:hanging="317"/>
      </w:pPr>
      <w:rPr>
        <w:rFonts w:hint="default"/>
        <w:lang w:val="en-US" w:eastAsia="zh-CN" w:bidi="ar-SA"/>
      </w:rPr>
    </w:lvl>
    <w:lvl w:ilvl="5">
      <w:start w:val="0"/>
      <w:numFmt w:val="bullet"/>
      <w:lvlText w:val="•"/>
      <w:lvlJc w:val="left"/>
      <w:pPr>
        <w:ind w:left="7152" w:hanging="317"/>
      </w:pPr>
      <w:rPr>
        <w:rFonts w:hint="default"/>
        <w:lang w:val="en-US" w:eastAsia="zh-CN" w:bidi="ar-SA"/>
      </w:rPr>
    </w:lvl>
    <w:lvl w:ilvl="6">
      <w:start w:val="0"/>
      <w:numFmt w:val="bullet"/>
      <w:lvlText w:val="•"/>
      <w:lvlJc w:val="left"/>
      <w:pPr>
        <w:ind w:left="7826" w:hanging="317"/>
      </w:pPr>
      <w:rPr>
        <w:rFonts w:hint="default"/>
        <w:lang w:val="en-US" w:eastAsia="zh-CN" w:bidi="ar-SA"/>
      </w:rPr>
    </w:lvl>
    <w:lvl w:ilvl="7">
      <w:start w:val="0"/>
      <w:numFmt w:val="bullet"/>
      <w:lvlText w:val="•"/>
      <w:lvlJc w:val="left"/>
      <w:pPr>
        <w:ind w:left="8500" w:hanging="317"/>
      </w:pPr>
      <w:rPr>
        <w:rFonts w:hint="default"/>
        <w:lang w:val="en-US" w:eastAsia="zh-CN" w:bidi="ar-SA"/>
      </w:rPr>
    </w:lvl>
    <w:lvl w:ilvl="8">
      <w:start w:val="0"/>
      <w:numFmt w:val="bullet"/>
      <w:lvlText w:val="•"/>
      <w:lvlJc w:val="left"/>
      <w:pPr>
        <w:ind w:left="9175" w:hanging="317"/>
      </w:pPr>
      <w:rPr>
        <w:rFonts w:hint="default"/>
        <w:lang w:val="en-US" w:eastAsia="zh-CN" w:bidi="ar-SA"/>
      </w:rPr>
    </w:lvl>
  </w:abstractNum>
  <w:abstractNum w:abstractNumId="55">
    <w:multiLevelType w:val="hybridMultilevel"/>
    <w:lvl w:ilvl="0">
      <w:start w:val="1"/>
      <w:numFmt w:val="decimal"/>
      <w:lvlText w:val="（%1）"/>
      <w:lvlJc w:val="left"/>
      <w:pPr>
        <w:ind w:left="772"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432" w:hanging="529"/>
      </w:pPr>
      <w:rPr>
        <w:rFonts w:hint="default"/>
        <w:lang w:val="en-US" w:eastAsia="zh-CN" w:bidi="ar-SA"/>
      </w:rPr>
    </w:lvl>
    <w:lvl w:ilvl="2">
      <w:start w:val="0"/>
      <w:numFmt w:val="bullet"/>
      <w:lvlText w:val="•"/>
      <w:lvlJc w:val="left"/>
      <w:pPr>
        <w:ind w:left="2085" w:hanging="529"/>
      </w:pPr>
      <w:rPr>
        <w:rFonts w:hint="default"/>
        <w:lang w:val="en-US" w:eastAsia="zh-CN" w:bidi="ar-SA"/>
      </w:rPr>
    </w:lvl>
    <w:lvl w:ilvl="3">
      <w:start w:val="0"/>
      <w:numFmt w:val="bullet"/>
      <w:lvlText w:val="•"/>
      <w:lvlJc w:val="left"/>
      <w:pPr>
        <w:ind w:left="2737" w:hanging="529"/>
      </w:pPr>
      <w:rPr>
        <w:rFonts w:hint="default"/>
        <w:lang w:val="en-US" w:eastAsia="zh-CN" w:bidi="ar-SA"/>
      </w:rPr>
    </w:lvl>
    <w:lvl w:ilvl="4">
      <w:start w:val="0"/>
      <w:numFmt w:val="bullet"/>
      <w:lvlText w:val="•"/>
      <w:lvlJc w:val="left"/>
      <w:pPr>
        <w:ind w:left="3390" w:hanging="529"/>
      </w:pPr>
      <w:rPr>
        <w:rFonts w:hint="default"/>
        <w:lang w:val="en-US" w:eastAsia="zh-CN" w:bidi="ar-SA"/>
      </w:rPr>
    </w:lvl>
    <w:lvl w:ilvl="5">
      <w:start w:val="0"/>
      <w:numFmt w:val="bullet"/>
      <w:lvlText w:val="•"/>
      <w:lvlJc w:val="left"/>
      <w:pPr>
        <w:ind w:left="4042" w:hanging="529"/>
      </w:pPr>
      <w:rPr>
        <w:rFonts w:hint="default"/>
        <w:lang w:val="en-US" w:eastAsia="zh-CN" w:bidi="ar-SA"/>
      </w:rPr>
    </w:lvl>
    <w:lvl w:ilvl="6">
      <w:start w:val="0"/>
      <w:numFmt w:val="bullet"/>
      <w:lvlText w:val="•"/>
      <w:lvlJc w:val="left"/>
      <w:pPr>
        <w:ind w:left="4695" w:hanging="529"/>
      </w:pPr>
      <w:rPr>
        <w:rFonts w:hint="default"/>
        <w:lang w:val="en-US" w:eastAsia="zh-CN" w:bidi="ar-SA"/>
      </w:rPr>
    </w:lvl>
    <w:lvl w:ilvl="7">
      <w:start w:val="0"/>
      <w:numFmt w:val="bullet"/>
      <w:lvlText w:val="•"/>
      <w:lvlJc w:val="left"/>
      <w:pPr>
        <w:ind w:left="5348" w:hanging="529"/>
      </w:pPr>
      <w:rPr>
        <w:rFonts w:hint="default"/>
        <w:lang w:val="en-US" w:eastAsia="zh-CN" w:bidi="ar-SA"/>
      </w:rPr>
    </w:lvl>
    <w:lvl w:ilvl="8">
      <w:start w:val="0"/>
      <w:numFmt w:val="bullet"/>
      <w:lvlText w:val="•"/>
      <w:lvlJc w:val="left"/>
      <w:pPr>
        <w:ind w:left="6000" w:hanging="529"/>
      </w:pPr>
      <w:rPr>
        <w:rFonts w:hint="default"/>
        <w:lang w:val="en-US" w:eastAsia="zh-CN" w:bidi="ar-SA"/>
      </w:rPr>
    </w:lvl>
  </w:abstractNum>
  <w:abstractNum w:abstractNumId="54">
    <w:multiLevelType w:val="hybridMultilevel"/>
    <w:lvl w:ilvl="0">
      <w:start w:val="1"/>
      <w:numFmt w:val="decimal"/>
      <w:lvlText w:val="（%1）"/>
      <w:lvlJc w:val="left"/>
      <w:pPr>
        <w:ind w:left="772"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432" w:hanging="529"/>
      </w:pPr>
      <w:rPr>
        <w:rFonts w:hint="default"/>
        <w:lang w:val="en-US" w:eastAsia="zh-CN" w:bidi="ar-SA"/>
      </w:rPr>
    </w:lvl>
    <w:lvl w:ilvl="2">
      <w:start w:val="0"/>
      <w:numFmt w:val="bullet"/>
      <w:lvlText w:val="•"/>
      <w:lvlJc w:val="left"/>
      <w:pPr>
        <w:ind w:left="2085" w:hanging="529"/>
      </w:pPr>
      <w:rPr>
        <w:rFonts w:hint="default"/>
        <w:lang w:val="en-US" w:eastAsia="zh-CN" w:bidi="ar-SA"/>
      </w:rPr>
    </w:lvl>
    <w:lvl w:ilvl="3">
      <w:start w:val="0"/>
      <w:numFmt w:val="bullet"/>
      <w:lvlText w:val="•"/>
      <w:lvlJc w:val="left"/>
      <w:pPr>
        <w:ind w:left="2737" w:hanging="529"/>
      </w:pPr>
      <w:rPr>
        <w:rFonts w:hint="default"/>
        <w:lang w:val="en-US" w:eastAsia="zh-CN" w:bidi="ar-SA"/>
      </w:rPr>
    </w:lvl>
    <w:lvl w:ilvl="4">
      <w:start w:val="0"/>
      <w:numFmt w:val="bullet"/>
      <w:lvlText w:val="•"/>
      <w:lvlJc w:val="left"/>
      <w:pPr>
        <w:ind w:left="3390" w:hanging="529"/>
      </w:pPr>
      <w:rPr>
        <w:rFonts w:hint="default"/>
        <w:lang w:val="en-US" w:eastAsia="zh-CN" w:bidi="ar-SA"/>
      </w:rPr>
    </w:lvl>
    <w:lvl w:ilvl="5">
      <w:start w:val="0"/>
      <w:numFmt w:val="bullet"/>
      <w:lvlText w:val="•"/>
      <w:lvlJc w:val="left"/>
      <w:pPr>
        <w:ind w:left="4042" w:hanging="529"/>
      </w:pPr>
      <w:rPr>
        <w:rFonts w:hint="default"/>
        <w:lang w:val="en-US" w:eastAsia="zh-CN" w:bidi="ar-SA"/>
      </w:rPr>
    </w:lvl>
    <w:lvl w:ilvl="6">
      <w:start w:val="0"/>
      <w:numFmt w:val="bullet"/>
      <w:lvlText w:val="•"/>
      <w:lvlJc w:val="left"/>
      <w:pPr>
        <w:ind w:left="4695" w:hanging="529"/>
      </w:pPr>
      <w:rPr>
        <w:rFonts w:hint="default"/>
        <w:lang w:val="en-US" w:eastAsia="zh-CN" w:bidi="ar-SA"/>
      </w:rPr>
    </w:lvl>
    <w:lvl w:ilvl="7">
      <w:start w:val="0"/>
      <w:numFmt w:val="bullet"/>
      <w:lvlText w:val="•"/>
      <w:lvlJc w:val="left"/>
      <w:pPr>
        <w:ind w:left="5348" w:hanging="529"/>
      </w:pPr>
      <w:rPr>
        <w:rFonts w:hint="default"/>
        <w:lang w:val="en-US" w:eastAsia="zh-CN" w:bidi="ar-SA"/>
      </w:rPr>
    </w:lvl>
    <w:lvl w:ilvl="8">
      <w:start w:val="0"/>
      <w:numFmt w:val="bullet"/>
      <w:lvlText w:val="•"/>
      <w:lvlJc w:val="left"/>
      <w:pPr>
        <w:ind w:left="6000" w:hanging="529"/>
      </w:pPr>
      <w:rPr>
        <w:rFonts w:hint="default"/>
        <w:lang w:val="en-US" w:eastAsia="zh-CN" w:bidi="ar-SA"/>
      </w:rPr>
    </w:lvl>
  </w:abstractNum>
  <w:abstractNum w:abstractNumId="53">
    <w:multiLevelType w:val="hybridMultilevel"/>
    <w:lvl w:ilvl="0">
      <w:start w:val="1"/>
      <w:numFmt w:val="decimal"/>
      <w:lvlText w:val="（%1）"/>
      <w:lvlJc w:val="left"/>
      <w:pPr>
        <w:ind w:left="772"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432" w:hanging="529"/>
      </w:pPr>
      <w:rPr>
        <w:rFonts w:hint="default"/>
        <w:lang w:val="en-US" w:eastAsia="zh-CN" w:bidi="ar-SA"/>
      </w:rPr>
    </w:lvl>
    <w:lvl w:ilvl="2">
      <w:start w:val="0"/>
      <w:numFmt w:val="bullet"/>
      <w:lvlText w:val="•"/>
      <w:lvlJc w:val="left"/>
      <w:pPr>
        <w:ind w:left="2085" w:hanging="529"/>
      </w:pPr>
      <w:rPr>
        <w:rFonts w:hint="default"/>
        <w:lang w:val="en-US" w:eastAsia="zh-CN" w:bidi="ar-SA"/>
      </w:rPr>
    </w:lvl>
    <w:lvl w:ilvl="3">
      <w:start w:val="0"/>
      <w:numFmt w:val="bullet"/>
      <w:lvlText w:val="•"/>
      <w:lvlJc w:val="left"/>
      <w:pPr>
        <w:ind w:left="2737" w:hanging="529"/>
      </w:pPr>
      <w:rPr>
        <w:rFonts w:hint="default"/>
        <w:lang w:val="en-US" w:eastAsia="zh-CN" w:bidi="ar-SA"/>
      </w:rPr>
    </w:lvl>
    <w:lvl w:ilvl="4">
      <w:start w:val="0"/>
      <w:numFmt w:val="bullet"/>
      <w:lvlText w:val="•"/>
      <w:lvlJc w:val="left"/>
      <w:pPr>
        <w:ind w:left="3390" w:hanging="529"/>
      </w:pPr>
      <w:rPr>
        <w:rFonts w:hint="default"/>
        <w:lang w:val="en-US" w:eastAsia="zh-CN" w:bidi="ar-SA"/>
      </w:rPr>
    </w:lvl>
    <w:lvl w:ilvl="5">
      <w:start w:val="0"/>
      <w:numFmt w:val="bullet"/>
      <w:lvlText w:val="•"/>
      <w:lvlJc w:val="left"/>
      <w:pPr>
        <w:ind w:left="4042" w:hanging="529"/>
      </w:pPr>
      <w:rPr>
        <w:rFonts w:hint="default"/>
        <w:lang w:val="en-US" w:eastAsia="zh-CN" w:bidi="ar-SA"/>
      </w:rPr>
    </w:lvl>
    <w:lvl w:ilvl="6">
      <w:start w:val="0"/>
      <w:numFmt w:val="bullet"/>
      <w:lvlText w:val="•"/>
      <w:lvlJc w:val="left"/>
      <w:pPr>
        <w:ind w:left="4695" w:hanging="529"/>
      </w:pPr>
      <w:rPr>
        <w:rFonts w:hint="default"/>
        <w:lang w:val="en-US" w:eastAsia="zh-CN" w:bidi="ar-SA"/>
      </w:rPr>
    </w:lvl>
    <w:lvl w:ilvl="7">
      <w:start w:val="0"/>
      <w:numFmt w:val="bullet"/>
      <w:lvlText w:val="•"/>
      <w:lvlJc w:val="left"/>
      <w:pPr>
        <w:ind w:left="5348" w:hanging="529"/>
      </w:pPr>
      <w:rPr>
        <w:rFonts w:hint="default"/>
        <w:lang w:val="en-US" w:eastAsia="zh-CN" w:bidi="ar-SA"/>
      </w:rPr>
    </w:lvl>
    <w:lvl w:ilvl="8">
      <w:start w:val="0"/>
      <w:numFmt w:val="bullet"/>
      <w:lvlText w:val="•"/>
      <w:lvlJc w:val="left"/>
      <w:pPr>
        <w:ind w:left="6000" w:hanging="529"/>
      </w:pPr>
      <w:rPr>
        <w:rFonts w:hint="default"/>
        <w:lang w:val="en-US" w:eastAsia="zh-CN" w:bidi="ar-SA"/>
      </w:rPr>
    </w:lvl>
  </w:abstractNum>
  <w:abstractNum w:abstractNumId="52">
    <w:multiLevelType w:val="hybridMultilevel"/>
    <w:lvl w:ilvl="0">
      <w:start w:val="1"/>
      <w:numFmt w:val="decimal"/>
      <w:lvlText w:val="（%1）"/>
      <w:lvlJc w:val="left"/>
      <w:pPr>
        <w:ind w:left="772"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432" w:hanging="529"/>
      </w:pPr>
      <w:rPr>
        <w:rFonts w:hint="default"/>
        <w:lang w:val="en-US" w:eastAsia="zh-CN" w:bidi="ar-SA"/>
      </w:rPr>
    </w:lvl>
    <w:lvl w:ilvl="2">
      <w:start w:val="0"/>
      <w:numFmt w:val="bullet"/>
      <w:lvlText w:val="•"/>
      <w:lvlJc w:val="left"/>
      <w:pPr>
        <w:ind w:left="2085" w:hanging="529"/>
      </w:pPr>
      <w:rPr>
        <w:rFonts w:hint="default"/>
        <w:lang w:val="en-US" w:eastAsia="zh-CN" w:bidi="ar-SA"/>
      </w:rPr>
    </w:lvl>
    <w:lvl w:ilvl="3">
      <w:start w:val="0"/>
      <w:numFmt w:val="bullet"/>
      <w:lvlText w:val="•"/>
      <w:lvlJc w:val="left"/>
      <w:pPr>
        <w:ind w:left="2737" w:hanging="529"/>
      </w:pPr>
      <w:rPr>
        <w:rFonts w:hint="default"/>
        <w:lang w:val="en-US" w:eastAsia="zh-CN" w:bidi="ar-SA"/>
      </w:rPr>
    </w:lvl>
    <w:lvl w:ilvl="4">
      <w:start w:val="0"/>
      <w:numFmt w:val="bullet"/>
      <w:lvlText w:val="•"/>
      <w:lvlJc w:val="left"/>
      <w:pPr>
        <w:ind w:left="3390" w:hanging="529"/>
      </w:pPr>
      <w:rPr>
        <w:rFonts w:hint="default"/>
        <w:lang w:val="en-US" w:eastAsia="zh-CN" w:bidi="ar-SA"/>
      </w:rPr>
    </w:lvl>
    <w:lvl w:ilvl="5">
      <w:start w:val="0"/>
      <w:numFmt w:val="bullet"/>
      <w:lvlText w:val="•"/>
      <w:lvlJc w:val="left"/>
      <w:pPr>
        <w:ind w:left="4042" w:hanging="529"/>
      </w:pPr>
      <w:rPr>
        <w:rFonts w:hint="default"/>
        <w:lang w:val="en-US" w:eastAsia="zh-CN" w:bidi="ar-SA"/>
      </w:rPr>
    </w:lvl>
    <w:lvl w:ilvl="6">
      <w:start w:val="0"/>
      <w:numFmt w:val="bullet"/>
      <w:lvlText w:val="•"/>
      <w:lvlJc w:val="left"/>
      <w:pPr>
        <w:ind w:left="4695" w:hanging="529"/>
      </w:pPr>
      <w:rPr>
        <w:rFonts w:hint="default"/>
        <w:lang w:val="en-US" w:eastAsia="zh-CN" w:bidi="ar-SA"/>
      </w:rPr>
    </w:lvl>
    <w:lvl w:ilvl="7">
      <w:start w:val="0"/>
      <w:numFmt w:val="bullet"/>
      <w:lvlText w:val="•"/>
      <w:lvlJc w:val="left"/>
      <w:pPr>
        <w:ind w:left="5348" w:hanging="529"/>
      </w:pPr>
      <w:rPr>
        <w:rFonts w:hint="default"/>
        <w:lang w:val="en-US" w:eastAsia="zh-CN" w:bidi="ar-SA"/>
      </w:rPr>
    </w:lvl>
    <w:lvl w:ilvl="8">
      <w:start w:val="0"/>
      <w:numFmt w:val="bullet"/>
      <w:lvlText w:val="•"/>
      <w:lvlJc w:val="left"/>
      <w:pPr>
        <w:ind w:left="6000" w:hanging="529"/>
      </w:pPr>
      <w:rPr>
        <w:rFonts w:hint="default"/>
        <w:lang w:val="en-US" w:eastAsia="zh-CN" w:bidi="ar-SA"/>
      </w:rPr>
    </w:lvl>
  </w:abstractNum>
  <w:abstractNum w:abstractNumId="51">
    <w:multiLevelType w:val="hybridMultilevel"/>
    <w:lvl w:ilvl="0">
      <w:start w:val="1"/>
      <w:numFmt w:val="decimal"/>
      <w:lvlText w:val="（%1）"/>
      <w:lvlJc w:val="left"/>
      <w:pPr>
        <w:ind w:left="244" w:hanging="529"/>
        <w:jc w:val="left"/>
      </w:pPr>
      <w:rPr>
        <w:rFonts w:hint="default" w:ascii="宋体" w:hAnsi="宋体" w:eastAsia="宋体" w:cs="宋体"/>
        <w:b w:val="0"/>
        <w:bCs w:val="0"/>
        <w:i w:val="0"/>
        <w:iCs w:val="0"/>
        <w:w w:val="100"/>
        <w:sz w:val="19"/>
        <w:szCs w:val="19"/>
        <w:lang w:val="en-US" w:eastAsia="zh-CN" w:bidi="ar-SA"/>
      </w:rPr>
    </w:lvl>
    <w:lvl w:ilvl="1">
      <w:start w:val="1"/>
      <w:numFmt w:val="decimal"/>
      <w:lvlText w:val="（%2）"/>
      <w:lvlJc w:val="left"/>
      <w:pPr>
        <w:ind w:left="878" w:hanging="529"/>
        <w:jc w:val="left"/>
      </w:pPr>
      <w:rPr>
        <w:rFonts w:hint="default" w:ascii="宋体" w:hAnsi="宋体" w:eastAsia="宋体" w:cs="宋体"/>
        <w:b w:val="0"/>
        <w:bCs w:val="0"/>
        <w:i w:val="0"/>
        <w:iCs w:val="0"/>
        <w:spacing w:val="-2"/>
        <w:w w:val="100"/>
        <w:sz w:val="19"/>
        <w:szCs w:val="19"/>
        <w:lang w:val="en-US" w:eastAsia="zh-CN" w:bidi="ar-SA"/>
      </w:rPr>
    </w:lvl>
    <w:lvl w:ilvl="2">
      <w:start w:val="1"/>
      <w:numFmt w:val="lowerLetter"/>
      <w:lvlText w:val="%3."/>
      <w:lvlJc w:val="left"/>
      <w:pPr>
        <w:ind w:left="771" w:hanging="213"/>
        <w:jc w:val="left"/>
      </w:pPr>
      <w:rPr>
        <w:rFonts w:hint="default" w:ascii="宋体" w:hAnsi="宋体" w:eastAsia="宋体" w:cs="宋体"/>
        <w:b w:val="0"/>
        <w:bCs w:val="0"/>
        <w:i w:val="0"/>
        <w:iCs w:val="0"/>
        <w:w w:val="100"/>
        <w:sz w:val="19"/>
        <w:szCs w:val="19"/>
        <w:lang w:val="en-US" w:eastAsia="zh-CN" w:bidi="ar-SA"/>
      </w:rPr>
    </w:lvl>
    <w:lvl w:ilvl="3">
      <w:start w:val="0"/>
      <w:numFmt w:val="bullet"/>
      <w:lvlText w:val="•"/>
      <w:lvlJc w:val="left"/>
      <w:pPr>
        <w:ind w:left="1683" w:hanging="213"/>
      </w:pPr>
      <w:rPr>
        <w:rFonts w:hint="default"/>
        <w:lang w:val="en-US" w:eastAsia="zh-CN" w:bidi="ar-SA"/>
      </w:rPr>
    </w:lvl>
    <w:lvl w:ilvl="4">
      <w:start w:val="0"/>
      <w:numFmt w:val="bullet"/>
      <w:lvlText w:val="•"/>
      <w:lvlJc w:val="left"/>
      <w:pPr>
        <w:ind w:left="2486" w:hanging="213"/>
      </w:pPr>
      <w:rPr>
        <w:rFonts w:hint="default"/>
        <w:lang w:val="en-US" w:eastAsia="zh-CN" w:bidi="ar-SA"/>
      </w:rPr>
    </w:lvl>
    <w:lvl w:ilvl="5">
      <w:start w:val="0"/>
      <w:numFmt w:val="bullet"/>
      <w:lvlText w:val="•"/>
      <w:lvlJc w:val="left"/>
      <w:pPr>
        <w:ind w:left="3289" w:hanging="213"/>
      </w:pPr>
      <w:rPr>
        <w:rFonts w:hint="default"/>
        <w:lang w:val="en-US" w:eastAsia="zh-CN" w:bidi="ar-SA"/>
      </w:rPr>
    </w:lvl>
    <w:lvl w:ilvl="6">
      <w:start w:val="0"/>
      <w:numFmt w:val="bullet"/>
      <w:lvlText w:val="•"/>
      <w:lvlJc w:val="left"/>
      <w:pPr>
        <w:ind w:left="4093" w:hanging="213"/>
      </w:pPr>
      <w:rPr>
        <w:rFonts w:hint="default"/>
        <w:lang w:val="en-US" w:eastAsia="zh-CN" w:bidi="ar-SA"/>
      </w:rPr>
    </w:lvl>
    <w:lvl w:ilvl="7">
      <w:start w:val="0"/>
      <w:numFmt w:val="bullet"/>
      <w:lvlText w:val="•"/>
      <w:lvlJc w:val="left"/>
      <w:pPr>
        <w:ind w:left="4896" w:hanging="213"/>
      </w:pPr>
      <w:rPr>
        <w:rFonts w:hint="default"/>
        <w:lang w:val="en-US" w:eastAsia="zh-CN" w:bidi="ar-SA"/>
      </w:rPr>
    </w:lvl>
    <w:lvl w:ilvl="8">
      <w:start w:val="0"/>
      <w:numFmt w:val="bullet"/>
      <w:lvlText w:val="•"/>
      <w:lvlJc w:val="left"/>
      <w:pPr>
        <w:ind w:left="5699" w:hanging="213"/>
      </w:pPr>
      <w:rPr>
        <w:rFonts w:hint="default"/>
        <w:lang w:val="en-US" w:eastAsia="zh-CN" w:bidi="ar-SA"/>
      </w:rPr>
    </w:lvl>
  </w:abstractNum>
  <w:abstractNum w:abstractNumId="50">
    <w:multiLevelType w:val="hybridMultilevel"/>
    <w:lvl w:ilvl="0">
      <w:start w:val="1"/>
      <w:numFmt w:val="decimal"/>
      <w:lvlText w:val="（%1）"/>
      <w:lvlJc w:val="left"/>
      <w:pPr>
        <w:ind w:left="87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533" w:hanging="529"/>
      </w:pPr>
      <w:rPr>
        <w:rFonts w:hint="default"/>
        <w:lang w:val="en-US" w:eastAsia="zh-CN" w:bidi="ar-SA"/>
      </w:rPr>
    </w:lvl>
    <w:lvl w:ilvl="2">
      <w:start w:val="0"/>
      <w:numFmt w:val="bullet"/>
      <w:lvlText w:val="•"/>
      <w:lvlJc w:val="left"/>
      <w:pPr>
        <w:ind w:left="2186" w:hanging="529"/>
      </w:pPr>
      <w:rPr>
        <w:rFonts w:hint="default"/>
        <w:lang w:val="en-US" w:eastAsia="zh-CN" w:bidi="ar-SA"/>
      </w:rPr>
    </w:lvl>
    <w:lvl w:ilvl="3">
      <w:start w:val="0"/>
      <w:numFmt w:val="bullet"/>
      <w:lvlText w:val="•"/>
      <w:lvlJc w:val="left"/>
      <w:pPr>
        <w:ind w:left="2839" w:hanging="529"/>
      </w:pPr>
      <w:rPr>
        <w:rFonts w:hint="default"/>
        <w:lang w:val="en-US" w:eastAsia="zh-CN" w:bidi="ar-SA"/>
      </w:rPr>
    </w:lvl>
    <w:lvl w:ilvl="4">
      <w:start w:val="0"/>
      <w:numFmt w:val="bullet"/>
      <w:lvlText w:val="•"/>
      <w:lvlJc w:val="left"/>
      <w:pPr>
        <w:ind w:left="3492" w:hanging="529"/>
      </w:pPr>
      <w:rPr>
        <w:rFonts w:hint="default"/>
        <w:lang w:val="en-US" w:eastAsia="zh-CN" w:bidi="ar-SA"/>
      </w:rPr>
    </w:lvl>
    <w:lvl w:ilvl="5">
      <w:start w:val="0"/>
      <w:numFmt w:val="bullet"/>
      <w:lvlText w:val="•"/>
      <w:lvlJc w:val="left"/>
      <w:pPr>
        <w:ind w:left="4145" w:hanging="529"/>
      </w:pPr>
      <w:rPr>
        <w:rFonts w:hint="default"/>
        <w:lang w:val="en-US" w:eastAsia="zh-CN" w:bidi="ar-SA"/>
      </w:rPr>
    </w:lvl>
    <w:lvl w:ilvl="6">
      <w:start w:val="0"/>
      <w:numFmt w:val="bullet"/>
      <w:lvlText w:val="•"/>
      <w:lvlJc w:val="left"/>
      <w:pPr>
        <w:ind w:left="4798" w:hanging="529"/>
      </w:pPr>
      <w:rPr>
        <w:rFonts w:hint="default"/>
        <w:lang w:val="en-US" w:eastAsia="zh-CN" w:bidi="ar-SA"/>
      </w:rPr>
    </w:lvl>
    <w:lvl w:ilvl="7">
      <w:start w:val="0"/>
      <w:numFmt w:val="bullet"/>
      <w:lvlText w:val="•"/>
      <w:lvlJc w:val="left"/>
      <w:pPr>
        <w:ind w:left="5451" w:hanging="529"/>
      </w:pPr>
      <w:rPr>
        <w:rFonts w:hint="default"/>
        <w:lang w:val="en-US" w:eastAsia="zh-CN" w:bidi="ar-SA"/>
      </w:rPr>
    </w:lvl>
    <w:lvl w:ilvl="8">
      <w:start w:val="0"/>
      <w:numFmt w:val="bullet"/>
      <w:lvlText w:val="•"/>
      <w:lvlJc w:val="left"/>
      <w:pPr>
        <w:ind w:left="6105" w:hanging="529"/>
      </w:pPr>
      <w:rPr>
        <w:rFonts w:hint="default"/>
        <w:lang w:val="en-US" w:eastAsia="zh-CN" w:bidi="ar-SA"/>
      </w:rPr>
    </w:lvl>
  </w:abstractNum>
  <w:abstractNum w:abstractNumId="49">
    <w:multiLevelType w:val="hybridMultilevel"/>
    <w:lvl w:ilvl="0">
      <w:start w:val="1"/>
      <w:numFmt w:val="decimal"/>
      <w:lvlText w:val="（%1）"/>
      <w:lvlJc w:val="left"/>
      <w:pPr>
        <w:ind w:left="243" w:hanging="529"/>
        <w:jc w:val="left"/>
      </w:pPr>
      <w:rPr>
        <w:rFonts w:hint="default" w:ascii="宋体" w:hAnsi="宋体" w:eastAsia="宋体" w:cs="宋体"/>
        <w:b w:val="0"/>
        <w:bCs w:val="0"/>
        <w:i w:val="0"/>
        <w:iCs w:val="0"/>
        <w:w w:val="100"/>
        <w:sz w:val="19"/>
        <w:szCs w:val="19"/>
        <w:lang w:val="en-US" w:eastAsia="zh-CN" w:bidi="ar-SA"/>
      </w:rPr>
    </w:lvl>
    <w:lvl w:ilvl="1">
      <w:start w:val="1"/>
      <w:numFmt w:val="decimal"/>
      <w:lvlText w:val="（%2）"/>
      <w:lvlJc w:val="left"/>
      <w:pPr>
        <w:ind w:left="349" w:hanging="529"/>
        <w:jc w:val="left"/>
      </w:pPr>
      <w:rPr>
        <w:rFonts w:hint="default" w:ascii="宋体" w:hAnsi="宋体" w:eastAsia="宋体" w:cs="宋体"/>
        <w:b w:val="0"/>
        <w:bCs w:val="0"/>
        <w:i w:val="0"/>
        <w:iCs w:val="0"/>
        <w:w w:val="100"/>
        <w:sz w:val="19"/>
        <w:szCs w:val="19"/>
        <w:lang w:val="en-US" w:eastAsia="zh-CN" w:bidi="ar-SA"/>
      </w:rPr>
    </w:lvl>
    <w:lvl w:ilvl="2">
      <w:start w:val="1"/>
      <w:numFmt w:val="lowerLetter"/>
      <w:lvlText w:val="%3."/>
      <w:lvlJc w:val="left"/>
      <w:pPr>
        <w:ind w:left="984" w:hanging="213"/>
        <w:jc w:val="left"/>
      </w:pPr>
      <w:rPr>
        <w:rFonts w:hint="default" w:ascii="宋体" w:hAnsi="宋体" w:eastAsia="宋体" w:cs="宋体"/>
        <w:b w:val="0"/>
        <w:bCs w:val="0"/>
        <w:i w:val="0"/>
        <w:iCs w:val="0"/>
        <w:w w:val="100"/>
        <w:sz w:val="19"/>
        <w:szCs w:val="19"/>
        <w:lang w:val="en-US" w:eastAsia="zh-CN" w:bidi="ar-SA"/>
      </w:rPr>
    </w:lvl>
    <w:lvl w:ilvl="3">
      <w:start w:val="0"/>
      <w:numFmt w:val="bullet"/>
      <w:lvlText w:val="•"/>
      <w:lvlJc w:val="left"/>
      <w:pPr>
        <w:ind w:left="1770" w:hanging="213"/>
      </w:pPr>
      <w:rPr>
        <w:rFonts w:hint="default"/>
        <w:lang w:val="en-US" w:eastAsia="zh-CN" w:bidi="ar-SA"/>
      </w:rPr>
    </w:lvl>
    <w:lvl w:ilvl="4">
      <w:start w:val="0"/>
      <w:numFmt w:val="bullet"/>
      <w:lvlText w:val="•"/>
      <w:lvlJc w:val="left"/>
      <w:pPr>
        <w:ind w:left="2561" w:hanging="213"/>
      </w:pPr>
      <w:rPr>
        <w:rFonts w:hint="default"/>
        <w:lang w:val="en-US" w:eastAsia="zh-CN" w:bidi="ar-SA"/>
      </w:rPr>
    </w:lvl>
    <w:lvl w:ilvl="5">
      <w:start w:val="0"/>
      <w:numFmt w:val="bullet"/>
      <w:lvlText w:val="•"/>
      <w:lvlJc w:val="left"/>
      <w:pPr>
        <w:ind w:left="3352" w:hanging="213"/>
      </w:pPr>
      <w:rPr>
        <w:rFonts w:hint="default"/>
        <w:lang w:val="en-US" w:eastAsia="zh-CN" w:bidi="ar-SA"/>
      </w:rPr>
    </w:lvl>
    <w:lvl w:ilvl="6">
      <w:start w:val="0"/>
      <w:numFmt w:val="bullet"/>
      <w:lvlText w:val="•"/>
      <w:lvlJc w:val="left"/>
      <w:pPr>
        <w:ind w:left="4142" w:hanging="213"/>
      </w:pPr>
      <w:rPr>
        <w:rFonts w:hint="default"/>
        <w:lang w:val="en-US" w:eastAsia="zh-CN" w:bidi="ar-SA"/>
      </w:rPr>
    </w:lvl>
    <w:lvl w:ilvl="7">
      <w:start w:val="0"/>
      <w:numFmt w:val="bullet"/>
      <w:lvlText w:val="•"/>
      <w:lvlJc w:val="left"/>
      <w:pPr>
        <w:ind w:left="4933" w:hanging="213"/>
      </w:pPr>
      <w:rPr>
        <w:rFonts w:hint="default"/>
        <w:lang w:val="en-US" w:eastAsia="zh-CN" w:bidi="ar-SA"/>
      </w:rPr>
    </w:lvl>
    <w:lvl w:ilvl="8">
      <w:start w:val="0"/>
      <w:numFmt w:val="bullet"/>
      <w:lvlText w:val="•"/>
      <w:lvlJc w:val="left"/>
      <w:pPr>
        <w:ind w:left="5724" w:hanging="213"/>
      </w:pPr>
      <w:rPr>
        <w:rFonts w:hint="default"/>
        <w:lang w:val="en-US" w:eastAsia="zh-CN" w:bidi="ar-SA"/>
      </w:rPr>
    </w:lvl>
  </w:abstractNum>
  <w:abstractNum w:abstractNumId="48">
    <w:multiLevelType w:val="hybridMultilevel"/>
    <w:lvl w:ilvl="0">
      <w:start w:val="1"/>
      <w:numFmt w:val="decimal"/>
      <w:lvlText w:val="（%1）"/>
      <w:lvlJc w:val="left"/>
      <w:pPr>
        <w:ind w:left="243" w:hanging="529"/>
        <w:jc w:val="righ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946" w:hanging="529"/>
      </w:pPr>
      <w:rPr>
        <w:rFonts w:hint="default"/>
        <w:lang w:val="en-US" w:eastAsia="zh-CN" w:bidi="ar-SA"/>
      </w:rPr>
    </w:lvl>
    <w:lvl w:ilvl="2">
      <w:start w:val="0"/>
      <w:numFmt w:val="bullet"/>
      <w:lvlText w:val="•"/>
      <w:lvlJc w:val="left"/>
      <w:pPr>
        <w:ind w:left="1653" w:hanging="529"/>
      </w:pPr>
      <w:rPr>
        <w:rFonts w:hint="default"/>
        <w:lang w:val="en-US" w:eastAsia="zh-CN" w:bidi="ar-SA"/>
      </w:rPr>
    </w:lvl>
    <w:lvl w:ilvl="3">
      <w:start w:val="0"/>
      <w:numFmt w:val="bullet"/>
      <w:lvlText w:val="•"/>
      <w:lvlJc w:val="left"/>
      <w:pPr>
        <w:ind w:left="2359" w:hanging="529"/>
      </w:pPr>
      <w:rPr>
        <w:rFonts w:hint="default"/>
        <w:lang w:val="en-US" w:eastAsia="zh-CN" w:bidi="ar-SA"/>
      </w:rPr>
    </w:lvl>
    <w:lvl w:ilvl="4">
      <w:start w:val="0"/>
      <w:numFmt w:val="bullet"/>
      <w:lvlText w:val="•"/>
      <w:lvlJc w:val="left"/>
      <w:pPr>
        <w:ind w:left="3066" w:hanging="529"/>
      </w:pPr>
      <w:rPr>
        <w:rFonts w:hint="default"/>
        <w:lang w:val="en-US" w:eastAsia="zh-CN" w:bidi="ar-SA"/>
      </w:rPr>
    </w:lvl>
    <w:lvl w:ilvl="5">
      <w:start w:val="0"/>
      <w:numFmt w:val="bullet"/>
      <w:lvlText w:val="•"/>
      <w:lvlJc w:val="left"/>
      <w:pPr>
        <w:ind w:left="3772" w:hanging="529"/>
      </w:pPr>
      <w:rPr>
        <w:rFonts w:hint="default"/>
        <w:lang w:val="en-US" w:eastAsia="zh-CN" w:bidi="ar-SA"/>
      </w:rPr>
    </w:lvl>
    <w:lvl w:ilvl="6">
      <w:start w:val="0"/>
      <w:numFmt w:val="bullet"/>
      <w:lvlText w:val="•"/>
      <w:lvlJc w:val="left"/>
      <w:pPr>
        <w:ind w:left="4479" w:hanging="529"/>
      </w:pPr>
      <w:rPr>
        <w:rFonts w:hint="default"/>
        <w:lang w:val="en-US" w:eastAsia="zh-CN" w:bidi="ar-SA"/>
      </w:rPr>
    </w:lvl>
    <w:lvl w:ilvl="7">
      <w:start w:val="0"/>
      <w:numFmt w:val="bullet"/>
      <w:lvlText w:val="•"/>
      <w:lvlJc w:val="left"/>
      <w:pPr>
        <w:ind w:left="5186" w:hanging="529"/>
      </w:pPr>
      <w:rPr>
        <w:rFonts w:hint="default"/>
        <w:lang w:val="en-US" w:eastAsia="zh-CN" w:bidi="ar-SA"/>
      </w:rPr>
    </w:lvl>
    <w:lvl w:ilvl="8">
      <w:start w:val="0"/>
      <w:numFmt w:val="bullet"/>
      <w:lvlText w:val="•"/>
      <w:lvlJc w:val="left"/>
      <w:pPr>
        <w:ind w:left="5892" w:hanging="529"/>
      </w:pPr>
      <w:rPr>
        <w:rFonts w:hint="default"/>
        <w:lang w:val="en-US" w:eastAsia="zh-CN" w:bidi="ar-SA"/>
      </w:rPr>
    </w:lvl>
  </w:abstractNum>
  <w:abstractNum w:abstractNumId="47">
    <w:multiLevelType w:val="hybridMultilevel"/>
    <w:lvl w:ilvl="0">
      <w:start w:val="1"/>
      <w:numFmt w:val="decimal"/>
      <w:lvlText w:val="（%1）"/>
      <w:lvlJc w:val="left"/>
      <w:pPr>
        <w:ind w:left="349"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047" w:hanging="529"/>
      </w:pPr>
      <w:rPr>
        <w:rFonts w:hint="default"/>
        <w:lang w:val="en-US" w:eastAsia="zh-CN" w:bidi="ar-SA"/>
      </w:rPr>
    </w:lvl>
    <w:lvl w:ilvl="2">
      <w:start w:val="0"/>
      <w:numFmt w:val="bullet"/>
      <w:lvlText w:val="•"/>
      <w:lvlJc w:val="left"/>
      <w:pPr>
        <w:ind w:left="1754" w:hanging="529"/>
      </w:pPr>
      <w:rPr>
        <w:rFonts w:hint="default"/>
        <w:lang w:val="en-US" w:eastAsia="zh-CN" w:bidi="ar-SA"/>
      </w:rPr>
    </w:lvl>
    <w:lvl w:ilvl="3">
      <w:start w:val="0"/>
      <w:numFmt w:val="bullet"/>
      <w:lvlText w:val="•"/>
      <w:lvlJc w:val="left"/>
      <w:pPr>
        <w:ind w:left="2461" w:hanging="529"/>
      </w:pPr>
      <w:rPr>
        <w:rFonts w:hint="default"/>
        <w:lang w:val="en-US" w:eastAsia="zh-CN" w:bidi="ar-SA"/>
      </w:rPr>
    </w:lvl>
    <w:lvl w:ilvl="4">
      <w:start w:val="0"/>
      <w:numFmt w:val="bullet"/>
      <w:lvlText w:val="•"/>
      <w:lvlJc w:val="left"/>
      <w:pPr>
        <w:ind w:left="3168" w:hanging="529"/>
      </w:pPr>
      <w:rPr>
        <w:rFonts w:hint="default"/>
        <w:lang w:val="en-US" w:eastAsia="zh-CN" w:bidi="ar-SA"/>
      </w:rPr>
    </w:lvl>
    <w:lvl w:ilvl="5">
      <w:start w:val="0"/>
      <w:numFmt w:val="bullet"/>
      <w:lvlText w:val="•"/>
      <w:lvlJc w:val="left"/>
      <w:pPr>
        <w:ind w:left="3875" w:hanging="529"/>
      </w:pPr>
      <w:rPr>
        <w:rFonts w:hint="default"/>
        <w:lang w:val="en-US" w:eastAsia="zh-CN" w:bidi="ar-SA"/>
      </w:rPr>
    </w:lvl>
    <w:lvl w:ilvl="6">
      <w:start w:val="0"/>
      <w:numFmt w:val="bullet"/>
      <w:lvlText w:val="•"/>
      <w:lvlJc w:val="left"/>
      <w:pPr>
        <w:ind w:left="4582" w:hanging="529"/>
      </w:pPr>
      <w:rPr>
        <w:rFonts w:hint="default"/>
        <w:lang w:val="en-US" w:eastAsia="zh-CN" w:bidi="ar-SA"/>
      </w:rPr>
    </w:lvl>
    <w:lvl w:ilvl="7">
      <w:start w:val="0"/>
      <w:numFmt w:val="bullet"/>
      <w:lvlText w:val="•"/>
      <w:lvlJc w:val="left"/>
      <w:pPr>
        <w:ind w:left="5289" w:hanging="529"/>
      </w:pPr>
      <w:rPr>
        <w:rFonts w:hint="default"/>
        <w:lang w:val="en-US" w:eastAsia="zh-CN" w:bidi="ar-SA"/>
      </w:rPr>
    </w:lvl>
    <w:lvl w:ilvl="8">
      <w:start w:val="0"/>
      <w:numFmt w:val="bullet"/>
      <w:lvlText w:val="•"/>
      <w:lvlJc w:val="left"/>
      <w:pPr>
        <w:ind w:left="5997" w:hanging="529"/>
      </w:pPr>
      <w:rPr>
        <w:rFonts w:hint="default"/>
        <w:lang w:val="en-US" w:eastAsia="zh-CN" w:bidi="ar-SA"/>
      </w:rPr>
    </w:lvl>
  </w:abstractNum>
  <w:abstractNum w:abstractNumId="46">
    <w:multiLevelType w:val="hybridMultilevel"/>
    <w:lvl w:ilvl="0">
      <w:start w:val="1"/>
      <w:numFmt w:val="decimal"/>
      <w:lvlText w:val="（%1）"/>
      <w:lvlJc w:val="left"/>
      <w:pPr>
        <w:ind w:left="244" w:hanging="529"/>
        <w:jc w:val="left"/>
      </w:pPr>
      <w:rPr>
        <w:rFonts w:hint="default" w:ascii="宋体" w:hAnsi="宋体" w:eastAsia="宋体" w:cs="宋体"/>
        <w:b w:val="0"/>
        <w:bCs w:val="0"/>
        <w:i w:val="0"/>
        <w:iCs w:val="0"/>
        <w:w w:val="100"/>
        <w:sz w:val="19"/>
        <w:szCs w:val="19"/>
        <w:lang w:val="en-US" w:eastAsia="zh-CN" w:bidi="ar-SA"/>
      </w:rPr>
    </w:lvl>
    <w:lvl w:ilvl="1">
      <w:start w:val="1"/>
      <w:numFmt w:val="decimal"/>
      <w:lvlText w:val="（%2）"/>
      <w:lvlJc w:val="left"/>
      <w:pPr>
        <w:ind w:left="349" w:hanging="529"/>
        <w:jc w:val="left"/>
      </w:pPr>
      <w:rPr>
        <w:rFonts w:hint="default" w:ascii="宋体" w:hAnsi="宋体" w:eastAsia="宋体" w:cs="宋体"/>
        <w:b w:val="0"/>
        <w:bCs w:val="0"/>
        <w:i w:val="0"/>
        <w:iCs w:val="0"/>
        <w:w w:val="100"/>
        <w:sz w:val="19"/>
        <w:szCs w:val="19"/>
        <w:lang w:val="en-US" w:eastAsia="zh-CN" w:bidi="ar-SA"/>
      </w:rPr>
    </w:lvl>
    <w:lvl w:ilvl="2">
      <w:start w:val="0"/>
      <w:numFmt w:val="bullet"/>
      <w:lvlText w:val="•"/>
      <w:lvlJc w:val="left"/>
      <w:pPr>
        <w:ind w:left="1114" w:hanging="529"/>
      </w:pPr>
      <w:rPr>
        <w:rFonts w:hint="default"/>
        <w:lang w:val="en-US" w:eastAsia="zh-CN" w:bidi="ar-SA"/>
      </w:rPr>
    </w:lvl>
    <w:lvl w:ilvl="3">
      <w:start w:val="0"/>
      <w:numFmt w:val="bullet"/>
      <w:lvlText w:val="•"/>
      <w:lvlJc w:val="left"/>
      <w:pPr>
        <w:ind w:left="1888" w:hanging="529"/>
      </w:pPr>
      <w:rPr>
        <w:rFonts w:hint="default"/>
        <w:lang w:val="en-US" w:eastAsia="zh-CN" w:bidi="ar-SA"/>
      </w:rPr>
    </w:lvl>
    <w:lvl w:ilvl="4">
      <w:start w:val="0"/>
      <w:numFmt w:val="bullet"/>
      <w:lvlText w:val="•"/>
      <w:lvlJc w:val="left"/>
      <w:pPr>
        <w:ind w:left="2662" w:hanging="529"/>
      </w:pPr>
      <w:rPr>
        <w:rFonts w:hint="default"/>
        <w:lang w:val="en-US" w:eastAsia="zh-CN" w:bidi="ar-SA"/>
      </w:rPr>
    </w:lvl>
    <w:lvl w:ilvl="5">
      <w:start w:val="0"/>
      <w:numFmt w:val="bullet"/>
      <w:lvlText w:val="•"/>
      <w:lvlJc w:val="left"/>
      <w:pPr>
        <w:ind w:left="3436" w:hanging="529"/>
      </w:pPr>
      <w:rPr>
        <w:rFonts w:hint="default"/>
        <w:lang w:val="en-US" w:eastAsia="zh-CN" w:bidi="ar-SA"/>
      </w:rPr>
    </w:lvl>
    <w:lvl w:ilvl="6">
      <w:start w:val="0"/>
      <w:numFmt w:val="bullet"/>
      <w:lvlText w:val="•"/>
      <w:lvlJc w:val="left"/>
      <w:pPr>
        <w:ind w:left="4210" w:hanging="529"/>
      </w:pPr>
      <w:rPr>
        <w:rFonts w:hint="default"/>
        <w:lang w:val="en-US" w:eastAsia="zh-CN" w:bidi="ar-SA"/>
      </w:rPr>
    </w:lvl>
    <w:lvl w:ilvl="7">
      <w:start w:val="0"/>
      <w:numFmt w:val="bullet"/>
      <w:lvlText w:val="•"/>
      <w:lvlJc w:val="left"/>
      <w:pPr>
        <w:ind w:left="4984" w:hanging="529"/>
      </w:pPr>
      <w:rPr>
        <w:rFonts w:hint="default"/>
        <w:lang w:val="en-US" w:eastAsia="zh-CN" w:bidi="ar-SA"/>
      </w:rPr>
    </w:lvl>
    <w:lvl w:ilvl="8">
      <w:start w:val="0"/>
      <w:numFmt w:val="bullet"/>
      <w:lvlText w:val="•"/>
      <w:lvlJc w:val="left"/>
      <w:pPr>
        <w:ind w:left="5758" w:hanging="529"/>
      </w:pPr>
      <w:rPr>
        <w:rFonts w:hint="default"/>
        <w:lang w:val="en-US" w:eastAsia="zh-CN" w:bidi="ar-SA"/>
      </w:rPr>
    </w:lvl>
  </w:abstractNum>
  <w:abstractNum w:abstractNumId="45">
    <w:multiLevelType w:val="hybridMultilevel"/>
    <w:lvl w:ilvl="0">
      <w:start w:val="1"/>
      <w:numFmt w:val="decimal"/>
      <w:lvlText w:val="（%1）"/>
      <w:lvlJc w:val="left"/>
      <w:pPr>
        <w:ind w:left="3462"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4166" w:hanging="529"/>
      </w:pPr>
      <w:rPr>
        <w:rFonts w:hint="default"/>
        <w:lang w:val="en-US" w:eastAsia="zh-CN" w:bidi="ar-SA"/>
      </w:rPr>
    </w:lvl>
    <w:lvl w:ilvl="2">
      <w:start w:val="0"/>
      <w:numFmt w:val="bullet"/>
      <w:lvlText w:val="•"/>
      <w:lvlJc w:val="left"/>
      <w:pPr>
        <w:ind w:left="4872" w:hanging="529"/>
      </w:pPr>
      <w:rPr>
        <w:rFonts w:hint="default"/>
        <w:lang w:val="en-US" w:eastAsia="zh-CN" w:bidi="ar-SA"/>
      </w:rPr>
    </w:lvl>
    <w:lvl w:ilvl="3">
      <w:start w:val="0"/>
      <w:numFmt w:val="bullet"/>
      <w:lvlText w:val="•"/>
      <w:lvlJc w:val="left"/>
      <w:pPr>
        <w:ind w:left="5579" w:hanging="529"/>
      </w:pPr>
      <w:rPr>
        <w:rFonts w:hint="default"/>
        <w:lang w:val="en-US" w:eastAsia="zh-CN" w:bidi="ar-SA"/>
      </w:rPr>
    </w:lvl>
    <w:lvl w:ilvl="4">
      <w:start w:val="0"/>
      <w:numFmt w:val="bullet"/>
      <w:lvlText w:val="•"/>
      <w:lvlJc w:val="left"/>
      <w:pPr>
        <w:ind w:left="6285" w:hanging="529"/>
      </w:pPr>
      <w:rPr>
        <w:rFonts w:hint="default"/>
        <w:lang w:val="en-US" w:eastAsia="zh-CN" w:bidi="ar-SA"/>
      </w:rPr>
    </w:lvl>
    <w:lvl w:ilvl="5">
      <w:start w:val="0"/>
      <w:numFmt w:val="bullet"/>
      <w:lvlText w:val="•"/>
      <w:lvlJc w:val="left"/>
      <w:pPr>
        <w:ind w:left="6992" w:hanging="529"/>
      </w:pPr>
      <w:rPr>
        <w:rFonts w:hint="default"/>
        <w:lang w:val="en-US" w:eastAsia="zh-CN" w:bidi="ar-SA"/>
      </w:rPr>
    </w:lvl>
    <w:lvl w:ilvl="6">
      <w:start w:val="0"/>
      <w:numFmt w:val="bullet"/>
      <w:lvlText w:val="•"/>
      <w:lvlJc w:val="left"/>
      <w:pPr>
        <w:ind w:left="7698" w:hanging="529"/>
      </w:pPr>
      <w:rPr>
        <w:rFonts w:hint="default"/>
        <w:lang w:val="en-US" w:eastAsia="zh-CN" w:bidi="ar-SA"/>
      </w:rPr>
    </w:lvl>
    <w:lvl w:ilvl="7">
      <w:start w:val="0"/>
      <w:numFmt w:val="bullet"/>
      <w:lvlText w:val="•"/>
      <w:lvlJc w:val="left"/>
      <w:pPr>
        <w:ind w:left="8404" w:hanging="529"/>
      </w:pPr>
      <w:rPr>
        <w:rFonts w:hint="default"/>
        <w:lang w:val="en-US" w:eastAsia="zh-CN" w:bidi="ar-SA"/>
      </w:rPr>
    </w:lvl>
    <w:lvl w:ilvl="8">
      <w:start w:val="0"/>
      <w:numFmt w:val="bullet"/>
      <w:lvlText w:val="•"/>
      <w:lvlJc w:val="left"/>
      <w:pPr>
        <w:ind w:left="9111" w:hanging="529"/>
      </w:pPr>
      <w:rPr>
        <w:rFonts w:hint="default"/>
        <w:lang w:val="en-US" w:eastAsia="zh-CN" w:bidi="ar-SA"/>
      </w:rPr>
    </w:lvl>
  </w:abstractNum>
  <w:abstractNum w:abstractNumId="44">
    <w:multiLevelType w:val="hybridMultilevel"/>
    <w:lvl w:ilvl="0">
      <w:start w:val="1"/>
      <w:numFmt w:val="decimal"/>
      <w:lvlText w:val="（%1）"/>
      <w:lvlJc w:val="left"/>
      <w:pPr>
        <w:ind w:left="87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533" w:hanging="529"/>
      </w:pPr>
      <w:rPr>
        <w:rFonts w:hint="default"/>
        <w:lang w:val="en-US" w:eastAsia="zh-CN" w:bidi="ar-SA"/>
      </w:rPr>
    </w:lvl>
    <w:lvl w:ilvl="2">
      <w:start w:val="0"/>
      <w:numFmt w:val="bullet"/>
      <w:lvlText w:val="•"/>
      <w:lvlJc w:val="left"/>
      <w:pPr>
        <w:ind w:left="2186" w:hanging="529"/>
      </w:pPr>
      <w:rPr>
        <w:rFonts w:hint="default"/>
        <w:lang w:val="en-US" w:eastAsia="zh-CN" w:bidi="ar-SA"/>
      </w:rPr>
    </w:lvl>
    <w:lvl w:ilvl="3">
      <w:start w:val="0"/>
      <w:numFmt w:val="bullet"/>
      <w:lvlText w:val="•"/>
      <w:lvlJc w:val="left"/>
      <w:pPr>
        <w:ind w:left="2839" w:hanging="529"/>
      </w:pPr>
      <w:rPr>
        <w:rFonts w:hint="default"/>
        <w:lang w:val="en-US" w:eastAsia="zh-CN" w:bidi="ar-SA"/>
      </w:rPr>
    </w:lvl>
    <w:lvl w:ilvl="4">
      <w:start w:val="0"/>
      <w:numFmt w:val="bullet"/>
      <w:lvlText w:val="•"/>
      <w:lvlJc w:val="left"/>
      <w:pPr>
        <w:ind w:left="3492" w:hanging="529"/>
      </w:pPr>
      <w:rPr>
        <w:rFonts w:hint="default"/>
        <w:lang w:val="en-US" w:eastAsia="zh-CN" w:bidi="ar-SA"/>
      </w:rPr>
    </w:lvl>
    <w:lvl w:ilvl="5">
      <w:start w:val="0"/>
      <w:numFmt w:val="bullet"/>
      <w:lvlText w:val="•"/>
      <w:lvlJc w:val="left"/>
      <w:pPr>
        <w:ind w:left="4145" w:hanging="529"/>
      </w:pPr>
      <w:rPr>
        <w:rFonts w:hint="default"/>
        <w:lang w:val="en-US" w:eastAsia="zh-CN" w:bidi="ar-SA"/>
      </w:rPr>
    </w:lvl>
    <w:lvl w:ilvl="6">
      <w:start w:val="0"/>
      <w:numFmt w:val="bullet"/>
      <w:lvlText w:val="•"/>
      <w:lvlJc w:val="left"/>
      <w:pPr>
        <w:ind w:left="4798" w:hanging="529"/>
      </w:pPr>
      <w:rPr>
        <w:rFonts w:hint="default"/>
        <w:lang w:val="en-US" w:eastAsia="zh-CN" w:bidi="ar-SA"/>
      </w:rPr>
    </w:lvl>
    <w:lvl w:ilvl="7">
      <w:start w:val="0"/>
      <w:numFmt w:val="bullet"/>
      <w:lvlText w:val="•"/>
      <w:lvlJc w:val="left"/>
      <w:pPr>
        <w:ind w:left="5451" w:hanging="529"/>
      </w:pPr>
      <w:rPr>
        <w:rFonts w:hint="default"/>
        <w:lang w:val="en-US" w:eastAsia="zh-CN" w:bidi="ar-SA"/>
      </w:rPr>
    </w:lvl>
    <w:lvl w:ilvl="8">
      <w:start w:val="0"/>
      <w:numFmt w:val="bullet"/>
      <w:lvlText w:val="•"/>
      <w:lvlJc w:val="left"/>
      <w:pPr>
        <w:ind w:left="6105" w:hanging="529"/>
      </w:pPr>
      <w:rPr>
        <w:rFonts w:hint="default"/>
        <w:lang w:val="en-US" w:eastAsia="zh-CN" w:bidi="ar-SA"/>
      </w:rPr>
    </w:lvl>
  </w:abstractNum>
  <w:abstractNum w:abstractNumId="43">
    <w:multiLevelType w:val="hybridMultilevel"/>
    <w:lvl w:ilvl="0">
      <w:start w:val="1"/>
      <w:numFmt w:val="decimal"/>
      <w:lvlText w:val="（%1）"/>
      <w:lvlJc w:val="left"/>
      <w:pPr>
        <w:ind w:left="244" w:hanging="529"/>
        <w:jc w:val="left"/>
      </w:pPr>
      <w:rPr>
        <w:rFonts w:hint="default" w:ascii="宋体" w:hAnsi="宋体" w:eastAsia="宋体" w:cs="宋体"/>
        <w:b w:val="0"/>
        <w:bCs w:val="0"/>
        <w:i w:val="0"/>
        <w:iCs w:val="0"/>
        <w:w w:val="100"/>
        <w:sz w:val="19"/>
        <w:szCs w:val="19"/>
        <w:lang w:val="en-US" w:eastAsia="zh-CN" w:bidi="ar-SA"/>
      </w:rPr>
    </w:lvl>
    <w:lvl w:ilvl="1">
      <w:start w:val="1"/>
      <w:numFmt w:val="decimal"/>
      <w:lvlText w:val="（%2）"/>
      <w:lvlJc w:val="left"/>
      <w:pPr>
        <w:ind w:left="349" w:hanging="529"/>
        <w:jc w:val="left"/>
      </w:pPr>
      <w:rPr>
        <w:rFonts w:hint="default" w:ascii="宋体" w:hAnsi="宋体" w:eastAsia="宋体" w:cs="宋体"/>
        <w:b w:val="0"/>
        <w:bCs w:val="0"/>
        <w:i w:val="0"/>
        <w:iCs w:val="0"/>
        <w:w w:val="100"/>
        <w:sz w:val="19"/>
        <w:szCs w:val="19"/>
        <w:lang w:val="en-US" w:eastAsia="zh-CN" w:bidi="ar-SA"/>
      </w:rPr>
    </w:lvl>
    <w:lvl w:ilvl="2">
      <w:start w:val="0"/>
      <w:numFmt w:val="bullet"/>
      <w:lvlText w:val="•"/>
      <w:lvlJc w:val="left"/>
      <w:pPr>
        <w:ind w:left="3460" w:hanging="529"/>
      </w:pPr>
      <w:rPr>
        <w:rFonts w:hint="default"/>
        <w:lang w:val="en-US" w:eastAsia="zh-CN" w:bidi="ar-SA"/>
      </w:rPr>
    </w:lvl>
    <w:lvl w:ilvl="3">
      <w:start w:val="0"/>
      <w:numFmt w:val="bullet"/>
      <w:lvlText w:val="•"/>
      <w:lvlJc w:val="left"/>
      <w:pPr>
        <w:ind w:left="3940" w:hanging="529"/>
      </w:pPr>
      <w:rPr>
        <w:rFonts w:hint="default"/>
        <w:lang w:val="en-US" w:eastAsia="zh-CN" w:bidi="ar-SA"/>
      </w:rPr>
    </w:lvl>
    <w:lvl w:ilvl="4">
      <w:start w:val="0"/>
      <w:numFmt w:val="bullet"/>
      <w:lvlText w:val="•"/>
      <w:lvlJc w:val="left"/>
      <w:pPr>
        <w:ind w:left="4421" w:hanging="529"/>
      </w:pPr>
      <w:rPr>
        <w:rFonts w:hint="default"/>
        <w:lang w:val="en-US" w:eastAsia="zh-CN" w:bidi="ar-SA"/>
      </w:rPr>
    </w:lvl>
    <w:lvl w:ilvl="5">
      <w:start w:val="0"/>
      <w:numFmt w:val="bullet"/>
      <w:lvlText w:val="•"/>
      <w:lvlJc w:val="left"/>
      <w:pPr>
        <w:ind w:left="4902" w:hanging="529"/>
      </w:pPr>
      <w:rPr>
        <w:rFonts w:hint="default"/>
        <w:lang w:val="en-US" w:eastAsia="zh-CN" w:bidi="ar-SA"/>
      </w:rPr>
    </w:lvl>
    <w:lvl w:ilvl="6">
      <w:start w:val="0"/>
      <w:numFmt w:val="bullet"/>
      <w:lvlText w:val="•"/>
      <w:lvlJc w:val="left"/>
      <w:pPr>
        <w:ind w:left="5383" w:hanging="529"/>
      </w:pPr>
      <w:rPr>
        <w:rFonts w:hint="default"/>
        <w:lang w:val="en-US" w:eastAsia="zh-CN" w:bidi="ar-SA"/>
      </w:rPr>
    </w:lvl>
    <w:lvl w:ilvl="7">
      <w:start w:val="0"/>
      <w:numFmt w:val="bullet"/>
      <w:lvlText w:val="•"/>
      <w:lvlJc w:val="left"/>
      <w:pPr>
        <w:ind w:left="5863" w:hanging="529"/>
      </w:pPr>
      <w:rPr>
        <w:rFonts w:hint="default"/>
        <w:lang w:val="en-US" w:eastAsia="zh-CN" w:bidi="ar-SA"/>
      </w:rPr>
    </w:lvl>
    <w:lvl w:ilvl="8">
      <w:start w:val="0"/>
      <w:numFmt w:val="bullet"/>
      <w:lvlText w:val="•"/>
      <w:lvlJc w:val="left"/>
      <w:pPr>
        <w:ind w:left="6344" w:hanging="529"/>
      </w:pPr>
      <w:rPr>
        <w:rFonts w:hint="default"/>
        <w:lang w:val="en-US" w:eastAsia="zh-CN" w:bidi="ar-SA"/>
      </w:rPr>
    </w:lvl>
  </w:abstractNum>
  <w:abstractNum w:abstractNumId="42">
    <w:multiLevelType w:val="hybridMultilevel"/>
    <w:lvl w:ilvl="0">
      <w:start w:val="1"/>
      <w:numFmt w:val="decimal"/>
      <w:lvlText w:val="（%1）"/>
      <w:lvlJc w:val="left"/>
      <w:pPr>
        <w:ind w:left="244"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946" w:hanging="529"/>
      </w:pPr>
      <w:rPr>
        <w:rFonts w:hint="default"/>
        <w:lang w:val="en-US" w:eastAsia="zh-CN" w:bidi="ar-SA"/>
      </w:rPr>
    </w:lvl>
    <w:lvl w:ilvl="2">
      <w:start w:val="0"/>
      <w:numFmt w:val="bullet"/>
      <w:lvlText w:val="•"/>
      <w:lvlJc w:val="left"/>
      <w:pPr>
        <w:ind w:left="1653" w:hanging="529"/>
      </w:pPr>
      <w:rPr>
        <w:rFonts w:hint="default"/>
        <w:lang w:val="en-US" w:eastAsia="zh-CN" w:bidi="ar-SA"/>
      </w:rPr>
    </w:lvl>
    <w:lvl w:ilvl="3">
      <w:start w:val="0"/>
      <w:numFmt w:val="bullet"/>
      <w:lvlText w:val="•"/>
      <w:lvlJc w:val="left"/>
      <w:pPr>
        <w:ind w:left="2359" w:hanging="529"/>
      </w:pPr>
      <w:rPr>
        <w:rFonts w:hint="default"/>
        <w:lang w:val="en-US" w:eastAsia="zh-CN" w:bidi="ar-SA"/>
      </w:rPr>
    </w:lvl>
    <w:lvl w:ilvl="4">
      <w:start w:val="0"/>
      <w:numFmt w:val="bullet"/>
      <w:lvlText w:val="•"/>
      <w:lvlJc w:val="left"/>
      <w:pPr>
        <w:ind w:left="3066" w:hanging="529"/>
      </w:pPr>
      <w:rPr>
        <w:rFonts w:hint="default"/>
        <w:lang w:val="en-US" w:eastAsia="zh-CN" w:bidi="ar-SA"/>
      </w:rPr>
    </w:lvl>
    <w:lvl w:ilvl="5">
      <w:start w:val="0"/>
      <w:numFmt w:val="bullet"/>
      <w:lvlText w:val="•"/>
      <w:lvlJc w:val="left"/>
      <w:pPr>
        <w:ind w:left="3773" w:hanging="529"/>
      </w:pPr>
      <w:rPr>
        <w:rFonts w:hint="default"/>
        <w:lang w:val="en-US" w:eastAsia="zh-CN" w:bidi="ar-SA"/>
      </w:rPr>
    </w:lvl>
    <w:lvl w:ilvl="6">
      <w:start w:val="0"/>
      <w:numFmt w:val="bullet"/>
      <w:lvlText w:val="•"/>
      <w:lvlJc w:val="left"/>
      <w:pPr>
        <w:ind w:left="4479" w:hanging="529"/>
      </w:pPr>
      <w:rPr>
        <w:rFonts w:hint="default"/>
        <w:lang w:val="en-US" w:eastAsia="zh-CN" w:bidi="ar-SA"/>
      </w:rPr>
    </w:lvl>
    <w:lvl w:ilvl="7">
      <w:start w:val="0"/>
      <w:numFmt w:val="bullet"/>
      <w:lvlText w:val="•"/>
      <w:lvlJc w:val="left"/>
      <w:pPr>
        <w:ind w:left="5186" w:hanging="529"/>
      </w:pPr>
      <w:rPr>
        <w:rFonts w:hint="default"/>
        <w:lang w:val="en-US" w:eastAsia="zh-CN" w:bidi="ar-SA"/>
      </w:rPr>
    </w:lvl>
    <w:lvl w:ilvl="8">
      <w:start w:val="0"/>
      <w:numFmt w:val="bullet"/>
      <w:lvlText w:val="•"/>
      <w:lvlJc w:val="left"/>
      <w:pPr>
        <w:ind w:left="5892" w:hanging="529"/>
      </w:pPr>
      <w:rPr>
        <w:rFonts w:hint="default"/>
        <w:lang w:val="en-US" w:eastAsia="zh-CN" w:bidi="ar-SA"/>
      </w:rPr>
    </w:lvl>
  </w:abstractNum>
  <w:abstractNum w:abstractNumId="41">
    <w:multiLevelType w:val="hybridMultilevel"/>
    <w:lvl w:ilvl="0">
      <w:start w:val="1"/>
      <w:numFmt w:val="decimal"/>
      <w:lvlText w:val="（%1）"/>
      <w:lvlJc w:val="left"/>
      <w:pPr>
        <w:ind w:left="87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533" w:hanging="529"/>
      </w:pPr>
      <w:rPr>
        <w:rFonts w:hint="default"/>
        <w:lang w:val="en-US" w:eastAsia="zh-CN" w:bidi="ar-SA"/>
      </w:rPr>
    </w:lvl>
    <w:lvl w:ilvl="2">
      <w:start w:val="0"/>
      <w:numFmt w:val="bullet"/>
      <w:lvlText w:val="•"/>
      <w:lvlJc w:val="left"/>
      <w:pPr>
        <w:ind w:left="2186" w:hanging="529"/>
      </w:pPr>
      <w:rPr>
        <w:rFonts w:hint="default"/>
        <w:lang w:val="en-US" w:eastAsia="zh-CN" w:bidi="ar-SA"/>
      </w:rPr>
    </w:lvl>
    <w:lvl w:ilvl="3">
      <w:start w:val="0"/>
      <w:numFmt w:val="bullet"/>
      <w:lvlText w:val="•"/>
      <w:lvlJc w:val="left"/>
      <w:pPr>
        <w:ind w:left="2839" w:hanging="529"/>
      </w:pPr>
      <w:rPr>
        <w:rFonts w:hint="default"/>
        <w:lang w:val="en-US" w:eastAsia="zh-CN" w:bidi="ar-SA"/>
      </w:rPr>
    </w:lvl>
    <w:lvl w:ilvl="4">
      <w:start w:val="0"/>
      <w:numFmt w:val="bullet"/>
      <w:lvlText w:val="•"/>
      <w:lvlJc w:val="left"/>
      <w:pPr>
        <w:ind w:left="3492" w:hanging="529"/>
      </w:pPr>
      <w:rPr>
        <w:rFonts w:hint="default"/>
        <w:lang w:val="en-US" w:eastAsia="zh-CN" w:bidi="ar-SA"/>
      </w:rPr>
    </w:lvl>
    <w:lvl w:ilvl="5">
      <w:start w:val="0"/>
      <w:numFmt w:val="bullet"/>
      <w:lvlText w:val="•"/>
      <w:lvlJc w:val="left"/>
      <w:pPr>
        <w:ind w:left="4145" w:hanging="529"/>
      </w:pPr>
      <w:rPr>
        <w:rFonts w:hint="default"/>
        <w:lang w:val="en-US" w:eastAsia="zh-CN" w:bidi="ar-SA"/>
      </w:rPr>
    </w:lvl>
    <w:lvl w:ilvl="6">
      <w:start w:val="0"/>
      <w:numFmt w:val="bullet"/>
      <w:lvlText w:val="•"/>
      <w:lvlJc w:val="left"/>
      <w:pPr>
        <w:ind w:left="4798" w:hanging="529"/>
      </w:pPr>
      <w:rPr>
        <w:rFonts w:hint="default"/>
        <w:lang w:val="en-US" w:eastAsia="zh-CN" w:bidi="ar-SA"/>
      </w:rPr>
    </w:lvl>
    <w:lvl w:ilvl="7">
      <w:start w:val="0"/>
      <w:numFmt w:val="bullet"/>
      <w:lvlText w:val="•"/>
      <w:lvlJc w:val="left"/>
      <w:pPr>
        <w:ind w:left="5451" w:hanging="529"/>
      </w:pPr>
      <w:rPr>
        <w:rFonts w:hint="default"/>
        <w:lang w:val="en-US" w:eastAsia="zh-CN" w:bidi="ar-SA"/>
      </w:rPr>
    </w:lvl>
    <w:lvl w:ilvl="8">
      <w:start w:val="0"/>
      <w:numFmt w:val="bullet"/>
      <w:lvlText w:val="•"/>
      <w:lvlJc w:val="left"/>
      <w:pPr>
        <w:ind w:left="6105" w:hanging="529"/>
      </w:pPr>
      <w:rPr>
        <w:rFonts w:hint="default"/>
        <w:lang w:val="en-US" w:eastAsia="zh-CN" w:bidi="ar-SA"/>
      </w:rPr>
    </w:lvl>
  </w:abstractNum>
  <w:abstractNum w:abstractNumId="40">
    <w:multiLevelType w:val="hybridMultilevel"/>
    <w:lvl w:ilvl="0">
      <w:start w:val="1"/>
      <w:numFmt w:val="decimal"/>
      <w:lvlText w:val="（%1）"/>
      <w:lvlJc w:val="left"/>
      <w:pPr>
        <w:ind w:left="87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533" w:hanging="529"/>
      </w:pPr>
      <w:rPr>
        <w:rFonts w:hint="default"/>
        <w:lang w:val="en-US" w:eastAsia="zh-CN" w:bidi="ar-SA"/>
      </w:rPr>
    </w:lvl>
    <w:lvl w:ilvl="2">
      <w:start w:val="0"/>
      <w:numFmt w:val="bullet"/>
      <w:lvlText w:val="•"/>
      <w:lvlJc w:val="left"/>
      <w:pPr>
        <w:ind w:left="2186" w:hanging="529"/>
      </w:pPr>
      <w:rPr>
        <w:rFonts w:hint="default"/>
        <w:lang w:val="en-US" w:eastAsia="zh-CN" w:bidi="ar-SA"/>
      </w:rPr>
    </w:lvl>
    <w:lvl w:ilvl="3">
      <w:start w:val="0"/>
      <w:numFmt w:val="bullet"/>
      <w:lvlText w:val="•"/>
      <w:lvlJc w:val="left"/>
      <w:pPr>
        <w:ind w:left="2839" w:hanging="529"/>
      </w:pPr>
      <w:rPr>
        <w:rFonts w:hint="default"/>
        <w:lang w:val="en-US" w:eastAsia="zh-CN" w:bidi="ar-SA"/>
      </w:rPr>
    </w:lvl>
    <w:lvl w:ilvl="4">
      <w:start w:val="0"/>
      <w:numFmt w:val="bullet"/>
      <w:lvlText w:val="•"/>
      <w:lvlJc w:val="left"/>
      <w:pPr>
        <w:ind w:left="3492" w:hanging="529"/>
      </w:pPr>
      <w:rPr>
        <w:rFonts w:hint="default"/>
        <w:lang w:val="en-US" w:eastAsia="zh-CN" w:bidi="ar-SA"/>
      </w:rPr>
    </w:lvl>
    <w:lvl w:ilvl="5">
      <w:start w:val="0"/>
      <w:numFmt w:val="bullet"/>
      <w:lvlText w:val="•"/>
      <w:lvlJc w:val="left"/>
      <w:pPr>
        <w:ind w:left="4145" w:hanging="529"/>
      </w:pPr>
      <w:rPr>
        <w:rFonts w:hint="default"/>
        <w:lang w:val="en-US" w:eastAsia="zh-CN" w:bidi="ar-SA"/>
      </w:rPr>
    </w:lvl>
    <w:lvl w:ilvl="6">
      <w:start w:val="0"/>
      <w:numFmt w:val="bullet"/>
      <w:lvlText w:val="•"/>
      <w:lvlJc w:val="left"/>
      <w:pPr>
        <w:ind w:left="4798" w:hanging="529"/>
      </w:pPr>
      <w:rPr>
        <w:rFonts w:hint="default"/>
        <w:lang w:val="en-US" w:eastAsia="zh-CN" w:bidi="ar-SA"/>
      </w:rPr>
    </w:lvl>
    <w:lvl w:ilvl="7">
      <w:start w:val="0"/>
      <w:numFmt w:val="bullet"/>
      <w:lvlText w:val="•"/>
      <w:lvlJc w:val="left"/>
      <w:pPr>
        <w:ind w:left="5451" w:hanging="529"/>
      </w:pPr>
      <w:rPr>
        <w:rFonts w:hint="default"/>
        <w:lang w:val="en-US" w:eastAsia="zh-CN" w:bidi="ar-SA"/>
      </w:rPr>
    </w:lvl>
    <w:lvl w:ilvl="8">
      <w:start w:val="0"/>
      <w:numFmt w:val="bullet"/>
      <w:lvlText w:val="•"/>
      <w:lvlJc w:val="left"/>
      <w:pPr>
        <w:ind w:left="6105" w:hanging="529"/>
      </w:pPr>
      <w:rPr>
        <w:rFonts w:hint="default"/>
        <w:lang w:val="en-US" w:eastAsia="zh-CN" w:bidi="ar-SA"/>
      </w:rPr>
    </w:lvl>
  </w:abstractNum>
  <w:abstractNum w:abstractNumId="39">
    <w:multiLevelType w:val="hybridMultilevel"/>
    <w:lvl w:ilvl="0">
      <w:start w:val="1"/>
      <w:numFmt w:val="decimal"/>
      <w:lvlText w:val="（%1）"/>
      <w:lvlJc w:val="left"/>
      <w:pPr>
        <w:ind w:left="87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533" w:hanging="529"/>
      </w:pPr>
      <w:rPr>
        <w:rFonts w:hint="default"/>
        <w:lang w:val="en-US" w:eastAsia="zh-CN" w:bidi="ar-SA"/>
      </w:rPr>
    </w:lvl>
    <w:lvl w:ilvl="2">
      <w:start w:val="0"/>
      <w:numFmt w:val="bullet"/>
      <w:lvlText w:val="•"/>
      <w:lvlJc w:val="left"/>
      <w:pPr>
        <w:ind w:left="2186" w:hanging="529"/>
      </w:pPr>
      <w:rPr>
        <w:rFonts w:hint="default"/>
        <w:lang w:val="en-US" w:eastAsia="zh-CN" w:bidi="ar-SA"/>
      </w:rPr>
    </w:lvl>
    <w:lvl w:ilvl="3">
      <w:start w:val="0"/>
      <w:numFmt w:val="bullet"/>
      <w:lvlText w:val="•"/>
      <w:lvlJc w:val="left"/>
      <w:pPr>
        <w:ind w:left="2839" w:hanging="529"/>
      </w:pPr>
      <w:rPr>
        <w:rFonts w:hint="default"/>
        <w:lang w:val="en-US" w:eastAsia="zh-CN" w:bidi="ar-SA"/>
      </w:rPr>
    </w:lvl>
    <w:lvl w:ilvl="4">
      <w:start w:val="0"/>
      <w:numFmt w:val="bullet"/>
      <w:lvlText w:val="•"/>
      <w:lvlJc w:val="left"/>
      <w:pPr>
        <w:ind w:left="3492" w:hanging="529"/>
      </w:pPr>
      <w:rPr>
        <w:rFonts w:hint="default"/>
        <w:lang w:val="en-US" w:eastAsia="zh-CN" w:bidi="ar-SA"/>
      </w:rPr>
    </w:lvl>
    <w:lvl w:ilvl="5">
      <w:start w:val="0"/>
      <w:numFmt w:val="bullet"/>
      <w:lvlText w:val="•"/>
      <w:lvlJc w:val="left"/>
      <w:pPr>
        <w:ind w:left="4145" w:hanging="529"/>
      </w:pPr>
      <w:rPr>
        <w:rFonts w:hint="default"/>
        <w:lang w:val="en-US" w:eastAsia="zh-CN" w:bidi="ar-SA"/>
      </w:rPr>
    </w:lvl>
    <w:lvl w:ilvl="6">
      <w:start w:val="0"/>
      <w:numFmt w:val="bullet"/>
      <w:lvlText w:val="•"/>
      <w:lvlJc w:val="left"/>
      <w:pPr>
        <w:ind w:left="4798" w:hanging="529"/>
      </w:pPr>
      <w:rPr>
        <w:rFonts w:hint="default"/>
        <w:lang w:val="en-US" w:eastAsia="zh-CN" w:bidi="ar-SA"/>
      </w:rPr>
    </w:lvl>
    <w:lvl w:ilvl="7">
      <w:start w:val="0"/>
      <w:numFmt w:val="bullet"/>
      <w:lvlText w:val="•"/>
      <w:lvlJc w:val="left"/>
      <w:pPr>
        <w:ind w:left="5451" w:hanging="529"/>
      </w:pPr>
      <w:rPr>
        <w:rFonts w:hint="default"/>
        <w:lang w:val="en-US" w:eastAsia="zh-CN" w:bidi="ar-SA"/>
      </w:rPr>
    </w:lvl>
    <w:lvl w:ilvl="8">
      <w:start w:val="0"/>
      <w:numFmt w:val="bullet"/>
      <w:lvlText w:val="•"/>
      <w:lvlJc w:val="left"/>
      <w:pPr>
        <w:ind w:left="6105" w:hanging="529"/>
      </w:pPr>
      <w:rPr>
        <w:rFonts w:hint="default"/>
        <w:lang w:val="en-US" w:eastAsia="zh-CN" w:bidi="ar-SA"/>
      </w:rPr>
    </w:lvl>
  </w:abstractNum>
  <w:abstractNum w:abstractNumId="38">
    <w:multiLevelType w:val="hybridMultilevel"/>
    <w:lvl w:ilvl="0">
      <w:start w:val="1"/>
      <w:numFmt w:val="decimal"/>
      <w:lvlText w:val="（%1）"/>
      <w:lvlJc w:val="left"/>
      <w:pPr>
        <w:ind w:left="349"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047" w:hanging="529"/>
      </w:pPr>
      <w:rPr>
        <w:rFonts w:hint="default"/>
        <w:lang w:val="en-US" w:eastAsia="zh-CN" w:bidi="ar-SA"/>
      </w:rPr>
    </w:lvl>
    <w:lvl w:ilvl="2">
      <w:start w:val="0"/>
      <w:numFmt w:val="bullet"/>
      <w:lvlText w:val="•"/>
      <w:lvlJc w:val="left"/>
      <w:pPr>
        <w:ind w:left="1754" w:hanging="529"/>
      </w:pPr>
      <w:rPr>
        <w:rFonts w:hint="default"/>
        <w:lang w:val="en-US" w:eastAsia="zh-CN" w:bidi="ar-SA"/>
      </w:rPr>
    </w:lvl>
    <w:lvl w:ilvl="3">
      <w:start w:val="0"/>
      <w:numFmt w:val="bullet"/>
      <w:lvlText w:val="•"/>
      <w:lvlJc w:val="left"/>
      <w:pPr>
        <w:ind w:left="2461" w:hanging="529"/>
      </w:pPr>
      <w:rPr>
        <w:rFonts w:hint="default"/>
        <w:lang w:val="en-US" w:eastAsia="zh-CN" w:bidi="ar-SA"/>
      </w:rPr>
    </w:lvl>
    <w:lvl w:ilvl="4">
      <w:start w:val="0"/>
      <w:numFmt w:val="bullet"/>
      <w:lvlText w:val="•"/>
      <w:lvlJc w:val="left"/>
      <w:pPr>
        <w:ind w:left="3168" w:hanging="529"/>
      </w:pPr>
      <w:rPr>
        <w:rFonts w:hint="default"/>
        <w:lang w:val="en-US" w:eastAsia="zh-CN" w:bidi="ar-SA"/>
      </w:rPr>
    </w:lvl>
    <w:lvl w:ilvl="5">
      <w:start w:val="0"/>
      <w:numFmt w:val="bullet"/>
      <w:lvlText w:val="•"/>
      <w:lvlJc w:val="left"/>
      <w:pPr>
        <w:ind w:left="3875" w:hanging="529"/>
      </w:pPr>
      <w:rPr>
        <w:rFonts w:hint="default"/>
        <w:lang w:val="en-US" w:eastAsia="zh-CN" w:bidi="ar-SA"/>
      </w:rPr>
    </w:lvl>
    <w:lvl w:ilvl="6">
      <w:start w:val="0"/>
      <w:numFmt w:val="bullet"/>
      <w:lvlText w:val="•"/>
      <w:lvlJc w:val="left"/>
      <w:pPr>
        <w:ind w:left="4582" w:hanging="529"/>
      </w:pPr>
      <w:rPr>
        <w:rFonts w:hint="default"/>
        <w:lang w:val="en-US" w:eastAsia="zh-CN" w:bidi="ar-SA"/>
      </w:rPr>
    </w:lvl>
    <w:lvl w:ilvl="7">
      <w:start w:val="0"/>
      <w:numFmt w:val="bullet"/>
      <w:lvlText w:val="•"/>
      <w:lvlJc w:val="left"/>
      <w:pPr>
        <w:ind w:left="5289" w:hanging="529"/>
      </w:pPr>
      <w:rPr>
        <w:rFonts w:hint="default"/>
        <w:lang w:val="en-US" w:eastAsia="zh-CN" w:bidi="ar-SA"/>
      </w:rPr>
    </w:lvl>
    <w:lvl w:ilvl="8">
      <w:start w:val="0"/>
      <w:numFmt w:val="bullet"/>
      <w:lvlText w:val="•"/>
      <w:lvlJc w:val="left"/>
      <w:pPr>
        <w:ind w:left="5997" w:hanging="529"/>
      </w:pPr>
      <w:rPr>
        <w:rFonts w:hint="default"/>
        <w:lang w:val="en-US" w:eastAsia="zh-CN" w:bidi="ar-SA"/>
      </w:rPr>
    </w:lvl>
  </w:abstractNum>
  <w:abstractNum w:abstractNumId="37">
    <w:multiLevelType w:val="hybridMultilevel"/>
    <w:lvl w:ilvl="0">
      <w:start w:val="1"/>
      <w:numFmt w:val="decimal"/>
      <w:lvlText w:val="（%1）"/>
      <w:lvlJc w:val="left"/>
      <w:pPr>
        <w:ind w:left="87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533" w:hanging="529"/>
      </w:pPr>
      <w:rPr>
        <w:rFonts w:hint="default"/>
        <w:lang w:val="en-US" w:eastAsia="zh-CN" w:bidi="ar-SA"/>
      </w:rPr>
    </w:lvl>
    <w:lvl w:ilvl="2">
      <w:start w:val="0"/>
      <w:numFmt w:val="bullet"/>
      <w:lvlText w:val="•"/>
      <w:lvlJc w:val="left"/>
      <w:pPr>
        <w:ind w:left="2186" w:hanging="529"/>
      </w:pPr>
      <w:rPr>
        <w:rFonts w:hint="default"/>
        <w:lang w:val="en-US" w:eastAsia="zh-CN" w:bidi="ar-SA"/>
      </w:rPr>
    </w:lvl>
    <w:lvl w:ilvl="3">
      <w:start w:val="0"/>
      <w:numFmt w:val="bullet"/>
      <w:lvlText w:val="•"/>
      <w:lvlJc w:val="left"/>
      <w:pPr>
        <w:ind w:left="2839" w:hanging="529"/>
      </w:pPr>
      <w:rPr>
        <w:rFonts w:hint="default"/>
        <w:lang w:val="en-US" w:eastAsia="zh-CN" w:bidi="ar-SA"/>
      </w:rPr>
    </w:lvl>
    <w:lvl w:ilvl="4">
      <w:start w:val="0"/>
      <w:numFmt w:val="bullet"/>
      <w:lvlText w:val="•"/>
      <w:lvlJc w:val="left"/>
      <w:pPr>
        <w:ind w:left="3492" w:hanging="529"/>
      </w:pPr>
      <w:rPr>
        <w:rFonts w:hint="default"/>
        <w:lang w:val="en-US" w:eastAsia="zh-CN" w:bidi="ar-SA"/>
      </w:rPr>
    </w:lvl>
    <w:lvl w:ilvl="5">
      <w:start w:val="0"/>
      <w:numFmt w:val="bullet"/>
      <w:lvlText w:val="•"/>
      <w:lvlJc w:val="left"/>
      <w:pPr>
        <w:ind w:left="4145" w:hanging="529"/>
      </w:pPr>
      <w:rPr>
        <w:rFonts w:hint="default"/>
        <w:lang w:val="en-US" w:eastAsia="zh-CN" w:bidi="ar-SA"/>
      </w:rPr>
    </w:lvl>
    <w:lvl w:ilvl="6">
      <w:start w:val="0"/>
      <w:numFmt w:val="bullet"/>
      <w:lvlText w:val="•"/>
      <w:lvlJc w:val="left"/>
      <w:pPr>
        <w:ind w:left="4798" w:hanging="529"/>
      </w:pPr>
      <w:rPr>
        <w:rFonts w:hint="default"/>
        <w:lang w:val="en-US" w:eastAsia="zh-CN" w:bidi="ar-SA"/>
      </w:rPr>
    </w:lvl>
    <w:lvl w:ilvl="7">
      <w:start w:val="0"/>
      <w:numFmt w:val="bullet"/>
      <w:lvlText w:val="•"/>
      <w:lvlJc w:val="left"/>
      <w:pPr>
        <w:ind w:left="5451" w:hanging="529"/>
      </w:pPr>
      <w:rPr>
        <w:rFonts w:hint="default"/>
        <w:lang w:val="en-US" w:eastAsia="zh-CN" w:bidi="ar-SA"/>
      </w:rPr>
    </w:lvl>
    <w:lvl w:ilvl="8">
      <w:start w:val="0"/>
      <w:numFmt w:val="bullet"/>
      <w:lvlText w:val="•"/>
      <w:lvlJc w:val="left"/>
      <w:pPr>
        <w:ind w:left="6105" w:hanging="529"/>
      </w:pPr>
      <w:rPr>
        <w:rFonts w:hint="default"/>
        <w:lang w:val="en-US" w:eastAsia="zh-CN" w:bidi="ar-SA"/>
      </w:rPr>
    </w:lvl>
  </w:abstractNum>
  <w:abstractNum w:abstractNumId="36">
    <w:multiLevelType w:val="hybridMultilevel"/>
    <w:lvl w:ilvl="0">
      <w:start w:val="1"/>
      <w:numFmt w:val="decimal"/>
      <w:lvlText w:val="（%1）"/>
      <w:lvlJc w:val="left"/>
      <w:pPr>
        <w:ind w:left="349" w:hanging="529"/>
        <w:jc w:val="left"/>
      </w:pPr>
      <w:rPr>
        <w:rFonts w:hint="default" w:ascii="宋体" w:hAnsi="宋体" w:eastAsia="宋体" w:cs="宋体"/>
        <w:b w:val="0"/>
        <w:bCs w:val="0"/>
        <w:i w:val="0"/>
        <w:iCs w:val="0"/>
        <w:w w:val="100"/>
        <w:sz w:val="19"/>
        <w:szCs w:val="19"/>
        <w:lang w:val="en-US" w:eastAsia="zh-CN" w:bidi="ar-SA"/>
      </w:rPr>
    </w:lvl>
    <w:lvl w:ilvl="1">
      <w:start w:val="1"/>
      <w:numFmt w:val="lowerLetter"/>
      <w:lvlText w:val="%2."/>
      <w:lvlJc w:val="left"/>
      <w:pPr>
        <w:ind w:left="771" w:hanging="213"/>
        <w:jc w:val="left"/>
      </w:pPr>
      <w:rPr>
        <w:rFonts w:hint="default" w:ascii="宋体" w:hAnsi="宋体" w:eastAsia="宋体" w:cs="宋体"/>
        <w:b w:val="0"/>
        <w:bCs w:val="0"/>
        <w:i w:val="0"/>
        <w:iCs w:val="0"/>
        <w:w w:val="100"/>
        <w:sz w:val="19"/>
        <w:szCs w:val="19"/>
        <w:lang w:val="en-US" w:eastAsia="zh-CN" w:bidi="ar-SA"/>
      </w:rPr>
    </w:lvl>
    <w:lvl w:ilvl="2">
      <w:start w:val="0"/>
      <w:numFmt w:val="bullet"/>
      <w:lvlText w:val="•"/>
      <w:lvlJc w:val="left"/>
      <w:pPr>
        <w:ind w:left="1516" w:hanging="213"/>
      </w:pPr>
      <w:rPr>
        <w:rFonts w:hint="default"/>
        <w:lang w:val="en-US" w:eastAsia="zh-CN" w:bidi="ar-SA"/>
      </w:rPr>
    </w:lvl>
    <w:lvl w:ilvl="3">
      <w:start w:val="0"/>
      <w:numFmt w:val="bullet"/>
      <w:lvlText w:val="•"/>
      <w:lvlJc w:val="left"/>
      <w:pPr>
        <w:ind w:left="2253" w:hanging="213"/>
      </w:pPr>
      <w:rPr>
        <w:rFonts w:hint="default"/>
        <w:lang w:val="en-US" w:eastAsia="zh-CN" w:bidi="ar-SA"/>
      </w:rPr>
    </w:lvl>
    <w:lvl w:ilvl="4">
      <w:start w:val="0"/>
      <w:numFmt w:val="bullet"/>
      <w:lvlText w:val="•"/>
      <w:lvlJc w:val="left"/>
      <w:pPr>
        <w:ind w:left="2990" w:hanging="213"/>
      </w:pPr>
      <w:rPr>
        <w:rFonts w:hint="default"/>
        <w:lang w:val="en-US" w:eastAsia="zh-CN" w:bidi="ar-SA"/>
      </w:rPr>
    </w:lvl>
    <w:lvl w:ilvl="5">
      <w:start w:val="0"/>
      <w:numFmt w:val="bullet"/>
      <w:lvlText w:val="•"/>
      <w:lvlJc w:val="left"/>
      <w:pPr>
        <w:ind w:left="3727" w:hanging="213"/>
      </w:pPr>
      <w:rPr>
        <w:rFonts w:hint="default"/>
        <w:lang w:val="en-US" w:eastAsia="zh-CN" w:bidi="ar-SA"/>
      </w:rPr>
    </w:lvl>
    <w:lvl w:ilvl="6">
      <w:start w:val="0"/>
      <w:numFmt w:val="bullet"/>
      <w:lvlText w:val="•"/>
      <w:lvlJc w:val="left"/>
      <w:pPr>
        <w:ind w:left="4464" w:hanging="213"/>
      </w:pPr>
      <w:rPr>
        <w:rFonts w:hint="default"/>
        <w:lang w:val="en-US" w:eastAsia="zh-CN" w:bidi="ar-SA"/>
      </w:rPr>
    </w:lvl>
    <w:lvl w:ilvl="7">
      <w:start w:val="0"/>
      <w:numFmt w:val="bullet"/>
      <w:lvlText w:val="•"/>
      <w:lvlJc w:val="left"/>
      <w:pPr>
        <w:ind w:left="5200" w:hanging="213"/>
      </w:pPr>
      <w:rPr>
        <w:rFonts w:hint="default"/>
        <w:lang w:val="en-US" w:eastAsia="zh-CN" w:bidi="ar-SA"/>
      </w:rPr>
    </w:lvl>
    <w:lvl w:ilvl="8">
      <w:start w:val="0"/>
      <w:numFmt w:val="bullet"/>
      <w:lvlText w:val="•"/>
      <w:lvlJc w:val="left"/>
      <w:pPr>
        <w:ind w:left="5937" w:hanging="213"/>
      </w:pPr>
      <w:rPr>
        <w:rFonts w:hint="default"/>
        <w:lang w:val="en-US" w:eastAsia="zh-CN" w:bidi="ar-SA"/>
      </w:rPr>
    </w:lvl>
  </w:abstractNum>
  <w:abstractNum w:abstractNumId="35">
    <w:multiLevelType w:val="hybridMultilevel"/>
    <w:lvl w:ilvl="0">
      <w:start w:val="1"/>
      <w:numFmt w:val="decimal"/>
      <w:lvlText w:val="（%1）"/>
      <w:lvlJc w:val="left"/>
      <w:pPr>
        <w:ind w:left="244" w:hanging="529"/>
        <w:jc w:val="left"/>
      </w:pPr>
      <w:rPr>
        <w:rFonts w:hint="default" w:ascii="宋体" w:hAnsi="宋体" w:eastAsia="宋体" w:cs="宋体"/>
        <w:b w:val="0"/>
        <w:bCs w:val="0"/>
        <w:i w:val="0"/>
        <w:iCs w:val="0"/>
        <w:w w:val="100"/>
        <w:sz w:val="19"/>
        <w:szCs w:val="19"/>
        <w:lang w:val="en-US" w:eastAsia="zh-CN" w:bidi="ar-SA"/>
      </w:rPr>
    </w:lvl>
    <w:lvl w:ilvl="1">
      <w:start w:val="1"/>
      <w:numFmt w:val="decimal"/>
      <w:lvlText w:val="（%2）"/>
      <w:lvlJc w:val="left"/>
      <w:pPr>
        <w:ind w:left="878" w:hanging="529"/>
        <w:jc w:val="left"/>
      </w:pPr>
      <w:rPr>
        <w:rFonts w:hint="default" w:ascii="宋体" w:hAnsi="宋体" w:eastAsia="宋体" w:cs="宋体"/>
        <w:b w:val="0"/>
        <w:bCs w:val="0"/>
        <w:i w:val="0"/>
        <w:iCs w:val="0"/>
        <w:w w:val="100"/>
        <w:sz w:val="19"/>
        <w:szCs w:val="19"/>
        <w:lang w:val="en-US" w:eastAsia="zh-CN" w:bidi="ar-SA"/>
      </w:rPr>
    </w:lvl>
    <w:lvl w:ilvl="2">
      <w:start w:val="0"/>
      <w:numFmt w:val="bullet"/>
      <w:lvlText w:val="•"/>
      <w:lvlJc w:val="left"/>
      <w:pPr>
        <w:ind w:left="1594" w:hanging="529"/>
      </w:pPr>
      <w:rPr>
        <w:rFonts w:hint="default"/>
        <w:lang w:val="en-US" w:eastAsia="zh-CN" w:bidi="ar-SA"/>
      </w:rPr>
    </w:lvl>
    <w:lvl w:ilvl="3">
      <w:start w:val="0"/>
      <w:numFmt w:val="bullet"/>
      <w:lvlText w:val="•"/>
      <w:lvlJc w:val="left"/>
      <w:pPr>
        <w:ind w:left="2308" w:hanging="529"/>
      </w:pPr>
      <w:rPr>
        <w:rFonts w:hint="default"/>
        <w:lang w:val="en-US" w:eastAsia="zh-CN" w:bidi="ar-SA"/>
      </w:rPr>
    </w:lvl>
    <w:lvl w:ilvl="4">
      <w:start w:val="0"/>
      <w:numFmt w:val="bullet"/>
      <w:lvlText w:val="•"/>
      <w:lvlJc w:val="left"/>
      <w:pPr>
        <w:ind w:left="3022" w:hanging="529"/>
      </w:pPr>
      <w:rPr>
        <w:rFonts w:hint="default"/>
        <w:lang w:val="en-US" w:eastAsia="zh-CN" w:bidi="ar-SA"/>
      </w:rPr>
    </w:lvl>
    <w:lvl w:ilvl="5">
      <w:start w:val="0"/>
      <w:numFmt w:val="bullet"/>
      <w:lvlText w:val="•"/>
      <w:lvlJc w:val="left"/>
      <w:pPr>
        <w:ind w:left="3736" w:hanging="529"/>
      </w:pPr>
      <w:rPr>
        <w:rFonts w:hint="default"/>
        <w:lang w:val="en-US" w:eastAsia="zh-CN" w:bidi="ar-SA"/>
      </w:rPr>
    </w:lvl>
    <w:lvl w:ilvl="6">
      <w:start w:val="0"/>
      <w:numFmt w:val="bullet"/>
      <w:lvlText w:val="•"/>
      <w:lvlJc w:val="left"/>
      <w:pPr>
        <w:ind w:left="4450" w:hanging="529"/>
      </w:pPr>
      <w:rPr>
        <w:rFonts w:hint="default"/>
        <w:lang w:val="en-US" w:eastAsia="zh-CN" w:bidi="ar-SA"/>
      </w:rPr>
    </w:lvl>
    <w:lvl w:ilvl="7">
      <w:start w:val="0"/>
      <w:numFmt w:val="bullet"/>
      <w:lvlText w:val="•"/>
      <w:lvlJc w:val="left"/>
      <w:pPr>
        <w:ind w:left="5164" w:hanging="529"/>
      </w:pPr>
      <w:rPr>
        <w:rFonts w:hint="default"/>
        <w:lang w:val="en-US" w:eastAsia="zh-CN" w:bidi="ar-SA"/>
      </w:rPr>
    </w:lvl>
    <w:lvl w:ilvl="8">
      <w:start w:val="0"/>
      <w:numFmt w:val="bullet"/>
      <w:lvlText w:val="•"/>
      <w:lvlJc w:val="left"/>
      <w:pPr>
        <w:ind w:left="5878" w:hanging="529"/>
      </w:pPr>
      <w:rPr>
        <w:rFonts w:hint="default"/>
        <w:lang w:val="en-US" w:eastAsia="zh-CN" w:bidi="ar-SA"/>
      </w:rPr>
    </w:lvl>
  </w:abstractNum>
  <w:abstractNum w:abstractNumId="34">
    <w:multiLevelType w:val="hybridMultilevel"/>
    <w:lvl w:ilvl="0">
      <w:start w:val="1"/>
      <w:numFmt w:val="decimal"/>
      <w:lvlText w:val="（%1）"/>
      <w:lvlJc w:val="left"/>
      <w:pPr>
        <w:ind w:left="244"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946" w:hanging="529"/>
      </w:pPr>
      <w:rPr>
        <w:rFonts w:hint="default"/>
        <w:lang w:val="en-US" w:eastAsia="zh-CN" w:bidi="ar-SA"/>
      </w:rPr>
    </w:lvl>
    <w:lvl w:ilvl="2">
      <w:start w:val="0"/>
      <w:numFmt w:val="bullet"/>
      <w:lvlText w:val="•"/>
      <w:lvlJc w:val="left"/>
      <w:pPr>
        <w:ind w:left="1653" w:hanging="529"/>
      </w:pPr>
      <w:rPr>
        <w:rFonts w:hint="default"/>
        <w:lang w:val="en-US" w:eastAsia="zh-CN" w:bidi="ar-SA"/>
      </w:rPr>
    </w:lvl>
    <w:lvl w:ilvl="3">
      <w:start w:val="0"/>
      <w:numFmt w:val="bullet"/>
      <w:lvlText w:val="•"/>
      <w:lvlJc w:val="left"/>
      <w:pPr>
        <w:ind w:left="2359" w:hanging="529"/>
      </w:pPr>
      <w:rPr>
        <w:rFonts w:hint="default"/>
        <w:lang w:val="en-US" w:eastAsia="zh-CN" w:bidi="ar-SA"/>
      </w:rPr>
    </w:lvl>
    <w:lvl w:ilvl="4">
      <w:start w:val="0"/>
      <w:numFmt w:val="bullet"/>
      <w:lvlText w:val="•"/>
      <w:lvlJc w:val="left"/>
      <w:pPr>
        <w:ind w:left="3066" w:hanging="529"/>
      </w:pPr>
      <w:rPr>
        <w:rFonts w:hint="default"/>
        <w:lang w:val="en-US" w:eastAsia="zh-CN" w:bidi="ar-SA"/>
      </w:rPr>
    </w:lvl>
    <w:lvl w:ilvl="5">
      <w:start w:val="0"/>
      <w:numFmt w:val="bullet"/>
      <w:lvlText w:val="•"/>
      <w:lvlJc w:val="left"/>
      <w:pPr>
        <w:ind w:left="3773" w:hanging="529"/>
      </w:pPr>
      <w:rPr>
        <w:rFonts w:hint="default"/>
        <w:lang w:val="en-US" w:eastAsia="zh-CN" w:bidi="ar-SA"/>
      </w:rPr>
    </w:lvl>
    <w:lvl w:ilvl="6">
      <w:start w:val="0"/>
      <w:numFmt w:val="bullet"/>
      <w:lvlText w:val="•"/>
      <w:lvlJc w:val="left"/>
      <w:pPr>
        <w:ind w:left="4479" w:hanging="529"/>
      </w:pPr>
      <w:rPr>
        <w:rFonts w:hint="default"/>
        <w:lang w:val="en-US" w:eastAsia="zh-CN" w:bidi="ar-SA"/>
      </w:rPr>
    </w:lvl>
    <w:lvl w:ilvl="7">
      <w:start w:val="0"/>
      <w:numFmt w:val="bullet"/>
      <w:lvlText w:val="•"/>
      <w:lvlJc w:val="left"/>
      <w:pPr>
        <w:ind w:left="5186" w:hanging="529"/>
      </w:pPr>
      <w:rPr>
        <w:rFonts w:hint="default"/>
        <w:lang w:val="en-US" w:eastAsia="zh-CN" w:bidi="ar-SA"/>
      </w:rPr>
    </w:lvl>
    <w:lvl w:ilvl="8">
      <w:start w:val="0"/>
      <w:numFmt w:val="bullet"/>
      <w:lvlText w:val="•"/>
      <w:lvlJc w:val="left"/>
      <w:pPr>
        <w:ind w:left="5892" w:hanging="529"/>
      </w:pPr>
      <w:rPr>
        <w:rFonts w:hint="default"/>
        <w:lang w:val="en-US" w:eastAsia="zh-CN" w:bidi="ar-SA"/>
      </w:rPr>
    </w:lvl>
  </w:abstractNum>
  <w:abstractNum w:abstractNumId="33">
    <w:multiLevelType w:val="hybridMultilevel"/>
    <w:lvl w:ilvl="0">
      <w:start w:val="1"/>
      <w:numFmt w:val="decimal"/>
      <w:lvlText w:val="（%1）"/>
      <w:lvlJc w:val="left"/>
      <w:pPr>
        <w:ind w:left="296"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005" w:hanging="529"/>
      </w:pPr>
      <w:rPr>
        <w:rFonts w:hint="default"/>
        <w:lang w:val="en-US" w:eastAsia="zh-CN" w:bidi="ar-SA"/>
      </w:rPr>
    </w:lvl>
    <w:lvl w:ilvl="2">
      <w:start w:val="0"/>
      <w:numFmt w:val="bullet"/>
      <w:lvlText w:val="•"/>
      <w:lvlJc w:val="left"/>
      <w:pPr>
        <w:ind w:left="1711" w:hanging="529"/>
      </w:pPr>
      <w:rPr>
        <w:rFonts w:hint="default"/>
        <w:lang w:val="en-US" w:eastAsia="zh-CN" w:bidi="ar-SA"/>
      </w:rPr>
    </w:lvl>
    <w:lvl w:ilvl="3">
      <w:start w:val="0"/>
      <w:numFmt w:val="bullet"/>
      <w:lvlText w:val="•"/>
      <w:lvlJc w:val="left"/>
      <w:pPr>
        <w:ind w:left="2417" w:hanging="529"/>
      </w:pPr>
      <w:rPr>
        <w:rFonts w:hint="default"/>
        <w:lang w:val="en-US" w:eastAsia="zh-CN" w:bidi="ar-SA"/>
      </w:rPr>
    </w:lvl>
    <w:lvl w:ilvl="4">
      <w:start w:val="0"/>
      <w:numFmt w:val="bullet"/>
      <w:lvlText w:val="•"/>
      <w:lvlJc w:val="left"/>
      <w:pPr>
        <w:ind w:left="3123" w:hanging="529"/>
      </w:pPr>
      <w:rPr>
        <w:rFonts w:hint="default"/>
        <w:lang w:val="en-US" w:eastAsia="zh-CN" w:bidi="ar-SA"/>
      </w:rPr>
    </w:lvl>
    <w:lvl w:ilvl="5">
      <w:start w:val="0"/>
      <w:numFmt w:val="bullet"/>
      <w:lvlText w:val="•"/>
      <w:lvlJc w:val="left"/>
      <w:pPr>
        <w:ind w:left="3829" w:hanging="529"/>
      </w:pPr>
      <w:rPr>
        <w:rFonts w:hint="default"/>
        <w:lang w:val="en-US" w:eastAsia="zh-CN" w:bidi="ar-SA"/>
      </w:rPr>
    </w:lvl>
    <w:lvl w:ilvl="6">
      <w:start w:val="0"/>
      <w:numFmt w:val="bullet"/>
      <w:lvlText w:val="•"/>
      <w:lvlJc w:val="left"/>
      <w:pPr>
        <w:ind w:left="4535" w:hanging="529"/>
      </w:pPr>
      <w:rPr>
        <w:rFonts w:hint="default"/>
        <w:lang w:val="en-US" w:eastAsia="zh-CN" w:bidi="ar-SA"/>
      </w:rPr>
    </w:lvl>
    <w:lvl w:ilvl="7">
      <w:start w:val="0"/>
      <w:numFmt w:val="bullet"/>
      <w:lvlText w:val="•"/>
      <w:lvlJc w:val="left"/>
      <w:pPr>
        <w:ind w:left="5241" w:hanging="529"/>
      </w:pPr>
      <w:rPr>
        <w:rFonts w:hint="default"/>
        <w:lang w:val="en-US" w:eastAsia="zh-CN" w:bidi="ar-SA"/>
      </w:rPr>
    </w:lvl>
    <w:lvl w:ilvl="8">
      <w:start w:val="0"/>
      <w:numFmt w:val="bullet"/>
      <w:lvlText w:val="•"/>
      <w:lvlJc w:val="left"/>
      <w:pPr>
        <w:ind w:left="5946" w:hanging="529"/>
      </w:pPr>
      <w:rPr>
        <w:rFonts w:hint="default"/>
        <w:lang w:val="en-US" w:eastAsia="zh-CN" w:bidi="ar-SA"/>
      </w:rPr>
    </w:lvl>
  </w:abstractNum>
  <w:abstractNum w:abstractNumId="32">
    <w:multiLevelType w:val="hybridMultilevel"/>
    <w:lvl w:ilvl="0">
      <w:start w:val="1"/>
      <w:numFmt w:val="decimal"/>
      <w:lvlText w:val="（%1）"/>
      <w:lvlJc w:val="left"/>
      <w:pPr>
        <w:ind w:left="349"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047" w:hanging="529"/>
      </w:pPr>
      <w:rPr>
        <w:rFonts w:hint="default"/>
        <w:lang w:val="en-US" w:eastAsia="zh-CN" w:bidi="ar-SA"/>
      </w:rPr>
    </w:lvl>
    <w:lvl w:ilvl="2">
      <w:start w:val="0"/>
      <w:numFmt w:val="bullet"/>
      <w:lvlText w:val="•"/>
      <w:lvlJc w:val="left"/>
      <w:pPr>
        <w:ind w:left="1754" w:hanging="529"/>
      </w:pPr>
      <w:rPr>
        <w:rFonts w:hint="default"/>
        <w:lang w:val="en-US" w:eastAsia="zh-CN" w:bidi="ar-SA"/>
      </w:rPr>
    </w:lvl>
    <w:lvl w:ilvl="3">
      <w:start w:val="0"/>
      <w:numFmt w:val="bullet"/>
      <w:lvlText w:val="•"/>
      <w:lvlJc w:val="left"/>
      <w:pPr>
        <w:ind w:left="2461" w:hanging="529"/>
      </w:pPr>
      <w:rPr>
        <w:rFonts w:hint="default"/>
        <w:lang w:val="en-US" w:eastAsia="zh-CN" w:bidi="ar-SA"/>
      </w:rPr>
    </w:lvl>
    <w:lvl w:ilvl="4">
      <w:start w:val="0"/>
      <w:numFmt w:val="bullet"/>
      <w:lvlText w:val="•"/>
      <w:lvlJc w:val="left"/>
      <w:pPr>
        <w:ind w:left="3168" w:hanging="529"/>
      </w:pPr>
      <w:rPr>
        <w:rFonts w:hint="default"/>
        <w:lang w:val="en-US" w:eastAsia="zh-CN" w:bidi="ar-SA"/>
      </w:rPr>
    </w:lvl>
    <w:lvl w:ilvl="5">
      <w:start w:val="0"/>
      <w:numFmt w:val="bullet"/>
      <w:lvlText w:val="•"/>
      <w:lvlJc w:val="left"/>
      <w:pPr>
        <w:ind w:left="3875" w:hanging="529"/>
      </w:pPr>
      <w:rPr>
        <w:rFonts w:hint="default"/>
        <w:lang w:val="en-US" w:eastAsia="zh-CN" w:bidi="ar-SA"/>
      </w:rPr>
    </w:lvl>
    <w:lvl w:ilvl="6">
      <w:start w:val="0"/>
      <w:numFmt w:val="bullet"/>
      <w:lvlText w:val="•"/>
      <w:lvlJc w:val="left"/>
      <w:pPr>
        <w:ind w:left="4582" w:hanging="529"/>
      </w:pPr>
      <w:rPr>
        <w:rFonts w:hint="default"/>
        <w:lang w:val="en-US" w:eastAsia="zh-CN" w:bidi="ar-SA"/>
      </w:rPr>
    </w:lvl>
    <w:lvl w:ilvl="7">
      <w:start w:val="0"/>
      <w:numFmt w:val="bullet"/>
      <w:lvlText w:val="•"/>
      <w:lvlJc w:val="left"/>
      <w:pPr>
        <w:ind w:left="5289" w:hanging="529"/>
      </w:pPr>
      <w:rPr>
        <w:rFonts w:hint="default"/>
        <w:lang w:val="en-US" w:eastAsia="zh-CN" w:bidi="ar-SA"/>
      </w:rPr>
    </w:lvl>
    <w:lvl w:ilvl="8">
      <w:start w:val="0"/>
      <w:numFmt w:val="bullet"/>
      <w:lvlText w:val="•"/>
      <w:lvlJc w:val="left"/>
      <w:pPr>
        <w:ind w:left="5997" w:hanging="529"/>
      </w:pPr>
      <w:rPr>
        <w:rFonts w:hint="default"/>
        <w:lang w:val="en-US" w:eastAsia="zh-CN" w:bidi="ar-SA"/>
      </w:rPr>
    </w:lvl>
  </w:abstractNum>
  <w:abstractNum w:abstractNumId="31">
    <w:multiLevelType w:val="hybridMultilevel"/>
    <w:lvl w:ilvl="0">
      <w:start w:val="1"/>
      <w:numFmt w:val="decimal"/>
      <w:lvlText w:val="（%1）"/>
      <w:lvlJc w:val="left"/>
      <w:pPr>
        <w:ind w:left="87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533" w:hanging="529"/>
      </w:pPr>
      <w:rPr>
        <w:rFonts w:hint="default"/>
        <w:lang w:val="en-US" w:eastAsia="zh-CN" w:bidi="ar-SA"/>
      </w:rPr>
    </w:lvl>
    <w:lvl w:ilvl="2">
      <w:start w:val="0"/>
      <w:numFmt w:val="bullet"/>
      <w:lvlText w:val="•"/>
      <w:lvlJc w:val="left"/>
      <w:pPr>
        <w:ind w:left="2186" w:hanging="529"/>
      </w:pPr>
      <w:rPr>
        <w:rFonts w:hint="default"/>
        <w:lang w:val="en-US" w:eastAsia="zh-CN" w:bidi="ar-SA"/>
      </w:rPr>
    </w:lvl>
    <w:lvl w:ilvl="3">
      <w:start w:val="0"/>
      <w:numFmt w:val="bullet"/>
      <w:lvlText w:val="•"/>
      <w:lvlJc w:val="left"/>
      <w:pPr>
        <w:ind w:left="2839" w:hanging="529"/>
      </w:pPr>
      <w:rPr>
        <w:rFonts w:hint="default"/>
        <w:lang w:val="en-US" w:eastAsia="zh-CN" w:bidi="ar-SA"/>
      </w:rPr>
    </w:lvl>
    <w:lvl w:ilvl="4">
      <w:start w:val="0"/>
      <w:numFmt w:val="bullet"/>
      <w:lvlText w:val="•"/>
      <w:lvlJc w:val="left"/>
      <w:pPr>
        <w:ind w:left="3492" w:hanging="529"/>
      </w:pPr>
      <w:rPr>
        <w:rFonts w:hint="default"/>
        <w:lang w:val="en-US" w:eastAsia="zh-CN" w:bidi="ar-SA"/>
      </w:rPr>
    </w:lvl>
    <w:lvl w:ilvl="5">
      <w:start w:val="0"/>
      <w:numFmt w:val="bullet"/>
      <w:lvlText w:val="•"/>
      <w:lvlJc w:val="left"/>
      <w:pPr>
        <w:ind w:left="4145" w:hanging="529"/>
      </w:pPr>
      <w:rPr>
        <w:rFonts w:hint="default"/>
        <w:lang w:val="en-US" w:eastAsia="zh-CN" w:bidi="ar-SA"/>
      </w:rPr>
    </w:lvl>
    <w:lvl w:ilvl="6">
      <w:start w:val="0"/>
      <w:numFmt w:val="bullet"/>
      <w:lvlText w:val="•"/>
      <w:lvlJc w:val="left"/>
      <w:pPr>
        <w:ind w:left="4798" w:hanging="529"/>
      </w:pPr>
      <w:rPr>
        <w:rFonts w:hint="default"/>
        <w:lang w:val="en-US" w:eastAsia="zh-CN" w:bidi="ar-SA"/>
      </w:rPr>
    </w:lvl>
    <w:lvl w:ilvl="7">
      <w:start w:val="0"/>
      <w:numFmt w:val="bullet"/>
      <w:lvlText w:val="•"/>
      <w:lvlJc w:val="left"/>
      <w:pPr>
        <w:ind w:left="5451" w:hanging="529"/>
      </w:pPr>
      <w:rPr>
        <w:rFonts w:hint="default"/>
        <w:lang w:val="en-US" w:eastAsia="zh-CN" w:bidi="ar-SA"/>
      </w:rPr>
    </w:lvl>
    <w:lvl w:ilvl="8">
      <w:start w:val="0"/>
      <w:numFmt w:val="bullet"/>
      <w:lvlText w:val="•"/>
      <w:lvlJc w:val="left"/>
      <w:pPr>
        <w:ind w:left="6105" w:hanging="529"/>
      </w:pPr>
      <w:rPr>
        <w:rFonts w:hint="default"/>
        <w:lang w:val="en-US" w:eastAsia="zh-CN" w:bidi="ar-SA"/>
      </w:rPr>
    </w:lvl>
  </w:abstractNum>
  <w:abstractNum w:abstractNumId="30">
    <w:multiLevelType w:val="hybridMultilevel"/>
    <w:lvl w:ilvl="0">
      <w:start w:val="1"/>
      <w:numFmt w:val="decimal"/>
      <w:lvlText w:val="（%1）"/>
      <w:lvlJc w:val="left"/>
      <w:pPr>
        <w:ind w:left="349"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047" w:hanging="529"/>
      </w:pPr>
      <w:rPr>
        <w:rFonts w:hint="default"/>
        <w:lang w:val="en-US" w:eastAsia="zh-CN" w:bidi="ar-SA"/>
      </w:rPr>
    </w:lvl>
    <w:lvl w:ilvl="2">
      <w:start w:val="0"/>
      <w:numFmt w:val="bullet"/>
      <w:lvlText w:val="•"/>
      <w:lvlJc w:val="left"/>
      <w:pPr>
        <w:ind w:left="1754" w:hanging="529"/>
      </w:pPr>
      <w:rPr>
        <w:rFonts w:hint="default"/>
        <w:lang w:val="en-US" w:eastAsia="zh-CN" w:bidi="ar-SA"/>
      </w:rPr>
    </w:lvl>
    <w:lvl w:ilvl="3">
      <w:start w:val="0"/>
      <w:numFmt w:val="bullet"/>
      <w:lvlText w:val="•"/>
      <w:lvlJc w:val="left"/>
      <w:pPr>
        <w:ind w:left="2461" w:hanging="529"/>
      </w:pPr>
      <w:rPr>
        <w:rFonts w:hint="default"/>
        <w:lang w:val="en-US" w:eastAsia="zh-CN" w:bidi="ar-SA"/>
      </w:rPr>
    </w:lvl>
    <w:lvl w:ilvl="4">
      <w:start w:val="0"/>
      <w:numFmt w:val="bullet"/>
      <w:lvlText w:val="•"/>
      <w:lvlJc w:val="left"/>
      <w:pPr>
        <w:ind w:left="3168" w:hanging="529"/>
      </w:pPr>
      <w:rPr>
        <w:rFonts w:hint="default"/>
        <w:lang w:val="en-US" w:eastAsia="zh-CN" w:bidi="ar-SA"/>
      </w:rPr>
    </w:lvl>
    <w:lvl w:ilvl="5">
      <w:start w:val="0"/>
      <w:numFmt w:val="bullet"/>
      <w:lvlText w:val="•"/>
      <w:lvlJc w:val="left"/>
      <w:pPr>
        <w:ind w:left="3875" w:hanging="529"/>
      </w:pPr>
      <w:rPr>
        <w:rFonts w:hint="default"/>
        <w:lang w:val="en-US" w:eastAsia="zh-CN" w:bidi="ar-SA"/>
      </w:rPr>
    </w:lvl>
    <w:lvl w:ilvl="6">
      <w:start w:val="0"/>
      <w:numFmt w:val="bullet"/>
      <w:lvlText w:val="•"/>
      <w:lvlJc w:val="left"/>
      <w:pPr>
        <w:ind w:left="4582" w:hanging="529"/>
      </w:pPr>
      <w:rPr>
        <w:rFonts w:hint="default"/>
        <w:lang w:val="en-US" w:eastAsia="zh-CN" w:bidi="ar-SA"/>
      </w:rPr>
    </w:lvl>
    <w:lvl w:ilvl="7">
      <w:start w:val="0"/>
      <w:numFmt w:val="bullet"/>
      <w:lvlText w:val="•"/>
      <w:lvlJc w:val="left"/>
      <w:pPr>
        <w:ind w:left="5289" w:hanging="529"/>
      </w:pPr>
      <w:rPr>
        <w:rFonts w:hint="default"/>
        <w:lang w:val="en-US" w:eastAsia="zh-CN" w:bidi="ar-SA"/>
      </w:rPr>
    </w:lvl>
    <w:lvl w:ilvl="8">
      <w:start w:val="0"/>
      <w:numFmt w:val="bullet"/>
      <w:lvlText w:val="•"/>
      <w:lvlJc w:val="left"/>
      <w:pPr>
        <w:ind w:left="5997" w:hanging="529"/>
      </w:pPr>
      <w:rPr>
        <w:rFonts w:hint="default"/>
        <w:lang w:val="en-US" w:eastAsia="zh-CN" w:bidi="ar-SA"/>
      </w:rPr>
    </w:lvl>
  </w:abstractNum>
  <w:abstractNum w:abstractNumId="29">
    <w:multiLevelType w:val="hybridMultilevel"/>
    <w:lvl w:ilvl="0">
      <w:start w:val="1"/>
      <w:numFmt w:val="decimal"/>
      <w:lvlText w:val="（%1）"/>
      <w:lvlJc w:val="left"/>
      <w:pPr>
        <w:ind w:left="773" w:hanging="529"/>
        <w:jc w:val="righ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432" w:hanging="529"/>
      </w:pPr>
      <w:rPr>
        <w:rFonts w:hint="default"/>
        <w:lang w:val="en-US" w:eastAsia="zh-CN" w:bidi="ar-SA"/>
      </w:rPr>
    </w:lvl>
    <w:lvl w:ilvl="2">
      <w:start w:val="0"/>
      <w:numFmt w:val="bullet"/>
      <w:lvlText w:val="•"/>
      <w:lvlJc w:val="left"/>
      <w:pPr>
        <w:ind w:left="2085" w:hanging="529"/>
      </w:pPr>
      <w:rPr>
        <w:rFonts w:hint="default"/>
        <w:lang w:val="en-US" w:eastAsia="zh-CN" w:bidi="ar-SA"/>
      </w:rPr>
    </w:lvl>
    <w:lvl w:ilvl="3">
      <w:start w:val="0"/>
      <w:numFmt w:val="bullet"/>
      <w:lvlText w:val="•"/>
      <w:lvlJc w:val="left"/>
      <w:pPr>
        <w:ind w:left="2737" w:hanging="529"/>
      </w:pPr>
      <w:rPr>
        <w:rFonts w:hint="default"/>
        <w:lang w:val="en-US" w:eastAsia="zh-CN" w:bidi="ar-SA"/>
      </w:rPr>
    </w:lvl>
    <w:lvl w:ilvl="4">
      <w:start w:val="0"/>
      <w:numFmt w:val="bullet"/>
      <w:lvlText w:val="•"/>
      <w:lvlJc w:val="left"/>
      <w:pPr>
        <w:ind w:left="3390" w:hanging="529"/>
      </w:pPr>
      <w:rPr>
        <w:rFonts w:hint="default"/>
        <w:lang w:val="en-US" w:eastAsia="zh-CN" w:bidi="ar-SA"/>
      </w:rPr>
    </w:lvl>
    <w:lvl w:ilvl="5">
      <w:start w:val="0"/>
      <w:numFmt w:val="bullet"/>
      <w:lvlText w:val="•"/>
      <w:lvlJc w:val="left"/>
      <w:pPr>
        <w:ind w:left="4043" w:hanging="529"/>
      </w:pPr>
      <w:rPr>
        <w:rFonts w:hint="default"/>
        <w:lang w:val="en-US" w:eastAsia="zh-CN" w:bidi="ar-SA"/>
      </w:rPr>
    </w:lvl>
    <w:lvl w:ilvl="6">
      <w:start w:val="0"/>
      <w:numFmt w:val="bullet"/>
      <w:lvlText w:val="•"/>
      <w:lvlJc w:val="left"/>
      <w:pPr>
        <w:ind w:left="4695" w:hanging="529"/>
      </w:pPr>
      <w:rPr>
        <w:rFonts w:hint="default"/>
        <w:lang w:val="en-US" w:eastAsia="zh-CN" w:bidi="ar-SA"/>
      </w:rPr>
    </w:lvl>
    <w:lvl w:ilvl="7">
      <w:start w:val="0"/>
      <w:numFmt w:val="bullet"/>
      <w:lvlText w:val="•"/>
      <w:lvlJc w:val="left"/>
      <w:pPr>
        <w:ind w:left="5348" w:hanging="529"/>
      </w:pPr>
      <w:rPr>
        <w:rFonts w:hint="default"/>
        <w:lang w:val="en-US" w:eastAsia="zh-CN" w:bidi="ar-SA"/>
      </w:rPr>
    </w:lvl>
    <w:lvl w:ilvl="8">
      <w:start w:val="0"/>
      <w:numFmt w:val="bullet"/>
      <w:lvlText w:val="•"/>
      <w:lvlJc w:val="left"/>
      <w:pPr>
        <w:ind w:left="6000" w:hanging="529"/>
      </w:pPr>
      <w:rPr>
        <w:rFonts w:hint="default"/>
        <w:lang w:val="en-US" w:eastAsia="zh-CN" w:bidi="ar-SA"/>
      </w:rPr>
    </w:lvl>
  </w:abstractNum>
  <w:abstractNum w:abstractNumId="28">
    <w:multiLevelType w:val="hybridMultilevel"/>
    <w:lvl w:ilvl="0">
      <w:start w:val="1"/>
      <w:numFmt w:val="decimal"/>
      <w:lvlText w:val="（%1）"/>
      <w:lvlJc w:val="left"/>
      <w:pPr>
        <w:ind w:left="773"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432" w:hanging="529"/>
      </w:pPr>
      <w:rPr>
        <w:rFonts w:hint="default"/>
        <w:lang w:val="en-US" w:eastAsia="zh-CN" w:bidi="ar-SA"/>
      </w:rPr>
    </w:lvl>
    <w:lvl w:ilvl="2">
      <w:start w:val="0"/>
      <w:numFmt w:val="bullet"/>
      <w:lvlText w:val="•"/>
      <w:lvlJc w:val="left"/>
      <w:pPr>
        <w:ind w:left="2085" w:hanging="529"/>
      </w:pPr>
      <w:rPr>
        <w:rFonts w:hint="default"/>
        <w:lang w:val="en-US" w:eastAsia="zh-CN" w:bidi="ar-SA"/>
      </w:rPr>
    </w:lvl>
    <w:lvl w:ilvl="3">
      <w:start w:val="0"/>
      <w:numFmt w:val="bullet"/>
      <w:lvlText w:val="•"/>
      <w:lvlJc w:val="left"/>
      <w:pPr>
        <w:ind w:left="2737" w:hanging="529"/>
      </w:pPr>
      <w:rPr>
        <w:rFonts w:hint="default"/>
        <w:lang w:val="en-US" w:eastAsia="zh-CN" w:bidi="ar-SA"/>
      </w:rPr>
    </w:lvl>
    <w:lvl w:ilvl="4">
      <w:start w:val="0"/>
      <w:numFmt w:val="bullet"/>
      <w:lvlText w:val="•"/>
      <w:lvlJc w:val="left"/>
      <w:pPr>
        <w:ind w:left="3390" w:hanging="529"/>
      </w:pPr>
      <w:rPr>
        <w:rFonts w:hint="default"/>
        <w:lang w:val="en-US" w:eastAsia="zh-CN" w:bidi="ar-SA"/>
      </w:rPr>
    </w:lvl>
    <w:lvl w:ilvl="5">
      <w:start w:val="0"/>
      <w:numFmt w:val="bullet"/>
      <w:lvlText w:val="•"/>
      <w:lvlJc w:val="left"/>
      <w:pPr>
        <w:ind w:left="4043" w:hanging="529"/>
      </w:pPr>
      <w:rPr>
        <w:rFonts w:hint="default"/>
        <w:lang w:val="en-US" w:eastAsia="zh-CN" w:bidi="ar-SA"/>
      </w:rPr>
    </w:lvl>
    <w:lvl w:ilvl="6">
      <w:start w:val="0"/>
      <w:numFmt w:val="bullet"/>
      <w:lvlText w:val="•"/>
      <w:lvlJc w:val="left"/>
      <w:pPr>
        <w:ind w:left="4695" w:hanging="529"/>
      </w:pPr>
      <w:rPr>
        <w:rFonts w:hint="default"/>
        <w:lang w:val="en-US" w:eastAsia="zh-CN" w:bidi="ar-SA"/>
      </w:rPr>
    </w:lvl>
    <w:lvl w:ilvl="7">
      <w:start w:val="0"/>
      <w:numFmt w:val="bullet"/>
      <w:lvlText w:val="•"/>
      <w:lvlJc w:val="left"/>
      <w:pPr>
        <w:ind w:left="5348" w:hanging="529"/>
      </w:pPr>
      <w:rPr>
        <w:rFonts w:hint="default"/>
        <w:lang w:val="en-US" w:eastAsia="zh-CN" w:bidi="ar-SA"/>
      </w:rPr>
    </w:lvl>
    <w:lvl w:ilvl="8">
      <w:start w:val="0"/>
      <w:numFmt w:val="bullet"/>
      <w:lvlText w:val="•"/>
      <w:lvlJc w:val="left"/>
      <w:pPr>
        <w:ind w:left="6000" w:hanging="529"/>
      </w:pPr>
      <w:rPr>
        <w:rFonts w:hint="default"/>
        <w:lang w:val="en-US" w:eastAsia="zh-CN" w:bidi="ar-SA"/>
      </w:rPr>
    </w:lvl>
  </w:abstractNum>
  <w:abstractNum w:abstractNumId="27">
    <w:multiLevelType w:val="hybridMultilevel"/>
    <w:lvl w:ilvl="0">
      <w:start w:val="1"/>
      <w:numFmt w:val="decimal"/>
      <w:lvlText w:val="（%1）"/>
      <w:lvlJc w:val="left"/>
      <w:pPr>
        <w:ind w:left="243" w:hanging="529"/>
        <w:jc w:val="left"/>
      </w:pPr>
      <w:rPr>
        <w:rFonts w:hint="default" w:ascii="宋体" w:hAnsi="宋体" w:eastAsia="宋体" w:cs="宋体"/>
        <w:b w:val="0"/>
        <w:bCs w:val="0"/>
        <w:i w:val="0"/>
        <w:iCs w:val="0"/>
        <w:w w:val="100"/>
        <w:sz w:val="19"/>
        <w:szCs w:val="19"/>
        <w:lang w:val="en-US" w:eastAsia="zh-CN" w:bidi="ar-SA"/>
      </w:rPr>
    </w:lvl>
    <w:lvl w:ilvl="1">
      <w:start w:val="1"/>
      <w:numFmt w:val="decimal"/>
      <w:lvlText w:val="（%2）"/>
      <w:lvlJc w:val="left"/>
      <w:pPr>
        <w:ind w:left="878" w:hanging="529"/>
        <w:jc w:val="right"/>
      </w:pPr>
      <w:rPr>
        <w:rFonts w:hint="default" w:ascii="宋体" w:hAnsi="宋体" w:eastAsia="宋体" w:cs="宋体"/>
        <w:b w:val="0"/>
        <w:bCs w:val="0"/>
        <w:i w:val="0"/>
        <w:iCs w:val="0"/>
        <w:w w:val="100"/>
        <w:sz w:val="19"/>
        <w:szCs w:val="19"/>
        <w:lang w:val="en-US" w:eastAsia="zh-CN" w:bidi="ar-SA"/>
      </w:rPr>
    </w:lvl>
    <w:lvl w:ilvl="2">
      <w:start w:val="0"/>
      <w:numFmt w:val="bullet"/>
      <w:lvlText w:val="•"/>
      <w:lvlJc w:val="left"/>
      <w:pPr>
        <w:ind w:left="1593" w:hanging="529"/>
      </w:pPr>
      <w:rPr>
        <w:rFonts w:hint="default"/>
        <w:lang w:val="en-US" w:eastAsia="zh-CN" w:bidi="ar-SA"/>
      </w:rPr>
    </w:lvl>
    <w:lvl w:ilvl="3">
      <w:start w:val="0"/>
      <w:numFmt w:val="bullet"/>
      <w:lvlText w:val="•"/>
      <w:lvlJc w:val="left"/>
      <w:pPr>
        <w:ind w:left="2307" w:hanging="529"/>
      </w:pPr>
      <w:rPr>
        <w:rFonts w:hint="default"/>
        <w:lang w:val="en-US" w:eastAsia="zh-CN" w:bidi="ar-SA"/>
      </w:rPr>
    </w:lvl>
    <w:lvl w:ilvl="4">
      <w:start w:val="0"/>
      <w:numFmt w:val="bullet"/>
      <w:lvlText w:val="•"/>
      <w:lvlJc w:val="left"/>
      <w:pPr>
        <w:ind w:left="3021" w:hanging="529"/>
      </w:pPr>
      <w:rPr>
        <w:rFonts w:hint="default"/>
        <w:lang w:val="en-US" w:eastAsia="zh-CN" w:bidi="ar-SA"/>
      </w:rPr>
    </w:lvl>
    <w:lvl w:ilvl="5">
      <w:start w:val="0"/>
      <w:numFmt w:val="bullet"/>
      <w:lvlText w:val="•"/>
      <w:lvlJc w:val="left"/>
      <w:pPr>
        <w:ind w:left="3735" w:hanging="529"/>
      </w:pPr>
      <w:rPr>
        <w:rFonts w:hint="default"/>
        <w:lang w:val="en-US" w:eastAsia="zh-CN" w:bidi="ar-SA"/>
      </w:rPr>
    </w:lvl>
    <w:lvl w:ilvl="6">
      <w:start w:val="0"/>
      <w:numFmt w:val="bullet"/>
      <w:lvlText w:val="•"/>
      <w:lvlJc w:val="left"/>
      <w:pPr>
        <w:ind w:left="4449" w:hanging="529"/>
      </w:pPr>
      <w:rPr>
        <w:rFonts w:hint="default"/>
        <w:lang w:val="en-US" w:eastAsia="zh-CN" w:bidi="ar-SA"/>
      </w:rPr>
    </w:lvl>
    <w:lvl w:ilvl="7">
      <w:start w:val="0"/>
      <w:numFmt w:val="bullet"/>
      <w:lvlText w:val="•"/>
      <w:lvlJc w:val="left"/>
      <w:pPr>
        <w:ind w:left="5163" w:hanging="529"/>
      </w:pPr>
      <w:rPr>
        <w:rFonts w:hint="default"/>
        <w:lang w:val="en-US" w:eastAsia="zh-CN" w:bidi="ar-SA"/>
      </w:rPr>
    </w:lvl>
    <w:lvl w:ilvl="8">
      <w:start w:val="0"/>
      <w:numFmt w:val="bullet"/>
      <w:lvlText w:val="•"/>
      <w:lvlJc w:val="left"/>
      <w:pPr>
        <w:ind w:left="5877" w:hanging="529"/>
      </w:pPr>
      <w:rPr>
        <w:rFonts w:hint="default"/>
        <w:lang w:val="en-US" w:eastAsia="zh-CN" w:bidi="ar-SA"/>
      </w:rPr>
    </w:lvl>
  </w:abstractNum>
  <w:abstractNum w:abstractNumId="26">
    <w:multiLevelType w:val="hybridMultilevel"/>
    <w:lvl w:ilvl="0">
      <w:start w:val="1"/>
      <w:numFmt w:val="decimal"/>
      <w:lvlText w:val="（%1）"/>
      <w:lvlJc w:val="left"/>
      <w:pPr>
        <w:ind w:left="3991"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4652" w:hanging="529"/>
      </w:pPr>
      <w:rPr>
        <w:rFonts w:hint="default"/>
        <w:lang w:val="en-US" w:eastAsia="zh-CN" w:bidi="ar-SA"/>
      </w:rPr>
    </w:lvl>
    <w:lvl w:ilvl="2">
      <w:start w:val="0"/>
      <w:numFmt w:val="bullet"/>
      <w:lvlText w:val="•"/>
      <w:lvlJc w:val="left"/>
      <w:pPr>
        <w:ind w:left="5304" w:hanging="529"/>
      </w:pPr>
      <w:rPr>
        <w:rFonts w:hint="default"/>
        <w:lang w:val="en-US" w:eastAsia="zh-CN" w:bidi="ar-SA"/>
      </w:rPr>
    </w:lvl>
    <w:lvl w:ilvl="3">
      <w:start w:val="0"/>
      <w:numFmt w:val="bullet"/>
      <w:lvlText w:val="•"/>
      <w:lvlJc w:val="left"/>
      <w:pPr>
        <w:ind w:left="5957" w:hanging="529"/>
      </w:pPr>
      <w:rPr>
        <w:rFonts w:hint="default"/>
        <w:lang w:val="en-US" w:eastAsia="zh-CN" w:bidi="ar-SA"/>
      </w:rPr>
    </w:lvl>
    <w:lvl w:ilvl="4">
      <w:start w:val="0"/>
      <w:numFmt w:val="bullet"/>
      <w:lvlText w:val="•"/>
      <w:lvlJc w:val="left"/>
      <w:pPr>
        <w:ind w:left="6609" w:hanging="529"/>
      </w:pPr>
      <w:rPr>
        <w:rFonts w:hint="default"/>
        <w:lang w:val="en-US" w:eastAsia="zh-CN" w:bidi="ar-SA"/>
      </w:rPr>
    </w:lvl>
    <w:lvl w:ilvl="5">
      <w:start w:val="0"/>
      <w:numFmt w:val="bullet"/>
      <w:lvlText w:val="•"/>
      <w:lvlJc w:val="left"/>
      <w:pPr>
        <w:ind w:left="7262" w:hanging="529"/>
      </w:pPr>
      <w:rPr>
        <w:rFonts w:hint="default"/>
        <w:lang w:val="en-US" w:eastAsia="zh-CN" w:bidi="ar-SA"/>
      </w:rPr>
    </w:lvl>
    <w:lvl w:ilvl="6">
      <w:start w:val="0"/>
      <w:numFmt w:val="bullet"/>
      <w:lvlText w:val="•"/>
      <w:lvlJc w:val="left"/>
      <w:pPr>
        <w:ind w:left="7914" w:hanging="529"/>
      </w:pPr>
      <w:rPr>
        <w:rFonts w:hint="default"/>
        <w:lang w:val="en-US" w:eastAsia="zh-CN" w:bidi="ar-SA"/>
      </w:rPr>
    </w:lvl>
    <w:lvl w:ilvl="7">
      <w:start w:val="0"/>
      <w:numFmt w:val="bullet"/>
      <w:lvlText w:val="•"/>
      <w:lvlJc w:val="left"/>
      <w:pPr>
        <w:ind w:left="8566" w:hanging="529"/>
      </w:pPr>
      <w:rPr>
        <w:rFonts w:hint="default"/>
        <w:lang w:val="en-US" w:eastAsia="zh-CN" w:bidi="ar-SA"/>
      </w:rPr>
    </w:lvl>
    <w:lvl w:ilvl="8">
      <w:start w:val="0"/>
      <w:numFmt w:val="bullet"/>
      <w:lvlText w:val="•"/>
      <w:lvlJc w:val="left"/>
      <w:pPr>
        <w:ind w:left="9219" w:hanging="529"/>
      </w:pPr>
      <w:rPr>
        <w:rFonts w:hint="default"/>
        <w:lang w:val="en-US" w:eastAsia="zh-CN" w:bidi="ar-SA"/>
      </w:rPr>
    </w:lvl>
  </w:abstractNum>
  <w:abstractNum w:abstractNumId="25">
    <w:multiLevelType w:val="hybridMultilevel"/>
    <w:lvl w:ilvl="0">
      <w:start w:val="1"/>
      <w:numFmt w:val="decimal"/>
      <w:lvlText w:val="（%1）"/>
      <w:lvlJc w:val="left"/>
      <w:pPr>
        <w:ind w:left="87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533" w:hanging="529"/>
      </w:pPr>
      <w:rPr>
        <w:rFonts w:hint="default"/>
        <w:lang w:val="en-US" w:eastAsia="zh-CN" w:bidi="ar-SA"/>
      </w:rPr>
    </w:lvl>
    <w:lvl w:ilvl="2">
      <w:start w:val="0"/>
      <w:numFmt w:val="bullet"/>
      <w:lvlText w:val="•"/>
      <w:lvlJc w:val="left"/>
      <w:pPr>
        <w:ind w:left="2186" w:hanging="529"/>
      </w:pPr>
      <w:rPr>
        <w:rFonts w:hint="default"/>
        <w:lang w:val="en-US" w:eastAsia="zh-CN" w:bidi="ar-SA"/>
      </w:rPr>
    </w:lvl>
    <w:lvl w:ilvl="3">
      <w:start w:val="0"/>
      <w:numFmt w:val="bullet"/>
      <w:lvlText w:val="•"/>
      <w:lvlJc w:val="left"/>
      <w:pPr>
        <w:ind w:left="2839" w:hanging="529"/>
      </w:pPr>
      <w:rPr>
        <w:rFonts w:hint="default"/>
        <w:lang w:val="en-US" w:eastAsia="zh-CN" w:bidi="ar-SA"/>
      </w:rPr>
    </w:lvl>
    <w:lvl w:ilvl="4">
      <w:start w:val="0"/>
      <w:numFmt w:val="bullet"/>
      <w:lvlText w:val="•"/>
      <w:lvlJc w:val="left"/>
      <w:pPr>
        <w:ind w:left="3492" w:hanging="529"/>
      </w:pPr>
      <w:rPr>
        <w:rFonts w:hint="default"/>
        <w:lang w:val="en-US" w:eastAsia="zh-CN" w:bidi="ar-SA"/>
      </w:rPr>
    </w:lvl>
    <w:lvl w:ilvl="5">
      <w:start w:val="0"/>
      <w:numFmt w:val="bullet"/>
      <w:lvlText w:val="•"/>
      <w:lvlJc w:val="left"/>
      <w:pPr>
        <w:ind w:left="4145" w:hanging="529"/>
      </w:pPr>
      <w:rPr>
        <w:rFonts w:hint="default"/>
        <w:lang w:val="en-US" w:eastAsia="zh-CN" w:bidi="ar-SA"/>
      </w:rPr>
    </w:lvl>
    <w:lvl w:ilvl="6">
      <w:start w:val="0"/>
      <w:numFmt w:val="bullet"/>
      <w:lvlText w:val="•"/>
      <w:lvlJc w:val="left"/>
      <w:pPr>
        <w:ind w:left="4798" w:hanging="529"/>
      </w:pPr>
      <w:rPr>
        <w:rFonts w:hint="default"/>
        <w:lang w:val="en-US" w:eastAsia="zh-CN" w:bidi="ar-SA"/>
      </w:rPr>
    </w:lvl>
    <w:lvl w:ilvl="7">
      <w:start w:val="0"/>
      <w:numFmt w:val="bullet"/>
      <w:lvlText w:val="•"/>
      <w:lvlJc w:val="left"/>
      <w:pPr>
        <w:ind w:left="5451" w:hanging="529"/>
      </w:pPr>
      <w:rPr>
        <w:rFonts w:hint="default"/>
        <w:lang w:val="en-US" w:eastAsia="zh-CN" w:bidi="ar-SA"/>
      </w:rPr>
    </w:lvl>
    <w:lvl w:ilvl="8">
      <w:start w:val="0"/>
      <w:numFmt w:val="bullet"/>
      <w:lvlText w:val="•"/>
      <w:lvlJc w:val="left"/>
      <w:pPr>
        <w:ind w:left="6105" w:hanging="529"/>
      </w:pPr>
      <w:rPr>
        <w:rFonts w:hint="default"/>
        <w:lang w:val="en-US" w:eastAsia="zh-CN" w:bidi="ar-SA"/>
      </w:rPr>
    </w:lvl>
  </w:abstractNum>
  <w:abstractNum w:abstractNumId="24">
    <w:multiLevelType w:val="hybridMultilevel"/>
    <w:lvl w:ilvl="0">
      <w:start w:val="1"/>
      <w:numFmt w:val="decimal"/>
      <w:lvlText w:val="（%1）"/>
      <w:lvlJc w:val="left"/>
      <w:pPr>
        <w:ind w:left="87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533" w:hanging="529"/>
      </w:pPr>
      <w:rPr>
        <w:rFonts w:hint="default"/>
        <w:lang w:val="en-US" w:eastAsia="zh-CN" w:bidi="ar-SA"/>
      </w:rPr>
    </w:lvl>
    <w:lvl w:ilvl="2">
      <w:start w:val="0"/>
      <w:numFmt w:val="bullet"/>
      <w:lvlText w:val="•"/>
      <w:lvlJc w:val="left"/>
      <w:pPr>
        <w:ind w:left="2186" w:hanging="529"/>
      </w:pPr>
      <w:rPr>
        <w:rFonts w:hint="default"/>
        <w:lang w:val="en-US" w:eastAsia="zh-CN" w:bidi="ar-SA"/>
      </w:rPr>
    </w:lvl>
    <w:lvl w:ilvl="3">
      <w:start w:val="0"/>
      <w:numFmt w:val="bullet"/>
      <w:lvlText w:val="•"/>
      <w:lvlJc w:val="left"/>
      <w:pPr>
        <w:ind w:left="2839" w:hanging="529"/>
      </w:pPr>
      <w:rPr>
        <w:rFonts w:hint="default"/>
        <w:lang w:val="en-US" w:eastAsia="zh-CN" w:bidi="ar-SA"/>
      </w:rPr>
    </w:lvl>
    <w:lvl w:ilvl="4">
      <w:start w:val="0"/>
      <w:numFmt w:val="bullet"/>
      <w:lvlText w:val="•"/>
      <w:lvlJc w:val="left"/>
      <w:pPr>
        <w:ind w:left="3492" w:hanging="529"/>
      </w:pPr>
      <w:rPr>
        <w:rFonts w:hint="default"/>
        <w:lang w:val="en-US" w:eastAsia="zh-CN" w:bidi="ar-SA"/>
      </w:rPr>
    </w:lvl>
    <w:lvl w:ilvl="5">
      <w:start w:val="0"/>
      <w:numFmt w:val="bullet"/>
      <w:lvlText w:val="•"/>
      <w:lvlJc w:val="left"/>
      <w:pPr>
        <w:ind w:left="4145" w:hanging="529"/>
      </w:pPr>
      <w:rPr>
        <w:rFonts w:hint="default"/>
        <w:lang w:val="en-US" w:eastAsia="zh-CN" w:bidi="ar-SA"/>
      </w:rPr>
    </w:lvl>
    <w:lvl w:ilvl="6">
      <w:start w:val="0"/>
      <w:numFmt w:val="bullet"/>
      <w:lvlText w:val="•"/>
      <w:lvlJc w:val="left"/>
      <w:pPr>
        <w:ind w:left="4798" w:hanging="529"/>
      </w:pPr>
      <w:rPr>
        <w:rFonts w:hint="default"/>
        <w:lang w:val="en-US" w:eastAsia="zh-CN" w:bidi="ar-SA"/>
      </w:rPr>
    </w:lvl>
    <w:lvl w:ilvl="7">
      <w:start w:val="0"/>
      <w:numFmt w:val="bullet"/>
      <w:lvlText w:val="•"/>
      <w:lvlJc w:val="left"/>
      <w:pPr>
        <w:ind w:left="5451" w:hanging="529"/>
      </w:pPr>
      <w:rPr>
        <w:rFonts w:hint="default"/>
        <w:lang w:val="en-US" w:eastAsia="zh-CN" w:bidi="ar-SA"/>
      </w:rPr>
    </w:lvl>
    <w:lvl w:ilvl="8">
      <w:start w:val="0"/>
      <w:numFmt w:val="bullet"/>
      <w:lvlText w:val="•"/>
      <w:lvlJc w:val="left"/>
      <w:pPr>
        <w:ind w:left="6105" w:hanging="529"/>
      </w:pPr>
      <w:rPr>
        <w:rFonts w:hint="default"/>
        <w:lang w:val="en-US" w:eastAsia="zh-CN" w:bidi="ar-SA"/>
      </w:rPr>
    </w:lvl>
  </w:abstractNum>
  <w:abstractNum w:abstractNumId="23">
    <w:multiLevelType w:val="hybridMultilevel"/>
    <w:lvl w:ilvl="0">
      <w:start w:val="1"/>
      <w:numFmt w:val="decimal"/>
      <w:lvlText w:val="（%1）"/>
      <w:lvlJc w:val="left"/>
      <w:pPr>
        <w:ind w:left="349"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047" w:hanging="529"/>
      </w:pPr>
      <w:rPr>
        <w:rFonts w:hint="default"/>
        <w:lang w:val="en-US" w:eastAsia="zh-CN" w:bidi="ar-SA"/>
      </w:rPr>
    </w:lvl>
    <w:lvl w:ilvl="2">
      <w:start w:val="0"/>
      <w:numFmt w:val="bullet"/>
      <w:lvlText w:val="•"/>
      <w:lvlJc w:val="left"/>
      <w:pPr>
        <w:ind w:left="1754" w:hanging="529"/>
      </w:pPr>
      <w:rPr>
        <w:rFonts w:hint="default"/>
        <w:lang w:val="en-US" w:eastAsia="zh-CN" w:bidi="ar-SA"/>
      </w:rPr>
    </w:lvl>
    <w:lvl w:ilvl="3">
      <w:start w:val="0"/>
      <w:numFmt w:val="bullet"/>
      <w:lvlText w:val="•"/>
      <w:lvlJc w:val="left"/>
      <w:pPr>
        <w:ind w:left="2461" w:hanging="529"/>
      </w:pPr>
      <w:rPr>
        <w:rFonts w:hint="default"/>
        <w:lang w:val="en-US" w:eastAsia="zh-CN" w:bidi="ar-SA"/>
      </w:rPr>
    </w:lvl>
    <w:lvl w:ilvl="4">
      <w:start w:val="0"/>
      <w:numFmt w:val="bullet"/>
      <w:lvlText w:val="•"/>
      <w:lvlJc w:val="left"/>
      <w:pPr>
        <w:ind w:left="3168" w:hanging="529"/>
      </w:pPr>
      <w:rPr>
        <w:rFonts w:hint="default"/>
        <w:lang w:val="en-US" w:eastAsia="zh-CN" w:bidi="ar-SA"/>
      </w:rPr>
    </w:lvl>
    <w:lvl w:ilvl="5">
      <w:start w:val="0"/>
      <w:numFmt w:val="bullet"/>
      <w:lvlText w:val="•"/>
      <w:lvlJc w:val="left"/>
      <w:pPr>
        <w:ind w:left="3875" w:hanging="529"/>
      </w:pPr>
      <w:rPr>
        <w:rFonts w:hint="default"/>
        <w:lang w:val="en-US" w:eastAsia="zh-CN" w:bidi="ar-SA"/>
      </w:rPr>
    </w:lvl>
    <w:lvl w:ilvl="6">
      <w:start w:val="0"/>
      <w:numFmt w:val="bullet"/>
      <w:lvlText w:val="•"/>
      <w:lvlJc w:val="left"/>
      <w:pPr>
        <w:ind w:left="4582" w:hanging="529"/>
      </w:pPr>
      <w:rPr>
        <w:rFonts w:hint="default"/>
        <w:lang w:val="en-US" w:eastAsia="zh-CN" w:bidi="ar-SA"/>
      </w:rPr>
    </w:lvl>
    <w:lvl w:ilvl="7">
      <w:start w:val="0"/>
      <w:numFmt w:val="bullet"/>
      <w:lvlText w:val="•"/>
      <w:lvlJc w:val="left"/>
      <w:pPr>
        <w:ind w:left="5289" w:hanging="529"/>
      </w:pPr>
      <w:rPr>
        <w:rFonts w:hint="default"/>
        <w:lang w:val="en-US" w:eastAsia="zh-CN" w:bidi="ar-SA"/>
      </w:rPr>
    </w:lvl>
    <w:lvl w:ilvl="8">
      <w:start w:val="0"/>
      <w:numFmt w:val="bullet"/>
      <w:lvlText w:val="•"/>
      <w:lvlJc w:val="left"/>
      <w:pPr>
        <w:ind w:left="5997" w:hanging="529"/>
      </w:pPr>
      <w:rPr>
        <w:rFonts w:hint="default"/>
        <w:lang w:val="en-US" w:eastAsia="zh-CN" w:bidi="ar-SA"/>
      </w:rPr>
    </w:lvl>
  </w:abstractNum>
  <w:abstractNum w:abstractNumId="22">
    <w:multiLevelType w:val="hybridMultilevel"/>
    <w:lvl w:ilvl="0">
      <w:start w:val="1"/>
      <w:numFmt w:val="decimal"/>
      <w:lvlText w:val="（%1）"/>
      <w:lvlJc w:val="left"/>
      <w:pPr>
        <w:ind w:left="87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533" w:hanging="529"/>
      </w:pPr>
      <w:rPr>
        <w:rFonts w:hint="default"/>
        <w:lang w:val="en-US" w:eastAsia="zh-CN" w:bidi="ar-SA"/>
      </w:rPr>
    </w:lvl>
    <w:lvl w:ilvl="2">
      <w:start w:val="0"/>
      <w:numFmt w:val="bullet"/>
      <w:lvlText w:val="•"/>
      <w:lvlJc w:val="left"/>
      <w:pPr>
        <w:ind w:left="2186" w:hanging="529"/>
      </w:pPr>
      <w:rPr>
        <w:rFonts w:hint="default"/>
        <w:lang w:val="en-US" w:eastAsia="zh-CN" w:bidi="ar-SA"/>
      </w:rPr>
    </w:lvl>
    <w:lvl w:ilvl="3">
      <w:start w:val="0"/>
      <w:numFmt w:val="bullet"/>
      <w:lvlText w:val="•"/>
      <w:lvlJc w:val="left"/>
      <w:pPr>
        <w:ind w:left="2839" w:hanging="529"/>
      </w:pPr>
      <w:rPr>
        <w:rFonts w:hint="default"/>
        <w:lang w:val="en-US" w:eastAsia="zh-CN" w:bidi="ar-SA"/>
      </w:rPr>
    </w:lvl>
    <w:lvl w:ilvl="4">
      <w:start w:val="0"/>
      <w:numFmt w:val="bullet"/>
      <w:lvlText w:val="•"/>
      <w:lvlJc w:val="left"/>
      <w:pPr>
        <w:ind w:left="3492" w:hanging="529"/>
      </w:pPr>
      <w:rPr>
        <w:rFonts w:hint="default"/>
        <w:lang w:val="en-US" w:eastAsia="zh-CN" w:bidi="ar-SA"/>
      </w:rPr>
    </w:lvl>
    <w:lvl w:ilvl="5">
      <w:start w:val="0"/>
      <w:numFmt w:val="bullet"/>
      <w:lvlText w:val="•"/>
      <w:lvlJc w:val="left"/>
      <w:pPr>
        <w:ind w:left="4145" w:hanging="529"/>
      </w:pPr>
      <w:rPr>
        <w:rFonts w:hint="default"/>
        <w:lang w:val="en-US" w:eastAsia="zh-CN" w:bidi="ar-SA"/>
      </w:rPr>
    </w:lvl>
    <w:lvl w:ilvl="6">
      <w:start w:val="0"/>
      <w:numFmt w:val="bullet"/>
      <w:lvlText w:val="•"/>
      <w:lvlJc w:val="left"/>
      <w:pPr>
        <w:ind w:left="4798" w:hanging="529"/>
      </w:pPr>
      <w:rPr>
        <w:rFonts w:hint="default"/>
        <w:lang w:val="en-US" w:eastAsia="zh-CN" w:bidi="ar-SA"/>
      </w:rPr>
    </w:lvl>
    <w:lvl w:ilvl="7">
      <w:start w:val="0"/>
      <w:numFmt w:val="bullet"/>
      <w:lvlText w:val="•"/>
      <w:lvlJc w:val="left"/>
      <w:pPr>
        <w:ind w:left="5451" w:hanging="529"/>
      </w:pPr>
      <w:rPr>
        <w:rFonts w:hint="default"/>
        <w:lang w:val="en-US" w:eastAsia="zh-CN" w:bidi="ar-SA"/>
      </w:rPr>
    </w:lvl>
    <w:lvl w:ilvl="8">
      <w:start w:val="0"/>
      <w:numFmt w:val="bullet"/>
      <w:lvlText w:val="•"/>
      <w:lvlJc w:val="left"/>
      <w:pPr>
        <w:ind w:left="6105" w:hanging="529"/>
      </w:pPr>
      <w:rPr>
        <w:rFonts w:hint="default"/>
        <w:lang w:val="en-US" w:eastAsia="zh-CN" w:bidi="ar-SA"/>
      </w:rPr>
    </w:lvl>
  </w:abstractNum>
  <w:abstractNum w:abstractNumId="21">
    <w:multiLevelType w:val="hybridMultilevel"/>
    <w:lvl w:ilvl="0">
      <w:start w:val="1"/>
      <w:numFmt w:val="decimal"/>
      <w:lvlText w:val="（%1）"/>
      <w:lvlJc w:val="left"/>
      <w:pPr>
        <w:ind w:left="3991"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4652" w:hanging="529"/>
      </w:pPr>
      <w:rPr>
        <w:rFonts w:hint="default"/>
        <w:lang w:val="en-US" w:eastAsia="zh-CN" w:bidi="ar-SA"/>
      </w:rPr>
    </w:lvl>
    <w:lvl w:ilvl="2">
      <w:start w:val="0"/>
      <w:numFmt w:val="bullet"/>
      <w:lvlText w:val="•"/>
      <w:lvlJc w:val="left"/>
      <w:pPr>
        <w:ind w:left="5304" w:hanging="529"/>
      </w:pPr>
      <w:rPr>
        <w:rFonts w:hint="default"/>
        <w:lang w:val="en-US" w:eastAsia="zh-CN" w:bidi="ar-SA"/>
      </w:rPr>
    </w:lvl>
    <w:lvl w:ilvl="3">
      <w:start w:val="0"/>
      <w:numFmt w:val="bullet"/>
      <w:lvlText w:val="•"/>
      <w:lvlJc w:val="left"/>
      <w:pPr>
        <w:ind w:left="5957" w:hanging="529"/>
      </w:pPr>
      <w:rPr>
        <w:rFonts w:hint="default"/>
        <w:lang w:val="en-US" w:eastAsia="zh-CN" w:bidi="ar-SA"/>
      </w:rPr>
    </w:lvl>
    <w:lvl w:ilvl="4">
      <w:start w:val="0"/>
      <w:numFmt w:val="bullet"/>
      <w:lvlText w:val="•"/>
      <w:lvlJc w:val="left"/>
      <w:pPr>
        <w:ind w:left="6609" w:hanging="529"/>
      </w:pPr>
      <w:rPr>
        <w:rFonts w:hint="default"/>
        <w:lang w:val="en-US" w:eastAsia="zh-CN" w:bidi="ar-SA"/>
      </w:rPr>
    </w:lvl>
    <w:lvl w:ilvl="5">
      <w:start w:val="0"/>
      <w:numFmt w:val="bullet"/>
      <w:lvlText w:val="•"/>
      <w:lvlJc w:val="left"/>
      <w:pPr>
        <w:ind w:left="7262" w:hanging="529"/>
      </w:pPr>
      <w:rPr>
        <w:rFonts w:hint="default"/>
        <w:lang w:val="en-US" w:eastAsia="zh-CN" w:bidi="ar-SA"/>
      </w:rPr>
    </w:lvl>
    <w:lvl w:ilvl="6">
      <w:start w:val="0"/>
      <w:numFmt w:val="bullet"/>
      <w:lvlText w:val="•"/>
      <w:lvlJc w:val="left"/>
      <w:pPr>
        <w:ind w:left="7914" w:hanging="529"/>
      </w:pPr>
      <w:rPr>
        <w:rFonts w:hint="default"/>
        <w:lang w:val="en-US" w:eastAsia="zh-CN" w:bidi="ar-SA"/>
      </w:rPr>
    </w:lvl>
    <w:lvl w:ilvl="7">
      <w:start w:val="0"/>
      <w:numFmt w:val="bullet"/>
      <w:lvlText w:val="•"/>
      <w:lvlJc w:val="left"/>
      <w:pPr>
        <w:ind w:left="8566" w:hanging="529"/>
      </w:pPr>
      <w:rPr>
        <w:rFonts w:hint="default"/>
        <w:lang w:val="en-US" w:eastAsia="zh-CN" w:bidi="ar-SA"/>
      </w:rPr>
    </w:lvl>
    <w:lvl w:ilvl="8">
      <w:start w:val="0"/>
      <w:numFmt w:val="bullet"/>
      <w:lvlText w:val="•"/>
      <w:lvlJc w:val="left"/>
      <w:pPr>
        <w:ind w:left="9219" w:hanging="529"/>
      </w:pPr>
      <w:rPr>
        <w:rFonts w:hint="default"/>
        <w:lang w:val="en-US" w:eastAsia="zh-CN" w:bidi="ar-SA"/>
      </w:rPr>
    </w:lvl>
  </w:abstractNum>
  <w:abstractNum w:abstractNumId="20">
    <w:multiLevelType w:val="hybridMultilevel"/>
    <w:lvl w:ilvl="0">
      <w:start w:val="1"/>
      <w:numFmt w:val="decimal"/>
      <w:lvlText w:val="（%1）"/>
      <w:lvlJc w:val="left"/>
      <w:pPr>
        <w:ind w:left="772" w:hanging="529"/>
        <w:jc w:val="left"/>
      </w:pPr>
      <w:rPr>
        <w:rFonts w:hint="default" w:ascii="宋体" w:hAnsi="宋体" w:eastAsia="宋体" w:cs="宋体"/>
        <w:b w:val="0"/>
        <w:bCs w:val="0"/>
        <w:i w:val="0"/>
        <w:iCs w:val="0"/>
        <w:w w:val="100"/>
        <w:sz w:val="19"/>
        <w:szCs w:val="19"/>
        <w:lang w:val="en-US" w:eastAsia="zh-CN" w:bidi="ar-SA"/>
      </w:rPr>
    </w:lvl>
    <w:lvl w:ilvl="1">
      <w:start w:val="1"/>
      <w:numFmt w:val="decimal"/>
      <w:lvlText w:val="（%2）"/>
      <w:lvlJc w:val="left"/>
      <w:pPr>
        <w:ind w:left="878" w:hanging="529"/>
        <w:jc w:val="left"/>
      </w:pPr>
      <w:rPr>
        <w:rFonts w:hint="default" w:ascii="宋体" w:hAnsi="宋体" w:eastAsia="宋体" w:cs="宋体"/>
        <w:b w:val="0"/>
        <w:bCs w:val="0"/>
        <w:i w:val="0"/>
        <w:iCs w:val="0"/>
        <w:w w:val="100"/>
        <w:sz w:val="19"/>
        <w:szCs w:val="19"/>
        <w:lang w:val="en-US" w:eastAsia="zh-CN" w:bidi="ar-SA"/>
      </w:rPr>
    </w:lvl>
    <w:lvl w:ilvl="2">
      <w:start w:val="0"/>
      <w:numFmt w:val="bullet"/>
      <w:lvlText w:val="•"/>
      <w:lvlJc w:val="left"/>
      <w:pPr>
        <w:ind w:left="1593" w:hanging="529"/>
      </w:pPr>
      <w:rPr>
        <w:rFonts w:hint="default"/>
        <w:lang w:val="en-US" w:eastAsia="zh-CN" w:bidi="ar-SA"/>
      </w:rPr>
    </w:lvl>
    <w:lvl w:ilvl="3">
      <w:start w:val="0"/>
      <w:numFmt w:val="bullet"/>
      <w:lvlText w:val="•"/>
      <w:lvlJc w:val="left"/>
      <w:pPr>
        <w:ind w:left="2307" w:hanging="529"/>
      </w:pPr>
      <w:rPr>
        <w:rFonts w:hint="default"/>
        <w:lang w:val="en-US" w:eastAsia="zh-CN" w:bidi="ar-SA"/>
      </w:rPr>
    </w:lvl>
    <w:lvl w:ilvl="4">
      <w:start w:val="0"/>
      <w:numFmt w:val="bullet"/>
      <w:lvlText w:val="•"/>
      <w:lvlJc w:val="left"/>
      <w:pPr>
        <w:ind w:left="3021" w:hanging="529"/>
      </w:pPr>
      <w:rPr>
        <w:rFonts w:hint="default"/>
        <w:lang w:val="en-US" w:eastAsia="zh-CN" w:bidi="ar-SA"/>
      </w:rPr>
    </w:lvl>
    <w:lvl w:ilvl="5">
      <w:start w:val="0"/>
      <w:numFmt w:val="bullet"/>
      <w:lvlText w:val="•"/>
      <w:lvlJc w:val="left"/>
      <w:pPr>
        <w:ind w:left="3735" w:hanging="529"/>
      </w:pPr>
      <w:rPr>
        <w:rFonts w:hint="default"/>
        <w:lang w:val="en-US" w:eastAsia="zh-CN" w:bidi="ar-SA"/>
      </w:rPr>
    </w:lvl>
    <w:lvl w:ilvl="6">
      <w:start w:val="0"/>
      <w:numFmt w:val="bullet"/>
      <w:lvlText w:val="•"/>
      <w:lvlJc w:val="left"/>
      <w:pPr>
        <w:ind w:left="4449" w:hanging="529"/>
      </w:pPr>
      <w:rPr>
        <w:rFonts w:hint="default"/>
        <w:lang w:val="en-US" w:eastAsia="zh-CN" w:bidi="ar-SA"/>
      </w:rPr>
    </w:lvl>
    <w:lvl w:ilvl="7">
      <w:start w:val="0"/>
      <w:numFmt w:val="bullet"/>
      <w:lvlText w:val="•"/>
      <w:lvlJc w:val="left"/>
      <w:pPr>
        <w:ind w:left="5163" w:hanging="529"/>
      </w:pPr>
      <w:rPr>
        <w:rFonts w:hint="default"/>
        <w:lang w:val="en-US" w:eastAsia="zh-CN" w:bidi="ar-SA"/>
      </w:rPr>
    </w:lvl>
    <w:lvl w:ilvl="8">
      <w:start w:val="0"/>
      <w:numFmt w:val="bullet"/>
      <w:lvlText w:val="•"/>
      <w:lvlJc w:val="left"/>
      <w:pPr>
        <w:ind w:left="5877" w:hanging="529"/>
      </w:pPr>
      <w:rPr>
        <w:rFonts w:hint="default"/>
        <w:lang w:val="en-US" w:eastAsia="zh-CN" w:bidi="ar-SA"/>
      </w:rPr>
    </w:lvl>
  </w:abstractNum>
  <w:abstractNum w:abstractNumId="19">
    <w:multiLevelType w:val="hybridMultilevel"/>
    <w:lvl w:ilvl="0">
      <w:start w:val="1"/>
      <w:numFmt w:val="decimal"/>
      <w:lvlText w:val="（%1）"/>
      <w:lvlJc w:val="left"/>
      <w:pPr>
        <w:ind w:left="772"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432" w:hanging="529"/>
      </w:pPr>
      <w:rPr>
        <w:rFonts w:hint="default"/>
        <w:lang w:val="en-US" w:eastAsia="zh-CN" w:bidi="ar-SA"/>
      </w:rPr>
    </w:lvl>
    <w:lvl w:ilvl="2">
      <w:start w:val="0"/>
      <w:numFmt w:val="bullet"/>
      <w:lvlText w:val="•"/>
      <w:lvlJc w:val="left"/>
      <w:pPr>
        <w:ind w:left="2085" w:hanging="529"/>
      </w:pPr>
      <w:rPr>
        <w:rFonts w:hint="default"/>
        <w:lang w:val="en-US" w:eastAsia="zh-CN" w:bidi="ar-SA"/>
      </w:rPr>
    </w:lvl>
    <w:lvl w:ilvl="3">
      <w:start w:val="0"/>
      <w:numFmt w:val="bullet"/>
      <w:lvlText w:val="•"/>
      <w:lvlJc w:val="left"/>
      <w:pPr>
        <w:ind w:left="2737" w:hanging="529"/>
      </w:pPr>
      <w:rPr>
        <w:rFonts w:hint="default"/>
        <w:lang w:val="en-US" w:eastAsia="zh-CN" w:bidi="ar-SA"/>
      </w:rPr>
    </w:lvl>
    <w:lvl w:ilvl="4">
      <w:start w:val="0"/>
      <w:numFmt w:val="bullet"/>
      <w:lvlText w:val="•"/>
      <w:lvlJc w:val="left"/>
      <w:pPr>
        <w:ind w:left="3390" w:hanging="529"/>
      </w:pPr>
      <w:rPr>
        <w:rFonts w:hint="default"/>
        <w:lang w:val="en-US" w:eastAsia="zh-CN" w:bidi="ar-SA"/>
      </w:rPr>
    </w:lvl>
    <w:lvl w:ilvl="5">
      <w:start w:val="0"/>
      <w:numFmt w:val="bullet"/>
      <w:lvlText w:val="•"/>
      <w:lvlJc w:val="left"/>
      <w:pPr>
        <w:ind w:left="4042" w:hanging="529"/>
      </w:pPr>
      <w:rPr>
        <w:rFonts w:hint="default"/>
        <w:lang w:val="en-US" w:eastAsia="zh-CN" w:bidi="ar-SA"/>
      </w:rPr>
    </w:lvl>
    <w:lvl w:ilvl="6">
      <w:start w:val="0"/>
      <w:numFmt w:val="bullet"/>
      <w:lvlText w:val="•"/>
      <w:lvlJc w:val="left"/>
      <w:pPr>
        <w:ind w:left="4695" w:hanging="529"/>
      </w:pPr>
      <w:rPr>
        <w:rFonts w:hint="default"/>
        <w:lang w:val="en-US" w:eastAsia="zh-CN" w:bidi="ar-SA"/>
      </w:rPr>
    </w:lvl>
    <w:lvl w:ilvl="7">
      <w:start w:val="0"/>
      <w:numFmt w:val="bullet"/>
      <w:lvlText w:val="•"/>
      <w:lvlJc w:val="left"/>
      <w:pPr>
        <w:ind w:left="5348" w:hanging="529"/>
      </w:pPr>
      <w:rPr>
        <w:rFonts w:hint="default"/>
        <w:lang w:val="en-US" w:eastAsia="zh-CN" w:bidi="ar-SA"/>
      </w:rPr>
    </w:lvl>
    <w:lvl w:ilvl="8">
      <w:start w:val="0"/>
      <w:numFmt w:val="bullet"/>
      <w:lvlText w:val="•"/>
      <w:lvlJc w:val="left"/>
      <w:pPr>
        <w:ind w:left="6000" w:hanging="529"/>
      </w:pPr>
      <w:rPr>
        <w:rFonts w:hint="default"/>
        <w:lang w:val="en-US" w:eastAsia="zh-CN" w:bidi="ar-SA"/>
      </w:rPr>
    </w:lvl>
  </w:abstractNum>
  <w:abstractNum w:abstractNumId="18">
    <w:multiLevelType w:val="hybridMultilevel"/>
    <w:lvl w:ilvl="0">
      <w:start w:val="1"/>
      <w:numFmt w:val="decimal"/>
      <w:lvlText w:val="（%1）"/>
      <w:lvlJc w:val="left"/>
      <w:pPr>
        <w:ind w:left="772" w:hanging="529"/>
        <w:jc w:val="left"/>
      </w:pPr>
      <w:rPr>
        <w:rFonts w:hint="default" w:ascii="宋体" w:hAnsi="宋体" w:eastAsia="宋体" w:cs="宋体"/>
        <w:b w:val="0"/>
        <w:bCs w:val="0"/>
        <w:i w:val="0"/>
        <w:iCs w:val="0"/>
        <w:w w:val="100"/>
        <w:sz w:val="19"/>
        <w:szCs w:val="19"/>
        <w:lang w:val="en-US" w:eastAsia="zh-CN" w:bidi="ar-SA"/>
      </w:rPr>
    </w:lvl>
    <w:lvl w:ilvl="1">
      <w:start w:val="1"/>
      <w:numFmt w:val="decimal"/>
      <w:lvlText w:val="（%2）"/>
      <w:lvlJc w:val="left"/>
      <w:pPr>
        <w:ind w:left="878" w:hanging="529"/>
        <w:jc w:val="left"/>
      </w:pPr>
      <w:rPr>
        <w:rFonts w:hint="default" w:ascii="宋体" w:hAnsi="宋体" w:eastAsia="宋体" w:cs="宋体"/>
        <w:b w:val="0"/>
        <w:bCs w:val="0"/>
        <w:i w:val="0"/>
        <w:iCs w:val="0"/>
        <w:w w:val="100"/>
        <w:sz w:val="19"/>
        <w:szCs w:val="19"/>
        <w:lang w:val="en-US" w:eastAsia="zh-CN" w:bidi="ar-SA"/>
      </w:rPr>
    </w:lvl>
    <w:lvl w:ilvl="2">
      <w:start w:val="0"/>
      <w:numFmt w:val="bullet"/>
      <w:lvlText w:val="•"/>
      <w:lvlJc w:val="left"/>
      <w:pPr>
        <w:ind w:left="1593" w:hanging="529"/>
      </w:pPr>
      <w:rPr>
        <w:rFonts w:hint="default"/>
        <w:lang w:val="en-US" w:eastAsia="zh-CN" w:bidi="ar-SA"/>
      </w:rPr>
    </w:lvl>
    <w:lvl w:ilvl="3">
      <w:start w:val="0"/>
      <w:numFmt w:val="bullet"/>
      <w:lvlText w:val="•"/>
      <w:lvlJc w:val="left"/>
      <w:pPr>
        <w:ind w:left="2307" w:hanging="529"/>
      </w:pPr>
      <w:rPr>
        <w:rFonts w:hint="default"/>
        <w:lang w:val="en-US" w:eastAsia="zh-CN" w:bidi="ar-SA"/>
      </w:rPr>
    </w:lvl>
    <w:lvl w:ilvl="4">
      <w:start w:val="0"/>
      <w:numFmt w:val="bullet"/>
      <w:lvlText w:val="•"/>
      <w:lvlJc w:val="left"/>
      <w:pPr>
        <w:ind w:left="3021" w:hanging="529"/>
      </w:pPr>
      <w:rPr>
        <w:rFonts w:hint="default"/>
        <w:lang w:val="en-US" w:eastAsia="zh-CN" w:bidi="ar-SA"/>
      </w:rPr>
    </w:lvl>
    <w:lvl w:ilvl="5">
      <w:start w:val="0"/>
      <w:numFmt w:val="bullet"/>
      <w:lvlText w:val="•"/>
      <w:lvlJc w:val="left"/>
      <w:pPr>
        <w:ind w:left="3735" w:hanging="529"/>
      </w:pPr>
      <w:rPr>
        <w:rFonts w:hint="default"/>
        <w:lang w:val="en-US" w:eastAsia="zh-CN" w:bidi="ar-SA"/>
      </w:rPr>
    </w:lvl>
    <w:lvl w:ilvl="6">
      <w:start w:val="0"/>
      <w:numFmt w:val="bullet"/>
      <w:lvlText w:val="•"/>
      <w:lvlJc w:val="left"/>
      <w:pPr>
        <w:ind w:left="4449" w:hanging="529"/>
      </w:pPr>
      <w:rPr>
        <w:rFonts w:hint="default"/>
        <w:lang w:val="en-US" w:eastAsia="zh-CN" w:bidi="ar-SA"/>
      </w:rPr>
    </w:lvl>
    <w:lvl w:ilvl="7">
      <w:start w:val="0"/>
      <w:numFmt w:val="bullet"/>
      <w:lvlText w:val="•"/>
      <w:lvlJc w:val="left"/>
      <w:pPr>
        <w:ind w:left="5163" w:hanging="529"/>
      </w:pPr>
      <w:rPr>
        <w:rFonts w:hint="default"/>
        <w:lang w:val="en-US" w:eastAsia="zh-CN" w:bidi="ar-SA"/>
      </w:rPr>
    </w:lvl>
    <w:lvl w:ilvl="8">
      <w:start w:val="0"/>
      <w:numFmt w:val="bullet"/>
      <w:lvlText w:val="•"/>
      <w:lvlJc w:val="left"/>
      <w:pPr>
        <w:ind w:left="5877" w:hanging="529"/>
      </w:pPr>
      <w:rPr>
        <w:rFonts w:hint="default"/>
        <w:lang w:val="en-US" w:eastAsia="zh-CN" w:bidi="ar-SA"/>
      </w:rPr>
    </w:lvl>
  </w:abstractNum>
  <w:abstractNum w:abstractNumId="17">
    <w:multiLevelType w:val="hybridMultilevel"/>
    <w:lvl w:ilvl="0">
      <w:start w:val="1"/>
      <w:numFmt w:val="decimal"/>
      <w:lvlText w:val="（%1）"/>
      <w:lvlJc w:val="left"/>
      <w:pPr>
        <w:ind w:left="243"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946" w:hanging="529"/>
      </w:pPr>
      <w:rPr>
        <w:rFonts w:hint="default"/>
        <w:lang w:val="en-US" w:eastAsia="zh-CN" w:bidi="ar-SA"/>
      </w:rPr>
    </w:lvl>
    <w:lvl w:ilvl="2">
      <w:start w:val="0"/>
      <w:numFmt w:val="bullet"/>
      <w:lvlText w:val="•"/>
      <w:lvlJc w:val="left"/>
      <w:pPr>
        <w:ind w:left="1653" w:hanging="529"/>
      </w:pPr>
      <w:rPr>
        <w:rFonts w:hint="default"/>
        <w:lang w:val="en-US" w:eastAsia="zh-CN" w:bidi="ar-SA"/>
      </w:rPr>
    </w:lvl>
    <w:lvl w:ilvl="3">
      <w:start w:val="0"/>
      <w:numFmt w:val="bullet"/>
      <w:lvlText w:val="•"/>
      <w:lvlJc w:val="left"/>
      <w:pPr>
        <w:ind w:left="2359" w:hanging="529"/>
      </w:pPr>
      <w:rPr>
        <w:rFonts w:hint="default"/>
        <w:lang w:val="en-US" w:eastAsia="zh-CN" w:bidi="ar-SA"/>
      </w:rPr>
    </w:lvl>
    <w:lvl w:ilvl="4">
      <w:start w:val="0"/>
      <w:numFmt w:val="bullet"/>
      <w:lvlText w:val="•"/>
      <w:lvlJc w:val="left"/>
      <w:pPr>
        <w:ind w:left="3066" w:hanging="529"/>
      </w:pPr>
      <w:rPr>
        <w:rFonts w:hint="default"/>
        <w:lang w:val="en-US" w:eastAsia="zh-CN" w:bidi="ar-SA"/>
      </w:rPr>
    </w:lvl>
    <w:lvl w:ilvl="5">
      <w:start w:val="0"/>
      <w:numFmt w:val="bullet"/>
      <w:lvlText w:val="•"/>
      <w:lvlJc w:val="left"/>
      <w:pPr>
        <w:ind w:left="3772" w:hanging="529"/>
      </w:pPr>
      <w:rPr>
        <w:rFonts w:hint="default"/>
        <w:lang w:val="en-US" w:eastAsia="zh-CN" w:bidi="ar-SA"/>
      </w:rPr>
    </w:lvl>
    <w:lvl w:ilvl="6">
      <w:start w:val="0"/>
      <w:numFmt w:val="bullet"/>
      <w:lvlText w:val="•"/>
      <w:lvlJc w:val="left"/>
      <w:pPr>
        <w:ind w:left="4479" w:hanging="529"/>
      </w:pPr>
      <w:rPr>
        <w:rFonts w:hint="default"/>
        <w:lang w:val="en-US" w:eastAsia="zh-CN" w:bidi="ar-SA"/>
      </w:rPr>
    </w:lvl>
    <w:lvl w:ilvl="7">
      <w:start w:val="0"/>
      <w:numFmt w:val="bullet"/>
      <w:lvlText w:val="•"/>
      <w:lvlJc w:val="left"/>
      <w:pPr>
        <w:ind w:left="5186" w:hanging="529"/>
      </w:pPr>
      <w:rPr>
        <w:rFonts w:hint="default"/>
        <w:lang w:val="en-US" w:eastAsia="zh-CN" w:bidi="ar-SA"/>
      </w:rPr>
    </w:lvl>
    <w:lvl w:ilvl="8">
      <w:start w:val="0"/>
      <w:numFmt w:val="bullet"/>
      <w:lvlText w:val="•"/>
      <w:lvlJc w:val="left"/>
      <w:pPr>
        <w:ind w:left="5892" w:hanging="529"/>
      </w:pPr>
      <w:rPr>
        <w:rFonts w:hint="default"/>
        <w:lang w:val="en-US" w:eastAsia="zh-CN" w:bidi="ar-SA"/>
      </w:rPr>
    </w:lvl>
  </w:abstractNum>
  <w:abstractNum w:abstractNumId="16">
    <w:multiLevelType w:val="hybridMultilevel"/>
    <w:lvl w:ilvl="0">
      <w:start w:val="1"/>
      <w:numFmt w:val="decimal"/>
      <w:lvlText w:val="（%1）"/>
      <w:lvlJc w:val="left"/>
      <w:pPr>
        <w:ind w:left="772"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432" w:hanging="529"/>
      </w:pPr>
      <w:rPr>
        <w:rFonts w:hint="default"/>
        <w:lang w:val="en-US" w:eastAsia="zh-CN" w:bidi="ar-SA"/>
      </w:rPr>
    </w:lvl>
    <w:lvl w:ilvl="2">
      <w:start w:val="0"/>
      <w:numFmt w:val="bullet"/>
      <w:lvlText w:val="•"/>
      <w:lvlJc w:val="left"/>
      <w:pPr>
        <w:ind w:left="2085" w:hanging="529"/>
      </w:pPr>
      <w:rPr>
        <w:rFonts w:hint="default"/>
        <w:lang w:val="en-US" w:eastAsia="zh-CN" w:bidi="ar-SA"/>
      </w:rPr>
    </w:lvl>
    <w:lvl w:ilvl="3">
      <w:start w:val="0"/>
      <w:numFmt w:val="bullet"/>
      <w:lvlText w:val="•"/>
      <w:lvlJc w:val="left"/>
      <w:pPr>
        <w:ind w:left="2737" w:hanging="529"/>
      </w:pPr>
      <w:rPr>
        <w:rFonts w:hint="default"/>
        <w:lang w:val="en-US" w:eastAsia="zh-CN" w:bidi="ar-SA"/>
      </w:rPr>
    </w:lvl>
    <w:lvl w:ilvl="4">
      <w:start w:val="0"/>
      <w:numFmt w:val="bullet"/>
      <w:lvlText w:val="•"/>
      <w:lvlJc w:val="left"/>
      <w:pPr>
        <w:ind w:left="3390" w:hanging="529"/>
      </w:pPr>
      <w:rPr>
        <w:rFonts w:hint="default"/>
        <w:lang w:val="en-US" w:eastAsia="zh-CN" w:bidi="ar-SA"/>
      </w:rPr>
    </w:lvl>
    <w:lvl w:ilvl="5">
      <w:start w:val="0"/>
      <w:numFmt w:val="bullet"/>
      <w:lvlText w:val="•"/>
      <w:lvlJc w:val="left"/>
      <w:pPr>
        <w:ind w:left="4042" w:hanging="529"/>
      </w:pPr>
      <w:rPr>
        <w:rFonts w:hint="default"/>
        <w:lang w:val="en-US" w:eastAsia="zh-CN" w:bidi="ar-SA"/>
      </w:rPr>
    </w:lvl>
    <w:lvl w:ilvl="6">
      <w:start w:val="0"/>
      <w:numFmt w:val="bullet"/>
      <w:lvlText w:val="•"/>
      <w:lvlJc w:val="left"/>
      <w:pPr>
        <w:ind w:left="4695" w:hanging="529"/>
      </w:pPr>
      <w:rPr>
        <w:rFonts w:hint="default"/>
        <w:lang w:val="en-US" w:eastAsia="zh-CN" w:bidi="ar-SA"/>
      </w:rPr>
    </w:lvl>
    <w:lvl w:ilvl="7">
      <w:start w:val="0"/>
      <w:numFmt w:val="bullet"/>
      <w:lvlText w:val="•"/>
      <w:lvlJc w:val="left"/>
      <w:pPr>
        <w:ind w:left="5348" w:hanging="529"/>
      </w:pPr>
      <w:rPr>
        <w:rFonts w:hint="default"/>
        <w:lang w:val="en-US" w:eastAsia="zh-CN" w:bidi="ar-SA"/>
      </w:rPr>
    </w:lvl>
    <w:lvl w:ilvl="8">
      <w:start w:val="0"/>
      <w:numFmt w:val="bullet"/>
      <w:lvlText w:val="•"/>
      <w:lvlJc w:val="left"/>
      <w:pPr>
        <w:ind w:left="6000" w:hanging="529"/>
      </w:pPr>
      <w:rPr>
        <w:rFonts w:hint="default"/>
        <w:lang w:val="en-US" w:eastAsia="zh-CN" w:bidi="ar-SA"/>
      </w:rPr>
    </w:lvl>
  </w:abstractNum>
  <w:abstractNum w:abstractNumId="15">
    <w:multiLevelType w:val="hybridMultilevel"/>
    <w:lvl w:ilvl="0">
      <w:start w:val="1"/>
      <w:numFmt w:val="decimal"/>
      <w:lvlText w:val="（%1）"/>
      <w:lvlJc w:val="left"/>
      <w:pPr>
        <w:ind w:left="243"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946" w:hanging="529"/>
      </w:pPr>
      <w:rPr>
        <w:rFonts w:hint="default"/>
        <w:lang w:val="en-US" w:eastAsia="zh-CN" w:bidi="ar-SA"/>
      </w:rPr>
    </w:lvl>
    <w:lvl w:ilvl="2">
      <w:start w:val="0"/>
      <w:numFmt w:val="bullet"/>
      <w:lvlText w:val="•"/>
      <w:lvlJc w:val="left"/>
      <w:pPr>
        <w:ind w:left="1653" w:hanging="529"/>
      </w:pPr>
      <w:rPr>
        <w:rFonts w:hint="default"/>
        <w:lang w:val="en-US" w:eastAsia="zh-CN" w:bidi="ar-SA"/>
      </w:rPr>
    </w:lvl>
    <w:lvl w:ilvl="3">
      <w:start w:val="0"/>
      <w:numFmt w:val="bullet"/>
      <w:lvlText w:val="•"/>
      <w:lvlJc w:val="left"/>
      <w:pPr>
        <w:ind w:left="2359" w:hanging="529"/>
      </w:pPr>
      <w:rPr>
        <w:rFonts w:hint="default"/>
        <w:lang w:val="en-US" w:eastAsia="zh-CN" w:bidi="ar-SA"/>
      </w:rPr>
    </w:lvl>
    <w:lvl w:ilvl="4">
      <w:start w:val="0"/>
      <w:numFmt w:val="bullet"/>
      <w:lvlText w:val="•"/>
      <w:lvlJc w:val="left"/>
      <w:pPr>
        <w:ind w:left="3066" w:hanging="529"/>
      </w:pPr>
      <w:rPr>
        <w:rFonts w:hint="default"/>
        <w:lang w:val="en-US" w:eastAsia="zh-CN" w:bidi="ar-SA"/>
      </w:rPr>
    </w:lvl>
    <w:lvl w:ilvl="5">
      <w:start w:val="0"/>
      <w:numFmt w:val="bullet"/>
      <w:lvlText w:val="•"/>
      <w:lvlJc w:val="left"/>
      <w:pPr>
        <w:ind w:left="3772" w:hanging="529"/>
      </w:pPr>
      <w:rPr>
        <w:rFonts w:hint="default"/>
        <w:lang w:val="en-US" w:eastAsia="zh-CN" w:bidi="ar-SA"/>
      </w:rPr>
    </w:lvl>
    <w:lvl w:ilvl="6">
      <w:start w:val="0"/>
      <w:numFmt w:val="bullet"/>
      <w:lvlText w:val="•"/>
      <w:lvlJc w:val="left"/>
      <w:pPr>
        <w:ind w:left="4479" w:hanging="529"/>
      </w:pPr>
      <w:rPr>
        <w:rFonts w:hint="default"/>
        <w:lang w:val="en-US" w:eastAsia="zh-CN" w:bidi="ar-SA"/>
      </w:rPr>
    </w:lvl>
    <w:lvl w:ilvl="7">
      <w:start w:val="0"/>
      <w:numFmt w:val="bullet"/>
      <w:lvlText w:val="•"/>
      <w:lvlJc w:val="left"/>
      <w:pPr>
        <w:ind w:left="5186" w:hanging="529"/>
      </w:pPr>
      <w:rPr>
        <w:rFonts w:hint="default"/>
        <w:lang w:val="en-US" w:eastAsia="zh-CN" w:bidi="ar-SA"/>
      </w:rPr>
    </w:lvl>
    <w:lvl w:ilvl="8">
      <w:start w:val="0"/>
      <w:numFmt w:val="bullet"/>
      <w:lvlText w:val="•"/>
      <w:lvlJc w:val="left"/>
      <w:pPr>
        <w:ind w:left="5892" w:hanging="529"/>
      </w:pPr>
      <w:rPr>
        <w:rFonts w:hint="default"/>
        <w:lang w:val="en-US" w:eastAsia="zh-CN" w:bidi="ar-SA"/>
      </w:rPr>
    </w:lvl>
  </w:abstractNum>
  <w:abstractNum w:abstractNumId="14">
    <w:multiLevelType w:val="hybridMultilevel"/>
    <w:lvl w:ilvl="0">
      <w:start w:val="2"/>
      <w:numFmt w:val="decimal"/>
      <w:lvlText w:val="%1."/>
      <w:lvlJc w:val="left"/>
      <w:pPr>
        <w:ind w:left="1910" w:hanging="213"/>
        <w:jc w:val="left"/>
      </w:pPr>
      <w:rPr>
        <w:rFonts w:hint="default" w:ascii="Microsoft JhengHei" w:hAnsi="Microsoft JhengHei" w:eastAsia="Microsoft JhengHei" w:cs="Microsoft JhengHei"/>
        <w:b/>
        <w:bCs/>
        <w:i w:val="0"/>
        <w:iCs w:val="0"/>
        <w:w w:val="108"/>
        <w:sz w:val="19"/>
        <w:szCs w:val="19"/>
        <w:lang w:val="en-US" w:eastAsia="zh-CN" w:bidi="ar-SA"/>
      </w:rPr>
    </w:lvl>
    <w:lvl w:ilvl="1">
      <w:start w:val="1"/>
      <w:numFmt w:val="decimal"/>
      <w:lvlText w:val="（%2）"/>
      <w:lvlJc w:val="left"/>
      <w:pPr>
        <w:ind w:left="3462" w:hanging="529"/>
        <w:jc w:val="left"/>
      </w:pPr>
      <w:rPr>
        <w:rFonts w:hint="default" w:ascii="宋体" w:hAnsi="宋体" w:eastAsia="宋体" w:cs="宋体"/>
        <w:b w:val="0"/>
        <w:bCs w:val="0"/>
        <w:i w:val="0"/>
        <w:iCs w:val="0"/>
        <w:w w:val="100"/>
        <w:sz w:val="19"/>
        <w:szCs w:val="19"/>
        <w:lang w:val="en-US" w:eastAsia="zh-CN" w:bidi="ar-SA"/>
      </w:rPr>
    </w:lvl>
    <w:lvl w:ilvl="2">
      <w:start w:val="0"/>
      <w:numFmt w:val="bullet"/>
      <w:lvlText w:val="•"/>
      <w:lvlJc w:val="left"/>
      <w:pPr>
        <w:ind w:left="3428" w:hanging="529"/>
      </w:pPr>
      <w:rPr>
        <w:rFonts w:hint="default"/>
        <w:lang w:val="en-US" w:eastAsia="zh-CN" w:bidi="ar-SA"/>
      </w:rPr>
    </w:lvl>
    <w:lvl w:ilvl="3">
      <w:start w:val="0"/>
      <w:numFmt w:val="bullet"/>
      <w:lvlText w:val="•"/>
      <w:lvlJc w:val="left"/>
      <w:pPr>
        <w:ind w:left="3397" w:hanging="529"/>
      </w:pPr>
      <w:rPr>
        <w:rFonts w:hint="default"/>
        <w:lang w:val="en-US" w:eastAsia="zh-CN" w:bidi="ar-SA"/>
      </w:rPr>
    </w:lvl>
    <w:lvl w:ilvl="4">
      <w:start w:val="0"/>
      <w:numFmt w:val="bullet"/>
      <w:lvlText w:val="•"/>
      <w:lvlJc w:val="left"/>
      <w:pPr>
        <w:ind w:left="3366" w:hanging="529"/>
      </w:pPr>
      <w:rPr>
        <w:rFonts w:hint="default"/>
        <w:lang w:val="en-US" w:eastAsia="zh-CN" w:bidi="ar-SA"/>
      </w:rPr>
    </w:lvl>
    <w:lvl w:ilvl="5">
      <w:start w:val="0"/>
      <w:numFmt w:val="bullet"/>
      <w:lvlText w:val="•"/>
      <w:lvlJc w:val="left"/>
      <w:pPr>
        <w:ind w:left="3334" w:hanging="529"/>
      </w:pPr>
      <w:rPr>
        <w:rFonts w:hint="default"/>
        <w:lang w:val="en-US" w:eastAsia="zh-CN" w:bidi="ar-SA"/>
      </w:rPr>
    </w:lvl>
    <w:lvl w:ilvl="6">
      <w:start w:val="0"/>
      <w:numFmt w:val="bullet"/>
      <w:lvlText w:val="•"/>
      <w:lvlJc w:val="left"/>
      <w:pPr>
        <w:ind w:left="3303" w:hanging="529"/>
      </w:pPr>
      <w:rPr>
        <w:rFonts w:hint="default"/>
        <w:lang w:val="en-US" w:eastAsia="zh-CN" w:bidi="ar-SA"/>
      </w:rPr>
    </w:lvl>
    <w:lvl w:ilvl="7">
      <w:start w:val="0"/>
      <w:numFmt w:val="bullet"/>
      <w:lvlText w:val="•"/>
      <w:lvlJc w:val="left"/>
      <w:pPr>
        <w:ind w:left="3272" w:hanging="529"/>
      </w:pPr>
      <w:rPr>
        <w:rFonts w:hint="default"/>
        <w:lang w:val="en-US" w:eastAsia="zh-CN" w:bidi="ar-SA"/>
      </w:rPr>
    </w:lvl>
    <w:lvl w:ilvl="8">
      <w:start w:val="0"/>
      <w:numFmt w:val="bullet"/>
      <w:lvlText w:val="•"/>
      <w:lvlJc w:val="left"/>
      <w:pPr>
        <w:ind w:left="3240" w:hanging="529"/>
      </w:pPr>
      <w:rPr>
        <w:rFonts w:hint="default"/>
        <w:lang w:val="en-US" w:eastAsia="zh-CN" w:bidi="ar-SA"/>
      </w:rPr>
    </w:lvl>
  </w:abstractNum>
  <w:abstractNum w:abstractNumId="13">
    <w:multiLevelType w:val="hybridMultilevel"/>
    <w:lvl w:ilvl="0">
      <w:start w:val="1"/>
      <w:numFmt w:val="lowerLetter"/>
      <w:lvlText w:val="%1."/>
      <w:lvlJc w:val="left"/>
      <w:pPr>
        <w:ind w:left="3884" w:hanging="213"/>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4544" w:hanging="213"/>
      </w:pPr>
      <w:rPr>
        <w:rFonts w:hint="default"/>
        <w:lang w:val="en-US" w:eastAsia="zh-CN" w:bidi="ar-SA"/>
      </w:rPr>
    </w:lvl>
    <w:lvl w:ilvl="2">
      <w:start w:val="0"/>
      <w:numFmt w:val="bullet"/>
      <w:lvlText w:val="•"/>
      <w:lvlJc w:val="left"/>
      <w:pPr>
        <w:ind w:left="5208" w:hanging="213"/>
      </w:pPr>
      <w:rPr>
        <w:rFonts w:hint="default"/>
        <w:lang w:val="en-US" w:eastAsia="zh-CN" w:bidi="ar-SA"/>
      </w:rPr>
    </w:lvl>
    <w:lvl w:ilvl="3">
      <w:start w:val="0"/>
      <w:numFmt w:val="bullet"/>
      <w:lvlText w:val="•"/>
      <w:lvlJc w:val="left"/>
      <w:pPr>
        <w:ind w:left="5873" w:hanging="213"/>
      </w:pPr>
      <w:rPr>
        <w:rFonts w:hint="default"/>
        <w:lang w:val="en-US" w:eastAsia="zh-CN" w:bidi="ar-SA"/>
      </w:rPr>
    </w:lvl>
    <w:lvl w:ilvl="4">
      <w:start w:val="0"/>
      <w:numFmt w:val="bullet"/>
      <w:lvlText w:val="•"/>
      <w:lvlJc w:val="left"/>
      <w:pPr>
        <w:ind w:left="6537" w:hanging="213"/>
      </w:pPr>
      <w:rPr>
        <w:rFonts w:hint="default"/>
        <w:lang w:val="en-US" w:eastAsia="zh-CN" w:bidi="ar-SA"/>
      </w:rPr>
    </w:lvl>
    <w:lvl w:ilvl="5">
      <w:start w:val="0"/>
      <w:numFmt w:val="bullet"/>
      <w:lvlText w:val="•"/>
      <w:lvlJc w:val="left"/>
      <w:pPr>
        <w:ind w:left="7202" w:hanging="213"/>
      </w:pPr>
      <w:rPr>
        <w:rFonts w:hint="default"/>
        <w:lang w:val="en-US" w:eastAsia="zh-CN" w:bidi="ar-SA"/>
      </w:rPr>
    </w:lvl>
    <w:lvl w:ilvl="6">
      <w:start w:val="0"/>
      <w:numFmt w:val="bullet"/>
      <w:lvlText w:val="•"/>
      <w:lvlJc w:val="left"/>
      <w:pPr>
        <w:ind w:left="7866" w:hanging="213"/>
      </w:pPr>
      <w:rPr>
        <w:rFonts w:hint="default"/>
        <w:lang w:val="en-US" w:eastAsia="zh-CN" w:bidi="ar-SA"/>
      </w:rPr>
    </w:lvl>
    <w:lvl w:ilvl="7">
      <w:start w:val="0"/>
      <w:numFmt w:val="bullet"/>
      <w:lvlText w:val="•"/>
      <w:lvlJc w:val="left"/>
      <w:pPr>
        <w:ind w:left="8530" w:hanging="213"/>
      </w:pPr>
      <w:rPr>
        <w:rFonts w:hint="default"/>
        <w:lang w:val="en-US" w:eastAsia="zh-CN" w:bidi="ar-SA"/>
      </w:rPr>
    </w:lvl>
    <w:lvl w:ilvl="8">
      <w:start w:val="0"/>
      <w:numFmt w:val="bullet"/>
      <w:lvlText w:val="•"/>
      <w:lvlJc w:val="left"/>
      <w:pPr>
        <w:ind w:left="9195" w:hanging="213"/>
      </w:pPr>
      <w:rPr>
        <w:rFonts w:hint="default"/>
        <w:lang w:val="en-US" w:eastAsia="zh-CN" w:bidi="ar-SA"/>
      </w:rPr>
    </w:lvl>
  </w:abstractNum>
  <w:abstractNum w:abstractNumId="12">
    <w:multiLevelType w:val="hybridMultilevel"/>
    <w:lvl w:ilvl="0">
      <w:start w:val="8"/>
      <w:numFmt w:val="decimal"/>
      <w:lvlText w:val="%1."/>
      <w:lvlJc w:val="left"/>
      <w:pPr>
        <w:ind w:left="1910" w:hanging="985"/>
        <w:jc w:val="left"/>
      </w:pPr>
      <w:rPr>
        <w:rFonts w:hint="default" w:ascii="Microsoft JhengHei" w:hAnsi="Microsoft JhengHei" w:eastAsia="Microsoft JhengHei" w:cs="Microsoft JhengHei"/>
        <w:b/>
        <w:bCs/>
        <w:i w:val="0"/>
        <w:iCs w:val="0"/>
        <w:w w:val="117"/>
        <w:sz w:val="24"/>
        <w:szCs w:val="24"/>
        <w:lang w:val="en-US" w:eastAsia="zh-CN" w:bidi="ar-SA"/>
      </w:rPr>
    </w:lvl>
    <w:lvl w:ilvl="1">
      <w:start w:val="1"/>
      <w:numFmt w:val="decimal"/>
      <w:lvlText w:val="%1.%2"/>
      <w:lvlJc w:val="left"/>
      <w:pPr>
        <w:ind w:left="1910" w:hanging="985"/>
        <w:jc w:val="left"/>
      </w:pPr>
      <w:rPr>
        <w:rFonts w:hint="default" w:ascii="Microsoft JhengHei" w:hAnsi="Microsoft JhengHei" w:eastAsia="Microsoft JhengHei" w:cs="Microsoft JhengHei"/>
        <w:b/>
        <w:bCs/>
        <w:i w:val="0"/>
        <w:iCs w:val="0"/>
        <w:w w:val="104"/>
        <w:sz w:val="21"/>
        <w:szCs w:val="21"/>
        <w:lang w:val="en-US" w:eastAsia="zh-CN" w:bidi="ar-SA"/>
      </w:rPr>
    </w:lvl>
    <w:lvl w:ilvl="2">
      <w:start w:val="1"/>
      <w:numFmt w:val="decimal"/>
      <w:lvlText w:val="（%3）"/>
      <w:lvlJc w:val="left"/>
      <w:pPr>
        <w:ind w:left="3942" w:hanging="529"/>
        <w:jc w:val="left"/>
      </w:pPr>
      <w:rPr>
        <w:rFonts w:hint="default" w:ascii="宋体" w:hAnsi="宋体" w:eastAsia="宋体" w:cs="宋体"/>
        <w:b w:val="0"/>
        <w:bCs w:val="0"/>
        <w:i w:val="0"/>
        <w:iCs w:val="0"/>
        <w:w w:val="100"/>
        <w:sz w:val="19"/>
        <w:szCs w:val="19"/>
        <w:lang w:val="en-US" w:eastAsia="zh-CN" w:bidi="ar-SA"/>
      </w:rPr>
    </w:lvl>
    <w:lvl w:ilvl="3">
      <w:start w:val="0"/>
      <w:numFmt w:val="bullet"/>
      <w:lvlText w:val="•"/>
      <w:lvlJc w:val="left"/>
      <w:pPr>
        <w:ind w:left="3770" w:hanging="529"/>
      </w:pPr>
      <w:rPr>
        <w:rFonts w:hint="default"/>
        <w:lang w:val="en-US" w:eastAsia="zh-CN" w:bidi="ar-SA"/>
      </w:rPr>
    </w:lvl>
    <w:lvl w:ilvl="4">
      <w:start w:val="0"/>
      <w:numFmt w:val="bullet"/>
      <w:lvlText w:val="•"/>
      <w:lvlJc w:val="left"/>
      <w:pPr>
        <w:ind w:left="3685" w:hanging="529"/>
      </w:pPr>
      <w:rPr>
        <w:rFonts w:hint="default"/>
        <w:lang w:val="en-US" w:eastAsia="zh-CN" w:bidi="ar-SA"/>
      </w:rPr>
    </w:lvl>
    <w:lvl w:ilvl="5">
      <w:start w:val="0"/>
      <w:numFmt w:val="bullet"/>
      <w:lvlText w:val="•"/>
      <w:lvlJc w:val="left"/>
      <w:pPr>
        <w:ind w:left="3601" w:hanging="529"/>
      </w:pPr>
      <w:rPr>
        <w:rFonts w:hint="default"/>
        <w:lang w:val="en-US" w:eastAsia="zh-CN" w:bidi="ar-SA"/>
      </w:rPr>
    </w:lvl>
    <w:lvl w:ilvl="6">
      <w:start w:val="0"/>
      <w:numFmt w:val="bullet"/>
      <w:lvlText w:val="•"/>
      <w:lvlJc w:val="left"/>
      <w:pPr>
        <w:ind w:left="3516" w:hanging="529"/>
      </w:pPr>
      <w:rPr>
        <w:rFonts w:hint="default"/>
        <w:lang w:val="en-US" w:eastAsia="zh-CN" w:bidi="ar-SA"/>
      </w:rPr>
    </w:lvl>
    <w:lvl w:ilvl="7">
      <w:start w:val="0"/>
      <w:numFmt w:val="bullet"/>
      <w:lvlText w:val="•"/>
      <w:lvlJc w:val="left"/>
      <w:pPr>
        <w:ind w:left="3431" w:hanging="529"/>
      </w:pPr>
      <w:rPr>
        <w:rFonts w:hint="default"/>
        <w:lang w:val="en-US" w:eastAsia="zh-CN" w:bidi="ar-SA"/>
      </w:rPr>
    </w:lvl>
    <w:lvl w:ilvl="8">
      <w:start w:val="0"/>
      <w:numFmt w:val="bullet"/>
      <w:lvlText w:val="•"/>
      <w:lvlJc w:val="left"/>
      <w:pPr>
        <w:ind w:left="3347" w:hanging="529"/>
      </w:pPr>
      <w:rPr>
        <w:rFonts w:hint="default"/>
        <w:lang w:val="en-US" w:eastAsia="zh-CN" w:bidi="ar-SA"/>
      </w:rPr>
    </w:lvl>
  </w:abstractNum>
  <w:abstractNum w:abstractNumId="11">
    <w:multiLevelType w:val="hybridMultilevel"/>
    <w:lvl w:ilvl="0">
      <w:start w:val="1"/>
      <w:numFmt w:val="decimal"/>
      <w:lvlText w:val="（%1）"/>
      <w:lvlJc w:val="left"/>
      <w:pPr>
        <w:ind w:left="671"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192" w:hanging="529"/>
      </w:pPr>
      <w:rPr>
        <w:rFonts w:hint="default"/>
        <w:lang w:val="en-US" w:eastAsia="zh-CN" w:bidi="ar-SA"/>
      </w:rPr>
    </w:lvl>
    <w:lvl w:ilvl="2">
      <w:start w:val="0"/>
      <w:numFmt w:val="bullet"/>
      <w:lvlText w:val="•"/>
      <w:lvlJc w:val="left"/>
      <w:pPr>
        <w:ind w:left="1705" w:hanging="529"/>
      </w:pPr>
      <w:rPr>
        <w:rFonts w:hint="default"/>
        <w:lang w:val="en-US" w:eastAsia="zh-CN" w:bidi="ar-SA"/>
      </w:rPr>
    </w:lvl>
    <w:lvl w:ilvl="3">
      <w:start w:val="0"/>
      <w:numFmt w:val="bullet"/>
      <w:lvlText w:val="•"/>
      <w:lvlJc w:val="left"/>
      <w:pPr>
        <w:ind w:left="2218" w:hanging="529"/>
      </w:pPr>
      <w:rPr>
        <w:rFonts w:hint="default"/>
        <w:lang w:val="en-US" w:eastAsia="zh-CN" w:bidi="ar-SA"/>
      </w:rPr>
    </w:lvl>
    <w:lvl w:ilvl="4">
      <w:start w:val="0"/>
      <w:numFmt w:val="bullet"/>
      <w:lvlText w:val="•"/>
      <w:lvlJc w:val="left"/>
      <w:pPr>
        <w:ind w:left="2731" w:hanging="529"/>
      </w:pPr>
      <w:rPr>
        <w:rFonts w:hint="default"/>
        <w:lang w:val="en-US" w:eastAsia="zh-CN" w:bidi="ar-SA"/>
      </w:rPr>
    </w:lvl>
    <w:lvl w:ilvl="5">
      <w:start w:val="0"/>
      <w:numFmt w:val="bullet"/>
      <w:lvlText w:val="•"/>
      <w:lvlJc w:val="left"/>
      <w:pPr>
        <w:ind w:left="3244" w:hanging="529"/>
      </w:pPr>
      <w:rPr>
        <w:rFonts w:hint="default"/>
        <w:lang w:val="en-US" w:eastAsia="zh-CN" w:bidi="ar-SA"/>
      </w:rPr>
    </w:lvl>
    <w:lvl w:ilvl="6">
      <w:start w:val="0"/>
      <w:numFmt w:val="bullet"/>
      <w:lvlText w:val="•"/>
      <w:lvlJc w:val="left"/>
      <w:pPr>
        <w:ind w:left="3756" w:hanging="529"/>
      </w:pPr>
      <w:rPr>
        <w:rFonts w:hint="default"/>
        <w:lang w:val="en-US" w:eastAsia="zh-CN" w:bidi="ar-SA"/>
      </w:rPr>
    </w:lvl>
    <w:lvl w:ilvl="7">
      <w:start w:val="0"/>
      <w:numFmt w:val="bullet"/>
      <w:lvlText w:val="•"/>
      <w:lvlJc w:val="left"/>
      <w:pPr>
        <w:ind w:left="4269" w:hanging="529"/>
      </w:pPr>
      <w:rPr>
        <w:rFonts w:hint="default"/>
        <w:lang w:val="en-US" w:eastAsia="zh-CN" w:bidi="ar-SA"/>
      </w:rPr>
    </w:lvl>
    <w:lvl w:ilvl="8">
      <w:start w:val="0"/>
      <w:numFmt w:val="bullet"/>
      <w:lvlText w:val="•"/>
      <w:lvlJc w:val="left"/>
      <w:pPr>
        <w:ind w:left="4782" w:hanging="529"/>
      </w:pPr>
      <w:rPr>
        <w:rFonts w:hint="default"/>
        <w:lang w:val="en-US" w:eastAsia="zh-CN" w:bidi="ar-SA"/>
      </w:rPr>
    </w:lvl>
  </w:abstractNum>
  <w:abstractNum w:abstractNumId="10">
    <w:multiLevelType w:val="hybridMultilevel"/>
    <w:lvl w:ilvl="0">
      <w:start w:val="1"/>
      <w:numFmt w:val="decimal"/>
      <w:lvlText w:val="（%1）"/>
      <w:lvlJc w:val="left"/>
      <w:pPr>
        <w:ind w:left="772" w:hanging="529"/>
        <w:jc w:val="left"/>
      </w:pPr>
      <w:rPr>
        <w:rFonts w:hint="default" w:ascii="宋体" w:hAnsi="宋体" w:eastAsia="宋体" w:cs="宋体"/>
        <w:b w:val="0"/>
        <w:bCs w:val="0"/>
        <w:i w:val="0"/>
        <w:iCs w:val="0"/>
        <w:w w:val="100"/>
        <w:sz w:val="19"/>
        <w:szCs w:val="19"/>
        <w:lang w:val="en-US" w:eastAsia="zh-CN" w:bidi="ar-SA"/>
      </w:rPr>
    </w:lvl>
    <w:lvl w:ilvl="1">
      <w:start w:val="2"/>
      <w:numFmt w:val="decimal"/>
      <w:lvlText w:val="（%2）"/>
      <w:lvlJc w:val="left"/>
      <w:pPr>
        <w:ind w:left="3991" w:hanging="529"/>
        <w:jc w:val="left"/>
      </w:pPr>
      <w:rPr>
        <w:rFonts w:hint="default" w:ascii="宋体" w:hAnsi="宋体" w:eastAsia="宋体" w:cs="宋体"/>
        <w:b w:val="0"/>
        <w:bCs w:val="0"/>
        <w:i w:val="0"/>
        <w:iCs w:val="0"/>
        <w:spacing w:val="-5"/>
        <w:w w:val="100"/>
        <w:sz w:val="19"/>
        <w:szCs w:val="19"/>
        <w:lang w:val="en-US" w:eastAsia="zh-CN" w:bidi="ar-SA"/>
      </w:rPr>
    </w:lvl>
    <w:lvl w:ilvl="2">
      <w:start w:val="0"/>
      <w:numFmt w:val="bullet"/>
      <w:lvlText w:val="•"/>
      <w:lvlJc w:val="left"/>
      <w:pPr>
        <w:ind w:left="4367" w:hanging="529"/>
      </w:pPr>
      <w:rPr>
        <w:rFonts w:hint="default"/>
        <w:lang w:val="en-US" w:eastAsia="zh-CN" w:bidi="ar-SA"/>
      </w:rPr>
    </w:lvl>
    <w:lvl w:ilvl="3">
      <w:start w:val="0"/>
      <w:numFmt w:val="bullet"/>
      <w:lvlText w:val="•"/>
      <w:lvlJc w:val="left"/>
      <w:pPr>
        <w:ind w:left="4734" w:hanging="529"/>
      </w:pPr>
      <w:rPr>
        <w:rFonts w:hint="default"/>
        <w:lang w:val="en-US" w:eastAsia="zh-CN" w:bidi="ar-SA"/>
      </w:rPr>
    </w:lvl>
    <w:lvl w:ilvl="4">
      <w:start w:val="0"/>
      <w:numFmt w:val="bullet"/>
      <w:lvlText w:val="•"/>
      <w:lvlJc w:val="left"/>
      <w:pPr>
        <w:ind w:left="5101" w:hanging="529"/>
      </w:pPr>
      <w:rPr>
        <w:rFonts w:hint="default"/>
        <w:lang w:val="en-US" w:eastAsia="zh-CN" w:bidi="ar-SA"/>
      </w:rPr>
    </w:lvl>
    <w:lvl w:ilvl="5">
      <w:start w:val="0"/>
      <w:numFmt w:val="bullet"/>
      <w:lvlText w:val="•"/>
      <w:lvlJc w:val="left"/>
      <w:pPr>
        <w:ind w:left="5469" w:hanging="529"/>
      </w:pPr>
      <w:rPr>
        <w:rFonts w:hint="default"/>
        <w:lang w:val="en-US" w:eastAsia="zh-CN" w:bidi="ar-SA"/>
      </w:rPr>
    </w:lvl>
    <w:lvl w:ilvl="6">
      <w:start w:val="0"/>
      <w:numFmt w:val="bullet"/>
      <w:lvlText w:val="•"/>
      <w:lvlJc w:val="left"/>
      <w:pPr>
        <w:ind w:left="5836" w:hanging="529"/>
      </w:pPr>
      <w:rPr>
        <w:rFonts w:hint="default"/>
        <w:lang w:val="en-US" w:eastAsia="zh-CN" w:bidi="ar-SA"/>
      </w:rPr>
    </w:lvl>
    <w:lvl w:ilvl="7">
      <w:start w:val="0"/>
      <w:numFmt w:val="bullet"/>
      <w:lvlText w:val="•"/>
      <w:lvlJc w:val="left"/>
      <w:pPr>
        <w:ind w:left="6203" w:hanging="529"/>
      </w:pPr>
      <w:rPr>
        <w:rFonts w:hint="default"/>
        <w:lang w:val="en-US" w:eastAsia="zh-CN" w:bidi="ar-SA"/>
      </w:rPr>
    </w:lvl>
    <w:lvl w:ilvl="8">
      <w:start w:val="0"/>
      <w:numFmt w:val="bullet"/>
      <w:lvlText w:val="•"/>
      <w:lvlJc w:val="left"/>
      <w:pPr>
        <w:ind w:left="6571" w:hanging="529"/>
      </w:pPr>
      <w:rPr>
        <w:rFonts w:hint="default"/>
        <w:lang w:val="en-US" w:eastAsia="zh-CN" w:bidi="ar-SA"/>
      </w:rPr>
    </w:lvl>
  </w:abstractNum>
  <w:abstractNum w:abstractNumId="9">
    <w:multiLevelType w:val="hybridMultilevel"/>
    <w:lvl w:ilvl="0">
      <w:start w:val="1"/>
      <w:numFmt w:val="decimal"/>
      <w:lvlText w:val="（%1）"/>
      <w:lvlJc w:val="left"/>
      <w:pPr>
        <w:ind w:left="772"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432" w:hanging="529"/>
      </w:pPr>
      <w:rPr>
        <w:rFonts w:hint="default"/>
        <w:lang w:val="en-US" w:eastAsia="zh-CN" w:bidi="ar-SA"/>
      </w:rPr>
    </w:lvl>
    <w:lvl w:ilvl="2">
      <w:start w:val="0"/>
      <w:numFmt w:val="bullet"/>
      <w:lvlText w:val="•"/>
      <w:lvlJc w:val="left"/>
      <w:pPr>
        <w:ind w:left="2085" w:hanging="529"/>
      </w:pPr>
      <w:rPr>
        <w:rFonts w:hint="default"/>
        <w:lang w:val="en-US" w:eastAsia="zh-CN" w:bidi="ar-SA"/>
      </w:rPr>
    </w:lvl>
    <w:lvl w:ilvl="3">
      <w:start w:val="0"/>
      <w:numFmt w:val="bullet"/>
      <w:lvlText w:val="•"/>
      <w:lvlJc w:val="left"/>
      <w:pPr>
        <w:ind w:left="2737" w:hanging="529"/>
      </w:pPr>
      <w:rPr>
        <w:rFonts w:hint="default"/>
        <w:lang w:val="en-US" w:eastAsia="zh-CN" w:bidi="ar-SA"/>
      </w:rPr>
    </w:lvl>
    <w:lvl w:ilvl="4">
      <w:start w:val="0"/>
      <w:numFmt w:val="bullet"/>
      <w:lvlText w:val="•"/>
      <w:lvlJc w:val="left"/>
      <w:pPr>
        <w:ind w:left="3390" w:hanging="529"/>
      </w:pPr>
      <w:rPr>
        <w:rFonts w:hint="default"/>
        <w:lang w:val="en-US" w:eastAsia="zh-CN" w:bidi="ar-SA"/>
      </w:rPr>
    </w:lvl>
    <w:lvl w:ilvl="5">
      <w:start w:val="0"/>
      <w:numFmt w:val="bullet"/>
      <w:lvlText w:val="•"/>
      <w:lvlJc w:val="left"/>
      <w:pPr>
        <w:ind w:left="4042" w:hanging="529"/>
      </w:pPr>
      <w:rPr>
        <w:rFonts w:hint="default"/>
        <w:lang w:val="en-US" w:eastAsia="zh-CN" w:bidi="ar-SA"/>
      </w:rPr>
    </w:lvl>
    <w:lvl w:ilvl="6">
      <w:start w:val="0"/>
      <w:numFmt w:val="bullet"/>
      <w:lvlText w:val="•"/>
      <w:lvlJc w:val="left"/>
      <w:pPr>
        <w:ind w:left="4695" w:hanging="529"/>
      </w:pPr>
      <w:rPr>
        <w:rFonts w:hint="default"/>
        <w:lang w:val="en-US" w:eastAsia="zh-CN" w:bidi="ar-SA"/>
      </w:rPr>
    </w:lvl>
    <w:lvl w:ilvl="7">
      <w:start w:val="0"/>
      <w:numFmt w:val="bullet"/>
      <w:lvlText w:val="•"/>
      <w:lvlJc w:val="left"/>
      <w:pPr>
        <w:ind w:left="5348" w:hanging="529"/>
      </w:pPr>
      <w:rPr>
        <w:rFonts w:hint="default"/>
        <w:lang w:val="en-US" w:eastAsia="zh-CN" w:bidi="ar-SA"/>
      </w:rPr>
    </w:lvl>
    <w:lvl w:ilvl="8">
      <w:start w:val="0"/>
      <w:numFmt w:val="bullet"/>
      <w:lvlText w:val="•"/>
      <w:lvlJc w:val="left"/>
      <w:pPr>
        <w:ind w:left="6000" w:hanging="529"/>
      </w:pPr>
      <w:rPr>
        <w:rFonts w:hint="default"/>
        <w:lang w:val="en-US" w:eastAsia="zh-CN" w:bidi="ar-SA"/>
      </w:rPr>
    </w:lvl>
  </w:abstractNum>
  <w:abstractNum w:abstractNumId="8">
    <w:multiLevelType w:val="hybridMultilevel"/>
    <w:lvl w:ilvl="0">
      <w:start w:val="1"/>
      <w:numFmt w:val="decimal"/>
      <w:lvlText w:val="（%1）"/>
      <w:lvlJc w:val="left"/>
      <w:pPr>
        <w:ind w:left="772"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432" w:hanging="529"/>
      </w:pPr>
      <w:rPr>
        <w:rFonts w:hint="default"/>
        <w:lang w:val="en-US" w:eastAsia="zh-CN" w:bidi="ar-SA"/>
      </w:rPr>
    </w:lvl>
    <w:lvl w:ilvl="2">
      <w:start w:val="0"/>
      <w:numFmt w:val="bullet"/>
      <w:lvlText w:val="•"/>
      <w:lvlJc w:val="left"/>
      <w:pPr>
        <w:ind w:left="2085" w:hanging="529"/>
      </w:pPr>
      <w:rPr>
        <w:rFonts w:hint="default"/>
        <w:lang w:val="en-US" w:eastAsia="zh-CN" w:bidi="ar-SA"/>
      </w:rPr>
    </w:lvl>
    <w:lvl w:ilvl="3">
      <w:start w:val="0"/>
      <w:numFmt w:val="bullet"/>
      <w:lvlText w:val="•"/>
      <w:lvlJc w:val="left"/>
      <w:pPr>
        <w:ind w:left="2737" w:hanging="529"/>
      </w:pPr>
      <w:rPr>
        <w:rFonts w:hint="default"/>
        <w:lang w:val="en-US" w:eastAsia="zh-CN" w:bidi="ar-SA"/>
      </w:rPr>
    </w:lvl>
    <w:lvl w:ilvl="4">
      <w:start w:val="0"/>
      <w:numFmt w:val="bullet"/>
      <w:lvlText w:val="•"/>
      <w:lvlJc w:val="left"/>
      <w:pPr>
        <w:ind w:left="3390" w:hanging="529"/>
      </w:pPr>
      <w:rPr>
        <w:rFonts w:hint="default"/>
        <w:lang w:val="en-US" w:eastAsia="zh-CN" w:bidi="ar-SA"/>
      </w:rPr>
    </w:lvl>
    <w:lvl w:ilvl="5">
      <w:start w:val="0"/>
      <w:numFmt w:val="bullet"/>
      <w:lvlText w:val="•"/>
      <w:lvlJc w:val="left"/>
      <w:pPr>
        <w:ind w:left="4042" w:hanging="529"/>
      </w:pPr>
      <w:rPr>
        <w:rFonts w:hint="default"/>
        <w:lang w:val="en-US" w:eastAsia="zh-CN" w:bidi="ar-SA"/>
      </w:rPr>
    </w:lvl>
    <w:lvl w:ilvl="6">
      <w:start w:val="0"/>
      <w:numFmt w:val="bullet"/>
      <w:lvlText w:val="•"/>
      <w:lvlJc w:val="left"/>
      <w:pPr>
        <w:ind w:left="4695" w:hanging="529"/>
      </w:pPr>
      <w:rPr>
        <w:rFonts w:hint="default"/>
        <w:lang w:val="en-US" w:eastAsia="zh-CN" w:bidi="ar-SA"/>
      </w:rPr>
    </w:lvl>
    <w:lvl w:ilvl="7">
      <w:start w:val="0"/>
      <w:numFmt w:val="bullet"/>
      <w:lvlText w:val="•"/>
      <w:lvlJc w:val="left"/>
      <w:pPr>
        <w:ind w:left="5348" w:hanging="529"/>
      </w:pPr>
      <w:rPr>
        <w:rFonts w:hint="default"/>
        <w:lang w:val="en-US" w:eastAsia="zh-CN" w:bidi="ar-SA"/>
      </w:rPr>
    </w:lvl>
    <w:lvl w:ilvl="8">
      <w:start w:val="0"/>
      <w:numFmt w:val="bullet"/>
      <w:lvlText w:val="•"/>
      <w:lvlJc w:val="left"/>
      <w:pPr>
        <w:ind w:left="6000" w:hanging="529"/>
      </w:pPr>
      <w:rPr>
        <w:rFonts w:hint="default"/>
        <w:lang w:val="en-US" w:eastAsia="zh-CN" w:bidi="ar-SA"/>
      </w:rPr>
    </w:lvl>
  </w:abstractNum>
  <w:abstractNum w:abstractNumId="7">
    <w:multiLevelType w:val="hybridMultilevel"/>
    <w:lvl w:ilvl="0">
      <w:start w:val="1"/>
      <w:numFmt w:val="decimal"/>
      <w:lvlText w:val="（%1）"/>
      <w:lvlJc w:val="left"/>
      <w:pPr>
        <w:ind w:left="772"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432" w:hanging="529"/>
      </w:pPr>
      <w:rPr>
        <w:rFonts w:hint="default"/>
        <w:lang w:val="en-US" w:eastAsia="zh-CN" w:bidi="ar-SA"/>
      </w:rPr>
    </w:lvl>
    <w:lvl w:ilvl="2">
      <w:start w:val="0"/>
      <w:numFmt w:val="bullet"/>
      <w:lvlText w:val="•"/>
      <w:lvlJc w:val="left"/>
      <w:pPr>
        <w:ind w:left="2085" w:hanging="529"/>
      </w:pPr>
      <w:rPr>
        <w:rFonts w:hint="default"/>
        <w:lang w:val="en-US" w:eastAsia="zh-CN" w:bidi="ar-SA"/>
      </w:rPr>
    </w:lvl>
    <w:lvl w:ilvl="3">
      <w:start w:val="0"/>
      <w:numFmt w:val="bullet"/>
      <w:lvlText w:val="•"/>
      <w:lvlJc w:val="left"/>
      <w:pPr>
        <w:ind w:left="2737" w:hanging="529"/>
      </w:pPr>
      <w:rPr>
        <w:rFonts w:hint="default"/>
        <w:lang w:val="en-US" w:eastAsia="zh-CN" w:bidi="ar-SA"/>
      </w:rPr>
    </w:lvl>
    <w:lvl w:ilvl="4">
      <w:start w:val="0"/>
      <w:numFmt w:val="bullet"/>
      <w:lvlText w:val="•"/>
      <w:lvlJc w:val="left"/>
      <w:pPr>
        <w:ind w:left="3390" w:hanging="529"/>
      </w:pPr>
      <w:rPr>
        <w:rFonts w:hint="default"/>
        <w:lang w:val="en-US" w:eastAsia="zh-CN" w:bidi="ar-SA"/>
      </w:rPr>
    </w:lvl>
    <w:lvl w:ilvl="5">
      <w:start w:val="0"/>
      <w:numFmt w:val="bullet"/>
      <w:lvlText w:val="•"/>
      <w:lvlJc w:val="left"/>
      <w:pPr>
        <w:ind w:left="4042" w:hanging="529"/>
      </w:pPr>
      <w:rPr>
        <w:rFonts w:hint="default"/>
        <w:lang w:val="en-US" w:eastAsia="zh-CN" w:bidi="ar-SA"/>
      </w:rPr>
    </w:lvl>
    <w:lvl w:ilvl="6">
      <w:start w:val="0"/>
      <w:numFmt w:val="bullet"/>
      <w:lvlText w:val="•"/>
      <w:lvlJc w:val="left"/>
      <w:pPr>
        <w:ind w:left="4695" w:hanging="529"/>
      </w:pPr>
      <w:rPr>
        <w:rFonts w:hint="default"/>
        <w:lang w:val="en-US" w:eastAsia="zh-CN" w:bidi="ar-SA"/>
      </w:rPr>
    </w:lvl>
    <w:lvl w:ilvl="7">
      <w:start w:val="0"/>
      <w:numFmt w:val="bullet"/>
      <w:lvlText w:val="•"/>
      <w:lvlJc w:val="left"/>
      <w:pPr>
        <w:ind w:left="5348" w:hanging="529"/>
      </w:pPr>
      <w:rPr>
        <w:rFonts w:hint="default"/>
        <w:lang w:val="en-US" w:eastAsia="zh-CN" w:bidi="ar-SA"/>
      </w:rPr>
    </w:lvl>
    <w:lvl w:ilvl="8">
      <w:start w:val="0"/>
      <w:numFmt w:val="bullet"/>
      <w:lvlText w:val="•"/>
      <w:lvlJc w:val="left"/>
      <w:pPr>
        <w:ind w:left="6000" w:hanging="529"/>
      </w:pPr>
      <w:rPr>
        <w:rFonts w:hint="default"/>
        <w:lang w:val="en-US" w:eastAsia="zh-CN" w:bidi="ar-SA"/>
      </w:rPr>
    </w:lvl>
  </w:abstractNum>
  <w:abstractNum w:abstractNumId="6">
    <w:multiLevelType w:val="hybridMultilevel"/>
    <w:lvl w:ilvl="0">
      <w:start w:val="1"/>
      <w:numFmt w:val="decimal"/>
      <w:lvlText w:val="（%1）"/>
      <w:lvlJc w:val="left"/>
      <w:pPr>
        <w:ind w:left="3942"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4598" w:hanging="529"/>
      </w:pPr>
      <w:rPr>
        <w:rFonts w:hint="default"/>
        <w:lang w:val="en-US" w:eastAsia="zh-CN" w:bidi="ar-SA"/>
      </w:rPr>
    </w:lvl>
    <w:lvl w:ilvl="2">
      <w:start w:val="0"/>
      <w:numFmt w:val="bullet"/>
      <w:lvlText w:val="•"/>
      <w:lvlJc w:val="left"/>
      <w:pPr>
        <w:ind w:left="5256" w:hanging="529"/>
      </w:pPr>
      <w:rPr>
        <w:rFonts w:hint="default"/>
        <w:lang w:val="en-US" w:eastAsia="zh-CN" w:bidi="ar-SA"/>
      </w:rPr>
    </w:lvl>
    <w:lvl w:ilvl="3">
      <w:start w:val="0"/>
      <w:numFmt w:val="bullet"/>
      <w:lvlText w:val="•"/>
      <w:lvlJc w:val="left"/>
      <w:pPr>
        <w:ind w:left="5915" w:hanging="529"/>
      </w:pPr>
      <w:rPr>
        <w:rFonts w:hint="default"/>
        <w:lang w:val="en-US" w:eastAsia="zh-CN" w:bidi="ar-SA"/>
      </w:rPr>
    </w:lvl>
    <w:lvl w:ilvl="4">
      <w:start w:val="0"/>
      <w:numFmt w:val="bullet"/>
      <w:lvlText w:val="•"/>
      <w:lvlJc w:val="left"/>
      <w:pPr>
        <w:ind w:left="6573" w:hanging="529"/>
      </w:pPr>
      <w:rPr>
        <w:rFonts w:hint="default"/>
        <w:lang w:val="en-US" w:eastAsia="zh-CN" w:bidi="ar-SA"/>
      </w:rPr>
    </w:lvl>
    <w:lvl w:ilvl="5">
      <w:start w:val="0"/>
      <w:numFmt w:val="bullet"/>
      <w:lvlText w:val="•"/>
      <w:lvlJc w:val="left"/>
      <w:pPr>
        <w:ind w:left="7232" w:hanging="529"/>
      </w:pPr>
      <w:rPr>
        <w:rFonts w:hint="default"/>
        <w:lang w:val="en-US" w:eastAsia="zh-CN" w:bidi="ar-SA"/>
      </w:rPr>
    </w:lvl>
    <w:lvl w:ilvl="6">
      <w:start w:val="0"/>
      <w:numFmt w:val="bullet"/>
      <w:lvlText w:val="•"/>
      <w:lvlJc w:val="left"/>
      <w:pPr>
        <w:ind w:left="7890" w:hanging="529"/>
      </w:pPr>
      <w:rPr>
        <w:rFonts w:hint="default"/>
        <w:lang w:val="en-US" w:eastAsia="zh-CN" w:bidi="ar-SA"/>
      </w:rPr>
    </w:lvl>
    <w:lvl w:ilvl="7">
      <w:start w:val="0"/>
      <w:numFmt w:val="bullet"/>
      <w:lvlText w:val="•"/>
      <w:lvlJc w:val="left"/>
      <w:pPr>
        <w:ind w:left="8548" w:hanging="529"/>
      </w:pPr>
      <w:rPr>
        <w:rFonts w:hint="default"/>
        <w:lang w:val="en-US" w:eastAsia="zh-CN" w:bidi="ar-SA"/>
      </w:rPr>
    </w:lvl>
    <w:lvl w:ilvl="8">
      <w:start w:val="0"/>
      <w:numFmt w:val="bullet"/>
      <w:lvlText w:val="•"/>
      <w:lvlJc w:val="left"/>
      <w:pPr>
        <w:ind w:left="9207" w:hanging="529"/>
      </w:pPr>
      <w:rPr>
        <w:rFonts w:hint="default"/>
        <w:lang w:val="en-US" w:eastAsia="zh-CN" w:bidi="ar-SA"/>
      </w:rPr>
    </w:lvl>
  </w:abstractNum>
  <w:abstractNum w:abstractNumId="5">
    <w:multiLevelType w:val="hybridMultilevel"/>
    <w:lvl w:ilvl="0">
      <w:start w:val="1"/>
      <w:numFmt w:val="decimal"/>
      <w:lvlText w:val="（%1）"/>
      <w:lvlJc w:val="left"/>
      <w:pPr>
        <w:ind w:left="1146"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756" w:hanging="529"/>
      </w:pPr>
      <w:rPr>
        <w:rFonts w:hint="default"/>
        <w:lang w:val="en-US" w:eastAsia="zh-CN" w:bidi="ar-SA"/>
      </w:rPr>
    </w:lvl>
    <w:lvl w:ilvl="2">
      <w:start w:val="0"/>
      <w:numFmt w:val="bullet"/>
      <w:lvlText w:val="•"/>
      <w:lvlJc w:val="left"/>
      <w:pPr>
        <w:ind w:left="2373" w:hanging="529"/>
      </w:pPr>
      <w:rPr>
        <w:rFonts w:hint="default"/>
        <w:lang w:val="en-US" w:eastAsia="zh-CN" w:bidi="ar-SA"/>
      </w:rPr>
    </w:lvl>
    <w:lvl w:ilvl="3">
      <w:start w:val="0"/>
      <w:numFmt w:val="bullet"/>
      <w:lvlText w:val="•"/>
      <w:lvlJc w:val="left"/>
      <w:pPr>
        <w:ind w:left="2989" w:hanging="529"/>
      </w:pPr>
      <w:rPr>
        <w:rFonts w:hint="default"/>
        <w:lang w:val="en-US" w:eastAsia="zh-CN" w:bidi="ar-SA"/>
      </w:rPr>
    </w:lvl>
    <w:lvl w:ilvl="4">
      <w:start w:val="0"/>
      <w:numFmt w:val="bullet"/>
      <w:lvlText w:val="•"/>
      <w:lvlJc w:val="left"/>
      <w:pPr>
        <w:ind w:left="3606" w:hanging="529"/>
      </w:pPr>
      <w:rPr>
        <w:rFonts w:hint="default"/>
        <w:lang w:val="en-US" w:eastAsia="zh-CN" w:bidi="ar-SA"/>
      </w:rPr>
    </w:lvl>
    <w:lvl w:ilvl="5">
      <w:start w:val="0"/>
      <w:numFmt w:val="bullet"/>
      <w:lvlText w:val="•"/>
      <w:lvlJc w:val="left"/>
      <w:pPr>
        <w:ind w:left="4222" w:hanging="529"/>
      </w:pPr>
      <w:rPr>
        <w:rFonts w:hint="default"/>
        <w:lang w:val="en-US" w:eastAsia="zh-CN" w:bidi="ar-SA"/>
      </w:rPr>
    </w:lvl>
    <w:lvl w:ilvl="6">
      <w:start w:val="0"/>
      <w:numFmt w:val="bullet"/>
      <w:lvlText w:val="•"/>
      <w:lvlJc w:val="left"/>
      <w:pPr>
        <w:ind w:left="4839" w:hanging="529"/>
      </w:pPr>
      <w:rPr>
        <w:rFonts w:hint="default"/>
        <w:lang w:val="en-US" w:eastAsia="zh-CN" w:bidi="ar-SA"/>
      </w:rPr>
    </w:lvl>
    <w:lvl w:ilvl="7">
      <w:start w:val="0"/>
      <w:numFmt w:val="bullet"/>
      <w:lvlText w:val="•"/>
      <w:lvlJc w:val="left"/>
      <w:pPr>
        <w:ind w:left="5456" w:hanging="529"/>
      </w:pPr>
      <w:rPr>
        <w:rFonts w:hint="default"/>
        <w:lang w:val="en-US" w:eastAsia="zh-CN" w:bidi="ar-SA"/>
      </w:rPr>
    </w:lvl>
    <w:lvl w:ilvl="8">
      <w:start w:val="0"/>
      <w:numFmt w:val="bullet"/>
      <w:lvlText w:val="•"/>
      <w:lvlJc w:val="left"/>
      <w:pPr>
        <w:ind w:left="6072" w:hanging="529"/>
      </w:pPr>
      <w:rPr>
        <w:rFonts w:hint="default"/>
        <w:lang w:val="en-US" w:eastAsia="zh-CN" w:bidi="ar-SA"/>
      </w:rPr>
    </w:lvl>
  </w:abstractNum>
  <w:abstractNum w:abstractNumId="4">
    <w:multiLevelType w:val="hybridMultilevel"/>
    <w:lvl w:ilvl="0">
      <w:start w:val="1"/>
      <w:numFmt w:val="decimal"/>
      <w:lvlText w:val="（%1）"/>
      <w:lvlJc w:val="left"/>
      <w:pPr>
        <w:ind w:left="1195"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810" w:hanging="529"/>
      </w:pPr>
      <w:rPr>
        <w:rFonts w:hint="default"/>
        <w:lang w:val="en-US" w:eastAsia="zh-CN" w:bidi="ar-SA"/>
      </w:rPr>
    </w:lvl>
    <w:lvl w:ilvl="2">
      <w:start w:val="0"/>
      <w:numFmt w:val="bullet"/>
      <w:lvlText w:val="•"/>
      <w:lvlJc w:val="left"/>
      <w:pPr>
        <w:ind w:left="2421" w:hanging="529"/>
      </w:pPr>
      <w:rPr>
        <w:rFonts w:hint="default"/>
        <w:lang w:val="en-US" w:eastAsia="zh-CN" w:bidi="ar-SA"/>
      </w:rPr>
    </w:lvl>
    <w:lvl w:ilvl="3">
      <w:start w:val="0"/>
      <w:numFmt w:val="bullet"/>
      <w:lvlText w:val="•"/>
      <w:lvlJc w:val="left"/>
      <w:pPr>
        <w:ind w:left="3031" w:hanging="529"/>
      </w:pPr>
      <w:rPr>
        <w:rFonts w:hint="default"/>
        <w:lang w:val="en-US" w:eastAsia="zh-CN" w:bidi="ar-SA"/>
      </w:rPr>
    </w:lvl>
    <w:lvl w:ilvl="4">
      <w:start w:val="0"/>
      <w:numFmt w:val="bullet"/>
      <w:lvlText w:val="•"/>
      <w:lvlJc w:val="left"/>
      <w:pPr>
        <w:ind w:left="3642" w:hanging="529"/>
      </w:pPr>
      <w:rPr>
        <w:rFonts w:hint="default"/>
        <w:lang w:val="en-US" w:eastAsia="zh-CN" w:bidi="ar-SA"/>
      </w:rPr>
    </w:lvl>
    <w:lvl w:ilvl="5">
      <w:start w:val="0"/>
      <w:numFmt w:val="bullet"/>
      <w:lvlText w:val="•"/>
      <w:lvlJc w:val="left"/>
      <w:pPr>
        <w:ind w:left="4252" w:hanging="529"/>
      </w:pPr>
      <w:rPr>
        <w:rFonts w:hint="default"/>
        <w:lang w:val="en-US" w:eastAsia="zh-CN" w:bidi="ar-SA"/>
      </w:rPr>
    </w:lvl>
    <w:lvl w:ilvl="6">
      <w:start w:val="0"/>
      <w:numFmt w:val="bullet"/>
      <w:lvlText w:val="•"/>
      <w:lvlJc w:val="left"/>
      <w:pPr>
        <w:ind w:left="4863" w:hanging="529"/>
      </w:pPr>
      <w:rPr>
        <w:rFonts w:hint="default"/>
        <w:lang w:val="en-US" w:eastAsia="zh-CN" w:bidi="ar-SA"/>
      </w:rPr>
    </w:lvl>
    <w:lvl w:ilvl="7">
      <w:start w:val="0"/>
      <w:numFmt w:val="bullet"/>
      <w:lvlText w:val="•"/>
      <w:lvlJc w:val="left"/>
      <w:pPr>
        <w:ind w:left="5474" w:hanging="529"/>
      </w:pPr>
      <w:rPr>
        <w:rFonts w:hint="default"/>
        <w:lang w:val="en-US" w:eastAsia="zh-CN" w:bidi="ar-SA"/>
      </w:rPr>
    </w:lvl>
    <w:lvl w:ilvl="8">
      <w:start w:val="0"/>
      <w:numFmt w:val="bullet"/>
      <w:lvlText w:val="•"/>
      <w:lvlJc w:val="left"/>
      <w:pPr>
        <w:ind w:left="6084" w:hanging="529"/>
      </w:pPr>
      <w:rPr>
        <w:rFonts w:hint="default"/>
        <w:lang w:val="en-US" w:eastAsia="zh-CN" w:bidi="ar-SA"/>
      </w:rPr>
    </w:lvl>
  </w:abstractNum>
  <w:abstractNum w:abstractNumId="3">
    <w:multiLevelType w:val="hybridMultilevel"/>
    <w:lvl w:ilvl="0">
      <w:start w:val="0"/>
      <w:numFmt w:val="bullet"/>
      <w:lvlText w:val=""/>
      <w:lvlJc w:val="left"/>
      <w:pPr>
        <w:ind w:left="666" w:hanging="423"/>
      </w:pPr>
      <w:rPr>
        <w:rFonts w:hint="default" w:ascii="Wingdings" w:hAnsi="Wingdings" w:eastAsia="Wingdings" w:cs="Wingdings"/>
        <w:b w:val="0"/>
        <w:bCs w:val="0"/>
        <w:i w:val="0"/>
        <w:iCs w:val="0"/>
        <w:w w:val="100"/>
        <w:sz w:val="21"/>
        <w:szCs w:val="21"/>
        <w:lang w:val="en-US" w:eastAsia="zh-CN" w:bidi="ar-SA"/>
      </w:rPr>
    </w:lvl>
    <w:lvl w:ilvl="1">
      <w:start w:val="0"/>
      <w:numFmt w:val="bullet"/>
      <w:lvlText w:val="•"/>
      <w:lvlJc w:val="left"/>
      <w:pPr>
        <w:ind w:left="1324" w:hanging="423"/>
      </w:pPr>
      <w:rPr>
        <w:rFonts w:hint="default"/>
        <w:lang w:val="en-US" w:eastAsia="zh-CN" w:bidi="ar-SA"/>
      </w:rPr>
    </w:lvl>
    <w:lvl w:ilvl="2">
      <w:start w:val="0"/>
      <w:numFmt w:val="bullet"/>
      <w:lvlText w:val="•"/>
      <w:lvlJc w:val="left"/>
      <w:pPr>
        <w:ind w:left="1989" w:hanging="423"/>
      </w:pPr>
      <w:rPr>
        <w:rFonts w:hint="default"/>
        <w:lang w:val="en-US" w:eastAsia="zh-CN" w:bidi="ar-SA"/>
      </w:rPr>
    </w:lvl>
    <w:lvl w:ilvl="3">
      <w:start w:val="0"/>
      <w:numFmt w:val="bullet"/>
      <w:lvlText w:val="•"/>
      <w:lvlJc w:val="left"/>
      <w:pPr>
        <w:ind w:left="2653" w:hanging="423"/>
      </w:pPr>
      <w:rPr>
        <w:rFonts w:hint="default"/>
        <w:lang w:val="en-US" w:eastAsia="zh-CN" w:bidi="ar-SA"/>
      </w:rPr>
    </w:lvl>
    <w:lvl w:ilvl="4">
      <w:start w:val="0"/>
      <w:numFmt w:val="bullet"/>
      <w:lvlText w:val="•"/>
      <w:lvlJc w:val="left"/>
      <w:pPr>
        <w:ind w:left="3318" w:hanging="423"/>
      </w:pPr>
      <w:rPr>
        <w:rFonts w:hint="default"/>
        <w:lang w:val="en-US" w:eastAsia="zh-CN" w:bidi="ar-SA"/>
      </w:rPr>
    </w:lvl>
    <w:lvl w:ilvl="5">
      <w:start w:val="0"/>
      <w:numFmt w:val="bullet"/>
      <w:lvlText w:val="•"/>
      <w:lvlJc w:val="left"/>
      <w:pPr>
        <w:ind w:left="3982" w:hanging="423"/>
      </w:pPr>
      <w:rPr>
        <w:rFonts w:hint="default"/>
        <w:lang w:val="en-US" w:eastAsia="zh-CN" w:bidi="ar-SA"/>
      </w:rPr>
    </w:lvl>
    <w:lvl w:ilvl="6">
      <w:start w:val="0"/>
      <w:numFmt w:val="bullet"/>
      <w:lvlText w:val="•"/>
      <w:lvlJc w:val="left"/>
      <w:pPr>
        <w:ind w:left="4647" w:hanging="423"/>
      </w:pPr>
      <w:rPr>
        <w:rFonts w:hint="default"/>
        <w:lang w:val="en-US" w:eastAsia="zh-CN" w:bidi="ar-SA"/>
      </w:rPr>
    </w:lvl>
    <w:lvl w:ilvl="7">
      <w:start w:val="0"/>
      <w:numFmt w:val="bullet"/>
      <w:lvlText w:val="•"/>
      <w:lvlJc w:val="left"/>
      <w:pPr>
        <w:ind w:left="5312" w:hanging="423"/>
      </w:pPr>
      <w:rPr>
        <w:rFonts w:hint="default"/>
        <w:lang w:val="en-US" w:eastAsia="zh-CN" w:bidi="ar-SA"/>
      </w:rPr>
    </w:lvl>
    <w:lvl w:ilvl="8">
      <w:start w:val="0"/>
      <w:numFmt w:val="bullet"/>
      <w:lvlText w:val="•"/>
      <w:lvlJc w:val="left"/>
      <w:pPr>
        <w:ind w:left="5976" w:hanging="423"/>
      </w:pPr>
      <w:rPr>
        <w:rFonts w:hint="default"/>
        <w:lang w:val="en-US" w:eastAsia="zh-CN" w:bidi="ar-SA"/>
      </w:rPr>
    </w:lvl>
  </w:abstractNum>
  <w:abstractNum w:abstractNumId="2">
    <w:multiLevelType w:val="hybridMultilevel"/>
    <w:lvl w:ilvl="0">
      <w:start w:val="1"/>
      <w:numFmt w:val="decimal"/>
      <w:lvlText w:val="（%1）"/>
      <w:lvlJc w:val="left"/>
      <w:pPr>
        <w:ind w:left="772" w:hanging="529"/>
        <w:jc w:val="left"/>
      </w:pPr>
      <w:rPr>
        <w:rFonts w:hint="default" w:ascii="宋体" w:hAnsi="宋体" w:eastAsia="宋体" w:cs="宋体"/>
        <w:b w:val="0"/>
        <w:bCs w:val="0"/>
        <w:i w:val="0"/>
        <w:iCs w:val="0"/>
        <w:w w:val="100"/>
        <w:sz w:val="19"/>
        <w:szCs w:val="19"/>
        <w:lang w:val="en-US" w:eastAsia="zh-CN" w:bidi="ar-SA"/>
      </w:rPr>
    </w:lvl>
    <w:lvl w:ilvl="1">
      <w:start w:val="2"/>
      <w:numFmt w:val="decimal"/>
      <w:lvlText w:val="（%2）"/>
      <w:lvlJc w:val="left"/>
      <w:pPr>
        <w:ind w:left="3991" w:hanging="529"/>
        <w:jc w:val="left"/>
      </w:pPr>
      <w:rPr>
        <w:rFonts w:hint="default" w:ascii="宋体" w:hAnsi="宋体" w:eastAsia="宋体" w:cs="宋体"/>
        <w:b w:val="0"/>
        <w:bCs w:val="0"/>
        <w:i w:val="0"/>
        <w:iCs w:val="0"/>
        <w:w w:val="100"/>
        <w:sz w:val="19"/>
        <w:szCs w:val="19"/>
        <w:lang w:val="en-US" w:eastAsia="zh-CN" w:bidi="ar-SA"/>
      </w:rPr>
    </w:lvl>
    <w:lvl w:ilvl="2">
      <w:start w:val="0"/>
      <w:numFmt w:val="bullet"/>
      <w:lvlText w:val="•"/>
      <w:lvlJc w:val="left"/>
      <w:pPr>
        <w:ind w:left="4367" w:hanging="529"/>
      </w:pPr>
      <w:rPr>
        <w:rFonts w:hint="default"/>
        <w:lang w:val="en-US" w:eastAsia="zh-CN" w:bidi="ar-SA"/>
      </w:rPr>
    </w:lvl>
    <w:lvl w:ilvl="3">
      <w:start w:val="0"/>
      <w:numFmt w:val="bullet"/>
      <w:lvlText w:val="•"/>
      <w:lvlJc w:val="left"/>
      <w:pPr>
        <w:ind w:left="4734" w:hanging="529"/>
      </w:pPr>
      <w:rPr>
        <w:rFonts w:hint="default"/>
        <w:lang w:val="en-US" w:eastAsia="zh-CN" w:bidi="ar-SA"/>
      </w:rPr>
    </w:lvl>
    <w:lvl w:ilvl="4">
      <w:start w:val="0"/>
      <w:numFmt w:val="bullet"/>
      <w:lvlText w:val="•"/>
      <w:lvlJc w:val="left"/>
      <w:pPr>
        <w:ind w:left="5101" w:hanging="529"/>
      </w:pPr>
      <w:rPr>
        <w:rFonts w:hint="default"/>
        <w:lang w:val="en-US" w:eastAsia="zh-CN" w:bidi="ar-SA"/>
      </w:rPr>
    </w:lvl>
    <w:lvl w:ilvl="5">
      <w:start w:val="0"/>
      <w:numFmt w:val="bullet"/>
      <w:lvlText w:val="•"/>
      <w:lvlJc w:val="left"/>
      <w:pPr>
        <w:ind w:left="5469" w:hanging="529"/>
      </w:pPr>
      <w:rPr>
        <w:rFonts w:hint="default"/>
        <w:lang w:val="en-US" w:eastAsia="zh-CN" w:bidi="ar-SA"/>
      </w:rPr>
    </w:lvl>
    <w:lvl w:ilvl="6">
      <w:start w:val="0"/>
      <w:numFmt w:val="bullet"/>
      <w:lvlText w:val="•"/>
      <w:lvlJc w:val="left"/>
      <w:pPr>
        <w:ind w:left="5836" w:hanging="529"/>
      </w:pPr>
      <w:rPr>
        <w:rFonts w:hint="default"/>
        <w:lang w:val="en-US" w:eastAsia="zh-CN" w:bidi="ar-SA"/>
      </w:rPr>
    </w:lvl>
    <w:lvl w:ilvl="7">
      <w:start w:val="0"/>
      <w:numFmt w:val="bullet"/>
      <w:lvlText w:val="•"/>
      <w:lvlJc w:val="left"/>
      <w:pPr>
        <w:ind w:left="6203" w:hanging="529"/>
      </w:pPr>
      <w:rPr>
        <w:rFonts w:hint="default"/>
        <w:lang w:val="en-US" w:eastAsia="zh-CN" w:bidi="ar-SA"/>
      </w:rPr>
    </w:lvl>
    <w:lvl w:ilvl="8">
      <w:start w:val="0"/>
      <w:numFmt w:val="bullet"/>
      <w:lvlText w:val="•"/>
      <w:lvlJc w:val="left"/>
      <w:pPr>
        <w:ind w:left="6571" w:hanging="529"/>
      </w:pPr>
      <w:rPr>
        <w:rFonts w:hint="default"/>
        <w:lang w:val="en-US" w:eastAsia="zh-CN" w:bidi="ar-SA"/>
      </w:rPr>
    </w:lvl>
  </w:abstractNum>
  <w:abstractNum w:abstractNumId="1">
    <w:multiLevelType w:val="hybridMultilevel"/>
    <w:lvl w:ilvl="0">
      <w:start w:val="9"/>
      <w:numFmt w:val="decimal"/>
      <w:lvlText w:val="%1."/>
      <w:lvlJc w:val="left"/>
      <w:pPr>
        <w:ind w:left="566" w:hanging="317"/>
        <w:jc w:val="left"/>
      </w:pPr>
      <w:rPr>
        <w:rFonts w:hint="default" w:ascii="Microsoft JhengHei" w:hAnsi="Microsoft JhengHei" w:eastAsia="Microsoft JhengHei" w:cs="Microsoft JhengHei"/>
        <w:b/>
        <w:bCs/>
        <w:i w:val="0"/>
        <w:iCs w:val="0"/>
        <w:w w:val="84"/>
        <w:sz w:val="21"/>
        <w:szCs w:val="21"/>
        <w:lang w:val="en-US" w:eastAsia="zh-CN" w:bidi="ar-SA"/>
      </w:rPr>
    </w:lvl>
    <w:lvl w:ilvl="1">
      <w:start w:val="1"/>
      <w:numFmt w:val="decimal"/>
      <w:lvlText w:val="%2."/>
      <w:lvlJc w:val="left"/>
      <w:pPr>
        <w:ind w:left="1910" w:hanging="985"/>
        <w:jc w:val="left"/>
      </w:pPr>
      <w:rPr>
        <w:rFonts w:hint="default" w:ascii="Microsoft JhengHei" w:hAnsi="Microsoft JhengHei" w:eastAsia="Microsoft JhengHei" w:cs="Microsoft JhengHei"/>
        <w:b/>
        <w:bCs/>
        <w:i w:val="0"/>
        <w:iCs w:val="0"/>
        <w:w w:val="117"/>
        <w:sz w:val="24"/>
        <w:szCs w:val="24"/>
        <w:lang w:val="en-US" w:eastAsia="zh-CN" w:bidi="ar-SA"/>
      </w:rPr>
    </w:lvl>
    <w:lvl w:ilvl="2">
      <w:start w:val="1"/>
      <w:numFmt w:val="decimal"/>
      <w:lvlText w:val="%2.%3"/>
      <w:lvlJc w:val="left"/>
      <w:pPr>
        <w:ind w:left="1910" w:hanging="985"/>
        <w:jc w:val="left"/>
      </w:pPr>
      <w:rPr>
        <w:rFonts w:hint="default" w:ascii="Microsoft JhengHei" w:hAnsi="Microsoft JhengHei" w:eastAsia="Microsoft JhengHei" w:cs="Microsoft JhengHei"/>
        <w:b/>
        <w:bCs/>
        <w:i w:val="0"/>
        <w:iCs w:val="0"/>
        <w:w w:val="104"/>
        <w:sz w:val="21"/>
        <w:szCs w:val="21"/>
        <w:lang w:val="en-US" w:eastAsia="zh-CN" w:bidi="ar-SA"/>
      </w:rPr>
    </w:lvl>
    <w:lvl w:ilvl="3">
      <w:start w:val="1"/>
      <w:numFmt w:val="decimal"/>
      <w:lvlText w:val="（%4）"/>
      <w:lvlJc w:val="left"/>
      <w:pPr>
        <w:ind w:left="3991" w:hanging="529"/>
        <w:jc w:val="left"/>
      </w:pPr>
      <w:rPr>
        <w:rFonts w:hint="default" w:ascii="宋体" w:hAnsi="宋体" w:eastAsia="宋体" w:cs="宋体"/>
        <w:b w:val="0"/>
        <w:bCs w:val="0"/>
        <w:i w:val="0"/>
        <w:iCs w:val="0"/>
        <w:w w:val="100"/>
        <w:sz w:val="19"/>
        <w:szCs w:val="19"/>
        <w:lang w:val="en-US" w:eastAsia="zh-CN" w:bidi="ar-SA"/>
      </w:rPr>
    </w:lvl>
    <w:lvl w:ilvl="4">
      <w:start w:val="0"/>
      <w:numFmt w:val="bullet"/>
      <w:lvlText w:val="•"/>
      <w:lvlJc w:val="left"/>
      <w:pPr>
        <w:ind w:left="3975" w:hanging="529"/>
      </w:pPr>
      <w:rPr>
        <w:rFonts w:hint="default"/>
        <w:lang w:val="en-US" w:eastAsia="zh-CN" w:bidi="ar-SA"/>
      </w:rPr>
    </w:lvl>
    <w:lvl w:ilvl="5">
      <w:start w:val="0"/>
      <w:numFmt w:val="bullet"/>
      <w:lvlText w:val="•"/>
      <w:lvlJc w:val="left"/>
      <w:pPr>
        <w:ind w:left="3951" w:hanging="529"/>
      </w:pPr>
      <w:rPr>
        <w:rFonts w:hint="default"/>
        <w:lang w:val="en-US" w:eastAsia="zh-CN" w:bidi="ar-SA"/>
      </w:rPr>
    </w:lvl>
    <w:lvl w:ilvl="6">
      <w:start w:val="0"/>
      <w:numFmt w:val="bullet"/>
      <w:lvlText w:val="•"/>
      <w:lvlJc w:val="left"/>
      <w:pPr>
        <w:ind w:left="3927" w:hanging="529"/>
      </w:pPr>
      <w:rPr>
        <w:rFonts w:hint="default"/>
        <w:lang w:val="en-US" w:eastAsia="zh-CN" w:bidi="ar-SA"/>
      </w:rPr>
    </w:lvl>
    <w:lvl w:ilvl="7">
      <w:start w:val="0"/>
      <w:numFmt w:val="bullet"/>
      <w:lvlText w:val="•"/>
      <w:lvlJc w:val="left"/>
      <w:pPr>
        <w:ind w:left="3902" w:hanging="529"/>
      </w:pPr>
      <w:rPr>
        <w:rFonts w:hint="default"/>
        <w:lang w:val="en-US" w:eastAsia="zh-CN" w:bidi="ar-SA"/>
      </w:rPr>
    </w:lvl>
    <w:lvl w:ilvl="8">
      <w:start w:val="0"/>
      <w:numFmt w:val="bullet"/>
      <w:lvlText w:val="•"/>
      <w:lvlJc w:val="left"/>
      <w:pPr>
        <w:ind w:left="3878" w:hanging="529"/>
      </w:pPr>
      <w:rPr>
        <w:rFonts w:hint="default"/>
        <w:lang w:val="en-US" w:eastAsia="zh-CN" w:bidi="ar-SA"/>
      </w:rPr>
    </w:lvl>
  </w:abstractNum>
  <w:abstractNum w:abstractNumId="0">
    <w:multiLevelType w:val="hybridMultilevel"/>
    <w:lvl w:ilvl="0">
      <w:start w:val="0"/>
      <w:numFmt w:val="bullet"/>
      <w:lvlText w:val=""/>
      <w:lvlJc w:val="left"/>
      <w:pPr>
        <w:ind w:left="542" w:hanging="423"/>
      </w:pPr>
      <w:rPr>
        <w:rFonts w:hint="default" w:ascii="Wingdings" w:hAnsi="Wingdings" w:eastAsia="Wingdings" w:cs="Wingdings"/>
        <w:b w:val="0"/>
        <w:bCs w:val="0"/>
        <w:i w:val="0"/>
        <w:iCs w:val="0"/>
        <w:w w:val="100"/>
        <w:sz w:val="21"/>
        <w:szCs w:val="21"/>
        <w:lang w:val="en-US" w:eastAsia="zh-CN" w:bidi="ar-SA"/>
      </w:rPr>
    </w:lvl>
    <w:lvl w:ilvl="1">
      <w:start w:val="1"/>
      <w:numFmt w:val="decimal"/>
      <w:lvlText w:val="%2."/>
      <w:lvlJc w:val="left"/>
      <w:pPr>
        <w:ind w:left="566" w:hanging="317"/>
        <w:jc w:val="left"/>
      </w:pPr>
      <w:rPr>
        <w:rFonts w:hint="default" w:ascii="Microsoft JhengHei" w:hAnsi="Microsoft JhengHei" w:eastAsia="Microsoft JhengHei" w:cs="Microsoft JhengHei"/>
        <w:b/>
        <w:bCs/>
        <w:i w:val="0"/>
        <w:iCs w:val="0"/>
        <w:w w:val="118"/>
        <w:sz w:val="21"/>
        <w:szCs w:val="21"/>
        <w:lang w:val="en-US" w:eastAsia="zh-CN" w:bidi="ar-SA"/>
      </w:rPr>
    </w:lvl>
    <w:lvl w:ilvl="2">
      <w:start w:val="0"/>
      <w:numFmt w:val="bullet"/>
      <w:lvlText w:val="•"/>
      <w:lvlJc w:val="left"/>
      <w:pPr>
        <w:ind w:left="776" w:hanging="317"/>
      </w:pPr>
      <w:rPr>
        <w:rFonts w:hint="default"/>
        <w:lang w:val="en-US" w:eastAsia="zh-CN" w:bidi="ar-SA"/>
      </w:rPr>
    </w:lvl>
    <w:lvl w:ilvl="3">
      <w:start w:val="0"/>
      <w:numFmt w:val="bullet"/>
      <w:lvlText w:val="•"/>
      <w:lvlJc w:val="left"/>
      <w:pPr>
        <w:ind w:left="992" w:hanging="317"/>
      </w:pPr>
      <w:rPr>
        <w:rFonts w:hint="default"/>
        <w:lang w:val="en-US" w:eastAsia="zh-CN" w:bidi="ar-SA"/>
      </w:rPr>
    </w:lvl>
    <w:lvl w:ilvl="4">
      <w:start w:val="0"/>
      <w:numFmt w:val="bullet"/>
      <w:lvlText w:val="•"/>
      <w:lvlJc w:val="left"/>
      <w:pPr>
        <w:ind w:left="1208" w:hanging="317"/>
      </w:pPr>
      <w:rPr>
        <w:rFonts w:hint="default"/>
        <w:lang w:val="en-US" w:eastAsia="zh-CN" w:bidi="ar-SA"/>
      </w:rPr>
    </w:lvl>
    <w:lvl w:ilvl="5">
      <w:start w:val="0"/>
      <w:numFmt w:val="bullet"/>
      <w:lvlText w:val="•"/>
      <w:lvlJc w:val="left"/>
      <w:pPr>
        <w:ind w:left="1425" w:hanging="317"/>
      </w:pPr>
      <w:rPr>
        <w:rFonts w:hint="default"/>
        <w:lang w:val="en-US" w:eastAsia="zh-CN" w:bidi="ar-SA"/>
      </w:rPr>
    </w:lvl>
    <w:lvl w:ilvl="6">
      <w:start w:val="0"/>
      <w:numFmt w:val="bullet"/>
      <w:lvlText w:val="•"/>
      <w:lvlJc w:val="left"/>
      <w:pPr>
        <w:ind w:left="1641" w:hanging="317"/>
      </w:pPr>
      <w:rPr>
        <w:rFonts w:hint="default"/>
        <w:lang w:val="en-US" w:eastAsia="zh-CN" w:bidi="ar-SA"/>
      </w:rPr>
    </w:lvl>
    <w:lvl w:ilvl="7">
      <w:start w:val="0"/>
      <w:numFmt w:val="bullet"/>
      <w:lvlText w:val="•"/>
      <w:lvlJc w:val="left"/>
      <w:pPr>
        <w:ind w:left="1857" w:hanging="317"/>
      </w:pPr>
      <w:rPr>
        <w:rFonts w:hint="default"/>
        <w:lang w:val="en-US" w:eastAsia="zh-CN" w:bidi="ar-SA"/>
      </w:rPr>
    </w:lvl>
    <w:lvl w:ilvl="8">
      <w:start w:val="0"/>
      <w:numFmt w:val="bullet"/>
      <w:lvlText w:val="•"/>
      <w:lvlJc w:val="left"/>
      <w:pPr>
        <w:ind w:left="2074" w:hanging="317"/>
      </w:pPr>
      <w:rPr>
        <w:rFonts w:hint="default"/>
        <w:lang w:val="en-US" w:eastAsia="zh-CN" w:bidi="ar-SA"/>
      </w:rPr>
    </w:lvl>
  </w:abstractNum>
  <w:num w:numId="87">
    <w:abstractNumId w:val="86"/>
  </w:num>
  <w:num w:numId="86">
    <w:abstractNumId w:val="85"/>
  </w:num>
  <w:num w:numId="85">
    <w:abstractNumId w:val="84"/>
  </w:num>
  <w:num w:numId="84">
    <w:abstractNumId w:val="83"/>
  </w:num>
  <w:num w:numId="83">
    <w:abstractNumId w:val="82"/>
  </w:num>
  <w:num w:numId="82">
    <w:abstractNumId w:val="81"/>
  </w:num>
  <w:num w:numId="81">
    <w:abstractNumId w:val="80"/>
  </w:num>
  <w:num w:numId="80">
    <w:abstractNumId w:val="79"/>
  </w:num>
  <w:num w:numId="79">
    <w:abstractNumId w:val="78"/>
  </w:num>
  <w:num w:numId="78">
    <w:abstractNumId w:val="77"/>
  </w:num>
  <w:num w:numId="77">
    <w:abstractNumId w:val="76"/>
  </w:num>
  <w:num w:numId="76">
    <w:abstractNumId w:val="75"/>
  </w:num>
  <w:num w:numId="75">
    <w:abstractNumId w:val="74"/>
  </w:num>
  <w:num w:numId="74">
    <w:abstractNumId w:val="73"/>
  </w:num>
  <w:num w:numId="73">
    <w:abstractNumId w:val="72"/>
  </w:num>
  <w:num w:numId="72">
    <w:abstractNumId w:val="71"/>
  </w:num>
  <w:num w:numId="71">
    <w:abstractNumId w:val="70"/>
  </w:num>
  <w:num w:numId="70">
    <w:abstractNumId w:val="69"/>
  </w:num>
  <w:num w:numId="69">
    <w:abstractNumId w:val="68"/>
  </w:num>
  <w:num w:numId="68">
    <w:abstractNumId w:val="67"/>
  </w:num>
  <w:num w:numId="67">
    <w:abstractNumId w:val="66"/>
  </w:num>
  <w:num w:numId="66">
    <w:abstractNumId w:val="65"/>
  </w:num>
  <w:num w:numId="65">
    <w:abstractNumId w:val="64"/>
  </w:num>
  <w:num w:numId="64">
    <w:abstractNumId w:val="63"/>
  </w:num>
  <w:num w:numId="63">
    <w:abstractNumId w:val="62"/>
  </w:num>
  <w:num w:numId="62">
    <w:abstractNumId w:val="61"/>
  </w:num>
  <w:num w:numId="61">
    <w:abstractNumId w:val="60"/>
  </w:num>
  <w:num w:numId="60">
    <w:abstractNumId w:val="59"/>
  </w:num>
  <w:num w:numId="59">
    <w:abstractNumId w:val="58"/>
  </w:num>
  <w:num w:numId="58">
    <w:abstractNumId w:val="57"/>
  </w:num>
  <w:num w:numId="57">
    <w:abstractNumId w:val="56"/>
  </w:num>
  <w:num w:numId="56">
    <w:abstractNumId w:val="55"/>
  </w:num>
  <w:num w:numId="55">
    <w:abstractNumId w:val="54"/>
  </w:num>
  <w:num w:numId="54">
    <w:abstractNumId w:val="53"/>
  </w:num>
  <w:num w:numId="53">
    <w:abstractNumId w:val="52"/>
  </w:num>
  <w:num w:numId="52">
    <w:abstractNumId w:val="51"/>
  </w:num>
  <w:num w:numId="51">
    <w:abstractNumId w:val="50"/>
  </w:num>
  <w:num w:numId="50">
    <w:abstractNumId w:val="49"/>
  </w:num>
  <w:num w:numId="49">
    <w:abstractNumId w:val="48"/>
  </w:num>
  <w:num w:numId="48">
    <w:abstractNumId w:val="47"/>
  </w:num>
  <w:num w:numId="47">
    <w:abstractNumId w:val="46"/>
  </w:num>
  <w:num w:numId="46">
    <w:abstractNumId w:val="45"/>
  </w:num>
  <w:num w:numId="45">
    <w:abstractNumId w:val="44"/>
  </w:num>
  <w:num w:numId="44">
    <w:abstractNumId w:val="43"/>
  </w:num>
  <w:num w:numId="43">
    <w:abstractNumId w:val="42"/>
  </w:num>
  <w:num w:numId="42">
    <w:abstractNumId w:val="41"/>
  </w:num>
  <w:num w:numId="41">
    <w:abstractNumId w:val="40"/>
  </w:num>
  <w:num w:numId="40">
    <w:abstractNumId w:val="39"/>
  </w:num>
  <w:num w:numId="39">
    <w:abstractNumId w:val="38"/>
  </w:num>
  <w:num w:numId="38">
    <w:abstractNumId w:val="37"/>
  </w:num>
  <w:num w:numId="37">
    <w:abstractNumId w:val="36"/>
  </w:num>
  <w:num w:numId="36">
    <w:abstractNumId w:val="35"/>
  </w:num>
  <w:num w:numId="35">
    <w:abstractNumId w:val="34"/>
  </w:num>
  <w:num w:numId="34">
    <w:abstractNumId w:val="33"/>
  </w:num>
  <w:num w:numId="33">
    <w:abstractNumId w:val="32"/>
  </w:num>
  <w:num w:numId="32">
    <w:abstractNumId w:val="31"/>
  </w:num>
  <w:num w:numId="31">
    <w:abstractNumId w:val="30"/>
  </w:num>
  <w:num w:numId="30">
    <w:abstractNumId w:val="29"/>
  </w:num>
  <w:num w:numId="29">
    <w:abstractNumId w:val="28"/>
  </w:num>
  <w:num w:numId="28">
    <w:abstractNumId w:val="27"/>
  </w:num>
  <w:num w:numId="27">
    <w:abstractNumId w:val="26"/>
  </w:num>
  <w:num w:numId="26">
    <w:abstractNumId w:val="25"/>
  </w:num>
  <w:num w:numId="25">
    <w:abstractNumId w:val="24"/>
  </w:num>
  <w:num w:numId="24">
    <w:abstractNumId w:val="23"/>
  </w:num>
  <w:num w:numId="23">
    <w:abstractNumId w:val="22"/>
  </w:num>
  <w:num w:numId="22">
    <w:abstractNumId w:val="21"/>
  </w:num>
  <w:num w:numId="21">
    <w:abstractNumId w:val="20"/>
  </w:num>
  <w:num w:numId="20">
    <w:abstractNumId w:val="19"/>
  </w: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Heading1" w:type="paragraph">
    <w:name w:val="Heading 1"/>
    <w:basedOn w:val="Normal"/>
    <w:uiPriority w:val="1"/>
    <w:qFormat/>
    <w:pPr>
      <w:ind w:left="1910" w:hanging="985"/>
      <w:outlineLvl w:val="1"/>
    </w:pPr>
    <w:rPr>
      <w:rFonts w:ascii="Microsoft JhengHei" w:hAnsi="Microsoft JhengHei" w:eastAsia="Microsoft JhengHei" w:cs="Microsoft JhengHei"/>
      <w:b/>
      <w:bCs/>
      <w:sz w:val="24"/>
      <w:szCs w:val="24"/>
      <w:lang w:val="en-US" w:eastAsia="zh-CN" w:bidi="ar-SA"/>
    </w:rPr>
  </w:style>
  <w:style w:styleId="Heading2" w:type="paragraph">
    <w:name w:val="Heading 2"/>
    <w:basedOn w:val="Normal"/>
    <w:uiPriority w:val="1"/>
    <w:qFormat/>
    <w:pPr>
      <w:spacing w:before="55"/>
      <w:ind w:left="1910"/>
      <w:outlineLvl w:val="2"/>
    </w:pPr>
    <w:rPr>
      <w:rFonts w:ascii="Microsoft JhengHei" w:hAnsi="Microsoft JhengHei" w:eastAsia="Microsoft JhengHei" w:cs="Microsoft JhengHei"/>
      <w:b/>
      <w:bCs/>
      <w:sz w:val="21"/>
      <w:szCs w:val="21"/>
      <w:lang w:val="en-US" w:eastAsia="zh-CN" w:bidi="ar-SA"/>
    </w:rPr>
  </w:style>
  <w:style w:styleId="ListParagraph" w:type="paragraph">
    <w:name w:val="List Paragraph"/>
    <w:basedOn w:val="Normal"/>
    <w:uiPriority w:val="1"/>
    <w:qFormat/>
    <w:pPr>
      <w:spacing w:before="43"/>
      <w:ind w:left="1910"/>
    </w:pPr>
    <w:rPr>
      <w:rFonts w:ascii="宋体" w:hAnsi="宋体" w:eastAsia="宋体" w:cs="宋体"/>
      <w:lang w:val="en-US" w:eastAsia="zh-CN" w:bidi="ar-SA"/>
    </w:rPr>
  </w:style>
  <w:style w:styleId="TableParagraph" w:type="paragraph">
    <w:name w:val="Table Paragraph"/>
    <w:basedOn w:val="Normal"/>
    <w:uiPriority w:val="1"/>
    <w:qFormat/>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image" Target="media/image5.png"/><Relationship Id="rId11"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2023-06-02T06:08:42Z</dcterms:created>
  <dcterms:modified xsi:type="dcterms:W3CDTF">2023-06-02T06:08:42Z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ies>
</file>