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19"/>
        <w:ind w:left="920" w:right="0" w:firstLine="0"/>
        <w:jc w:val="left"/>
        <w:rPr>
          <w:rFonts w:ascii="微软雅黑" w:eastAsia="微软雅黑"/>
          <w:b/>
          <w:sz w:val="28"/>
        </w:rPr>
      </w:pPr>
      <w:r>
        <w:rPr>
          <w:rFonts w:ascii="微软雅黑" w:eastAsia="微软雅黑"/>
          <w:b/>
          <w:spacing w:val="-5"/>
          <w:sz w:val="28"/>
        </w:rPr>
        <w:t xml:space="preserve">附件 </w:t>
      </w:r>
      <w:r>
        <w:rPr>
          <w:rFonts w:ascii="微软雅黑" w:eastAsia="微软雅黑"/>
          <w:b/>
          <w:spacing w:val="-24"/>
          <w:w w:val="90"/>
          <w:sz w:val="28"/>
        </w:rPr>
        <w:t>2</w:t>
      </w:r>
    </w:p>
    <w:p>
      <w:pPr>
        <w:spacing w:before="53"/>
        <w:ind w:left="0" w:right="110" w:firstLine="0"/>
        <w:jc w:val="right"/>
        <w:rPr>
          <w:sz w:val="18"/>
        </w:rPr>
      </w:pPr>
      <w:r>
        <w:br w:type="column"/>
      </w:r>
      <w:r>
        <w:rPr>
          <w:spacing w:val="-2"/>
          <w:sz w:val="18"/>
        </w:rPr>
        <w:t>渤海人寿[2021]医疗保险</w:t>
      </w:r>
      <w:r>
        <w:rPr>
          <w:spacing w:val="-32"/>
          <w:sz w:val="18"/>
        </w:rPr>
        <w:t xml:space="preserve"> </w:t>
      </w:r>
      <w:r>
        <w:rPr>
          <w:spacing w:val="-2"/>
          <w:sz w:val="18"/>
        </w:rPr>
        <w:t>003</w:t>
      </w:r>
      <w:r>
        <w:rPr>
          <w:spacing w:val="-21"/>
          <w:sz w:val="18"/>
        </w:rPr>
        <w:t xml:space="preserve"> 号</w:t>
      </w:r>
    </w:p>
    <w:p>
      <w:pPr>
        <w:tabs>
          <w:tab w:val="left" w:pos="6746"/>
        </w:tabs>
        <w:spacing w:before="112" w:line="1031" w:lineRule="exact"/>
        <w:ind w:left="243" w:right="0" w:firstLine="0"/>
        <w:jc w:val="left"/>
        <w:rPr>
          <w:rFonts w:ascii="Microsoft JhengHei" w:eastAsia="Microsoft JhengHei"/>
          <w:b/>
          <w:sz w:val="32"/>
        </w:rPr>
      </w:pPr>
      <w:bookmarkStart w:id="0" w:name="_GoBack"/>
      <w:r>
        <w:rPr>
          <w:rFonts w:ascii="Microsoft JhengHei" w:eastAsia="Microsoft JhengHei"/>
          <w:b/>
          <w:w w:val="95"/>
          <w:sz w:val="32"/>
        </w:rPr>
        <w:t>渤海人寿安康无忧医疗保险（2021版）条</w:t>
      </w:r>
      <w:r>
        <w:rPr>
          <w:rFonts w:ascii="Microsoft JhengHei" w:eastAsia="Microsoft JhengHei"/>
          <w:b/>
          <w:spacing w:val="-10"/>
          <w:w w:val="95"/>
          <w:sz w:val="32"/>
        </w:rPr>
        <w:t>款</w:t>
      </w:r>
      <w:bookmarkEnd w:id="0"/>
      <w:r>
        <w:rPr>
          <w:rFonts w:ascii="Microsoft JhengHei" w:eastAsia="Microsoft JhengHei"/>
          <w:b/>
          <w:sz w:val="32"/>
        </w:rPr>
        <w:tab/>
      </w:r>
      <w:r>
        <w:rPr>
          <w:rFonts w:ascii="Microsoft JhengHei" w:eastAsia="Microsoft JhengHei"/>
          <w:b/>
          <w:position w:val="-31"/>
          <w:sz w:val="32"/>
        </w:rPr>
        <w:drawing>
          <wp:inline distT="0" distB="0" distL="0" distR="0">
            <wp:extent cx="725170" cy="72517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7" cstate="print"/>
                    <a:stretch>
                      <a:fillRect/>
                    </a:stretch>
                  </pic:blipFill>
                  <pic:spPr>
                    <a:xfrm>
                      <a:off x="0" y="0"/>
                      <a:ext cx="725424" cy="725424"/>
                    </a:xfrm>
                    <a:prstGeom prst="rect">
                      <a:avLst/>
                    </a:prstGeom>
                  </pic:spPr>
                </pic:pic>
              </a:graphicData>
            </a:graphic>
          </wp:inline>
        </w:drawing>
      </w:r>
    </w:p>
    <w:p>
      <w:pPr>
        <w:spacing w:before="0" w:line="258" w:lineRule="exact"/>
        <w:ind w:left="2456" w:right="0" w:firstLine="0"/>
        <w:jc w:val="left"/>
        <w:rPr>
          <w:rFonts w:ascii="Microsoft JhengHei" w:eastAsia="Microsoft JhengHei"/>
          <w:b/>
          <w:sz w:val="32"/>
        </w:rPr>
      </w:pPr>
      <w:r>
        <w:rPr>
          <w:rFonts w:ascii="Microsoft JhengHei" w:eastAsia="Microsoft JhengHei"/>
          <w:b/>
          <w:spacing w:val="25"/>
          <w:sz w:val="32"/>
        </w:rPr>
        <w:t>阅 读</w:t>
      </w:r>
      <w:r>
        <w:rPr>
          <w:rFonts w:ascii="Microsoft JhengHei" w:eastAsia="Microsoft JhengHei"/>
          <w:b/>
          <w:spacing w:val="43"/>
          <w:w w:val="150"/>
          <w:sz w:val="32"/>
        </w:rPr>
        <w:t xml:space="preserve"> </w:t>
      </w:r>
      <w:r>
        <w:rPr>
          <w:rFonts w:ascii="Microsoft JhengHei" w:eastAsia="Microsoft JhengHei"/>
          <w:b/>
          <w:spacing w:val="22"/>
          <w:sz w:val="32"/>
        </w:rPr>
        <w:t>指 引</w:t>
      </w:r>
    </w:p>
    <w:p>
      <w:pPr>
        <w:spacing w:after="0" w:line="258" w:lineRule="exact"/>
        <w:jc w:val="left"/>
        <w:rPr>
          <w:rFonts w:ascii="Microsoft JhengHei" w:eastAsia="Microsoft JhengHei"/>
          <w:sz w:val="32"/>
        </w:rPr>
        <w:sectPr>
          <w:footerReference r:id="rId5" w:type="default"/>
          <w:type w:val="continuous"/>
          <w:pgSz w:w="11910" w:h="16840"/>
          <w:pgMar w:top="920" w:right="680" w:bottom="420" w:left="880" w:header="0" w:footer="230" w:gutter="0"/>
          <w:pgNumType w:start="1"/>
          <w:cols w:equalWidth="0" w:num="2">
            <w:col w:w="1694" w:space="40"/>
            <w:col w:w="8616"/>
          </w:cols>
        </w:sectPr>
      </w:pPr>
    </w:p>
    <w:p>
      <w:pPr>
        <w:spacing w:before="0" w:line="208" w:lineRule="exact"/>
        <w:ind w:left="0" w:right="365" w:firstLine="0"/>
        <w:jc w:val="right"/>
        <w:rPr>
          <w:sz w:val="18"/>
        </w:rPr>
      </w:pPr>
      <w:r>
        <w:rPr>
          <w:spacing w:val="-2"/>
          <w:sz w:val="18"/>
        </w:rPr>
        <w:t>请扫描以查询验证条</w:t>
      </w:r>
      <w:r>
        <w:rPr>
          <w:spacing w:val="-10"/>
          <w:sz w:val="18"/>
        </w:rPr>
        <w:t>款</w:t>
      </w:r>
    </w:p>
    <w:p>
      <w:pPr>
        <w:pStyle w:val="4"/>
        <w:spacing w:before="9"/>
        <w:rPr>
          <w:sz w:val="13"/>
        </w:rPr>
      </w:pPr>
    </w:p>
    <w:p>
      <w:pPr>
        <w:pStyle w:val="4"/>
        <w:ind w:left="1991" w:right="2122"/>
        <w:jc w:val="center"/>
      </w:pPr>
      <w:r>
        <w:drawing>
          <wp:anchor distT="0" distB="0" distL="0" distR="0" simplePos="0" relativeHeight="251659264" behindDoc="1" locked="0" layoutInCell="1" allowOverlap="1">
            <wp:simplePos x="0" y="0"/>
            <wp:positionH relativeFrom="page">
              <wp:posOffset>628015</wp:posOffset>
            </wp:positionH>
            <wp:positionV relativeFrom="paragraph">
              <wp:posOffset>224790</wp:posOffset>
            </wp:positionV>
            <wp:extent cx="6308725" cy="6335395"/>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a:picLocks noChangeAspect="1"/>
                    </pic:cNvPicPr>
                  </pic:nvPicPr>
                  <pic:blipFill>
                    <a:blip r:embed="rId8" cstate="print"/>
                    <a:stretch>
                      <a:fillRect/>
                    </a:stretch>
                  </pic:blipFill>
                  <pic:spPr>
                    <a:xfrm>
                      <a:off x="0" y="0"/>
                      <a:ext cx="6308800" cy="6335522"/>
                    </a:xfrm>
                    <a:prstGeom prst="rect">
                      <a:avLst/>
                    </a:prstGeom>
                  </pic:spPr>
                </pic:pic>
              </a:graphicData>
            </a:graphic>
          </wp:anchor>
        </w:drawing>
      </w:r>
      <w:r>
        <w:pict>
          <v:shape id="docshape2" o:spid="_x0000_s1026" o:spt="202" type="#_x0000_t202" style="position:absolute;left:0pt;margin-left:49.45pt;margin-top:17.7pt;height:498.9pt;width:496.8pt;mso-position-horizontal-relative:page;z-index:-251656192;mso-width-relative:page;mso-height-relative:page;" filled="f" stroked="f" coordsize="21600,21600">
            <v:path/>
            <v:fill on="f" focussize="0,0"/>
            <v:stroke on="f" joinstyle="miter"/>
            <v:imagedata o:title=""/>
            <o:lock v:ext="edit"/>
            <v:textbox inset="0mm,0mm,0mm,0mm">
              <w:txbxContent>
                <w:p>
                  <w:pPr>
                    <w:numPr>
                      <w:ilvl w:val="0"/>
                      <w:numId w:val="1"/>
                    </w:numPr>
                    <w:tabs>
                      <w:tab w:val="left" w:pos="532"/>
                      <w:tab w:val="left" w:pos="533"/>
                    </w:tabs>
                    <w:spacing w:before="0" w:line="344" w:lineRule="exact"/>
                    <w:ind w:left="532" w:right="0" w:hanging="423"/>
                    <w:jc w:val="left"/>
                    <w:rPr>
                      <w:rFonts w:ascii="Microsoft JhengHei" w:eastAsia="Microsoft JhengHei"/>
                      <w:b/>
                      <w:sz w:val="21"/>
                    </w:rPr>
                  </w:pPr>
                  <w:r>
                    <w:rPr>
                      <w:rFonts w:ascii="Microsoft JhengHei" w:eastAsia="Microsoft JhengHei"/>
                      <w:b/>
                      <w:spacing w:val="-2"/>
                      <w:sz w:val="21"/>
                    </w:rPr>
                    <w:t>您拥有的重要权益</w:t>
                  </w:r>
                </w:p>
                <w:p>
                  <w:pPr>
                    <w:pStyle w:val="4"/>
                    <w:tabs>
                      <w:tab w:val="right" w:leader="dot" w:pos="9570"/>
                    </w:tabs>
                    <w:spacing w:line="267" w:lineRule="exact"/>
                    <w:ind w:left="532"/>
                  </w:pPr>
                  <w:r>
                    <w:rPr>
                      <w:spacing w:val="-2"/>
                    </w:rPr>
                    <w:t>本合同提供的保障在保险责任条款中列</w:t>
                  </w:r>
                  <w:r>
                    <w:rPr>
                      <w:spacing w:val="-10"/>
                    </w:rPr>
                    <w:t>明</w:t>
                  </w:r>
                  <w:r>
                    <w:rPr>
                      <w:rFonts w:ascii="Times New Roman" w:eastAsia="Times New Roman"/>
                    </w:rPr>
                    <w:tab/>
                  </w:r>
                  <w:r>
                    <w:rPr>
                      <w:spacing w:val="-5"/>
                    </w:rPr>
                    <w:t>2.5</w:t>
                  </w:r>
                </w:p>
                <w:p>
                  <w:pPr>
                    <w:pStyle w:val="4"/>
                    <w:tabs>
                      <w:tab w:val="right" w:leader="dot" w:pos="9569"/>
                    </w:tabs>
                    <w:spacing w:before="43" w:line="256" w:lineRule="exact"/>
                    <w:ind w:left="532"/>
                  </w:pPr>
                  <w:r>
                    <w:rPr>
                      <w:spacing w:val="-2"/>
                    </w:rPr>
                    <w:t>您有退保的权</w:t>
                  </w:r>
                  <w:r>
                    <w:rPr>
                      <w:spacing w:val="-10"/>
                    </w:rPr>
                    <w:t>利</w:t>
                  </w:r>
                  <w:r>
                    <w:rPr>
                      <w:rFonts w:ascii="Times New Roman" w:eastAsia="Times New Roman"/>
                    </w:rPr>
                    <w:tab/>
                  </w:r>
                  <w:r>
                    <w:rPr>
                      <w:spacing w:val="-5"/>
                    </w:rPr>
                    <w:t>5.1</w:t>
                  </w:r>
                </w:p>
                <w:p>
                  <w:pPr>
                    <w:numPr>
                      <w:ilvl w:val="0"/>
                      <w:numId w:val="1"/>
                    </w:numPr>
                    <w:tabs>
                      <w:tab w:val="left" w:pos="532"/>
                      <w:tab w:val="left" w:pos="533"/>
                    </w:tabs>
                    <w:spacing w:before="0" w:line="371" w:lineRule="exact"/>
                    <w:ind w:left="532" w:right="0" w:hanging="423"/>
                    <w:jc w:val="left"/>
                    <w:rPr>
                      <w:rFonts w:ascii="Microsoft JhengHei" w:eastAsia="Microsoft JhengHei"/>
                      <w:b/>
                      <w:sz w:val="21"/>
                    </w:rPr>
                  </w:pPr>
                  <w:r>
                    <w:rPr>
                      <w:rFonts w:ascii="Microsoft JhengHei" w:eastAsia="Microsoft JhengHei"/>
                      <w:b/>
                      <w:spacing w:val="-1"/>
                      <w:sz w:val="21"/>
                    </w:rPr>
                    <w:t>您应当特别注意的事项</w:t>
                  </w:r>
                </w:p>
                <w:p>
                  <w:pPr>
                    <w:pStyle w:val="4"/>
                    <w:tabs>
                      <w:tab w:val="left" w:leader="dot" w:pos="7994"/>
                    </w:tabs>
                    <w:spacing w:line="267" w:lineRule="exact"/>
                    <w:ind w:left="532"/>
                  </w:pPr>
                  <w:r>
                    <w:rPr>
                      <w:spacing w:val="-2"/>
                    </w:rPr>
                    <w:t>在某些情况下，我们不承担保险责</w:t>
                  </w:r>
                  <w:r>
                    <w:rPr>
                      <w:spacing w:val="-10"/>
                    </w:rPr>
                    <w:t>任</w:t>
                  </w:r>
                  <w:r>
                    <w:rPr>
                      <w:rFonts w:ascii="Times New Roman" w:eastAsia="Times New Roman"/>
                    </w:rPr>
                    <w:tab/>
                  </w:r>
                  <w:r>
                    <w:rPr>
                      <w:spacing w:val="-2"/>
                    </w:rPr>
                    <w:t>2.6、3.2、6.1</w:t>
                  </w:r>
                  <w:r>
                    <w:rPr>
                      <w:spacing w:val="-41"/>
                    </w:rPr>
                    <w:t xml:space="preserve"> </w:t>
                  </w:r>
                  <w:r>
                    <w:rPr>
                      <w:spacing w:val="-10"/>
                    </w:rPr>
                    <w:t>等</w:t>
                  </w:r>
                </w:p>
                <w:p>
                  <w:pPr>
                    <w:pStyle w:val="4"/>
                    <w:tabs>
                      <w:tab w:val="right" w:leader="dot" w:pos="9569"/>
                    </w:tabs>
                    <w:spacing w:before="43"/>
                    <w:ind w:left="532"/>
                  </w:pPr>
                  <w:r>
                    <w:rPr>
                      <w:spacing w:val="-2"/>
                    </w:rPr>
                    <w:t>保险事故发生后请您或受益人及时通知我</w:t>
                  </w:r>
                  <w:r>
                    <w:rPr>
                      <w:spacing w:val="-10"/>
                    </w:rPr>
                    <w:t>们</w:t>
                  </w:r>
                  <w:r>
                    <w:rPr>
                      <w:rFonts w:ascii="Times New Roman" w:eastAsia="Times New Roman"/>
                    </w:rPr>
                    <w:tab/>
                  </w:r>
                  <w:r>
                    <w:rPr>
                      <w:spacing w:val="-5"/>
                    </w:rPr>
                    <w:t>3.2</w:t>
                  </w:r>
                </w:p>
                <w:p>
                  <w:pPr>
                    <w:pStyle w:val="4"/>
                    <w:tabs>
                      <w:tab w:val="right" w:leader="dot" w:pos="9568"/>
                    </w:tabs>
                    <w:spacing w:before="43"/>
                    <w:ind w:left="532"/>
                  </w:pPr>
                  <w:r>
                    <w:rPr>
                      <w:spacing w:val="-2"/>
                    </w:rPr>
                    <w:t>您应当按时交纳保险</w:t>
                  </w:r>
                  <w:r>
                    <w:rPr>
                      <w:spacing w:val="-10"/>
                    </w:rPr>
                    <w:t>费</w:t>
                  </w:r>
                  <w:r>
                    <w:rPr>
                      <w:rFonts w:ascii="Times New Roman" w:eastAsia="Times New Roman"/>
                    </w:rPr>
                    <w:tab/>
                  </w:r>
                  <w:r>
                    <w:rPr>
                      <w:spacing w:val="-5"/>
                    </w:rPr>
                    <w:t>4.1</w:t>
                  </w:r>
                </w:p>
                <w:p>
                  <w:pPr>
                    <w:pStyle w:val="4"/>
                    <w:tabs>
                      <w:tab w:val="right" w:leader="dot" w:pos="9569"/>
                    </w:tabs>
                    <w:spacing w:before="43"/>
                    <w:ind w:left="532"/>
                  </w:pPr>
                  <w:r>
                    <w:rPr>
                      <w:spacing w:val="-2"/>
                    </w:rPr>
                    <w:t>退保会给您造成一定的损失，请您慎重决</w:t>
                  </w:r>
                  <w:r>
                    <w:rPr>
                      <w:spacing w:val="-10"/>
                    </w:rPr>
                    <w:t>策</w:t>
                  </w:r>
                  <w:r>
                    <w:rPr>
                      <w:rFonts w:ascii="Times New Roman" w:eastAsia="Times New Roman"/>
                    </w:rPr>
                    <w:tab/>
                  </w:r>
                  <w:r>
                    <w:rPr>
                      <w:spacing w:val="-5"/>
                    </w:rPr>
                    <w:t>5.1</w:t>
                  </w:r>
                </w:p>
                <w:p>
                  <w:pPr>
                    <w:pStyle w:val="4"/>
                    <w:tabs>
                      <w:tab w:val="right" w:leader="dot" w:pos="9569"/>
                    </w:tabs>
                    <w:spacing w:before="43" w:line="256" w:lineRule="exact"/>
                    <w:ind w:left="532"/>
                  </w:pPr>
                  <w:r>
                    <w:rPr>
                      <w:spacing w:val="-2"/>
                    </w:rPr>
                    <w:t>您有如实告知的义</w:t>
                  </w:r>
                  <w:r>
                    <w:rPr>
                      <w:spacing w:val="-10"/>
                    </w:rPr>
                    <w:t>务</w:t>
                  </w:r>
                  <w:r>
                    <w:rPr>
                      <w:rFonts w:ascii="Times New Roman" w:eastAsia="Times New Roman"/>
                    </w:rPr>
                    <w:tab/>
                  </w:r>
                  <w:r>
                    <w:rPr>
                      <w:spacing w:val="-5"/>
                    </w:rPr>
                    <w:t>6.1</w:t>
                  </w:r>
                </w:p>
                <w:p>
                  <w:pPr>
                    <w:tabs>
                      <w:tab w:val="left" w:leader="dot" w:pos="9190"/>
                    </w:tabs>
                    <w:spacing w:before="0" w:line="336" w:lineRule="exact"/>
                    <w:ind w:left="110" w:right="0" w:firstLine="0"/>
                    <w:jc w:val="left"/>
                    <w:rPr>
                      <w:rFonts w:ascii="Microsoft JhengHei" w:eastAsia="Microsoft JhengHei"/>
                      <w:b/>
                      <w:sz w:val="21"/>
                    </w:rPr>
                  </w:pPr>
                  <w:r>
                    <w:rPr>
                      <w:rFonts w:ascii="Microsoft JhengHei" w:eastAsia="Microsoft JhengHei"/>
                      <w:b/>
                      <w:spacing w:val="-2"/>
                      <w:sz w:val="21"/>
                    </w:rPr>
                    <w:t>我们对一些重要术语进行了解释，并作了显著标识，请您注</w:t>
                  </w:r>
                  <w:r>
                    <w:rPr>
                      <w:rFonts w:ascii="Microsoft JhengHei" w:eastAsia="Microsoft JhengHei"/>
                      <w:b/>
                      <w:spacing w:val="-10"/>
                      <w:sz w:val="21"/>
                    </w:rPr>
                    <w:t>意</w:t>
                  </w:r>
                  <w:r>
                    <w:rPr>
                      <w:rFonts w:ascii="Times New Roman" w:eastAsia="Times New Roman"/>
                      <w:sz w:val="21"/>
                    </w:rPr>
                    <w:tab/>
                  </w:r>
                  <w:r>
                    <w:rPr>
                      <w:rFonts w:ascii="Microsoft JhengHei" w:eastAsia="Microsoft JhengHei"/>
                      <w:b/>
                      <w:w w:val="90"/>
                      <w:sz w:val="21"/>
                    </w:rPr>
                    <w:t>7、</w:t>
                  </w:r>
                  <w:r>
                    <w:rPr>
                      <w:rFonts w:ascii="Microsoft JhengHei" w:eastAsia="Microsoft JhengHei"/>
                      <w:b/>
                      <w:spacing w:val="-10"/>
                      <w:w w:val="90"/>
                      <w:sz w:val="21"/>
                    </w:rPr>
                    <w:t>8</w:t>
                  </w:r>
                </w:p>
                <w:p>
                  <w:pPr>
                    <w:numPr>
                      <w:ilvl w:val="0"/>
                      <w:numId w:val="1"/>
                    </w:numPr>
                    <w:tabs>
                      <w:tab w:val="left" w:pos="532"/>
                      <w:tab w:val="left" w:pos="533"/>
                    </w:tabs>
                    <w:spacing w:before="0" w:line="324" w:lineRule="exact"/>
                    <w:ind w:left="532" w:right="0" w:hanging="423"/>
                    <w:jc w:val="left"/>
                    <w:rPr>
                      <w:rFonts w:ascii="Microsoft JhengHei" w:eastAsia="Microsoft JhengHei"/>
                      <w:b/>
                      <w:sz w:val="21"/>
                    </w:rPr>
                  </w:pPr>
                  <w:r>
                    <w:rPr>
                      <w:rFonts w:ascii="Microsoft JhengHei" w:eastAsia="Microsoft JhengHei"/>
                      <w:b/>
                      <w:spacing w:val="-3"/>
                      <w:sz w:val="21"/>
                    </w:rPr>
                    <w:t>条款是保险合同的重要内容，为充分保障您的权益，请仔细阅读本条款。</w:t>
                  </w:r>
                </w:p>
                <w:p>
                  <w:pPr>
                    <w:numPr>
                      <w:ilvl w:val="0"/>
                      <w:numId w:val="1"/>
                    </w:numPr>
                    <w:tabs>
                      <w:tab w:val="left" w:pos="532"/>
                      <w:tab w:val="left" w:pos="533"/>
                    </w:tabs>
                    <w:spacing w:before="0" w:line="361" w:lineRule="exact"/>
                    <w:ind w:left="532" w:right="0" w:hanging="423"/>
                    <w:jc w:val="left"/>
                    <w:rPr>
                      <w:rFonts w:ascii="Microsoft JhengHei" w:eastAsia="Microsoft JhengHei"/>
                      <w:b/>
                      <w:sz w:val="21"/>
                    </w:rPr>
                  </w:pPr>
                  <w:r>
                    <w:rPr>
                      <w:rFonts w:ascii="Microsoft JhengHei" w:eastAsia="Microsoft JhengHei"/>
                      <w:b/>
                      <w:spacing w:val="-3"/>
                      <w:sz w:val="21"/>
                    </w:rPr>
                    <w:t>条款目录</w:t>
                  </w:r>
                </w:p>
              </w:txbxContent>
            </v:textbox>
          </v:shape>
        </w:pict>
      </w:r>
      <w:r>
        <w:rPr>
          <w:spacing w:val="-149"/>
        </w:rPr>
        <w:t>本</w:t>
      </w:r>
      <w:r>
        <w:rPr>
          <w:spacing w:val="-63"/>
          <w:position w:val="-7"/>
        </w:rPr>
        <w:t>．</w:t>
      </w:r>
      <w:r>
        <w:rPr>
          <w:spacing w:val="-149"/>
        </w:rPr>
        <w:t>阅</w:t>
      </w:r>
      <w:r>
        <w:rPr>
          <w:spacing w:val="-63"/>
          <w:position w:val="-7"/>
        </w:rPr>
        <w:t>．</w:t>
      </w:r>
      <w:r>
        <w:rPr>
          <w:spacing w:val="-149"/>
        </w:rPr>
        <w:t>读</w:t>
      </w:r>
      <w:r>
        <w:rPr>
          <w:spacing w:val="-63"/>
          <w:position w:val="-7"/>
        </w:rPr>
        <w:t>．</w:t>
      </w:r>
      <w:r>
        <w:rPr>
          <w:spacing w:val="-149"/>
        </w:rPr>
        <w:t>指</w:t>
      </w:r>
      <w:r>
        <w:rPr>
          <w:spacing w:val="-63"/>
          <w:position w:val="-7"/>
        </w:rPr>
        <w:t>．</w:t>
      </w:r>
      <w:r>
        <w:rPr>
          <w:spacing w:val="-154"/>
        </w:rPr>
        <w:t>引</w:t>
      </w:r>
      <w:r>
        <w:rPr>
          <w:spacing w:val="-63"/>
          <w:position w:val="-7"/>
        </w:rPr>
        <w:t>．</w:t>
      </w:r>
      <w:r>
        <w:rPr>
          <w:spacing w:val="-149"/>
        </w:rPr>
        <w:t>有</w:t>
      </w:r>
      <w:r>
        <w:rPr>
          <w:spacing w:val="-63"/>
          <w:position w:val="-7"/>
        </w:rPr>
        <w:t>．</w:t>
      </w:r>
      <w:r>
        <w:rPr>
          <w:spacing w:val="-149"/>
        </w:rPr>
        <w:t>助</w:t>
      </w:r>
      <w:r>
        <w:rPr>
          <w:spacing w:val="-63"/>
          <w:position w:val="-7"/>
        </w:rPr>
        <w:t>．</w:t>
      </w:r>
      <w:r>
        <w:rPr>
          <w:spacing w:val="-148"/>
        </w:rPr>
        <w:t>于</w:t>
      </w:r>
      <w:r>
        <w:rPr>
          <w:spacing w:val="-64"/>
          <w:position w:val="-7"/>
        </w:rPr>
        <w:t>．</w:t>
      </w:r>
      <w:r>
        <w:rPr>
          <w:spacing w:val="-153"/>
        </w:rPr>
        <w:t>您</w:t>
      </w:r>
      <w:r>
        <w:rPr>
          <w:spacing w:val="-64"/>
          <w:position w:val="-7"/>
        </w:rPr>
        <w:t>．</w:t>
      </w:r>
      <w:r>
        <w:rPr>
          <w:spacing w:val="-148"/>
        </w:rPr>
        <w:t>理</w:t>
      </w:r>
      <w:r>
        <w:rPr>
          <w:spacing w:val="-64"/>
          <w:position w:val="-7"/>
        </w:rPr>
        <w:t>．</w:t>
      </w:r>
      <w:r>
        <w:rPr>
          <w:spacing w:val="-148"/>
        </w:rPr>
        <w:t>解</w:t>
      </w:r>
      <w:r>
        <w:rPr>
          <w:spacing w:val="-64"/>
          <w:position w:val="-7"/>
        </w:rPr>
        <w:t>．</w:t>
      </w:r>
      <w:r>
        <w:rPr>
          <w:spacing w:val="-148"/>
        </w:rPr>
        <w:t>条</w:t>
      </w:r>
      <w:r>
        <w:rPr>
          <w:spacing w:val="-64"/>
          <w:position w:val="-7"/>
        </w:rPr>
        <w:t>．</w:t>
      </w:r>
      <w:r>
        <w:rPr>
          <w:spacing w:val="-153"/>
        </w:rPr>
        <w:t>款</w:t>
      </w:r>
      <w:r>
        <w:rPr>
          <w:spacing w:val="-92"/>
          <w:position w:val="-7"/>
        </w:rPr>
        <w:t>．</w:t>
      </w:r>
      <w:r>
        <w:rPr>
          <w:spacing w:val="-92"/>
        </w:rPr>
        <w:t>，</w:t>
      </w:r>
      <w:r>
        <w:rPr>
          <w:spacing w:val="-92"/>
          <w:position w:val="-7"/>
        </w:rPr>
        <w:t>．</w:t>
      </w:r>
      <w:r>
        <w:rPr>
          <w:spacing w:val="-148"/>
        </w:rPr>
        <w:t>对</w:t>
      </w:r>
      <w:r>
        <w:rPr>
          <w:spacing w:val="-64"/>
          <w:position w:val="-7"/>
        </w:rPr>
        <w:t>．</w:t>
      </w:r>
      <w:r>
        <w:rPr>
          <w:spacing w:val="-148"/>
        </w:rPr>
        <w:t>本</w:t>
      </w:r>
      <w:r>
        <w:rPr>
          <w:spacing w:val="-64"/>
          <w:position w:val="-7"/>
        </w:rPr>
        <w:t>．</w:t>
      </w:r>
      <w:r>
        <w:rPr>
          <w:spacing w:val="-153"/>
        </w:rPr>
        <w:t>合</w:t>
      </w:r>
      <w:r>
        <w:rPr>
          <w:spacing w:val="-65"/>
          <w:position w:val="-7"/>
        </w:rPr>
        <w:t>．</w:t>
      </w:r>
      <w:r>
        <w:rPr>
          <w:spacing w:val="-148"/>
        </w:rPr>
        <w:t>同</w:t>
      </w:r>
      <w:r>
        <w:rPr>
          <w:spacing w:val="-65"/>
          <w:position w:val="-7"/>
        </w:rPr>
        <w:t>．</w:t>
      </w:r>
      <w:r>
        <w:rPr>
          <w:spacing w:val="-147"/>
        </w:rPr>
        <w:t>内</w:t>
      </w:r>
      <w:r>
        <w:rPr>
          <w:spacing w:val="-65"/>
          <w:position w:val="-7"/>
        </w:rPr>
        <w:t>．</w:t>
      </w:r>
      <w:r>
        <w:rPr>
          <w:spacing w:val="-147"/>
        </w:rPr>
        <w:t>容</w:t>
      </w:r>
      <w:r>
        <w:rPr>
          <w:spacing w:val="-65"/>
          <w:position w:val="-7"/>
        </w:rPr>
        <w:t>．</w:t>
      </w:r>
      <w:r>
        <w:rPr>
          <w:spacing w:val="-152"/>
        </w:rPr>
        <w:t>的</w:t>
      </w:r>
      <w:r>
        <w:rPr>
          <w:spacing w:val="-65"/>
          <w:position w:val="-7"/>
        </w:rPr>
        <w:t>．</w:t>
      </w:r>
      <w:r>
        <w:rPr>
          <w:spacing w:val="-147"/>
        </w:rPr>
        <w:t>解</w:t>
      </w:r>
      <w:r>
        <w:rPr>
          <w:spacing w:val="-65"/>
          <w:position w:val="-7"/>
        </w:rPr>
        <w:t>．</w:t>
      </w:r>
      <w:r>
        <w:rPr>
          <w:spacing w:val="-152"/>
        </w:rPr>
        <w:t>释</w:t>
      </w:r>
      <w:r>
        <w:rPr>
          <w:spacing w:val="-65"/>
          <w:position w:val="-7"/>
        </w:rPr>
        <w:t>．</w:t>
      </w:r>
      <w:r>
        <w:rPr>
          <w:spacing w:val="-147"/>
        </w:rPr>
        <w:t>以</w:t>
      </w:r>
      <w:r>
        <w:rPr>
          <w:spacing w:val="-65"/>
          <w:position w:val="-7"/>
        </w:rPr>
        <w:t>．</w:t>
      </w:r>
      <w:r>
        <w:rPr>
          <w:spacing w:val="-147"/>
        </w:rPr>
        <w:t>条</w:t>
      </w:r>
      <w:r>
        <w:rPr>
          <w:spacing w:val="-66"/>
          <w:position w:val="-7"/>
        </w:rPr>
        <w:t>．</w:t>
      </w:r>
      <w:r>
        <w:rPr>
          <w:spacing w:val="-147"/>
        </w:rPr>
        <w:t>款</w:t>
      </w:r>
      <w:r>
        <w:rPr>
          <w:spacing w:val="-66"/>
          <w:position w:val="-7"/>
        </w:rPr>
        <w:t>．</w:t>
      </w:r>
      <w:r>
        <w:rPr>
          <w:spacing w:val="-147"/>
        </w:rPr>
        <w:t>为</w:t>
      </w:r>
      <w:r>
        <w:rPr>
          <w:spacing w:val="-66"/>
          <w:position w:val="-7"/>
        </w:rPr>
        <w:t>．</w:t>
      </w:r>
      <w:r>
        <w:rPr>
          <w:spacing w:val="-151"/>
        </w:rPr>
        <w:t>准</w:t>
      </w:r>
      <w:r>
        <w:rPr>
          <w:spacing w:val="-66"/>
          <w:position w:val="-7"/>
        </w:rPr>
        <w:t>．</w:t>
      </w:r>
      <w:r>
        <w:rPr>
          <w:spacing w:val="-151"/>
        </w:rPr>
        <w:t>。</w:t>
      </w:r>
      <w:r>
        <w:rPr>
          <w:spacing w:val="-10"/>
          <w:position w:val="-7"/>
        </w:rPr>
        <w:t>．</w:t>
      </w: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rPr>
          <w:sz w:val="20"/>
        </w:rPr>
      </w:pPr>
    </w:p>
    <w:p>
      <w:pPr>
        <w:pStyle w:val="4"/>
        <w:spacing w:after="1"/>
        <w:rPr>
          <w:sz w:val="18"/>
        </w:rPr>
      </w:pPr>
    </w:p>
    <w:tbl>
      <w:tblPr>
        <w:tblStyle w:val="5"/>
        <w:tblW w:w="0" w:type="auto"/>
        <w:tblInd w:w="37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4"/>
        <w:gridCol w:w="423"/>
        <w:gridCol w:w="1856"/>
        <w:gridCol w:w="642"/>
        <w:gridCol w:w="476"/>
        <w:gridCol w:w="2542"/>
        <w:gridCol w:w="30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314" w:type="dxa"/>
          </w:tcPr>
          <w:p>
            <w:pPr>
              <w:pStyle w:val="9"/>
              <w:spacing w:line="242" w:lineRule="exact"/>
              <w:ind w:left="50"/>
              <w:rPr>
                <w:rFonts w:ascii="Microsoft JhengHei"/>
                <w:b/>
                <w:sz w:val="21"/>
              </w:rPr>
            </w:pPr>
            <w:r>
              <w:rPr>
                <w:rFonts w:ascii="Microsoft JhengHei"/>
                <w:b/>
                <w:spacing w:val="-5"/>
                <w:w w:val="120"/>
                <w:sz w:val="21"/>
              </w:rPr>
              <w:t>1.</w:t>
            </w:r>
          </w:p>
        </w:tc>
        <w:tc>
          <w:tcPr>
            <w:tcW w:w="2279" w:type="dxa"/>
            <w:gridSpan w:val="2"/>
          </w:tcPr>
          <w:p>
            <w:pPr>
              <w:pStyle w:val="9"/>
              <w:spacing w:line="242" w:lineRule="exact"/>
              <w:ind w:left="52"/>
              <w:rPr>
                <w:rFonts w:ascii="Microsoft JhengHei" w:eastAsia="Microsoft JhengHei"/>
                <w:b/>
                <w:sz w:val="21"/>
              </w:rPr>
            </w:pPr>
            <w:r>
              <w:rPr>
                <w:rFonts w:ascii="Microsoft JhengHei" w:eastAsia="Microsoft JhengHei"/>
                <w:b/>
                <w:spacing w:val="-2"/>
                <w:sz w:val="21"/>
              </w:rPr>
              <w:t>您与我们订立的合同</w:t>
            </w:r>
          </w:p>
        </w:tc>
        <w:tc>
          <w:tcPr>
            <w:tcW w:w="642" w:type="dxa"/>
          </w:tcPr>
          <w:p>
            <w:pPr>
              <w:pStyle w:val="9"/>
              <w:spacing w:line="242" w:lineRule="exact"/>
              <w:ind w:left="323"/>
              <w:rPr>
                <w:rFonts w:ascii="Microsoft JhengHei"/>
                <w:b/>
                <w:sz w:val="21"/>
              </w:rPr>
            </w:pPr>
            <w:r>
              <w:rPr>
                <w:rFonts w:ascii="Microsoft JhengHei"/>
                <w:b/>
                <w:spacing w:val="-5"/>
                <w:w w:val="120"/>
                <w:sz w:val="21"/>
              </w:rPr>
              <w:t>4.</w:t>
            </w:r>
          </w:p>
        </w:tc>
        <w:tc>
          <w:tcPr>
            <w:tcW w:w="3018" w:type="dxa"/>
            <w:gridSpan w:val="2"/>
          </w:tcPr>
          <w:p>
            <w:pPr>
              <w:pStyle w:val="9"/>
              <w:spacing w:line="242" w:lineRule="exact"/>
              <w:ind w:left="-2"/>
              <w:rPr>
                <w:rFonts w:ascii="Microsoft JhengHei" w:eastAsia="Microsoft JhengHei"/>
                <w:b/>
                <w:sz w:val="21"/>
              </w:rPr>
            </w:pPr>
            <w:r>
              <w:rPr>
                <w:rFonts w:ascii="Microsoft JhengHei" w:eastAsia="Microsoft JhengHei"/>
                <w:b/>
                <w:spacing w:val="-2"/>
                <w:sz w:val="21"/>
              </w:rPr>
              <w:t>保险费的交纳</w:t>
            </w:r>
          </w:p>
        </w:tc>
        <w:tc>
          <w:tcPr>
            <w:tcW w:w="3078" w:type="dxa"/>
          </w:tcPr>
          <w:p>
            <w:pPr>
              <w:pStyle w:val="9"/>
              <w:spacing w:line="242" w:lineRule="exact"/>
              <w:ind w:left="173"/>
              <w:rPr>
                <w:rFonts w:ascii="Microsoft JhengHei" w:eastAsia="Microsoft JhengHei"/>
                <w:b/>
                <w:sz w:val="21"/>
              </w:rPr>
            </w:pPr>
            <w:r>
              <w:rPr>
                <w:rFonts w:ascii="Microsoft JhengHei" w:eastAsia="Microsoft JhengHei"/>
                <w:b/>
                <w:w w:val="110"/>
                <w:sz w:val="21"/>
              </w:rPr>
              <w:t>8.</w:t>
            </w:r>
            <w:r>
              <w:rPr>
                <w:rFonts w:ascii="Microsoft JhengHei" w:eastAsia="Microsoft JhengHei"/>
                <w:b/>
                <w:spacing w:val="41"/>
                <w:w w:val="110"/>
                <w:sz w:val="21"/>
              </w:rPr>
              <w:t xml:space="preserve"> </w:t>
            </w:r>
            <w:r>
              <w:rPr>
                <w:rFonts w:ascii="Microsoft JhengHei" w:eastAsia="Microsoft JhengHei"/>
                <w:b/>
                <w:w w:val="110"/>
                <w:sz w:val="21"/>
              </w:rPr>
              <w:t>释</w:t>
            </w:r>
            <w:r>
              <w:rPr>
                <w:rFonts w:ascii="Microsoft JhengHei" w:eastAsia="Microsoft JhengHei"/>
                <w:b/>
                <w:spacing w:val="-10"/>
                <w:w w:val="110"/>
                <w:sz w:val="21"/>
              </w:rPr>
              <w:t>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14" w:type="dxa"/>
          </w:tcPr>
          <w:p>
            <w:pPr>
              <w:pStyle w:val="9"/>
              <w:rPr>
                <w:rFonts w:ascii="Times New Roman"/>
                <w:sz w:val="20"/>
              </w:rPr>
            </w:pPr>
          </w:p>
        </w:tc>
        <w:tc>
          <w:tcPr>
            <w:tcW w:w="2279" w:type="dxa"/>
            <w:gridSpan w:val="2"/>
          </w:tcPr>
          <w:p>
            <w:pPr>
              <w:pStyle w:val="9"/>
              <w:spacing w:before="22"/>
              <w:ind w:left="52"/>
              <w:rPr>
                <w:sz w:val="21"/>
              </w:rPr>
            </w:pPr>
            <w:r>
              <w:rPr>
                <w:sz w:val="21"/>
              </w:rPr>
              <w:t>1.1</w:t>
            </w:r>
            <w:r>
              <w:rPr>
                <w:spacing w:val="-4"/>
                <w:sz w:val="21"/>
              </w:rPr>
              <w:t xml:space="preserve"> 合同构成</w:t>
            </w:r>
          </w:p>
        </w:tc>
        <w:tc>
          <w:tcPr>
            <w:tcW w:w="642" w:type="dxa"/>
          </w:tcPr>
          <w:p>
            <w:pPr>
              <w:pStyle w:val="9"/>
              <w:rPr>
                <w:rFonts w:ascii="Times New Roman"/>
                <w:sz w:val="20"/>
              </w:rPr>
            </w:pPr>
          </w:p>
        </w:tc>
        <w:tc>
          <w:tcPr>
            <w:tcW w:w="3018" w:type="dxa"/>
            <w:gridSpan w:val="2"/>
          </w:tcPr>
          <w:p>
            <w:pPr>
              <w:pStyle w:val="9"/>
              <w:spacing w:before="22"/>
              <w:ind w:left="104"/>
              <w:rPr>
                <w:sz w:val="21"/>
              </w:rPr>
            </w:pPr>
            <w:r>
              <w:rPr>
                <w:sz w:val="21"/>
              </w:rPr>
              <w:t>4.1</w:t>
            </w:r>
            <w:r>
              <w:rPr>
                <w:spacing w:val="-4"/>
                <w:sz w:val="21"/>
              </w:rPr>
              <w:t xml:space="preserve"> 保险费的交纳</w:t>
            </w:r>
          </w:p>
        </w:tc>
        <w:tc>
          <w:tcPr>
            <w:tcW w:w="3078" w:type="dxa"/>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14" w:type="dxa"/>
          </w:tcPr>
          <w:p>
            <w:pPr>
              <w:pStyle w:val="9"/>
              <w:rPr>
                <w:rFonts w:ascii="Times New Roman"/>
                <w:sz w:val="20"/>
              </w:rPr>
            </w:pPr>
          </w:p>
        </w:tc>
        <w:tc>
          <w:tcPr>
            <w:tcW w:w="2279" w:type="dxa"/>
            <w:gridSpan w:val="2"/>
          </w:tcPr>
          <w:p>
            <w:pPr>
              <w:pStyle w:val="9"/>
              <w:spacing w:before="22"/>
              <w:ind w:left="52"/>
              <w:rPr>
                <w:sz w:val="21"/>
              </w:rPr>
            </w:pPr>
            <w:r>
              <w:rPr>
                <w:sz w:val="21"/>
              </w:rPr>
              <w:t>1.2</w:t>
            </w:r>
            <w:r>
              <w:rPr>
                <w:spacing w:val="-4"/>
                <w:sz w:val="21"/>
              </w:rPr>
              <w:t xml:space="preserve"> 合同成立及生效</w:t>
            </w:r>
          </w:p>
        </w:tc>
        <w:tc>
          <w:tcPr>
            <w:tcW w:w="642" w:type="dxa"/>
          </w:tcPr>
          <w:p>
            <w:pPr>
              <w:pStyle w:val="9"/>
              <w:spacing w:line="292" w:lineRule="exact"/>
              <w:ind w:left="323"/>
              <w:rPr>
                <w:rFonts w:ascii="Microsoft JhengHei"/>
                <w:b/>
                <w:sz w:val="21"/>
              </w:rPr>
            </w:pPr>
            <w:r>
              <w:rPr>
                <w:rFonts w:ascii="Microsoft JhengHei"/>
                <w:b/>
                <w:spacing w:val="-5"/>
                <w:w w:val="120"/>
                <w:sz w:val="21"/>
              </w:rPr>
              <w:t>5.</w:t>
            </w:r>
          </w:p>
        </w:tc>
        <w:tc>
          <w:tcPr>
            <w:tcW w:w="3018" w:type="dxa"/>
            <w:gridSpan w:val="2"/>
          </w:tcPr>
          <w:p>
            <w:pPr>
              <w:pStyle w:val="9"/>
              <w:spacing w:line="292" w:lineRule="exact"/>
              <w:ind w:left="-2"/>
              <w:rPr>
                <w:rFonts w:ascii="Microsoft JhengHei" w:eastAsia="Microsoft JhengHei"/>
                <w:b/>
                <w:sz w:val="21"/>
              </w:rPr>
            </w:pPr>
            <w:r>
              <w:rPr>
                <w:rFonts w:ascii="Microsoft JhengHei" w:eastAsia="Microsoft JhengHei"/>
                <w:b/>
                <w:spacing w:val="-3"/>
                <w:sz w:val="21"/>
              </w:rPr>
              <w:t>合同解除</w:t>
            </w:r>
          </w:p>
        </w:tc>
        <w:tc>
          <w:tcPr>
            <w:tcW w:w="3078" w:type="dxa"/>
          </w:tcPr>
          <w:p>
            <w:pPr>
              <w:pStyle w:val="9"/>
              <w:spacing w:line="292" w:lineRule="exact"/>
              <w:ind w:right="50"/>
              <w:jc w:val="right"/>
              <w:rPr>
                <w:rFonts w:ascii="Microsoft JhengHei" w:eastAsia="Microsoft JhengHei"/>
                <w:b/>
                <w:sz w:val="21"/>
              </w:rPr>
            </w:pPr>
            <w:r>
              <w:rPr>
                <w:rFonts w:ascii="Microsoft JhengHei" w:eastAsia="Microsoft JhengHei"/>
                <w:b/>
                <w:spacing w:val="-11"/>
                <w:sz w:val="21"/>
              </w:rPr>
              <w:t>附表：《渤海人寿安康无忧医疗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314" w:type="dxa"/>
          </w:tcPr>
          <w:p>
            <w:pPr>
              <w:pStyle w:val="9"/>
              <w:rPr>
                <w:rFonts w:ascii="Times New Roman"/>
                <w:sz w:val="20"/>
              </w:rPr>
            </w:pPr>
          </w:p>
        </w:tc>
        <w:tc>
          <w:tcPr>
            <w:tcW w:w="2279" w:type="dxa"/>
            <w:gridSpan w:val="2"/>
          </w:tcPr>
          <w:p>
            <w:pPr>
              <w:pStyle w:val="9"/>
              <w:spacing w:before="22"/>
              <w:ind w:left="52"/>
              <w:rPr>
                <w:sz w:val="21"/>
              </w:rPr>
            </w:pPr>
            <w:r>
              <w:rPr>
                <w:sz w:val="21"/>
              </w:rPr>
              <w:t>1.3</w:t>
            </w:r>
            <w:r>
              <w:rPr>
                <w:spacing w:val="-4"/>
                <w:sz w:val="21"/>
              </w:rPr>
              <w:t xml:space="preserve"> 投保年龄</w:t>
            </w:r>
          </w:p>
        </w:tc>
        <w:tc>
          <w:tcPr>
            <w:tcW w:w="642" w:type="dxa"/>
          </w:tcPr>
          <w:p>
            <w:pPr>
              <w:pStyle w:val="9"/>
              <w:rPr>
                <w:rFonts w:ascii="Times New Roman"/>
                <w:sz w:val="20"/>
              </w:rPr>
            </w:pPr>
          </w:p>
        </w:tc>
        <w:tc>
          <w:tcPr>
            <w:tcW w:w="3018" w:type="dxa"/>
            <w:gridSpan w:val="2"/>
          </w:tcPr>
          <w:p>
            <w:pPr>
              <w:pStyle w:val="9"/>
              <w:spacing w:before="22"/>
              <w:ind w:left="104"/>
              <w:rPr>
                <w:sz w:val="21"/>
              </w:rPr>
            </w:pPr>
            <w:r>
              <w:rPr>
                <w:sz w:val="21"/>
              </w:rPr>
              <w:t>5.1</w:t>
            </w:r>
            <w:r>
              <w:rPr>
                <w:spacing w:val="-4"/>
                <w:sz w:val="21"/>
              </w:rPr>
              <w:t xml:space="preserve"> 您解除合同的手续及风险</w:t>
            </w:r>
          </w:p>
        </w:tc>
        <w:tc>
          <w:tcPr>
            <w:tcW w:w="3078" w:type="dxa"/>
          </w:tcPr>
          <w:p>
            <w:pPr>
              <w:pStyle w:val="9"/>
              <w:spacing w:line="292" w:lineRule="exact"/>
              <w:ind w:right="83"/>
              <w:jc w:val="right"/>
              <w:rPr>
                <w:rFonts w:ascii="Microsoft JhengHei" w:eastAsia="Microsoft JhengHei"/>
                <w:b/>
                <w:sz w:val="21"/>
              </w:rPr>
            </w:pPr>
            <w:r>
              <w:rPr>
                <w:rFonts w:ascii="Microsoft JhengHei" w:eastAsia="Microsoft JhengHei"/>
                <w:b/>
                <w:w w:val="95"/>
                <w:sz w:val="21"/>
              </w:rPr>
              <w:t>保险（2021</w:t>
            </w:r>
            <w:r>
              <w:rPr>
                <w:rFonts w:ascii="Microsoft JhengHei" w:eastAsia="Microsoft JhengHei"/>
                <w:b/>
                <w:spacing w:val="18"/>
                <w:sz w:val="21"/>
              </w:rPr>
              <w:t xml:space="preserve"> </w:t>
            </w:r>
            <w:r>
              <w:rPr>
                <w:rFonts w:ascii="Microsoft JhengHei" w:eastAsia="Microsoft JhengHei"/>
                <w:b/>
                <w:w w:val="95"/>
                <w:sz w:val="21"/>
              </w:rPr>
              <w:t>版）免赔</w:t>
            </w:r>
            <w:r>
              <w:rPr>
                <w:rFonts w:ascii="Microsoft JhengHei" w:eastAsia="Microsoft JhengHei"/>
                <w:b/>
                <w:spacing w:val="-10"/>
                <w:w w:val="95"/>
                <w:sz w:val="21"/>
              </w:rPr>
              <w:t>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314" w:type="dxa"/>
          </w:tcPr>
          <w:p>
            <w:pPr>
              <w:pStyle w:val="9"/>
              <w:spacing w:line="242" w:lineRule="exact"/>
              <w:ind w:left="50"/>
              <w:rPr>
                <w:rFonts w:ascii="Microsoft JhengHei"/>
                <w:b/>
                <w:sz w:val="21"/>
              </w:rPr>
            </w:pPr>
            <w:r>
              <w:rPr>
                <w:rFonts w:ascii="Microsoft JhengHei"/>
                <w:b/>
                <w:spacing w:val="-5"/>
                <w:w w:val="120"/>
                <w:sz w:val="21"/>
              </w:rPr>
              <w:t>2.</w:t>
            </w:r>
          </w:p>
        </w:tc>
        <w:tc>
          <w:tcPr>
            <w:tcW w:w="2279" w:type="dxa"/>
            <w:gridSpan w:val="2"/>
          </w:tcPr>
          <w:p>
            <w:pPr>
              <w:pStyle w:val="9"/>
              <w:spacing w:line="242" w:lineRule="exact"/>
              <w:ind w:left="52"/>
              <w:rPr>
                <w:rFonts w:ascii="Microsoft JhengHei" w:eastAsia="Microsoft JhengHei"/>
                <w:b/>
                <w:sz w:val="21"/>
              </w:rPr>
            </w:pPr>
            <w:r>
              <w:rPr>
                <w:rFonts w:ascii="Microsoft JhengHei" w:eastAsia="Microsoft JhengHei"/>
                <w:b/>
                <w:spacing w:val="-2"/>
                <w:sz w:val="21"/>
              </w:rPr>
              <w:t>我们提供的保障</w:t>
            </w:r>
          </w:p>
        </w:tc>
        <w:tc>
          <w:tcPr>
            <w:tcW w:w="642" w:type="dxa"/>
          </w:tcPr>
          <w:p>
            <w:pPr>
              <w:pStyle w:val="9"/>
              <w:spacing w:line="242" w:lineRule="exact"/>
              <w:ind w:left="323"/>
              <w:rPr>
                <w:rFonts w:ascii="Microsoft JhengHei"/>
                <w:b/>
                <w:sz w:val="21"/>
              </w:rPr>
            </w:pPr>
            <w:r>
              <w:rPr>
                <w:rFonts w:ascii="Microsoft JhengHei"/>
                <w:b/>
                <w:spacing w:val="-5"/>
                <w:w w:val="120"/>
                <w:sz w:val="21"/>
              </w:rPr>
              <w:t>6.</w:t>
            </w:r>
          </w:p>
        </w:tc>
        <w:tc>
          <w:tcPr>
            <w:tcW w:w="3018" w:type="dxa"/>
            <w:gridSpan w:val="2"/>
          </w:tcPr>
          <w:p>
            <w:pPr>
              <w:pStyle w:val="9"/>
              <w:spacing w:line="242" w:lineRule="exact"/>
              <w:ind w:left="-2"/>
              <w:rPr>
                <w:rFonts w:ascii="Microsoft JhengHei" w:eastAsia="Microsoft JhengHei"/>
                <w:b/>
                <w:sz w:val="21"/>
              </w:rPr>
            </w:pPr>
            <w:r>
              <w:rPr>
                <w:rFonts w:ascii="Microsoft JhengHei" w:eastAsia="Microsoft JhengHei"/>
                <w:b/>
                <w:spacing w:val="-2"/>
                <w:sz w:val="21"/>
              </w:rPr>
              <w:t>其它需要关注的事项</w:t>
            </w:r>
          </w:p>
        </w:tc>
        <w:tc>
          <w:tcPr>
            <w:tcW w:w="3078" w:type="dxa"/>
          </w:tcPr>
          <w:p>
            <w:pPr>
              <w:pStyle w:val="9"/>
              <w:spacing w:line="242" w:lineRule="exact"/>
              <w:ind w:left="827"/>
              <w:rPr>
                <w:rFonts w:ascii="Microsoft JhengHei" w:eastAsia="Microsoft JhengHei"/>
                <w:b/>
                <w:sz w:val="21"/>
              </w:rPr>
            </w:pPr>
            <w:r>
              <w:rPr>
                <w:rFonts w:ascii="Microsoft JhengHei" w:eastAsia="Microsoft JhengHei"/>
                <w:b/>
                <w:spacing w:val="-2"/>
                <w:sz w:val="21"/>
              </w:rPr>
              <w:t>与给付限额表》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2" w:hRule="atLeast"/>
        </w:trPr>
        <w:tc>
          <w:tcPr>
            <w:tcW w:w="737" w:type="dxa"/>
            <w:gridSpan w:val="2"/>
          </w:tcPr>
          <w:p>
            <w:pPr>
              <w:pStyle w:val="9"/>
              <w:spacing w:before="72"/>
              <w:ind w:left="366"/>
              <w:rPr>
                <w:sz w:val="21"/>
              </w:rPr>
            </w:pPr>
            <w:r>
              <w:rPr>
                <w:spacing w:val="-5"/>
                <w:sz w:val="21"/>
              </w:rPr>
              <w:t>2.1</w:t>
            </w:r>
          </w:p>
        </w:tc>
        <w:tc>
          <w:tcPr>
            <w:tcW w:w="1856" w:type="dxa"/>
          </w:tcPr>
          <w:p>
            <w:pPr>
              <w:pStyle w:val="9"/>
              <w:spacing w:before="72"/>
              <w:ind w:left="52"/>
              <w:rPr>
                <w:sz w:val="21"/>
              </w:rPr>
            </w:pPr>
            <w:r>
              <w:rPr>
                <w:spacing w:val="-4"/>
                <w:sz w:val="21"/>
              </w:rPr>
              <w:t>保险金额</w:t>
            </w:r>
          </w:p>
        </w:tc>
        <w:tc>
          <w:tcPr>
            <w:tcW w:w="1118" w:type="dxa"/>
            <w:gridSpan w:val="2"/>
          </w:tcPr>
          <w:p>
            <w:pPr>
              <w:pStyle w:val="9"/>
              <w:spacing w:before="72"/>
              <w:ind w:right="52"/>
              <w:jc w:val="right"/>
              <w:rPr>
                <w:sz w:val="21"/>
              </w:rPr>
            </w:pPr>
            <w:r>
              <w:rPr>
                <w:spacing w:val="-5"/>
                <w:sz w:val="21"/>
              </w:rPr>
              <w:t>6.1</w:t>
            </w:r>
          </w:p>
        </w:tc>
        <w:tc>
          <w:tcPr>
            <w:tcW w:w="5620" w:type="dxa"/>
            <w:gridSpan w:val="2"/>
          </w:tcPr>
          <w:p>
            <w:pPr>
              <w:pStyle w:val="9"/>
              <w:spacing w:before="72"/>
              <w:ind w:left="50"/>
              <w:rPr>
                <w:sz w:val="21"/>
              </w:rPr>
            </w:pPr>
            <w:r>
              <w:rPr>
                <w:spacing w:val="-3"/>
                <w:sz w:val="21"/>
              </w:rPr>
              <w:t>明确说明与如实告知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37" w:type="dxa"/>
            <w:gridSpan w:val="2"/>
          </w:tcPr>
          <w:p>
            <w:pPr>
              <w:pStyle w:val="9"/>
              <w:spacing w:before="22"/>
              <w:ind w:left="366"/>
              <w:rPr>
                <w:sz w:val="21"/>
              </w:rPr>
            </w:pPr>
            <w:r>
              <w:rPr>
                <w:spacing w:val="-5"/>
                <w:sz w:val="21"/>
              </w:rPr>
              <w:t>2.2</w:t>
            </w:r>
          </w:p>
        </w:tc>
        <w:tc>
          <w:tcPr>
            <w:tcW w:w="1856" w:type="dxa"/>
          </w:tcPr>
          <w:p>
            <w:pPr>
              <w:pStyle w:val="9"/>
              <w:spacing w:before="22"/>
              <w:ind w:left="52"/>
              <w:rPr>
                <w:sz w:val="21"/>
              </w:rPr>
            </w:pPr>
            <w:r>
              <w:rPr>
                <w:spacing w:val="-4"/>
                <w:sz w:val="21"/>
              </w:rPr>
              <w:t>保险期间</w:t>
            </w:r>
          </w:p>
        </w:tc>
        <w:tc>
          <w:tcPr>
            <w:tcW w:w="1118" w:type="dxa"/>
            <w:gridSpan w:val="2"/>
          </w:tcPr>
          <w:p>
            <w:pPr>
              <w:pStyle w:val="9"/>
              <w:spacing w:before="22"/>
              <w:ind w:right="52"/>
              <w:jc w:val="right"/>
              <w:rPr>
                <w:sz w:val="21"/>
              </w:rPr>
            </w:pPr>
            <w:r>
              <w:rPr>
                <w:spacing w:val="-5"/>
                <w:sz w:val="21"/>
              </w:rPr>
              <w:t>6.2</w:t>
            </w:r>
          </w:p>
        </w:tc>
        <w:tc>
          <w:tcPr>
            <w:tcW w:w="5620" w:type="dxa"/>
            <w:gridSpan w:val="2"/>
          </w:tcPr>
          <w:p>
            <w:pPr>
              <w:pStyle w:val="9"/>
              <w:spacing w:before="22"/>
              <w:ind w:left="50"/>
              <w:rPr>
                <w:sz w:val="21"/>
              </w:rPr>
            </w:pPr>
            <w:r>
              <w:rPr>
                <w:spacing w:val="-3"/>
                <w:sz w:val="21"/>
              </w:rPr>
              <w:t>我们合同解除权的限制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37" w:type="dxa"/>
            <w:gridSpan w:val="2"/>
          </w:tcPr>
          <w:p>
            <w:pPr>
              <w:pStyle w:val="9"/>
              <w:spacing w:before="22"/>
              <w:ind w:left="366"/>
              <w:rPr>
                <w:sz w:val="21"/>
              </w:rPr>
            </w:pPr>
            <w:r>
              <w:rPr>
                <w:spacing w:val="-5"/>
                <w:sz w:val="21"/>
              </w:rPr>
              <w:t>2.3</w:t>
            </w:r>
          </w:p>
        </w:tc>
        <w:tc>
          <w:tcPr>
            <w:tcW w:w="1856" w:type="dxa"/>
          </w:tcPr>
          <w:p>
            <w:pPr>
              <w:pStyle w:val="9"/>
              <w:spacing w:before="22"/>
              <w:ind w:left="52"/>
              <w:rPr>
                <w:sz w:val="21"/>
              </w:rPr>
            </w:pPr>
            <w:r>
              <w:rPr>
                <w:spacing w:val="-4"/>
                <w:sz w:val="21"/>
              </w:rPr>
              <w:t>不保证续保</w:t>
            </w:r>
          </w:p>
        </w:tc>
        <w:tc>
          <w:tcPr>
            <w:tcW w:w="1118" w:type="dxa"/>
            <w:gridSpan w:val="2"/>
          </w:tcPr>
          <w:p>
            <w:pPr>
              <w:pStyle w:val="9"/>
              <w:spacing w:before="22"/>
              <w:ind w:right="52"/>
              <w:jc w:val="right"/>
              <w:rPr>
                <w:sz w:val="21"/>
              </w:rPr>
            </w:pPr>
            <w:r>
              <w:rPr>
                <w:spacing w:val="-5"/>
                <w:sz w:val="21"/>
              </w:rPr>
              <w:t>6.3</w:t>
            </w:r>
          </w:p>
        </w:tc>
        <w:tc>
          <w:tcPr>
            <w:tcW w:w="5620" w:type="dxa"/>
            <w:gridSpan w:val="2"/>
          </w:tcPr>
          <w:p>
            <w:pPr>
              <w:pStyle w:val="9"/>
              <w:spacing w:before="22"/>
              <w:ind w:left="50"/>
              <w:rPr>
                <w:sz w:val="21"/>
              </w:rPr>
            </w:pPr>
            <w:r>
              <w:rPr>
                <w:spacing w:val="-3"/>
                <w:sz w:val="21"/>
              </w:rPr>
              <w:t>职业或服务场所变更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37" w:type="dxa"/>
            <w:gridSpan w:val="2"/>
          </w:tcPr>
          <w:p>
            <w:pPr>
              <w:pStyle w:val="9"/>
              <w:spacing w:before="22"/>
              <w:ind w:left="366"/>
              <w:rPr>
                <w:sz w:val="21"/>
              </w:rPr>
            </w:pPr>
            <w:r>
              <w:rPr>
                <w:spacing w:val="-5"/>
                <w:sz w:val="21"/>
              </w:rPr>
              <w:t>2.4</w:t>
            </w:r>
          </w:p>
        </w:tc>
        <w:tc>
          <w:tcPr>
            <w:tcW w:w="1856" w:type="dxa"/>
          </w:tcPr>
          <w:p>
            <w:pPr>
              <w:pStyle w:val="9"/>
              <w:spacing w:before="22"/>
              <w:ind w:left="52"/>
              <w:rPr>
                <w:sz w:val="21"/>
              </w:rPr>
            </w:pPr>
            <w:r>
              <w:rPr>
                <w:spacing w:val="-4"/>
                <w:sz w:val="21"/>
              </w:rPr>
              <w:t>等待期</w:t>
            </w:r>
          </w:p>
        </w:tc>
        <w:tc>
          <w:tcPr>
            <w:tcW w:w="1118" w:type="dxa"/>
            <w:gridSpan w:val="2"/>
          </w:tcPr>
          <w:p>
            <w:pPr>
              <w:pStyle w:val="9"/>
              <w:spacing w:before="22"/>
              <w:ind w:right="52"/>
              <w:jc w:val="right"/>
              <w:rPr>
                <w:sz w:val="21"/>
              </w:rPr>
            </w:pPr>
            <w:r>
              <w:rPr>
                <w:spacing w:val="-5"/>
                <w:sz w:val="21"/>
              </w:rPr>
              <w:t>6.4</w:t>
            </w:r>
          </w:p>
        </w:tc>
        <w:tc>
          <w:tcPr>
            <w:tcW w:w="5620" w:type="dxa"/>
            <w:gridSpan w:val="2"/>
          </w:tcPr>
          <w:p>
            <w:pPr>
              <w:pStyle w:val="9"/>
              <w:spacing w:before="22"/>
              <w:ind w:left="50"/>
              <w:rPr>
                <w:sz w:val="21"/>
              </w:rPr>
            </w:pPr>
            <w:r>
              <w:rPr>
                <w:spacing w:val="-4"/>
                <w:sz w:val="21"/>
              </w:rPr>
              <w:t>年龄性别错误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37" w:type="dxa"/>
            <w:gridSpan w:val="2"/>
          </w:tcPr>
          <w:p>
            <w:pPr>
              <w:pStyle w:val="9"/>
              <w:spacing w:before="22"/>
              <w:ind w:left="366"/>
              <w:rPr>
                <w:sz w:val="21"/>
              </w:rPr>
            </w:pPr>
            <w:r>
              <w:rPr>
                <w:spacing w:val="-5"/>
                <w:sz w:val="21"/>
              </w:rPr>
              <w:t>2.5</w:t>
            </w:r>
          </w:p>
        </w:tc>
        <w:tc>
          <w:tcPr>
            <w:tcW w:w="1856" w:type="dxa"/>
          </w:tcPr>
          <w:p>
            <w:pPr>
              <w:pStyle w:val="9"/>
              <w:spacing w:before="22"/>
              <w:ind w:left="52"/>
              <w:rPr>
                <w:sz w:val="21"/>
              </w:rPr>
            </w:pPr>
            <w:r>
              <w:rPr>
                <w:spacing w:val="-4"/>
                <w:sz w:val="21"/>
              </w:rPr>
              <w:t>保险责任</w:t>
            </w:r>
          </w:p>
        </w:tc>
        <w:tc>
          <w:tcPr>
            <w:tcW w:w="1118" w:type="dxa"/>
            <w:gridSpan w:val="2"/>
          </w:tcPr>
          <w:p>
            <w:pPr>
              <w:pStyle w:val="9"/>
              <w:spacing w:before="22"/>
              <w:ind w:right="52"/>
              <w:jc w:val="right"/>
              <w:rPr>
                <w:sz w:val="21"/>
              </w:rPr>
            </w:pPr>
            <w:r>
              <w:rPr>
                <w:spacing w:val="-5"/>
                <w:sz w:val="21"/>
              </w:rPr>
              <w:t>6.5</w:t>
            </w:r>
          </w:p>
        </w:tc>
        <w:tc>
          <w:tcPr>
            <w:tcW w:w="5620" w:type="dxa"/>
            <w:gridSpan w:val="2"/>
          </w:tcPr>
          <w:p>
            <w:pPr>
              <w:pStyle w:val="9"/>
              <w:spacing w:before="22"/>
              <w:ind w:left="50"/>
              <w:rPr>
                <w:sz w:val="21"/>
              </w:rPr>
            </w:pPr>
            <w:r>
              <w:rPr>
                <w:spacing w:val="-4"/>
                <w:sz w:val="21"/>
              </w:rPr>
              <w:t>未还款项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37" w:type="dxa"/>
            <w:gridSpan w:val="2"/>
          </w:tcPr>
          <w:p>
            <w:pPr>
              <w:pStyle w:val="9"/>
              <w:spacing w:before="22" w:line="220" w:lineRule="exact"/>
              <w:ind w:left="366"/>
              <w:rPr>
                <w:sz w:val="21"/>
              </w:rPr>
            </w:pPr>
            <w:r>
              <w:rPr>
                <w:spacing w:val="-5"/>
                <w:sz w:val="21"/>
              </w:rPr>
              <w:t>2.6</w:t>
            </w:r>
          </w:p>
        </w:tc>
        <w:tc>
          <w:tcPr>
            <w:tcW w:w="1856" w:type="dxa"/>
          </w:tcPr>
          <w:p>
            <w:pPr>
              <w:pStyle w:val="9"/>
              <w:spacing w:before="22" w:line="220" w:lineRule="exact"/>
              <w:ind w:left="52"/>
              <w:rPr>
                <w:sz w:val="21"/>
              </w:rPr>
            </w:pPr>
            <w:r>
              <w:rPr>
                <w:spacing w:val="-4"/>
                <w:sz w:val="21"/>
              </w:rPr>
              <w:t>责任免除</w:t>
            </w:r>
          </w:p>
        </w:tc>
        <w:tc>
          <w:tcPr>
            <w:tcW w:w="1118" w:type="dxa"/>
            <w:gridSpan w:val="2"/>
          </w:tcPr>
          <w:p>
            <w:pPr>
              <w:pStyle w:val="9"/>
              <w:spacing w:before="22" w:line="220" w:lineRule="exact"/>
              <w:ind w:right="52"/>
              <w:jc w:val="right"/>
              <w:rPr>
                <w:sz w:val="21"/>
              </w:rPr>
            </w:pPr>
            <w:r>
              <w:rPr>
                <w:spacing w:val="-5"/>
                <w:sz w:val="21"/>
              </w:rPr>
              <w:t>6.6</w:t>
            </w:r>
          </w:p>
        </w:tc>
        <w:tc>
          <w:tcPr>
            <w:tcW w:w="5620" w:type="dxa"/>
            <w:gridSpan w:val="2"/>
          </w:tcPr>
          <w:p>
            <w:pPr>
              <w:pStyle w:val="9"/>
              <w:spacing w:before="22" w:line="220" w:lineRule="exact"/>
              <w:ind w:left="50"/>
              <w:rPr>
                <w:sz w:val="21"/>
              </w:rPr>
            </w:pPr>
            <w:r>
              <w:rPr>
                <w:spacing w:val="-4"/>
                <w:sz w:val="21"/>
              </w:rPr>
              <w:t>合同内容变更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314" w:type="dxa"/>
          </w:tcPr>
          <w:p>
            <w:pPr>
              <w:pStyle w:val="9"/>
              <w:spacing w:before="3" w:line="289" w:lineRule="exact"/>
              <w:ind w:left="50"/>
              <w:rPr>
                <w:rFonts w:ascii="Microsoft JhengHei"/>
                <w:b/>
                <w:sz w:val="21"/>
              </w:rPr>
            </w:pPr>
            <w:r>
              <w:rPr>
                <w:rFonts w:ascii="Microsoft JhengHei"/>
                <w:b/>
                <w:spacing w:val="-5"/>
                <w:w w:val="120"/>
                <w:sz w:val="21"/>
              </w:rPr>
              <w:t>3.</w:t>
            </w:r>
          </w:p>
        </w:tc>
        <w:tc>
          <w:tcPr>
            <w:tcW w:w="2279" w:type="dxa"/>
            <w:gridSpan w:val="2"/>
          </w:tcPr>
          <w:p>
            <w:pPr>
              <w:pStyle w:val="9"/>
              <w:spacing w:before="3" w:line="289" w:lineRule="exact"/>
              <w:ind w:left="52"/>
              <w:rPr>
                <w:rFonts w:ascii="Microsoft JhengHei" w:eastAsia="Microsoft JhengHei"/>
                <w:b/>
                <w:sz w:val="21"/>
              </w:rPr>
            </w:pPr>
            <w:r>
              <w:rPr>
                <w:rFonts w:ascii="Microsoft JhengHei" w:eastAsia="Microsoft JhengHei"/>
                <w:b/>
                <w:spacing w:val="-2"/>
                <w:sz w:val="21"/>
              </w:rPr>
              <w:t>保险金的申请</w:t>
            </w:r>
          </w:p>
        </w:tc>
        <w:tc>
          <w:tcPr>
            <w:tcW w:w="1118" w:type="dxa"/>
            <w:gridSpan w:val="2"/>
          </w:tcPr>
          <w:p>
            <w:pPr>
              <w:pStyle w:val="9"/>
              <w:spacing w:before="73" w:line="220" w:lineRule="exact"/>
              <w:ind w:right="52"/>
              <w:jc w:val="right"/>
              <w:rPr>
                <w:sz w:val="21"/>
              </w:rPr>
            </w:pPr>
            <w:r>
              <w:rPr>
                <w:spacing w:val="-5"/>
                <w:sz w:val="21"/>
              </w:rPr>
              <w:t>6.7</w:t>
            </w:r>
          </w:p>
        </w:tc>
        <w:tc>
          <w:tcPr>
            <w:tcW w:w="5620" w:type="dxa"/>
            <w:gridSpan w:val="2"/>
          </w:tcPr>
          <w:p>
            <w:pPr>
              <w:pStyle w:val="9"/>
              <w:spacing w:before="73" w:line="220" w:lineRule="exact"/>
              <w:ind w:left="50"/>
              <w:rPr>
                <w:sz w:val="21"/>
              </w:rPr>
            </w:pPr>
            <w:r>
              <w:rPr>
                <w:spacing w:val="-4"/>
                <w:sz w:val="21"/>
              </w:rPr>
              <w:t>联系方式变更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2" w:hRule="atLeast"/>
        </w:trPr>
        <w:tc>
          <w:tcPr>
            <w:tcW w:w="737" w:type="dxa"/>
            <w:gridSpan w:val="2"/>
          </w:tcPr>
          <w:p>
            <w:pPr>
              <w:pStyle w:val="9"/>
              <w:spacing w:before="72"/>
              <w:ind w:left="366"/>
              <w:rPr>
                <w:sz w:val="21"/>
              </w:rPr>
            </w:pPr>
            <w:r>
              <w:rPr>
                <w:spacing w:val="-5"/>
                <w:sz w:val="21"/>
              </w:rPr>
              <w:t>3.1</w:t>
            </w:r>
          </w:p>
        </w:tc>
        <w:tc>
          <w:tcPr>
            <w:tcW w:w="1856" w:type="dxa"/>
          </w:tcPr>
          <w:p>
            <w:pPr>
              <w:pStyle w:val="9"/>
              <w:spacing w:before="72"/>
              <w:ind w:left="52"/>
              <w:rPr>
                <w:sz w:val="21"/>
              </w:rPr>
            </w:pPr>
            <w:r>
              <w:rPr>
                <w:spacing w:val="-4"/>
                <w:sz w:val="21"/>
              </w:rPr>
              <w:t>受益人</w:t>
            </w:r>
          </w:p>
        </w:tc>
        <w:tc>
          <w:tcPr>
            <w:tcW w:w="1118" w:type="dxa"/>
            <w:gridSpan w:val="2"/>
          </w:tcPr>
          <w:p>
            <w:pPr>
              <w:pStyle w:val="9"/>
              <w:spacing w:before="72"/>
              <w:ind w:right="52"/>
              <w:jc w:val="right"/>
              <w:rPr>
                <w:sz w:val="21"/>
              </w:rPr>
            </w:pPr>
            <w:r>
              <w:rPr>
                <w:spacing w:val="-5"/>
                <w:sz w:val="21"/>
              </w:rPr>
              <w:t>6.8</w:t>
            </w:r>
          </w:p>
        </w:tc>
        <w:tc>
          <w:tcPr>
            <w:tcW w:w="5620" w:type="dxa"/>
            <w:gridSpan w:val="2"/>
          </w:tcPr>
          <w:p>
            <w:pPr>
              <w:pStyle w:val="9"/>
              <w:spacing w:before="72"/>
              <w:ind w:left="50"/>
              <w:rPr>
                <w:sz w:val="21"/>
              </w:rPr>
            </w:pPr>
            <w:r>
              <w:rPr>
                <w:spacing w:val="-4"/>
                <w:sz w:val="21"/>
              </w:rPr>
              <w:t>争议处理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37" w:type="dxa"/>
            <w:gridSpan w:val="2"/>
          </w:tcPr>
          <w:p>
            <w:pPr>
              <w:pStyle w:val="9"/>
              <w:spacing w:before="22" w:line="220" w:lineRule="exact"/>
              <w:ind w:left="366"/>
              <w:rPr>
                <w:sz w:val="21"/>
              </w:rPr>
            </w:pPr>
            <w:r>
              <w:rPr>
                <w:spacing w:val="-5"/>
                <w:sz w:val="21"/>
              </w:rPr>
              <w:t>3.2</w:t>
            </w:r>
          </w:p>
        </w:tc>
        <w:tc>
          <w:tcPr>
            <w:tcW w:w="1856" w:type="dxa"/>
          </w:tcPr>
          <w:p>
            <w:pPr>
              <w:pStyle w:val="9"/>
              <w:spacing w:before="22" w:line="220" w:lineRule="exact"/>
              <w:ind w:left="52"/>
              <w:rPr>
                <w:sz w:val="21"/>
              </w:rPr>
            </w:pPr>
            <w:r>
              <w:rPr>
                <w:spacing w:val="-4"/>
                <w:sz w:val="21"/>
              </w:rPr>
              <w:t>保险事故通知</w:t>
            </w:r>
          </w:p>
        </w:tc>
        <w:tc>
          <w:tcPr>
            <w:tcW w:w="1118" w:type="dxa"/>
            <w:gridSpan w:val="2"/>
          </w:tcPr>
          <w:p>
            <w:pPr>
              <w:pStyle w:val="9"/>
              <w:spacing w:before="22" w:line="220" w:lineRule="exact"/>
              <w:ind w:right="52"/>
              <w:jc w:val="right"/>
              <w:rPr>
                <w:sz w:val="21"/>
              </w:rPr>
            </w:pPr>
            <w:r>
              <w:rPr>
                <w:spacing w:val="-5"/>
                <w:sz w:val="21"/>
              </w:rPr>
              <w:t>6.9</w:t>
            </w:r>
          </w:p>
        </w:tc>
        <w:tc>
          <w:tcPr>
            <w:tcW w:w="5620" w:type="dxa"/>
            <w:gridSpan w:val="2"/>
          </w:tcPr>
          <w:p>
            <w:pPr>
              <w:pStyle w:val="9"/>
              <w:spacing w:before="22" w:line="220" w:lineRule="exact"/>
              <w:ind w:left="50"/>
              <w:rPr>
                <w:sz w:val="21"/>
              </w:rPr>
            </w:pPr>
            <w:r>
              <w:rPr>
                <w:spacing w:val="-4"/>
                <w:sz w:val="21"/>
              </w:rPr>
              <w:t>保险事故鉴定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2" w:hRule="atLeast"/>
        </w:trPr>
        <w:tc>
          <w:tcPr>
            <w:tcW w:w="737" w:type="dxa"/>
            <w:gridSpan w:val="2"/>
          </w:tcPr>
          <w:p>
            <w:pPr>
              <w:pStyle w:val="9"/>
              <w:spacing w:before="72"/>
              <w:ind w:left="366"/>
              <w:rPr>
                <w:sz w:val="21"/>
              </w:rPr>
            </w:pPr>
            <w:r>
              <w:rPr>
                <w:spacing w:val="-5"/>
                <w:sz w:val="21"/>
              </w:rPr>
              <w:t>3.3</w:t>
            </w:r>
          </w:p>
        </w:tc>
        <w:tc>
          <w:tcPr>
            <w:tcW w:w="1856" w:type="dxa"/>
          </w:tcPr>
          <w:p>
            <w:pPr>
              <w:pStyle w:val="9"/>
              <w:spacing w:before="72"/>
              <w:ind w:left="52"/>
              <w:rPr>
                <w:sz w:val="21"/>
              </w:rPr>
            </w:pPr>
            <w:r>
              <w:rPr>
                <w:spacing w:val="-4"/>
                <w:sz w:val="21"/>
              </w:rPr>
              <w:t>保险金申请</w:t>
            </w:r>
          </w:p>
        </w:tc>
        <w:tc>
          <w:tcPr>
            <w:tcW w:w="642" w:type="dxa"/>
          </w:tcPr>
          <w:p>
            <w:pPr>
              <w:pStyle w:val="9"/>
              <w:spacing w:before="3" w:line="339" w:lineRule="exact"/>
              <w:ind w:right="1"/>
              <w:jc w:val="right"/>
              <w:rPr>
                <w:rFonts w:ascii="Microsoft JhengHei"/>
                <w:b/>
                <w:sz w:val="21"/>
              </w:rPr>
            </w:pPr>
            <w:r>
              <w:rPr>
                <w:rFonts w:ascii="Microsoft JhengHei"/>
                <w:b/>
                <w:spacing w:val="-5"/>
                <w:w w:val="120"/>
                <w:sz w:val="21"/>
              </w:rPr>
              <w:t>7.</w:t>
            </w:r>
          </w:p>
        </w:tc>
        <w:tc>
          <w:tcPr>
            <w:tcW w:w="6096" w:type="dxa"/>
            <w:gridSpan w:val="3"/>
          </w:tcPr>
          <w:p>
            <w:pPr>
              <w:pStyle w:val="9"/>
              <w:spacing w:before="3" w:line="339" w:lineRule="exact"/>
              <w:ind w:left="104"/>
              <w:rPr>
                <w:rFonts w:ascii="Microsoft JhengHei" w:eastAsia="Microsoft JhengHei"/>
                <w:b/>
                <w:sz w:val="21"/>
              </w:rPr>
            </w:pPr>
            <w:r>
              <w:rPr>
                <w:rFonts w:ascii="Microsoft JhengHei" w:eastAsia="Microsoft JhengHei"/>
                <w:b/>
                <w:spacing w:val="-2"/>
                <w:sz w:val="21"/>
              </w:rPr>
              <w:t>重大疾病定义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37" w:type="dxa"/>
            <w:gridSpan w:val="2"/>
          </w:tcPr>
          <w:p>
            <w:pPr>
              <w:pStyle w:val="9"/>
              <w:spacing w:before="22"/>
              <w:ind w:left="366"/>
              <w:rPr>
                <w:sz w:val="21"/>
              </w:rPr>
            </w:pPr>
            <w:r>
              <w:rPr>
                <w:spacing w:val="-5"/>
                <w:sz w:val="21"/>
              </w:rPr>
              <w:t>3.4</w:t>
            </w:r>
          </w:p>
        </w:tc>
        <w:tc>
          <w:tcPr>
            <w:tcW w:w="1856" w:type="dxa"/>
          </w:tcPr>
          <w:p>
            <w:pPr>
              <w:pStyle w:val="9"/>
              <w:spacing w:before="22"/>
              <w:ind w:left="52"/>
              <w:rPr>
                <w:sz w:val="21"/>
              </w:rPr>
            </w:pPr>
            <w:r>
              <w:rPr>
                <w:spacing w:val="-4"/>
                <w:sz w:val="21"/>
              </w:rPr>
              <w:t>保险金给付</w:t>
            </w:r>
          </w:p>
        </w:tc>
        <w:tc>
          <w:tcPr>
            <w:tcW w:w="642" w:type="dxa"/>
          </w:tcPr>
          <w:p>
            <w:pPr>
              <w:pStyle w:val="9"/>
              <w:rPr>
                <w:rFonts w:ascii="Times New Roman"/>
                <w:sz w:val="20"/>
              </w:rPr>
            </w:pPr>
          </w:p>
        </w:tc>
        <w:tc>
          <w:tcPr>
            <w:tcW w:w="6096" w:type="dxa"/>
            <w:gridSpan w:val="3"/>
          </w:tcPr>
          <w:p>
            <w:pPr>
              <w:pStyle w:val="9"/>
              <w:spacing w:before="22"/>
              <w:ind w:left="104"/>
              <w:rPr>
                <w:sz w:val="21"/>
              </w:rPr>
            </w:pPr>
            <w:r>
              <w:rPr>
                <w:sz w:val="21"/>
              </w:rPr>
              <w:t>7.1</w:t>
            </w:r>
            <w:r>
              <w:rPr>
                <w:spacing w:val="-4"/>
                <w:sz w:val="21"/>
              </w:rPr>
              <w:t xml:space="preserve"> 一般重大疾病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37" w:type="dxa"/>
            <w:gridSpan w:val="2"/>
          </w:tcPr>
          <w:p>
            <w:pPr>
              <w:pStyle w:val="9"/>
              <w:spacing w:before="22" w:line="220" w:lineRule="exact"/>
              <w:ind w:left="366"/>
              <w:rPr>
                <w:sz w:val="21"/>
              </w:rPr>
            </w:pPr>
            <w:r>
              <w:rPr>
                <w:spacing w:val="-5"/>
                <w:sz w:val="21"/>
              </w:rPr>
              <w:t>3.5</w:t>
            </w:r>
          </w:p>
        </w:tc>
        <w:tc>
          <w:tcPr>
            <w:tcW w:w="1856" w:type="dxa"/>
          </w:tcPr>
          <w:p>
            <w:pPr>
              <w:pStyle w:val="9"/>
              <w:spacing w:before="22" w:line="220" w:lineRule="exact"/>
              <w:ind w:left="52"/>
              <w:rPr>
                <w:sz w:val="21"/>
              </w:rPr>
            </w:pPr>
            <w:r>
              <w:rPr>
                <w:spacing w:val="-4"/>
                <w:sz w:val="21"/>
              </w:rPr>
              <w:t>诉讼时效</w:t>
            </w:r>
          </w:p>
        </w:tc>
        <w:tc>
          <w:tcPr>
            <w:tcW w:w="642" w:type="dxa"/>
          </w:tcPr>
          <w:p>
            <w:pPr>
              <w:pStyle w:val="9"/>
              <w:rPr>
                <w:rFonts w:ascii="Times New Roman"/>
                <w:sz w:val="18"/>
              </w:rPr>
            </w:pPr>
          </w:p>
        </w:tc>
        <w:tc>
          <w:tcPr>
            <w:tcW w:w="6096" w:type="dxa"/>
            <w:gridSpan w:val="3"/>
          </w:tcPr>
          <w:p>
            <w:pPr>
              <w:pStyle w:val="9"/>
              <w:spacing w:before="22" w:line="220" w:lineRule="exact"/>
              <w:ind w:left="104"/>
              <w:rPr>
                <w:sz w:val="21"/>
              </w:rPr>
            </w:pPr>
            <w:r>
              <w:rPr>
                <w:sz w:val="21"/>
              </w:rPr>
              <w:t>7.2</w:t>
            </w:r>
            <w:r>
              <w:rPr>
                <w:spacing w:val="-4"/>
                <w:sz w:val="21"/>
              </w:rPr>
              <w:t xml:space="preserve"> 少儿特定重大疾病</w:t>
            </w:r>
          </w:p>
        </w:tc>
      </w:tr>
    </w:tbl>
    <w:p>
      <w:pPr>
        <w:spacing w:after="0" w:line="220" w:lineRule="exact"/>
        <w:rPr>
          <w:sz w:val="21"/>
        </w:rPr>
        <w:sectPr>
          <w:type w:val="continuous"/>
          <w:pgSz w:w="11910" w:h="16840"/>
          <w:pgMar w:top="920" w:right="680" w:bottom="420" w:left="880" w:header="0" w:footer="230" w:gutter="0"/>
          <w:cols w:space="720" w:num="1"/>
        </w:sectPr>
      </w:pPr>
    </w:p>
    <w:p>
      <w:pPr>
        <w:spacing w:before="0" w:line="522" w:lineRule="exact"/>
        <w:ind w:left="1991" w:right="2186" w:firstLine="0"/>
        <w:jc w:val="center"/>
        <w:rPr>
          <w:rFonts w:ascii="Microsoft JhengHei" w:eastAsia="Microsoft JhengHei"/>
          <w:b/>
          <w:sz w:val="32"/>
        </w:rPr>
      </w:pPr>
      <w:r>
        <w:rPr>
          <w:rFonts w:ascii="Microsoft JhengHei" w:eastAsia="Microsoft JhengHei"/>
          <w:b/>
          <w:spacing w:val="-1"/>
          <w:sz w:val="32"/>
        </w:rPr>
        <w:t>渤海人寿保险股份有限公司</w:t>
      </w:r>
    </w:p>
    <w:p>
      <w:pPr>
        <w:spacing w:before="35"/>
        <w:ind w:left="1991" w:right="2189" w:firstLine="0"/>
        <w:jc w:val="center"/>
        <w:rPr>
          <w:rFonts w:ascii="Microsoft JhengHei" w:eastAsia="Microsoft JhengHei"/>
          <w:b/>
          <w:sz w:val="32"/>
        </w:rPr>
      </w:pPr>
      <w:r>
        <w:rPr>
          <w:rFonts w:ascii="Microsoft JhengHei" w:eastAsia="Microsoft JhengHei"/>
          <w:b/>
          <w:w w:val="95"/>
          <w:sz w:val="32"/>
        </w:rPr>
        <w:t>渤海人寿安康无忧医疗保险（2021</w:t>
      </w:r>
      <w:r>
        <w:rPr>
          <w:rFonts w:ascii="Microsoft JhengHei" w:eastAsia="Microsoft JhengHei"/>
          <w:b/>
          <w:spacing w:val="43"/>
          <w:sz w:val="32"/>
        </w:rPr>
        <w:t xml:space="preserve">  </w:t>
      </w:r>
      <w:r>
        <w:rPr>
          <w:rFonts w:ascii="Microsoft JhengHei" w:eastAsia="Microsoft JhengHei"/>
          <w:b/>
          <w:w w:val="95"/>
          <w:sz w:val="32"/>
        </w:rPr>
        <w:t>版）条</w:t>
      </w:r>
      <w:r>
        <w:rPr>
          <w:rFonts w:ascii="Microsoft JhengHei" w:eastAsia="Microsoft JhengHei"/>
          <w:b/>
          <w:spacing w:val="-10"/>
          <w:w w:val="95"/>
          <w:sz w:val="32"/>
        </w:rPr>
        <w:t>款</w:t>
      </w:r>
    </w:p>
    <w:p>
      <w:pPr>
        <w:pStyle w:val="4"/>
        <w:spacing w:before="18"/>
        <w:rPr>
          <w:rFonts w:ascii="Microsoft JhengHei"/>
          <w:b/>
          <w:sz w:val="19"/>
        </w:rPr>
      </w:pPr>
    </w:p>
    <w:p>
      <w:pPr>
        <w:pStyle w:val="4"/>
        <w:spacing w:line="278" w:lineRule="auto"/>
        <w:ind w:left="920" w:right="1120"/>
      </w:pPr>
      <w:r>
        <w:rPr>
          <w:spacing w:val="-21"/>
        </w:rPr>
        <w:t>在本条款中，“您”指投保人，“我们”、“本公司”指渤海人寿保险股份有限公司，“本合</w:t>
      </w:r>
      <w:r>
        <w:t>同”指您与我们之间订立的“渤海人寿安康无忧医疗保险（2021</w:t>
      </w:r>
      <w:r>
        <w:rPr>
          <w:spacing w:val="-25"/>
        </w:rPr>
        <w:t xml:space="preserve"> 版</w:t>
      </w:r>
      <w:r>
        <w:t>）</w:t>
      </w:r>
      <w:r>
        <w:rPr>
          <w:spacing w:val="-27"/>
        </w:rPr>
        <w:t>合同”。</w:t>
      </w:r>
    </w:p>
    <w:p>
      <w:pPr>
        <w:pStyle w:val="4"/>
        <w:rPr>
          <w:sz w:val="20"/>
        </w:rPr>
      </w:pPr>
    </w:p>
    <w:p>
      <w:pPr>
        <w:pStyle w:val="2"/>
        <w:numPr>
          <w:ilvl w:val="0"/>
          <w:numId w:val="2"/>
        </w:numPr>
        <w:tabs>
          <w:tab w:val="left" w:pos="1391"/>
          <w:tab w:val="left" w:pos="1392"/>
        </w:tabs>
        <w:spacing w:before="162" w:after="0" w:line="240" w:lineRule="auto"/>
        <w:ind w:left="1391" w:right="0" w:hanging="962"/>
        <w:jc w:val="left"/>
      </w:pPr>
      <w:r>
        <w:rPr>
          <w:spacing w:val="-2"/>
        </w:rPr>
        <w:t>您与我们订立的合同</w:t>
      </w:r>
    </w:p>
    <w:p>
      <w:pPr>
        <w:pStyle w:val="4"/>
        <w:spacing w:line="20" w:lineRule="exact"/>
        <w:ind w:left="325"/>
        <w:rPr>
          <w:rFonts w:ascii="Microsoft JhengHei"/>
          <w:sz w:val="2"/>
        </w:rPr>
      </w:pPr>
      <w:r>
        <w:rPr>
          <w:rFonts w:ascii="Microsoft JhengHei"/>
          <w:sz w:val="2"/>
        </w:rPr>
        <w:drawing>
          <wp:inline distT="0" distB="0" distL="0" distR="0">
            <wp:extent cx="6029960" cy="10795"/>
            <wp:effectExtent l="0" t="0" r="0" b="0"/>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a:picLocks noChangeAspect="1"/>
                    </pic:cNvPicPr>
                  </pic:nvPicPr>
                  <pic:blipFill>
                    <a:blip r:embed="rId9" cstate="print"/>
                    <a:stretch>
                      <a:fillRect/>
                    </a:stretch>
                  </pic:blipFill>
                  <pic:spPr>
                    <a:xfrm>
                      <a:off x="0" y="0"/>
                      <a:ext cx="6030059" cy="11144"/>
                    </a:xfrm>
                    <a:prstGeom prst="rect">
                      <a:avLst/>
                    </a:prstGeom>
                  </pic:spPr>
                </pic:pic>
              </a:graphicData>
            </a:graphic>
          </wp:inline>
        </w:drawing>
      </w:r>
    </w:p>
    <w:p>
      <w:pPr>
        <w:pStyle w:val="4"/>
        <w:spacing w:before="11"/>
        <w:rPr>
          <w:rFonts w:ascii="Microsoft JhengHei"/>
          <w:b/>
          <w:sz w:val="15"/>
        </w:rPr>
      </w:pPr>
    </w:p>
    <w:p>
      <w:pPr>
        <w:pStyle w:val="8"/>
        <w:numPr>
          <w:ilvl w:val="1"/>
          <w:numId w:val="2"/>
        </w:numPr>
        <w:tabs>
          <w:tab w:val="left" w:pos="1391"/>
          <w:tab w:val="left" w:pos="1392"/>
          <w:tab w:val="left" w:pos="2985"/>
        </w:tabs>
        <w:spacing w:before="0" w:after="0" w:line="213" w:lineRule="auto"/>
        <w:ind w:left="2985" w:right="619" w:hanging="2555"/>
        <w:jc w:val="both"/>
        <w:rPr>
          <w:sz w:val="21"/>
        </w:rPr>
      </w:pPr>
      <w:r>
        <w:rPr>
          <w:rFonts w:ascii="Microsoft JhengHei" w:eastAsia="Microsoft JhengHei"/>
          <w:b/>
          <w:spacing w:val="-4"/>
          <w:sz w:val="21"/>
        </w:rPr>
        <w:t>合同构成</w:t>
      </w:r>
      <w:r>
        <w:rPr>
          <w:rFonts w:ascii="Microsoft JhengHei" w:eastAsia="Microsoft JhengHei"/>
          <w:b/>
          <w:sz w:val="21"/>
        </w:rPr>
        <w:tab/>
      </w:r>
      <w:r>
        <w:rPr>
          <w:spacing w:val="-2"/>
          <w:sz w:val="21"/>
        </w:rPr>
        <w:t>本合同是您与我们约定保险权利义务关系的协议，包括本保险条款、保险单或者其他保险凭证、投保单、与本合同有关的投保文件、</w:t>
      </w:r>
      <w:r>
        <w:rPr>
          <w:rFonts w:ascii="微软雅黑" w:eastAsia="微软雅黑"/>
          <w:b/>
          <w:spacing w:val="-2"/>
          <w:sz w:val="21"/>
        </w:rPr>
        <w:t>合法有效</w:t>
      </w:r>
      <w:r>
        <w:rPr>
          <w:spacing w:val="-2"/>
          <w:sz w:val="21"/>
        </w:rPr>
        <w:t>（见</w:t>
      </w:r>
      <w:r>
        <w:rPr>
          <w:sz w:val="21"/>
        </w:rPr>
        <w:t>释义</w:t>
      </w:r>
      <w:r>
        <w:rPr>
          <w:spacing w:val="-40"/>
          <w:sz w:val="21"/>
        </w:rPr>
        <w:t xml:space="preserve"> </w:t>
      </w:r>
      <w:r>
        <w:rPr>
          <w:sz w:val="21"/>
        </w:rPr>
        <w:t>8.1）的声明、批注、批单及其他您与我们共同认可的书面协议。</w:t>
      </w:r>
    </w:p>
    <w:p>
      <w:pPr>
        <w:pStyle w:val="4"/>
        <w:spacing w:before="7"/>
        <w:rPr>
          <w:sz w:val="23"/>
        </w:rPr>
      </w:pPr>
    </w:p>
    <w:p>
      <w:pPr>
        <w:spacing w:after="0"/>
        <w:rPr>
          <w:sz w:val="23"/>
        </w:rPr>
        <w:sectPr>
          <w:pgSz w:w="11910" w:h="16840"/>
          <w:pgMar w:top="760" w:right="680" w:bottom="420" w:left="880" w:header="0" w:footer="230" w:gutter="0"/>
          <w:cols w:space="720" w:num="1"/>
        </w:sectPr>
      </w:pPr>
    </w:p>
    <w:p>
      <w:pPr>
        <w:pStyle w:val="3"/>
        <w:numPr>
          <w:ilvl w:val="1"/>
          <w:numId w:val="2"/>
        </w:numPr>
        <w:tabs>
          <w:tab w:val="left" w:pos="1391"/>
          <w:tab w:val="left" w:pos="1392"/>
        </w:tabs>
        <w:spacing w:before="55" w:after="0" w:line="194" w:lineRule="auto"/>
        <w:ind w:left="1391" w:right="0" w:hanging="961"/>
        <w:jc w:val="left"/>
      </w:pPr>
      <w:r>
        <w:rPr>
          <w:spacing w:val="-2"/>
        </w:rPr>
        <w:t>合同成立及生</w:t>
      </w:r>
      <w:r>
        <w:rPr>
          <w:spacing w:val="-10"/>
        </w:rPr>
        <w:t>效</w:t>
      </w:r>
    </w:p>
    <w:p>
      <w:pPr>
        <w:pStyle w:val="4"/>
        <w:spacing w:before="71"/>
        <w:ind w:left="286"/>
      </w:pPr>
      <w:r>
        <w:br w:type="column"/>
      </w:r>
      <w:r>
        <w:rPr>
          <w:spacing w:val="-3"/>
        </w:rPr>
        <w:t>您提出保险申请且我们同意承保，本合同成立。</w:t>
      </w:r>
    </w:p>
    <w:p>
      <w:pPr>
        <w:pStyle w:val="4"/>
        <w:spacing w:before="10"/>
        <w:rPr>
          <w:sz w:val="15"/>
        </w:rPr>
      </w:pPr>
    </w:p>
    <w:p>
      <w:pPr>
        <w:pStyle w:val="4"/>
        <w:spacing w:line="273" w:lineRule="auto"/>
        <w:ind w:left="286" w:right="622"/>
      </w:pPr>
      <w:r>
        <w:rPr>
          <w:spacing w:val="-2"/>
        </w:rPr>
        <w:t>本合同自我们同意承保、收取保险费并签发保险单开始生效，具体生效日以保险单记载的日期为准。</w:t>
      </w:r>
    </w:p>
    <w:p>
      <w:pPr>
        <w:spacing w:after="0" w:line="273" w:lineRule="auto"/>
        <w:sectPr>
          <w:type w:val="continuous"/>
          <w:pgSz w:w="11910" w:h="16840"/>
          <w:pgMar w:top="920" w:right="680" w:bottom="420" w:left="880" w:header="0" w:footer="230" w:gutter="0"/>
          <w:cols w:equalWidth="0" w:num="2">
            <w:col w:w="2659" w:space="40"/>
            <w:col w:w="7651"/>
          </w:cols>
        </w:sectPr>
      </w:pPr>
    </w:p>
    <w:p>
      <w:pPr>
        <w:pStyle w:val="4"/>
        <w:spacing w:before="9"/>
        <w:rPr>
          <w:sz w:val="20"/>
        </w:rPr>
      </w:pPr>
    </w:p>
    <w:p>
      <w:pPr>
        <w:pStyle w:val="8"/>
        <w:numPr>
          <w:ilvl w:val="1"/>
          <w:numId w:val="2"/>
        </w:numPr>
        <w:tabs>
          <w:tab w:val="left" w:pos="1391"/>
          <w:tab w:val="left" w:pos="1392"/>
          <w:tab w:val="left" w:pos="2985"/>
        </w:tabs>
        <w:spacing w:before="3" w:after="0" w:line="240" w:lineRule="auto"/>
        <w:ind w:left="1391" w:right="0" w:hanging="962"/>
        <w:jc w:val="left"/>
        <w:rPr>
          <w:sz w:val="21"/>
        </w:rPr>
      </w:pPr>
      <w:r>
        <w:rPr>
          <w:rFonts w:ascii="Microsoft JhengHei" w:eastAsia="Microsoft JhengHei"/>
          <w:b/>
          <w:sz w:val="21"/>
        </w:rPr>
        <w:t>投保年</w:t>
      </w:r>
      <w:r>
        <w:rPr>
          <w:rFonts w:ascii="Microsoft JhengHei" w:eastAsia="Microsoft JhengHei"/>
          <w:b/>
          <w:spacing w:val="-10"/>
          <w:sz w:val="21"/>
        </w:rPr>
        <w:t>龄</w:t>
      </w:r>
      <w:r>
        <w:rPr>
          <w:rFonts w:ascii="Microsoft JhengHei" w:eastAsia="Microsoft JhengHei"/>
          <w:b/>
          <w:sz w:val="21"/>
        </w:rPr>
        <w:tab/>
      </w:r>
      <w:r>
        <w:rPr>
          <w:spacing w:val="-2"/>
          <w:sz w:val="21"/>
        </w:rPr>
        <w:t>投保年龄指您投保时被保险人的年龄，以</w:t>
      </w:r>
      <w:r>
        <w:rPr>
          <w:rFonts w:ascii="微软雅黑" w:eastAsia="微软雅黑"/>
          <w:b/>
          <w:spacing w:val="-2"/>
          <w:sz w:val="21"/>
        </w:rPr>
        <w:t>周岁</w:t>
      </w:r>
      <w:r>
        <w:rPr>
          <w:spacing w:val="-2"/>
          <w:sz w:val="21"/>
        </w:rPr>
        <w:t>（见释义</w:t>
      </w:r>
      <w:r>
        <w:rPr>
          <w:spacing w:val="-27"/>
          <w:sz w:val="21"/>
        </w:rPr>
        <w:t xml:space="preserve"> </w:t>
      </w:r>
      <w:r>
        <w:rPr>
          <w:spacing w:val="-2"/>
          <w:sz w:val="21"/>
        </w:rPr>
        <w:t>8.2）计算</w:t>
      </w:r>
      <w:r>
        <w:rPr>
          <w:spacing w:val="-10"/>
          <w:sz w:val="21"/>
        </w:rPr>
        <w:t>。</w:t>
      </w:r>
    </w:p>
    <w:p>
      <w:pPr>
        <w:pStyle w:val="4"/>
        <w:spacing w:before="10"/>
        <w:rPr>
          <w:sz w:val="20"/>
        </w:rPr>
      </w:pPr>
    </w:p>
    <w:p>
      <w:pPr>
        <w:pStyle w:val="2"/>
        <w:numPr>
          <w:ilvl w:val="0"/>
          <w:numId w:val="2"/>
        </w:numPr>
        <w:tabs>
          <w:tab w:val="left" w:pos="1391"/>
          <w:tab w:val="left" w:pos="1392"/>
        </w:tabs>
        <w:spacing w:before="1" w:after="0" w:line="240" w:lineRule="auto"/>
        <w:ind w:left="1391" w:right="0" w:hanging="962"/>
        <w:jc w:val="left"/>
      </w:pPr>
      <w:r>
        <w:rPr>
          <w:spacing w:val="-2"/>
        </w:rPr>
        <w:t>我们提供的保障</w:t>
      </w:r>
    </w:p>
    <w:p>
      <w:pPr>
        <w:pStyle w:val="4"/>
        <w:spacing w:line="20" w:lineRule="exact"/>
        <w:ind w:left="325"/>
        <w:rPr>
          <w:rFonts w:ascii="Microsoft JhengHei"/>
          <w:sz w:val="2"/>
        </w:rPr>
      </w:pPr>
      <w:r>
        <w:rPr>
          <w:rFonts w:ascii="Microsoft JhengHei"/>
          <w:sz w:val="2"/>
        </w:rPr>
        <w:drawing>
          <wp:inline distT="0" distB="0" distL="0" distR="0">
            <wp:extent cx="6065520" cy="10795"/>
            <wp:effectExtent l="0" t="0" r="0" b="0"/>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a:picLocks noChangeAspect="1"/>
                    </pic:cNvPicPr>
                  </pic:nvPicPr>
                  <pic:blipFill>
                    <a:blip r:embed="rId9" cstate="print"/>
                    <a:stretch>
                      <a:fillRect/>
                    </a:stretch>
                  </pic:blipFill>
                  <pic:spPr>
                    <a:xfrm>
                      <a:off x="0" y="0"/>
                      <a:ext cx="6066104" cy="10858"/>
                    </a:xfrm>
                    <a:prstGeom prst="rect">
                      <a:avLst/>
                    </a:prstGeom>
                  </pic:spPr>
                </pic:pic>
              </a:graphicData>
            </a:graphic>
          </wp:inline>
        </w:drawing>
      </w:r>
    </w:p>
    <w:p>
      <w:pPr>
        <w:pStyle w:val="4"/>
        <w:spacing w:before="3"/>
        <w:rPr>
          <w:rFonts w:ascii="Microsoft JhengHei"/>
          <w:b/>
          <w:sz w:val="14"/>
        </w:rPr>
      </w:pPr>
    </w:p>
    <w:p>
      <w:pPr>
        <w:pStyle w:val="8"/>
        <w:numPr>
          <w:ilvl w:val="1"/>
          <w:numId w:val="2"/>
        </w:numPr>
        <w:tabs>
          <w:tab w:val="left" w:pos="1391"/>
          <w:tab w:val="left" w:pos="1392"/>
          <w:tab w:val="left" w:pos="2985"/>
        </w:tabs>
        <w:spacing w:before="0" w:after="0" w:line="235" w:lineRule="auto"/>
        <w:ind w:left="2985" w:right="622" w:hanging="2555"/>
        <w:jc w:val="left"/>
        <w:rPr>
          <w:sz w:val="21"/>
        </w:rPr>
      </w:pPr>
      <w:r>
        <w:rPr>
          <w:rFonts w:ascii="Microsoft JhengHei" w:eastAsia="Microsoft JhengHei"/>
          <w:b/>
          <w:spacing w:val="-4"/>
          <w:sz w:val="21"/>
        </w:rPr>
        <w:t>保险金额</w:t>
      </w:r>
      <w:r>
        <w:rPr>
          <w:rFonts w:ascii="Microsoft JhengHei" w:eastAsia="Microsoft JhengHei"/>
          <w:b/>
          <w:sz w:val="21"/>
        </w:rPr>
        <w:tab/>
      </w:r>
      <w:r>
        <w:rPr>
          <w:spacing w:val="-2"/>
          <w:sz w:val="21"/>
        </w:rPr>
        <w:t>保险金额是指本公司承担赔偿或者给付保险金责任的最高限额。本合同的保险金额即您投保时与我们约定的保险金给付限额。</w:t>
      </w:r>
    </w:p>
    <w:p>
      <w:pPr>
        <w:pStyle w:val="4"/>
        <w:spacing w:before="8"/>
        <w:rPr>
          <w:sz w:val="23"/>
        </w:rPr>
      </w:pPr>
    </w:p>
    <w:p>
      <w:pPr>
        <w:pStyle w:val="8"/>
        <w:numPr>
          <w:ilvl w:val="1"/>
          <w:numId w:val="2"/>
        </w:numPr>
        <w:tabs>
          <w:tab w:val="left" w:pos="1391"/>
          <w:tab w:val="left" w:pos="1392"/>
          <w:tab w:val="left" w:pos="2985"/>
        </w:tabs>
        <w:spacing w:before="1" w:after="0" w:line="240" w:lineRule="auto"/>
        <w:ind w:left="1391" w:right="0" w:hanging="962"/>
        <w:jc w:val="left"/>
        <w:rPr>
          <w:sz w:val="21"/>
        </w:rPr>
      </w:pPr>
      <w:r>
        <w:rPr>
          <w:rFonts w:ascii="Microsoft JhengHei" w:eastAsia="Microsoft JhengHei"/>
          <w:b/>
          <w:sz w:val="21"/>
        </w:rPr>
        <w:t>保险期</w:t>
      </w:r>
      <w:r>
        <w:rPr>
          <w:rFonts w:ascii="Microsoft JhengHei" w:eastAsia="Microsoft JhengHei"/>
          <w:b/>
          <w:spacing w:val="-10"/>
          <w:sz w:val="21"/>
        </w:rPr>
        <w:t>间</w:t>
      </w:r>
      <w:r>
        <w:rPr>
          <w:rFonts w:ascii="Microsoft JhengHei" w:eastAsia="Microsoft JhengHei"/>
          <w:b/>
          <w:sz w:val="21"/>
        </w:rPr>
        <w:tab/>
      </w:r>
      <w:r>
        <w:rPr>
          <w:spacing w:val="-6"/>
          <w:sz w:val="21"/>
        </w:rPr>
        <w:t>本合同的保险期间为一年，自本合同生效日零时开始，并在保险单上载明</w:t>
      </w:r>
      <w:r>
        <w:rPr>
          <w:spacing w:val="-10"/>
          <w:sz w:val="21"/>
        </w:rPr>
        <w:t>。</w:t>
      </w:r>
    </w:p>
    <w:p>
      <w:pPr>
        <w:pStyle w:val="4"/>
        <w:spacing w:before="8"/>
        <w:rPr>
          <w:sz w:val="19"/>
        </w:rPr>
      </w:pPr>
    </w:p>
    <w:p>
      <w:pPr>
        <w:pStyle w:val="8"/>
        <w:numPr>
          <w:ilvl w:val="1"/>
          <w:numId w:val="2"/>
        </w:numPr>
        <w:tabs>
          <w:tab w:val="left" w:pos="1391"/>
          <w:tab w:val="left" w:pos="1392"/>
          <w:tab w:val="left" w:pos="2985"/>
        </w:tabs>
        <w:spacing w:before="0" w:after="0" w:line="240" w:lineRule="auto"/>
        <w:ind w:left="1391" w:right="0" w:hanging="962"/>
        <w:jc w:val="left"/>
        <w:rPr>
          <w:sz w:val="21"/>
        </w:rPr>
      </w:pPr>
      <w:r>
        <w:rPr>
          <w:rFonts w:ascii="Microsoft JhengHei" w:eastAsia="Microsoft JhengHei"/>
          <w:b/>
          <w:sz w:val="21"/>
        </w:rPr>
        <w:t>不保证续</w:t>
      </w:r>
      <w:r>
        <w:rPr>
          <w:rFonts w:ascii="Microsoft JhengHei" w:eastAsia="Microsoft JhengHei"/>
          <w:b/>
          <w:spacing w:val="-10"/>
          <w:sz w:val="21"/>
        </w:rPr>
        <w:t>保</w:t>
      </w:r>
      <w:r>
        <w:rPr>
          <w:rFonts w:ascii="Microsoft JhengHei" w:eastAsia="Microsoft JhengHei"/>
          <w:b/>
          <w:sz w:val="21"/>
        </w:rPr>
        <w:tab/>
      </w:r>
      <w:r>
        <w:rPr>
          <w:spacing w:val="-2"/>
          <w:sz w:val="21"/>
        </w:rPr>
        <w:t>本条款为不保证续保条款</w:t>
      </w:r>
      <w:r>
        <w:rPr>
          <w:spacing w:val="-10"/>
          <w:sz w:val="21"/>
        </w:rPr>
        <w:t>。</w:t>
      </w:r>
    </w:p>
    <w:p>
      <w:pPr>
        <w:pStyle w:val="4"/>
        <w:spacing w:before="149" w:line="278" w:lineRule="auto"/>
        <w:ind w:left="2985" w:right="622"/>
      </w:pPr>
      <w:r>
        <w:rPr>
          <w:spacing w:val="-2"/>
        </w:rPr>
        <w:t>本产品保险期间为一年。保险期间届满，投保人需要重新向保险公司申请投保本产品，并经保险人同意，交纳保险费，获得新的保险合同。</w:t>
      </w:r>
    </w:p>
    <w:p>
      <w:pPr>
        <w:pStyle w:val="4"/>
        <w:spacing w:before="159"/>
        <w:ind w:left="2985"/>
      </w:pPr>
      <w:r>
        <w:rPr>
          <w:spacing w:val="-3"/>
        </w:rPr>
        <w:t>新的保险合同自本合同届满日次日零时起生效，有效期为一年。</w:t>
      </w:r>
    </w:p>
    <w:p>
      <w:pPr>
        <w:pStyle w:val="4"/>
        <w:spacing w:before="4"/>
        <w:rPr>
          <w:sz w:val="15"/>
        </w:rPr>
      </w:pPr>
    </w:p>
    <w:p>
      <w:pPr>
        <w:pStyle w:val="4"/>
        <w:spacing w:line="278" w:lineRule="auto"/>
        <w:ind w:left="2985" w:right="510"/>
      </w:pPr>
      <w:r>
        <w:rPr>
          <w:spacing w:val="-11"/>
        </w:rPr>
        <w:t>若任意保险期间届满时，被保险人年满</w:t>
      </w:r>
      <w:r>
        <w:rPr>
          <w:spacing w:val="-2"/>
        </w:rPr>
        <w:t>101</w:t>
      </w:r>
      <w:r>
        <w:rPr>
          <w:spacing w:val="-13"/>
        </w:rPr>
        <w:t>周岁，则我们不再接受续保申请。</w:t>
      </w:r>
      <w:r>
        <w:rPr>
          <w:spacing w:val="-2"/>
        </w:rPr>
        <w:t>若续保时本产品已停止销售，则我们不再接受续保申请，但我们会向您提供投保其他保险产品的合理建议。</w:t>
      </w:r>
    </w:p>
    <w:p>
      <w:pPr>
        <w:pStyle w:val="4"/>
        <w:spacing w:before="159" w:line="273" w:lineRule="auto"/>
        <w:ind w:left="2985" w:right="624"/>
      </w:pPr>
      <w:r>
        <w:rPr>
          <w:spacing w:val="-2"/>
        </w:rPr>
        <w:t>若我们不接受续保申请的，我们将会以书面或者双方认可的其他形式通知</w:t>
      </w:r>
      <w:r>
        <w:rPr>
          <w:spacing w:val="-6"/>
        </w:rPr>
        <w:t>您。</w:t>
      </w:r>
    </w:p>
    <w:p>
      <w:pPr>
        <w:pStyle w:val="4"/>
        <w:spacing w:before="164" w:line="278" w:lineRule="auto"/>
        <w:ind w:left="2985" w:right="629"/>
        <w:jc w:val="both"/>
      </w:pPr>
      <w:r>
        <w:rPr>
          <w:spacing w:val="-2"/>
        </w:rPr>
        <w:t>如您已投保《渤海人寿安康无忧医疗保险》且保险期间届满，您可通过书面或者双方认可的其他形式向本公司申请使用本产品进行续保，经我们审</w:t>
      </w:r>
      <w:r>
        <w:t>核同意并收取《渤海人寿安康无忧医疗保险（2021</w:t>
      </w:r>
      <w:r>
        <w:rPr>
          <w:spacing w:val="-12"/>
        </w:rPr>
        <w:t xml:space="preserve"> 版</w:t>
      </w:r>
      <w:r>
        <w:rPr>
          <w:spacing w:val="-106"/>
        </w:rPr>
        <w:t>）</w:t>
      </w:r>
      <w:r>
        <w:t>》续保保险费后，</w:t>
      </w:r>
      <w:r>
        <w:rPr>
          <w:spacing w:val="-2"/>
        </w:rPr>
        <w:t>您将获得新的保险合同。新的保险合同自《渤海人寿安康无忧医疗保险》合同届满日次日零时起生效，有效期为一年。</w:t>
      </w:r>
    </w:p>
    <w:p>
      <w:pPr>
        <w:pStyle w:val="4"/>
        <w:spacing w:before="3"/>
        <w:rPr>
          <w:sz w:val="24"/>
        </w:rPr>
      </w:pPr>
    </w:p>
    <w:p>
      <w:pPr>
        <w:pStyle w:val="8"/>
        <w:numPr>
          <w:ilvl w:val="1"/>
          <w:numId w:val="2"/>
        </w:numPr>
        <w:tabs>
          <w:tab w:val="left" w:pos="1391"/>
          <w:tab w:val="left" w:pos="1392"/>
          <w:tab w:val="left" w:pos="2985"/>
        </w:tabs>
        <w:spacing w:before="0" w:after="0" w:line="194" w:lineRule="auto"/>
        <w:ind w:left="2985" w:right="616" w:hanging="2555"/>
        <w:jc w:val="left"/>
        <w:rPr>
          <w:sz w:val="21"/>
        </w:rPr>
      </w:pPr>
      <w:r>
        <w:rPr>
          <w:rFonts w:ascii="Microsoft JhengHei" w:eastAsia="Microsoft JhengHei"/>
          <w:b/>
          <w:spacing w:val="-4"/>
          <w:sz w:val="21"/>
        </w:rPr>
        <w:t>等待期</w:t>
      </w:r>
      <w:r>
        <w:rPr>
          <w:rFonts w:ascii="Microsoft JhengHei" w:eastAsia="Microsoft JhengHei"/>
          <w:b/>
          <w:sz w:val="21"/>
        </w:rPr>
        <w:tab/>
      </w:r>
      <w:r>
        <w:rPr>
          <w:sz w:val="21"/>
        </w:rPr>
        <w:t>自本合同生效之日起</w:t>
      </w:r>
      <w:r>
        <w:rPr>
          <w:spacing w:val="-48"/>
          <w:sz w:val="21"/>
        </w:rPr>
        <w:t xml:space="preserve"> </w:t>
      </w:r>
      <w:r>
        <w:rPr>
          <w:sz w:val="21"/>
        </w:rPr>
        <w:t>30</w:t>
      </w:r>
      <w:r>
        <w:rPr>
          <w:spacing w:val="-53"/>
          <w:sz w:val="21"/>
        </w:rPr>
        <w:t xml:space="preserve"> </w:t>
      </w:r>
      <w:r>
        <w:rPr>
          <w:sz w:val="21"/>
        </w:rPr>
        <w:t>日内（含第</w:t>
      </w:r>
      <w:r>
        <w:rPr>
          <w:spacing w:val="-47"/>
          <w:sz w:val="21"/>
        </w:rPr>
        <w:t xml:space="preserve"> </w:t>
      </w:r>
      <w:r>
        <w:rPr>
          <w:sz w:val="21"/>
        </w:rPr>
        <w:t>30</w:t>
      </w:r>
      <w:r>
        <w:rPr>
          <w:spacing w:val="-48"/>
          <w:sz w:val="21"/>
        </w:rPr>
        <w:t xml:space="preserve"> </w:t>
      </w:r>
      <w:r>
        <w:rPr>
          <w:sz w:val="21"/>
        </w:rPr>
        <w:t>日）为等待期。若被保险人于本合</w:t>
      </w:r>
      <w:r>
        <w:rPr>
          <w:spacing w:val="-4"/>
          <w:sz w:val="21"/>
        </w:rPr>
        <w:t>同等待期内因</w:t>
      </w:r>
      <w:r>
        <w:rPr>
          <w:rFonts w:ascii="微软雅黑" w:eastAsia="微软雅黑"/>
          <w:b/>
          <w:spacing w:val="-4"/>
          <w:sz w:val="21"/>
        </w:rPr>
        <w:t>意外伤害</w:t>
      </w:r>
      <w:r>
        <w:rPr>
          <w:spacing w:val="-4"/>
          <w:sz w:val="21"/>
        </w:rPr>
        <w:t>（见释义</w:t>
      </w:r>
      <w:r>
        <w:rPr>
          <w:spacing w:val="-40"/>
          <w:sz w:val="21"/>
        </w:rPr>
        <w:t xml:space="preserve"> </w:t>
      </w:r>
      <w:r>
        <w:rPr>
          <w:spacing w:val="-4"/>
          <w:sz w:val="21"/>
        </w:rPr>
        <w:t>8.3）以外的原因经</w:t>
      </w:r>
      <w:r>
        <w:rPr>
          <w:rFonts w:ascii="微软雅黑" w:eastAsia="微软雅黑"/>
          <w:b/>
          <w:spacing w:val="-4"/>
          <w:sz w:val="21"/>
        </w:rPr>
        <w:t>本公司认可的医</w:t>
      </w:r>
      <w:r>
        <w:rPr>
          <w:rFonts w:ascii="微软雅黑" w:eastAsia="微软雅黑"/>
          <w:b/>
          <w:spacing w:val="-53"/>
          <w:sz w:val="21"/>
        </w:rPr>
        <w:t>院</w:t>
      </w:r>
      <w:r>
        <w:rPr>
          <w:spacing w:val="-4"/>
          <w:sz w:val="21"/>
        </w:rPr>
        <w:t>（见</w:t>
      </w:r>
    </w:p>
    <w:p>
      <w:pPr>
        <w:spacing w:after="0" w:line="194" w:lineRule="auto"/>
        <w:jc w:val="left"/>
        <w:rPr>
          <w:sz w:val="21"/>
        </w:rPr>
        <w:sectPr>
          <w:type w:val="continuous"/>
          <w:pgSz w:w="11910" w:h="16840"/>
          <w:pgMar w:top="920" w:right="680" w:bottom="420" w:left="880" w:header="0" w:footer="230" w:gutter="0"/>
          <w:cols w:space="720" w:num="1"/>
        </w:sectPr>
      </w:pPr>
    </w:p>
    <w:p>
      <w:pPr>
        <w:pStyle w:val="4"/>
        <w:spacing w:before="13" w:line="312" w:lineRule="exact"/>
        <w:ind w:left="2985" w:right="619"/>
        <w:jc w:val="both"/>
      </w:pPr>
      <w:r>
        <w:rPr>
          <w:spacing w:val="-7"/>
        </w:rPr>
        <w:t xml:space="preserve">释义 </w:t>
      </w:r>
      <w:r>
        <w:rPr>
          <w:spacing w:val="-6"/>
        </w:rPr>
        <w:t>8.4）诊断并在本公司认可的医院接受</w:t>
      </w:r>
      <w:r>
        <w:rPr>
          <w:rFonts w:ascii="微软雅黑" w:eastAsia="微软雅黑"/>
          <w:b/>
          <w:spacing w:val="-6"/>
        </w:rPr>
        <w:t>住院</w:t>
      </w:r>
      <w:r>
        <w:rPr>
          <w:spacing w:val="-6"/>
        </w:rPr>
        <w:t>（</w:t>
      </w:r>
      <w:r>
        <w:rPr>
          <w:spacing w:val="-7"/>
        </w:rPr>
        <w:t xml:space="preserve">见释义 </w:t>
      </w:r>
      <w:r>
        <w:rPr>
          <w:spacing w:val="-6"/>
        </w:rPr>
        <w:t>8.5）治疗或者门</w:t>
      </w:r>
      <w:r>
        <w:rPr>
          <w:spacing w:val="-2"/>
        </w:rPr>
        <w:t>急诊治疗的，无论治疗是否延续至等待期后，我们均不承担给付保险金的责任，且前述治疗发生的医疗费用不计入免赔额。</w:t>
      </w:r>
    </w:p>
    <w:p>
      <w:pPr>
        <w:pStyle w:val="4"/>
        <w:spacing w:before="6"/>
        <w:rPr>
          <w:sz w:val="15"/>
        </w:rPr>
      </w:pPr>
    </w:p>
    <w:p>
      <w:pPr>
        <w:pStyle w:val="4"/>
        <w:spacing w:line="273" w:lineRule="auto"/>
        <w:ind w:left="2985" w:right="735"/>
      </w:pPr>
      <w:r>
        <w:rPr>
          <w:spacing w:val="-2"/>
        </w:rPr>
        <w:t>续保或因意外伤害导致的住院治疗或门诊治疗不受等待期的限制</w:t>
      </w:r>
      <w:r>
        <w:rPr>
          <w:spacing w:val="-30"/>
        </w:rPr>
        <w:t>；《渤海</w:t>
      </w:r>
      <w:r>
        <w:rPr>
          <w:spacing w:val="-2"/>
        </w:rPr>
        <w:t>人寿安康无忧医疗保险》产品续保至本产品时不受等待期的限制。</w:t>
      </w:r>
    </w:p>
    <w:p>
      <w:pPr>
        <w:pStyle w:val="4"/>
        <w:spacing w:before="11"/>
        <w:rPr>
          <w:sz w:val="20"/>
        </w:rPr>
      </w:pPr>
    </w:p>
    <w:p>
      <w:pPr>
        <w:pStyle w:val="8"/>
        <w:numPr>
          <w:ilvl w:val="1"/>
          <w:numId w:val="2"/>
        </w:numPr>
        <w:tabs>
          <w:tab w:val="left" w:pos="1391"/>
          <w:tab w:val="left" w:pos="1392"/>
          <w:tab w:val="left" w:pos="2985"/>
        </w:tabs>
        <w:spacing w:before="1" w:after="0" w:line="240" w:lineRule="auto"/>
        <w:ind w:left="1391" w:right="0" w:hanging="962"/>
        <w:jc w:val="left"/>
        <w:rPr>
          <w:sz w:val="21"/>
        </w:rPr>
      </w:pPr>
      <w:r>
        <w:rPr>
          <w:rFonts w:ascii="Microsoft JhengHei" w:eastAsia="Microsoft JhengHei"/>
          <w:b/>
          <w:sz w:val="21"/>
        </w:rPr>
        <w:t>保险责</w:t>
      </w:r>
      <w:r>
        <w:rPr>
          <w:rFonts w:ascii="Microsoft JhengHei" w:eastAsia="Microsoft JhengHei"/>
          <w:b/>
          <w:spacing w:val="-10"/>
          <w:sz w:val="21"/>
        </w:rPr>
        <w:t>任</w:t>
      </w:r>
      <w:r>
        <w:rPr>
          <w:rFonts w:ascii="Microsoft JhengHei" w:eastAsia="Microsoft JhengHei"/>
          <w:b/>
          <w:sz w:val="21"/>
        </w:rPr>
        <w:tab/>
      </w:r>
      <w:r>
        <w:rPr>
          <w:spacing w:val="-2"/>
          <w:sz w:val="21"/>
        </w:rPr>
        <w:t>在本合同保险期间内，我们在总给付限额内，承担下列保险责任</w:t>
      </w:r>
      <w:r>
        <w:rPr>
          <w:spacing w:val="-10"/>
          <w:sz w:val="21"/>
        </w:rPr>
        <w:t>：</w:t>
      </w:r>
    </w:p>
    <w:p>
      <w:pPr>
        <w:pStyle w:val="4"/>
        <w:spacing w:before="8"/>
        <w:rPr>
          <w:sz w:val="19"/>
        </w:rPr>
      </w:pPr>
    </w:p>
    <w:p>
      <w:pPr>
        <w:pStyle w:val="3"/>
        <w:numPr>
          <w:ilvl w:val="2"/>
          <w:numId w:val="2"/>
        </w:numPr>
        <w:tabs>
          <w:tab w:val="left" w:pos="1391"/>
          <w:tab w:val="left" w:pos="1392"/>
        </w:tabs>
        <w:spacing w:before="0" w:after="0" w:line="240" w:lineRule="auto"/>
        <w:ind w:left="1391" w:right="0" w:hanging="428"/>
        <w:jc w:val="left"/>
      </w:pPr>
      <w:r>
        <w:rPr>
          <w:spacing w:val="-2"/>
        </w:rPr>
        <w:t>一般医疗保险金</w:t>
      </w:r>
    </w:p>
    <w:p>
      <w:pPr>
        <w:pStyle w:val="4"/>
        <w:spacing w:before="7"/>
        <w:rPr>
          <w:rFonts w:ascii="Microsoft JhengHei"/>
          <w:b/>
          <w:sz w:val="13"/>
        </w:rPr>
      </w:pPr>
    </w:p>
    <w:p>
      <w:pPr>
        <w:spacing w:after="0"/>
        <w:rPr>
          <w:rFonts w:ascii="Microsoft JhengHei"/>
          <w:sz w:val="13"/>
        </w:rPr>
        <w:sectPr>
          <w:pgSz w:w="11910" w:h="16840"/>
          <w:pgMar w:top="660" w:right="680" w:bottom="420" w:left="880" w:header="0" w:footer="230" w:gutter="0"/>
          <w:cols w:space="720" w:num="1"/>
        </w:sectPr>
      </w:pPr>
    </w:p>
    <w:p>
      <w:pPr>
        <w:spacing w:before="55" w:line="194" w:lineRule="auto"/>
        <w:ind w:left="1391" w:right="0" w:firstLine="0"/>
        <w:jc w:val="left"/>
        <w:rPr>
          <w:rFonts w:ascii="Microsoft JhengHei" w:eastAsia="Microsoft JhengHei"/>
          <w:b/>
          <w:sz w:val="21"/>
        </w:rPr>
      </w:pPr>
      <w:r>
        <w:rPr>
          <w:rFonts w:ascii="Microsoft JhengHei" w:eastAsia="Microsoft JhengHei"/>
          <w:b/>
          <w:spacing w:val="-2"/>
          <w:sz w:val="21"/>
        </w:rPr>
        <w:t>一般住院医疗</w:t>
      </w:r>
      <w:r>
        <w:rPr>
          <w:rFonts w:ascii="Microsoft JhengHei" w:eastAsia="Microsoft JhengHei"/>
          <w:b/>
          <w:spacing w:val="-4"/>
          <w:sz w:val="21"/>
        </w:rPr>
        <w:t>保险金</w:t>
      </w:r>
    </w:p>
    <w:p>
      <w:pPr>
        <w:pStyle w:val="4"/>
        <w:spacing w:before="32" w:line="312" w:lineRule="exact"/>
        <w:ind w:left="286" w:right="615"/>
        <w:jc w:val="both"/>
      </w:pPr>
      <w:r>
        <w:br w:type="column"/>
      </w:r>
      <w:r>
        <w:rPr>
          <w:spacing w:val="-2"/>
        </w:rPr>
        <w:t>被保险人因意外伤害或于等待期后因意外伤害以外的原因，在本公司认可</w:t>
      </w:r>
      <w:r>
        <w:t>的医院住院治疗的，对被保险人发生的</w:t>
      </w:r>
      <w:r>
        <w:rPr>
          <w:rFonts w:ascii="微软雅黑" w:eastAsia="微软雅黑"/>
          <w:b/>
        </w:rPr>
        <w:t>合理且必须</w:t>
      </w:r>
      <w:r>
        <w:t>（</w:t>
      </w:r>
      <w:r>
        <w:rPr>
          <w:spacing w:val="-3"/>
        </w:rPr>
        <w:t xml:space="preserve">见释义 </w:t>
      </w:r>
      <w:r>
        <w:t>8.6）的</w:t>
      </w:r>
      <w:r>
        <w:rPr>
          <w:rFonts w:ascii="微软雅黑" w:eastAsia="微软雅黑"/>
          <w:b/>
        </w:rPr>
        <w:t>住院</w:t>
      </w:r>
      <w:r>
        <w:rPr>
          <w:rFonts w:ascii="微软雅黑" w:eastAsia="微软雅黑"/>
          <w:b/>
          <w:spacing w:val="-6"/>
        </w:rPr>
        <w:t>医疗费用</w:t>
      </w:r>
      <w:r>
        <w:rPr>
          <w:spacing w:val="-6"/>
        </w:rPr>
        <w:t>（见释义 8.7）以及</w:t>
      </w:r>
      <w:r>
        <w:rPr>
          <w:rFonts w:ascii="微软雅黑" w:eastAsia="微软雅黑"/>
          <w:b/>
          <w:spacing w:val="-6"/>
        </w:rPr>
        <w:t>住院前后门急诊费用</w:t>
      </w:r>
      <w:r>
        <w:rPr>
          <w:spacing w:val="-6"/>
        </w:rPr>
        <w:t xml:space="preserve">（见释义 </w:t>
      </w:r>
      <w:r>
        <w:rPr>
          <w:spacing w:val="16"/>
        </w:rPr>
        <w:t>8.8</w:t>
      </w:r>
      <w:r>
        <w:rPr>
          <w:spacing w:val="-90"/>
        </w:rPr>
        <w:t>）</w:t>
      </w:r>
      <w:r>
        <w:rPr>
          <w:spacing w:val="-3"/>
        </w:rPr>
        <w:t>，我们按</w:t>
      </w:r>
      <w:r>
        <w:rPr>
          <w:spacing w:val="-2"/>
        </w:rPr>
        <w:t>本合同约定的保险金计算方法给付一般住院医疗保险金。</w:t>
      </w:r>
    </w:p>
    <w:p>
      <w:pPr>
        <w:pStyle w:val="4"/>
        <w:spacing w:before="6"/>
        <w:rPr>
          <w:sz w:val="15"/>
        </w:rPr>
      </w:pPr>
    </w:p>
    <w:p>
      <w:pPr>
        <w:pStyle w:val="4"/>
        <w:ind w:left="286"/>
        <w:jc w:val="both"/>
      </w:pPr>
      <w:r>
        <w:rPr>
          <w:spacing w:val="-5"/>
        </w:rPr>
        <w:t xml:space="preserve">一般住院医疗保险金累计给付天数以 </w:t>
      </w:r>
      <w:r>
        <w:rPr>
          <w:spacing w:val="-2"/>
        </w:rPr>
        <w:t>180</w:t>
      </w:r>
      <w:r>
        <w:rPr>
          <w:spacing w:val="-13"/>
        </w:rPr>
        <w:t xml:space="preserve"> 天为限。</w:t>
      </w:r>
    </w:p>
    <w:p>
      <w:pPr>
        <w:spacing w:after="0"/>
        <w:jc w:val="both"/>
        <w:sectPr>
          <w:type w:val="continuous"/>
          <w:pgSz w:w="11910" w:h="16840"/>
          <w:pgMar w:top="920" w:right="680" w:bottom="420" w:left="880" w:header="0" w:footer="230" w:gutter="0"/>
          <w:cols w:equalWidth="0" w:num="2">
            <w:col w:w="2659" w:space="40"/>
            <w:col w:w="7651"/>
          </w:cols>
        </w:sectPr>
      </w:pP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spacing w:before="59" w:line="192" w:lineRule="auto"/>
      </w:pPr>
      <w:r>
        <w:rPr>
          <w:spacing w:val="-2"/>
        </w:rPr>
        <w:t>特定门诊医疗</w:t>
      </w:r>
      <w:r>
        <w:rPr>
          <w:spacing w:val="-4"/>
        </w:rPr>
        <w:t>保险金</w:t>
      </w:r>
    </w:p>
    <w:p>
      <w:pPr>
        <w:pStyle w:val="4"/>
        <w:spacing w:before="72" w:line="273" w:lineRule="auto"/>
        <w:ind w:left="286" w:right="619"/>
      </w:pPr>
      <w:r>
        <w:br w:type="column"/>
      </w:r>
      <w:r>
        <w:rPr>
          <w:spacing w:val="-2"/>
        </w:rPr>
        <w:t>被保险人因意外伤害或于等待期后因意外伤害以外的原因，在本公司认可的医院接受以下特定门诊治疗的：</w:t>
      </w:r>
    </w:p>
    <w:p>
      <w:pPr>
        <w:pStyle w:val="8"/>
        <w:numPr>
          <w:ilvl w:val="0"/>
          <w:numId w:val="3"/>
        </w:numPr>
        <w:tabs>
          <w:tab w:val="left" w:pos="816"/>
        </w:tabs>
        <w:spacing w:before="0" w:after="0" w:line="288" w:lineRule="exact"/>
        <w:ind w:left="815" w:right="0" w:hanging="530"/>
        <w:jc w:val="left"/>
        <w:rPr>
          <w:sz w:val="21"/>
        </w:rPr>
      </w:pPr>
      <w:r>
        <w:rPr>
          <w:spacing w:val="-2"/>
          <w:sz w:val="21"/>
        </w:rPr>
        <w:t>门诊</w:t>
      </w:r>
      <w:r>
        <w:rPr>
          <w:rFonts w:ascii="微软雅黑" w:eastAsia="微软雅黑"/>
          <w:b/>
          <w:spacing w:val="-2"/>
          <w:sz w:val="21"/>
        </w:rPr>
        <w:t>肾透析</w:t>
      </w:r>
      <w:r>
        <w:rPr>
          <w:spacing w:val="-2"/>
          <w:sz w:val="21"/>
        </w:rPr>
        <w:t>（</w:t>
      </w:r>
      <w:r>
        <w:rPr>
          <w:spacing w:val="-13"/>
          <w:sz w:val="21"/>
        </w:rPr>
        <w:t xml:space="preserve">见释义 </w:t>
      </w:r>
      <w:r>
        <w:rPr>
          <w:spacing w:val="19"/>
          <w:sz w:val="21"/>
        </w:rPr>
        <w:t>8.9</w:t>
      </w:r>
      <w:r>
        <w:rPr>
          <w:spacing w:val="-87"/>
          <w:sz w:val="21"/>
        </w:rPr>
        <w:t>）</w:t>
      </w:r>
      <w:r>
        <w:rPr>
          <w:spacing w:val="19"/>
          <w:sz w:val="21"/>
        </w:rPr>
        <w:t>；</w:t>
      </w:r>
    </w:p>
    <w:p>
      <w:pPr>
        <w:pStyle w:val="8"/>
        <w:numPr>
          <w:ilvl w:val="0"/>
          <w:numId w:val="3"/>
        </w:numPr>
        <w:tabs>
          <w:tab w:val="left" w:pos="816"/>
        </w:tabs>
        <w:spacing w:before="15" w:after="0" w:line="194" w:lineRule="auto"/>
        <w:ind w:left="286" w:right="620" w:firstLine="0"/>
        <w:jc w:val="left"/>
        <w:rPr>
          <w:sz w:val="21"/>
        </w:rPr>
      </w:pPr>
      <w:r>
        <w:rPr>
          <w:spacing w:val="-6"/>
          <w:sz w:val="21"/>
        </w:rPr>
        <w:t>门诊</w:t>
      </w:r>
      <w:r>
        <w:rPr>
          <w:rFonts w:ascii="微软雅黑" w:hAnsi="微软雅黑" w:eastAsia="微软雅黑"/>
          <w:b/>
          <w:spacing w:val="-6"/>
          <w:sz w:val="21"/>
        </w:rPr>
        <w:t>“恶性肿瘤——重度”的化学疗法、放射疗法、免疫疗法、内分</w:t>
      </w:r>
      <w:r>
        <w:rPr>
          <w:rFonts w:ascii="微软雅黑" w:hAnsi="微软雅黑" w:eastAsia="微软雅黑"/>
          <w:b/>
          <w:sz w:val="21"/>
        </w:rPr>
        <w:t>泌疗法、靶向疗法</w:t>
      </w:r>
      <w:r>
        <w:rPr>
          <w:sz w:val="21"/>
        </w:rPr>
        <w:t>（</w:t>
      </w:r>
      <w:r>
        <w:rPr>
          <w:spacing w:val="-11"/>
          <w:sz w:val="21"/>
        </w:rPr>
        <w:t xml:space="preserve">见释义 </w:t>
      </w:r>
      <w:r>
        <w:rPr>
          <w:spacing w:val="18"/>
          <w:sz w:val="21"/>
        </w:rPr>
        <w:t>8.10</w:t>
      </w:r>
      <w:r>
        <w:rPr>
          <w:spacing w:val="-93"/>
          <w:sz w:val="21"/>
        </w:rPr>
        <w:t>）</w:t>
      </w:r>
      <w:r>
        <w:rPr>
          <w:spacing w:val="18"/>
          <w:sz w:val="21"/>
        </w:rPr>
        <w:t>；</w:t>
      </w:r>
    </w:p>
    <w:p>
      <w:pPr>
        <w:pStyle w:val="8"/>
        <w:numPr>
          <w:ilvl w:val="0"/>
          <w:numId w:val="3"/>
        </w:numPr>
        <w:tabs>
          <w:tab w:val="left" w:pos="816"/>
        </w:tabs>
        <w:spacing w:before="12" w:after="0" w:line="257" w:lineRule="exact"/>
        <w:ind w:left="815" w:right="0" w:hanging="530"/>
        <w:jc w:val="left"/>
        <w:rPr>
          <w:sz w:val="21"/>
        </w:rPr>
      </w:pPr>
      <w:r>
        <w:rPr>
          <w:spacing w:val="-3"/>
          <w:sz w:val="21"/>
        </w:rPr>
        <w:t>器官移植后的门诊抗排异治疗；</w:t>
      </w:r>
    </w:p>
    <w:p>
      <w:pPr>
        <w:pStyle w:val="8"/>
        <w:numPr>
          <w:ilvl w:val="0"/>
          <w:numId w:val="3"/>
        </w:numPr>
        <w:tabs>
          <w:tab w:val="left" w:pos="816"/>
        </w:tabs>
        <w:spacing w:before="0" w:after="0" w:line="375" w:lineRule="exact"/>
        <w:ind w:left="815" w:right="0" w:hanging="530"/>
        <w:jc w:val="left"/>
        <w:rPr>
          <w:sz w:val="21"/>
        </w:rPr>
      </w:pPr>
      <w:r>
        <w:rPr>
          <w:rFonts w:ascii="微软雅黑" w:eastAsia="微软雅黑"/>
          <w:b/>
          <w:spacing w:val="-10"/>
          <w:sz w:val="21"/>
        </w:rPr>
        <w:t>门诊手术</w:t>
      </w:r>
      <w:r>
        <w:rPr>
          <w:spacing w:val="-10"/>
          <w:sz w:val="21"/>
        </w:rPr>
        <w:t>（</w:t>
      </w:r>
      <w:r>
        <w:rPr>
          <w:spacing w:val="-16"/>
          <w:sz w:val="21"/>
        </w:rPr>
        <w:t xml:space="preserve">见释义 </w:t>
      </w:r>
      <w:r>
        <w:rPr>
          <w:spacing w:val="12"/>
          <w:sz w:val="21"/>
        </w:rPr>
        <w:t>8.</w:t>
      </w:r>
      <w:r>
        <w:rPr>
          <w:spacing w:val="7"/>
          <w:sz w:val="21"/>
        </w:rPr>
        <w:t>1</w:t>
      </w:r>
      <w:r>
        <w:rPr>
          <w:spacing w:val="12"/>
          <w:sz w:val="21"/>
        </w:rPr>
        <w:t>1</w:t>
      </w:r>
      <w:r>
        <w:rPr>
          <w:spacing w:val="-94"/>
          <w:sz w:val="21"/>
        </w:rPr>
        <w:t>）</w:t>
      </w:r>
      <w:r>
        <w:rPr>
          <w:spacing w:val="-10"/>
          <w:sz w:val="21"/>
        </w:rPr>
        <w:t>。</w:t>
      </w:r>
    </w:p>
    <w:p>
      <w:pPr>
        <w:pStyle w:val="4"/>
        <w:spacing w:before="150" w:line="278" w:lineRule="auto"/>
        <w:ind w:left="286" w:right="619"/>
      </w:pPr>
      <w:r>
        <w:rPr>
          <w:spacing w:val="-2"/>
        </w:rPr>
        <w:t>对被保险人发生的上述合理且必须的特定门诊医疗费用，我们按本合同约定的保险金计算方法给付特定门诊医疗保险金。</w:t>
      </w:r>
    </w:p>
    <w:p>
      <w:pPr>
        <w:pStyle w:val="4"/>
        <w:spacing w:before="7"/>
        <w:rPr>
          <w:sz w:val="25"/>
        </w:rPr>
      </w:pPr>
    </w:p>
    <w:p>
      <w:pPr>
        <w:pStyle w:val="4"/>
        <w:spacing w:line="278" w:lineRule="auto"/>
        <w:ind w:left="286" w:right="620"/>
        <w:jc w:val="both"/>
      </w:pPr>
      <w:r>
        <w:rPr>
          <w:spacing w:val="-2"/>
        </w:rPr>
        <w:t>当我们在本合同保险期间内累计给付的一般住院医疗保险金与特定门诊医疗保险金之和达到一般医疗保险金单项给付限额时，该项责任终止，我们不再承担一般医疗保险金的给付责任。</w:t>
      </w:r>
    </w:p>
    <w:p>
      <w:pPr>
        <w:spacing w:after="0" w:line="278" w:lineRule="auto"/>
        <w:jc w:val="both"/>
        <w:sectPr>
          <w:type w:val="continuous"/>
          <w:pgSz w:w="11910" w:h="16840"/>
          <w:pgMar w:top="920" w:right="680" w:bottom="420" w:left="880" w:header="0" w:footer="230" w:gutter="0"/>
          <w:cols w:equalWidth="0" w:num="2">
            <w:col w:w="2659" w:space="40"/>
            <w:col w:w="7651"/>
          </w:cols>
        </w:sectPr>
      </w:pPr>
    </w:p>
    <w:p>
      <w:pPr>
        <w:pStyle w:val="4"/>
        <w:spacing w:before="11"/>
        <w:rPr>
          <w:sz w:val="19"/>
        </w:rPr>
      </w:pPr>
    </w:p>
    <w:p>
      <w:pPr>
        <w:pStyle w:val="3"/>
        <w:numPr>
          <w:ilvl w:val="2"/>
          <w:numId w:val="2"/>
        </w:numPr>
        <w:tabs>
          <w:tab w:val="left" w:pos="1391"/>
          <w:tab w:val="left" w:pos="1392"/>
        </w:tabs>
        <w:spacing w:before="3" w:after="0" w:line="240" w:lineRule="auto"/>
        <w:ind w:left="1391" w:right="0" w:hanging="428"/>
        <w:jc w:val="left"/>
      </w:pPr>
      <w:r>
        <w:rPr>
          <w:spacing w:val="-2"/>
        </w:rPr>
        <w:t>重大疾病医疗保险金</w:t>
      </w:r>
    </w:p>
    <w:p>
      <w:pPr>
        <w:pStyle w:val="4"/>
        <w:spacing w:before="10"/>
        <w:rPr>
          <w:rFonts w:ascii="Microsoft JhengHei"/>
          <w:b/>
          <w:sz w:val="13"/>
        </w:rPr>
      </w:pPr>
    </w:p>
    <w:p>
      <w:pPr>
        <w:spacing w:after="0"/>
        <w:rPr>
          <w:rFonts w:ascii="Microsoft JhengHei"/>
          <w:sz w:val="13"/>
        </w:rPr>
        <w:sectPr>
          <w:type w:val="continuous"/>
          <w:pgSz w:w="11910" w:h="16840"/>
          <w:pgMar w:top="920" w:right="680" w:bottom="420" w:left="880" w:header="0" w:footer="230" w:gutter="0"/>
          <w:cols w:space="720" w:num="1"/>
        </w:sectPr>
      </w:pPr>
    </w:p>
    <w:p>
      <w:pPr>
        <w:spacing w:before="56" w:line="194" w:lineRule="auto"/>
        <w:ind w:left="1391" w:right="0" w:firstLine="0"/>
        <w:jc w:val="both"/>
        <w:rPr>
          <w:rFonts w:ascii="Microsoft JhengHei" w:eastAsia="Microsoft JhengHei"/>
          <w:b/>
          <w:sz w:val="21"/>
        </w:rPr>
      </w:pPr>
      <w:r>
        <w:rPr>
          <w:rFonts w:ascii="Microsoft JhengHei" w:eastAsia="Microsoft JhengHei"/>
          <w:b/>
          <w:spacing w:val="15"/>
          <w:sz w:val="21"/>
        </w:rPr>
        <w:t>一般重大疾病住院医疗保险</w:t>
      </w:r>
      <w:r>
        <w:rPr>
          <w:rFonts w:ascii="Microsoft JhengHei" w:eastAsia="Microsoft JhengHei"/>
          <w:b/>
          <w:spacing w:val="-10"/>
          <w:sz w:val="21"/>
        </w:rPr>
        <w:t>金</w:t>
      </w:r>
    </w:p>
    <w:p>
      <w:pPr>
        <w:pStyle w:val="4"/>
        <w:spacing w:before="87" w:line="223" w:lineRule="auto"/>
        <w:ind w:left="176" w:right="619"/>
        <w:jc w:val="both"/>
      </w:pPr>
      <w:r>
        <w:br w:type="column"/>
      </w:r>
      <w:r>
        <w:rPr>
          <w:spacing w:val="-2"/>
        </w:rPr>
        <w:t>被保险人因意外伤害或于等待期后因意外伤害以外的原因，经本公司认可的医院</w:t>
      </w:r>
      <w:r>
        <w:rPr>
          <w:rFonts w:ascii="微软雅黑" w:eastAsia="微软雅黑"/>
          <w:b/>
          <w:spacing w:val="-2"/>
        </w:rPr>
        <w:t>初次确诊</w:t>
      </w:r>
      <w:r>
        <w:rPr>
          <w:spacing w:val="-2"/>
        </w:rPr>
        <w:t>（</w:t>
      </w:r>
      <w:r>
        <w:rPr>
          <w:spacing w:val="-11"/>
        </w:rPr>
        <w:t xml:space="preserve">见释义 </w:t>
      </w:r>
      <w:r>
        <w:rPr>
          <w:spacing w:val="-2"/>
        </w:rPr>
        <w:t>8.12）为本合同约定的</w:t>
      </w:r>
      <w:r>
        <w:rPr>
          <w:rFonts w:ascii="微软雅黑" w:eastAsia="微软雅黑"/>
          <w:b/>
          <w:spacing w:val="-2"/>
        </w:rPr>
        <w:t>一般重大疾病</w:t>
      </w:r>
      <w:r>
        <w:rPr>
          <w:spacing w:val="-2"/>
        </w:rPr>
        <w:t>（</w:t>
      </w:r>
      <w:r>
        <w:rPr>
          <w:spacing w:val="-19"/>
        </w:rPr>
        <w:t xml:space="preserve">见 </w:t>
      </w:r>
      <w:r>
        <w:rPr>
          <w:spacing w:val="-4"/>
        </w:rPr>
        <w:t>7.1）</w:t>
      </w:r>
    </w:p>
    <w:p>
      <w:pPr>
        <w:pStyle w:val="4"/>
        <w:spacing w:line="278" w:lineRule="auto"/>
        <w:ind w:left="176" w:right="619"/>
        <w:jc w:val="both"/>
      </w:pPr>
      <w:r>
        <w:rPr>
          <w:spacing w:val="-2"/>
        </w:rPr>
        <w:t>（无论一种或者多种）且在本公司认可的医院住院治疗的，对被保险人发生的合理且必须的住院医疗费用以及住院前后门急诊费用，我们按本合同约定的保险金计算方法给付一般重大疾病住院医疗保险金。</w:t>
      </w:r>
    </w:p>
    <w:p>
      <w:pPr>
        <w:spacing w:after="0" w:line="278" w:lineRule="auto"/>
        <w:jc w:val="both"/>
        <w:sectPr>
          <w:type w:val="continuous"/>
          <w:pgSz w:w="11910" w:h="16840"/>
          <w:pgMar w:top="920" w:right="680" w:bottom="420" w:left="880" w:header="0" w:footer="230" w:gutter="0"/>
          <w:cols w:equalWidth="0" w:num="2">
            <w:col w:w="2769" w:space="40"/>
            <w:col w:w="7541"/>
          </w:cols>
        </w:sectPr>
      </w:pPr>
    </w:p>
    <w:p>
      <w:pPr>
        <w:pStyle w:val="4"/>
        <w:spacing w:before="10"/>
        <w:rPr>
          <w:sz w:val="19"/>
        </w:rPr>
      </w:pPr>
    </w:p>
    <w:p>
      <w:pPr>
        <w:spacing w:after="0"/>
        <w:rPr>
          <w:sz w:val="19"/>
        </w:rPr>
        <w:sectPr>
          <w:type w:val="continuous"/>
          <w:pgSz w:w="11910" w:h="16840"/>
          <w:pgMar w:top="920" w:right="680" w:bottom="420" w:left="880" w:header="0" w:footer="230" w:gutter="0"/>
          <w:cols w:space="720" w:num="1"/>
        </w:sectPr>
      </w:pPr>
    </w:p>
    <w:p>
      <w:pPr>
        <w:pStyle w:val="3"/>
        <w:spacing w:before="56" w:line="194" w:lineRule="auto"/>
        <w:jc w:val="both"/>
      </w:pPr>
      <w:r>
        <w:rPr>
          <w:spacing w:val="15"/>
        </w:rPr>
        <w:t>少儿特定重大疾病住院医疗</w:t>
      </w:r>
      <w:r>
        <w:rPr>
          <w:spacing w:val="-4"/>
        </w:rPr>
        <w:t>保险金</w:t>
      </w:r>
    </w:p>
    <w:p>
      <w:pPr>
        <w:pStyle w:val="4"/>
        <w:spacing w:before="72" w:line="278" w:lineRule="auto"/>
        <w:ind w:left="177" w:right="615"/>
        <w:jc w:val="both"/>
      </w:pPr>
      <w:r>
        <w:br w:type="column"/>
      </w:r>
      <w:r>
        <w:rPr>
          <w:spacing w:val="-2"/>
        </w:rPr>
        <w:t>被保险人因意外伤害或于等待期后因意外伤害以外的原因，且被保险人在</w:t>
      </w:r>
      <w:r>
        <w:rPr>
          <w:spacing w:val="-5"/>
        </w:rPr>
        <w:t xml:space="preserve">当前保险期间开始时未满 </w:t>
      </w:r>
      <w:r>
        <w:rPr>
          <w:spacing w:val="-2"/>
        </w:rPr>
        <w:t>16</w:t>
      </w:r>
      <w:r>
        <w:rPr>
          <w:spacing w:val="-14"/>
        </w:rPr>
        <w:t xml:space="preserve"> 周岁，经本公司认可的医院初次确诊为本合同</w:t>
      </w:r>
    </w:p>
    <w:p>
      <w:pPr>
        <w:spacing w:before="0" w:line="316" w:lineRule="exact"/>
        <w:ind w:left="177" w:right="0" w:firstLine="0"/>
        <w:jc w:val="both"/>
        <w:rPr>
          <w:sz w:val="21"/>
        </w:rPr>
      </w:pPr>
      <w:r>
        <w:rPr>
          <w:spacing w:val="-6"/>
          <w:sz w:val="21"/>
        </w:rPr>
        <w:t>约定的</w:t>
      </w:r>
      <w:r>
        <w:rPr>
          <w:rFonts w:ascii="微软雅黑" w:eastAsia="微软雅黑"/>
          <w:b/>
          <w:spacing w:val="-6"/>
          <w:sz w:val="21"/>
        </w:rPr>
        <w:t>少儿特定重大疾病</w:t>
      </w:r>
      <w:r>
        <w:rPr>
          <w:spacing w:val="-6"/>
          <w:sz w:val="21"/>
        </w:rPr>
        <w:t>（</w:t>
      </w:r>
      <w:r>
        <w:rPr>
          <w:spacing w:val="-22"/>
          <w:sz w:val="21"/>
        </w:rPr>
        <w:t xml:space="preserve">见 </w:t>
      </w:r>
      <w:r>
        <w:rPr>
          <w:spacing w:val="15"/>
          <w:sz w:val="21"/>
        </w:rPr>
        <w:t>7</w:t>
      </w:r>
      <w:r>
        <w:rPr>
          <w:spacing w:val="20"/>
          <w:sz w:val="21"/>
        </w:rPr>
        <w:t>.2</w:t>
      </w:r>
      <w:r>
        <w:rPr>
          <w:spacing w:val="-100"/>
          <w:sz w:val="21"/>
        </w:rPr>
        <w:t>）</w:t>
      </w:r>
      <w:r>
        <w:rPr>
          <w:spacing w:val="15"/>
          <w:sz w:val="21"/>
        </w:rPr>
        <w:t>（</w:t>
      </w:r>
      <w:r>
        <w:rPr>
          <w:spacing w:val="-6"/>
          <w:sz w:val="21"/>
        </w:rPr>
        <w:t>无论一种或者多种）</w:t>
      </w:r>
      <w:r>
        <w:rPr>
          <w:spacing w:val="-7"/>
          <w:sz w:val="21"/>
        </w:rPr>
        <w:t>且在本公司认可</w:t>
      </w:r>
    </w:p>
    <w:p>
      <w:pPr>
        <w:pStyle w:val="4"/>
        <w:spacing w:line="278" w:lineRule="auto"/>
        <w:ind w:left="177" w:right="619"/>
        <w:jc w:val="both"/>
      </w:pPr>
      <w:r>
        <w:rPr>
          <w:spacing w:val="-2"/>
        </w:rPr>
        <w:t>的医院住院治疗的，对被保险人发生的合理且必须的住院医疗费用以及住院前后门急诊费用，我们按本合同约定的保险金计算方法给付少儿特定重大疾病住院医疗保险金。</w:t>
      </w:r>
    </w:p>
    <w:p>
      <w:pPr>
        <w:spacing w:after="0" w:line="278" w:lineRule="auto"/>
        <w:jc w:val="both"/>
        <w:sectPr>
          <w:type w:val="continuous"/>
          <w:pgSz w:w="11910" w:h="16840"/>
          <w:pgMar w:top="920" w:right="680" w:bottom="420" w:left="880" w:header="0" w:footer="230" w:gutter="0"/>
          <w:cols w:equalWidth="0" w:num="2">
            <w:col w:w="2769" w:space="40"/>
            <w:col w:w="7541"/>
          </w:cols>
        </w:sectPr>
      </w:pPr>
    </w:p>
    <w:p>
      <w:pPr>
        <w:pStyle w:val="4"/>
        <w:spacing w:before="7"/>
        <w:rPr>
          <w:sz w:val="19"/>
        </w:rPr>
      </w:pPr>
    </w:p>
    <w:p>
      <w:pPr>
        <w:spacing w:after="0"/>
        <w:rPr>
          <w:sz w:val="19"/>
        </w:rPr>
        <w:sectPr>
          <w:type w:val="continuous"/>
          <w:pgSz w:w="11910" w:h="16840"/>
          <w:pgMar w:top="920" w:right="680" w:bottom="420" w:left="880" w:header="0" w:footer="230" w:gutter="0"/>
          <w:cols w:space="720" w:num="1"/>
        </w:sectPr>
      </w:pPr>
    </w:p>
    <w:p>
      <w:pPr>
        <w:pStyle w:val="3"/>
        <w:spacing w:before="59" w:line="192" w:lineRule="auto"/>
      </w:pPr>
      <w:r>
        <w:rPr>
          <w:spacing w:val="-2"/>
        </w:rPr>
        <w:t>一般重大疾病特定门诊医疗</w:t>
      </w:r>
    </w:p>
    <w:p>
      <w:pPr>
        <w:pStyle w:val="4"/>
        <w:spacing w:before="72" w:line="273" w:lineRule="auto"/>
        <w:ind w:left="286" w:right="619"/>
      </w:pPr>
      <w:r>
        <w:br w:type="column"/>
      </w:r>
      <w:r>
        <w:rPr>
          <w:spacing w:val="-2"/>
        </w:rPr>
        <w:t>被保险人因意外伤害或于等待期后因意外伤害以外的原因，经本公司认可</w:t>
      </w:r>
      <w:r>
        <w:rPr>
          <w:spacing w:val="-3"/>
        </w:rPr>
        <w:t>的医院初次确诊为本合同约定的一般重大疾病且在本公司认可的医院接受</w:t>
      </w:r>
    </w:p>
    <w:p>
      <w:pPr>
        <w:spacing w:after="0" w:line="273" w:lineRule="auto"/>
        <w:sectPr>
          <w:type w:val="continuous"/>
          <w:pgSz w:w="11910" w:h="16840"/>
          <w:pgMar w:top="920" w:right="680" w:bottom="420" w:left="880" w:header="0" w:footer="230" w:gutter="0"/>
          <w:cols w:equalWidth="0" w:num="2">
            <w:col w:w="2659" w:space="40"/>
            <w:col w:w="7651"/>
          </w:cols>
        </w:sectPr>
      </w:pPr>
    </w:p>
    <w:p>
      <w:pPr>
        <w:tabs>
          <w:tab w:val="left" w:pos="2985"/>
        </w:tabs>
        <w:spacing w:before="0" w:line="367" w:lineRule="exact"/>
        <w:ind w:left="1391" w:right="0" w:firstLine="0"/>
        <w:jc w:val="left"/>
        <w:rPr>
          <w:sz w:val="21"/>
        </w:rPr>
      </w:pPr>
      <w:r>
        <w:rPr>
          <w:rFonts w:ascii="Microsoft JhengHei" w:eastAsia="Microsoft JhengHei"/>
          <w:b/>
          <w:sz w:val="21"/>
        </w:rPr>
        <w:t>保险</w:t>
      </w:r>
      <w:r>
        <w:rPr>
          <w:rFonts w:ascii="Microsoft JhengHei" w:eastAsia="Microsoft JhengHei"/>
          <w:b/>
          <w:spacing w:val="-10"/>
          <w:sz w:val="21"/>
        </w:rPr>
        <w:t>金</w:t>
      </w:r>
      <w:r>
        <w:rPr>
          <w:rFonts w:ascii="Microsoft JhengHei" w:eastAsia="Microsoft JhengHei"/>
          <w:b/>
          <w:sz w:val="21"/>
        </w:rPr>
        <w:tab/>
      </w:r>
      <w:r>
        <w:rPr>
          <w:spacing w:val="-2"/>
          <w:sz w:val="21"/>
        </w:rPr>
        <w:t>以下特定门诊治疗的</w:t>
      </w:r>
      <w:r>
        <w:rPr>
          <w:spacing w:val="-10"/>
          <w:sz w:val="21"/>
        </w:rPr>
        <w:t>：</w:t>
      </w:r>
    </w:p>
    <w:p>
      <w:pPr>
        <w:pStyle w:val="8"/>
        <w:numPr>
          <w:ilvl w:val="3"/>
          <w:numId w:val="2"/>
        </w:numPr>
        <w:tabs>
          <w:tab w:val="left" w:pos="3515"/>
        </w:tabs>
        <w:spacing w:before="0" w:after="0" w:line="267" w:lineRule="exact"/>
        <w:ind w:left="3514" w:right="0" w:hanging="530"/>
        <w:jc w:val="left"/>
        <w:rPr>
          <w:sz w:val="21"/>
        </w:rPr>
      </w:pPr>
      <w:r>
        <w:rPr>
          <w:spacing w:val="-4"/>
          <w:sz w:val="21"/>
        </w:rPr>
        <w:t>门诊肾透析；</w:t>
      </w:r>
    </w:p>
    <w:p>
      <w:pPr>
        <w:pStyle w:val="8"/>
        <w:numPr>
          <w:ilvl w:val="3"/>
          <w:numId w:val="2"/>
        </w:numPr>
        <w:tabs>
          <w:tab w:val="left" w:pos="3515"/>
        </w:tabs>
        <w:spacing w:before="43" w:after="0" w:line="278" w:lineRule="auto"/>
        <w:ind w:left="2985" w:right="620" w:firstLine="0"/>
        <w:jc w:val="left"/>
        <w:rPr>
          <w:sz w:val="21"/>
        </w:rPr>
      </w:pPr>
      <w:r>
        <w:rPr>
          <w:spacing w:val="-4"/>
          <w:sz w:val="21"/>
        </w:rPr>
        <w:t>门诊“恶性肿瘤——重度”的化学疗法、放射疗法、免疫疗法、内分</w:t>
      </w:r>
      <w:r>
        <w:rPr>
          <w:spacing w:val="-2"/>
          <w:sz w:val="21"/>
        </w:rPr>
        <w:t>泌疗法、靶向疗法；</w:t>
      </w:r>
    </w:p>
    <w:p>
      <w:pPr>
        <w:pStyle w:val="8"/>
        <w:numPr>
          <w:ilvl w:val="3"/>
          <w:numId w:val="2"/>
        </w:numPr>
        <w:tabs>
          <w:tab w:val="left" w:pos="3515"/>
        </w:tabs>
        <w:spacing w:before="0" w:after="0" w:line="269" w:lineRule="exact"/>
        <w:ind w:left="3514" w:right="0" w:hanging="530"/>
        <w:jc w:val="left"/>
        <w:rPr>
          <w:sz w:val="21"/>
        </w:rPr>
      </w:pPr>
      <w:r>
        <w:rPr>
          <w:spacing w:val="-3"/>
          <w:sz w:val="21"/>
        </w:rPr>
        <w:t>器官移植后的门诊抗排异治疗；</w:t>
      </w:r>
    </w:p>
    <w:p>
      <w:pPr>
        <w:pStyle w:val="8"/>
        <w:numPr>
          <w:ilvl w:val="3"/>
          <w:numId w:val="2"/>
        </w:numPr>
        <w:tabs>
          <w:tab w:val="left" w:pos="3515"/>
        </w:tabs>
        <w:spacing w:before="43" w:after="0" w:line="240" w:lineRule="auto"/>
        <w:ind w:left="3514" w:right="0" w:hanging="530"/>
        <w:jc w:val="left"/>
        <w:rPr>
          <w:sz w:val="21"/>
        </w:rPr>
      </w:pPr>
      <w:r>
        <w:rPr>
          <w:spacing w:val="-4"/>
          <w:sz w:val="21"/>
        </w:rPr>
        <w:t>门诊手术。</w:t>
      </w:r>
    </w:p>
    <w:p>
      <w:pPr>
        <w:pStyle w:val="4"/>
        <w:spacing w:before="9"/>
        <w:rPr>
          <w:sz w:val="15"/>
        </w:rPr>
      </w:pPr>
    </w:p>
    <w:p>
      <w:pPr>
        <w:pStyle w:val="4"/>
        <w:spacing w:line="276" w:lineRule="auto"/>
        <w:ind w:left="2985" w:right="619"/>
        <w:jc w:val="both"/>
      </w:pPr>
      <w:r>
        <w:rPr>
          <w:spacing w:val="-6"/>
          <w:w w:val="100"/>
        </w:rPr>
        <w:t>对被保险人发生的上述合理且必须的一般重大疾病特定门诊医疗费用，我</w:t>
      </w:r>
      <w:r>
        <w:rPr>
          <w:spacing w:val="3"/>
          <w:w w:val="100"/>
        </w:rPr>
        <w:t>们按本合同约定的保险金计算方法给付一般重大疾病特定门诊医疗保险金。</w:t>
      </w:r>
    </w:p>
    <w:p>
      <w:pPr>
        <w:pStyle w:val="4"/>
        <w:spacing w:before="7"/>
        <w:rPr>
          <w:sz w:val="20"/>
        </w:rPr>
      </w:pPr>
    </w:p>
    <w:p>
      <w:pPr>
        <w:spacing w:after="0"/>
        <w:rPr>
          <w:sz w:val="20"/>
        </w:rPr>
        <w:sectPr>
          <w:pgSz w:w="11910" w:h="16840"/>
          <w:pgMar w:top="660" w:right="680" w:bottom="420" w:left="880" w:header="0" w:footer="230" w:gutter="0"/>
          <w:cols w:space="720" w:num="1"/>
        </w:sectPr>
      </w:pPr>
    </w:p>
    <w:p>
      <w:pPr>
        <w:pStyle w:val="3"/>
        <w:spacing w:line="192" w:lineRule="auto"/>
        <w:jc w:val="both"/>
      </w:pPr>
      <w:r>
        <w:rPr>
          <w:spacing w:val="-2"/>
        </w:rPr>
        <w:t>少儿特定重大疾病特定门诊医疗保险金</w:t>
      </w:r>
    </w:p>
    <w:p>
      <w:pPr>
        <w:pStyle w:val="4"/>
        <w:spacing w:before="72" w:line="276" w:lineRule="auto"/>
        <w:ind w:left="286" w:right="615"/>
        <w:jc w:val="both"/>
      </w:pPr>
      <w:r>
        <w:br w:type="column"/>
      </w:r>
      <w:r>
        <w:rPr>
          <w:spacing w:val="-6"/>
          <w:w w:val="100"/>
        </w:rPr>
        <w:t>被保险人因意外伤害或于等待期后因意外伤害以外的原因，且被保险人在</w:t>
      </w:r>
      <w:r>
        <w:rPr>
          <w:spacing w:val="-2"/>
          <w:w w:val="100"/>
        </w:rPr>
        <w:t>当前保险期间开始时未满</w:t>
      </w:r>
      <w:r>
        <w:rPr>
          <w:spacing w:val="-52"/>
        </w:rPr>
        <w:t xml:space="preserve"> </w:t>
      </w:r>
      <w:r>
        <w:rPr>
          <w:w w:val="100"/>
        </w:rPr>
        <w:t>16</w:t>
      </w:r>
      <w:r>
        <w:rPr>
          <w:spacing w:val="-53"/>
        </w:rPr>
        <w:t xml:space="preserve"> </w:t>
      </w:r>
      <w:r>
        <w:rPr>
          <w:spacing w:val="-13"/>
          <w:w w:val="100"/>
        </w:rPr>
        <w:t>周岁，经本公司认可的医院初次确诊为本合同</w:t>
      </w:r>
      <w:r>
        <w:rPr>
          <w:spacing w:val="3"/>
          <w:w w:val="100"/>
        </w:rPr>
        <w:t>约定的少儿特定重大疾病且在本公司认可的医院接受以下特定门诊治疗的：</w:t>
      </w:r>
    </w:p>
    <w:p>
      <w:pPr>
        <w:pStyle w:val="8"/>
        <w:numPr>
          <w:ilvl w:val="0"/>
          <w:numId w:val="4"/>
        </w:numPr>
        <w:tabs>
          <w:tab w:val="left" w:pos="816"/>
        </w:tabs>
        <w:spacing w:before="5" w:after="0" w:line="240" w:lineRule="auto"/>
        <w:ind w:left="815" w:right="0" w:hanging="530"/>
        <w:jc w:val="left"/>
        <w:rPr>
          <w:sz w:val="21"/>
        </w:rPr>
      </w:pPr>
      <w:r>
        <w:rPr>
          <w:spacing w:val="-4"/>
          <w:sz w:val="21"/>
        </w:rPr>
        <w:t>门诊肾透析；</w:t>
      </w:r>
    </w:p>
    <w:p>
      <w:pPr>
        <w:pStyle w:val="8"/>
        <w:numPr>
          <w:ilvl w:val="0"/>
          <w:numId w:val="4"/>
        </w:numPr>
        <w:tabs>
          <w:tab w:val="left" w:pos="816"/>
        </w:tabs>
        <w:spacing w:before="44" w:after="0" w:line="278" w:lineRule="auto"/>
        <w:ind w:left="286" w:right="620" w:firstLine="0"/>
        <w:jc w:val="left"/>
        <w:rPr>
          <w:sz w:val="21"/>
        </w:rPr>
      </w:pPr>
      <w:r>
        <w:rPr>
          <w:spacing w:val="-4"/>
          <w:sz w:val="21"/>
        </w:rPr>
        <w:t>门诊“恶性肿瘤——重度”的化学疗法、放射疗法、免疫疗法、内分</w:t>
      </w:r>
      <w:r>
        <w:rPr>
          <w:spacing w:val="-2"/>
          <w:sz w:val="21"/>
        </w:rPr>
        <w:t>泌疗法、靶向疗法；</w:t>
      </w:r>
    </w:p>
    <w:p>
      <w:pPr>
        <w:pStyle w:val="8"/>
        <w:numPr>
          <w:ilvl w:val="0"/>
          <w:numId w:val="4"/>
        </w:numPr>
        <w:tabs>
          <w:tab w:val="left" w:pos="816"/>
        </w:tabs>
        <w:spacing w:before="0" w:after="0" w:line="269" w:lineRule="exact"/>
        <w:ind w:left="815" w:right="0" w:hanging="530"/>
        <w:jc w:val="left"/>
        <w:rPr>
          <w:sz w:val="21"/>
        </w:rPr>
      </w:pPr>
      <w:r>
        <w:rPr>
          <w:spacing w:val="-3"/>
          <w:sz w:val="21"/>
        </w:rPr>
        <w:t>器官移植后的门诊抗排异治疗；</w:t>
      </w:r>
    </w:p>
    <w:p>
      <w:pPr>
        <w:pStyle w:val="8"/>
        <w:numPr>
          <w:ilvl w:val="0"/>
          <w:numId w:val="4"/>
        </w:numPr>
        <w:tabs>
          <w:tab w:val="left" w:pos="816"/>
        </w:tabs>
        <w:spacing w:before="43" w:after="0" w:line="240" w:lineRule="auto"/>
        <w:ind w:left="815" w:right="0" w:hanging="530"/>
        <w:jc w:val="left"/>
        <w:rPr>
          <w:sz w:val="21"/>
        </w:rPr>
      </w:pPr>
      <w:r>
        <w:rPr>
          <w:spacing w:val="-4"/>
          <w:sz w:val="21"/>
        </w:rPr>
        <w:t>门诊手术。</w:t>
      </w:r>
    </w:p>
    <w:p>
      <w:pPr>
        <w:pStyle w:val="4"/>
        <w:spacing w:before="9"/>
        <w:rPr>
          <w:sz w:val="15"/>
        </w:rPr>
      </w:pPr>
    </w:p>
    <w:p>
      <w:pPr>
        <w:pStyle w:val="4"/>
        <w:spacing w:line="278" w:lineRule="auto"/>
        <w:ind w:left="286" w:right="619"/>
        <w:jc w:val="both"/>
      </w:pPr>
      <w:r>
        <w:rPr>
          <w:spacing w:val="3"/>
          <w:w w:val="100"/>
        </w:rPr>
        <w:t>对被保险人发生的上述合理且必须的少儿特定重大疾病特定门诊医疗费</w:t>
      </w:r>
      <w:r>
        <w:rPr>
          <w:spacing w:val="-5"/>
          <w:w w:val="100"/>
        </w:rPr>
        <w:t>用，我们按本合同约定的保险金计算方法给付少儿特定重大疾病特定门诊</w:t>
      </w:r>
      <w:r>
        <w:rPr>
          <w:spacing w:val="-1"/>
          <w:w w:val="100"/>
        </w:rPr>
        <w:t>医疗保险金。</w:t>
      </w:r>
    </w:p>
    <w:p>
      <w:pPr>
        <w:pStyle w:val="4"/>
        <w:spacing w:before="6"/>
        <w:rPr>
          <w:sz w:val="25"/>
        </w:rPr>
      </w:pPr>
    </w:p>
    <w:p>
      <w:pPr>
        <w:pStyle w:val="4"/>
        <w:spacing w:line="278" w:lineRule="auto"/>
        <w:ind w:left="286" w:right="508"/>
        <w:jc w:val="both"/>
      </w:pPr>
      <w:r>
        <w:rPr>
          <w:spacing w:val="-2"/>
        </w:rPr>
        <w:t>当我们在本合同保险期间内累计给付的一般重大疾病住院医疗保险金、少儿特定重大疾病住院医疗保险金、一般重大疾病特定门诊医疗保险金与少儿特定重大疾病特定门诊医疗保险金之和达到重大疾病医疗保险金单项给</w:t>
      </w:r>
      <w:r>
        <w:rPr>
          <w:spacing w:val="-5"/>
        </w:rPr>
        <w:t>付限额时，该项责任终止，我们不再承担重大疾病医疗保险金的给付责任。</w:t>
      </w:r>
    </w:p>
    <w:p>
      <w:pPr>
        <w:spacing w:after="0" w:line="278" w:lineRule="auto"/>
        <w:jc w:val="both"/>
        <w:sectPr>
          <w:type w:val="continuous"/>
          <w:pgSz w:w="11910" w:h="16840"/>
          <w:pgMar w:top="920" w:right="680" w:bottom="420" w:left="880" w:header="0" w:footer="230" w:gutter="0"/>
          <w:cols w:equalWidth="0" w:num="2">
            <w:col w:w="2660" w:space="40"/>
            <w:col w:w="7650"/>
          </w:cols>
        </w:sectPr>
      </w:pPr>
    </w:p>
    <w:p>
      <w:pPr>
        <w:pStyle w:val="4"/>
        <w:spacing w:before="11"/>
        <w:rPr>
          <w:sz w:val="19"/>
        </w:rPr>
      </w:pPr>
    </w:p>
    <w:p>
      <w:pPr>
        <w:pStyle w:val="3"/>
        <w:numPr>
          <w:ilvl w:val="2"/>
          <w:numId w:val="2"/>
        </w:numPr>
        <w:tabs>
          <w:tab w:val="left" w:pos="1391"/>
          <w:tab w:val="left" w:pos="1392"/>
        </w:tabs>
        <w:spacing w:before="2" w:after="0" w:line="240" w:lineRule="auto"/>
        <w:ind w:left="1391" w:right="0" w:hanging="428"/>
        <w:jc w:val="left"/>
      </w:pPr>
      <w:r>
        <w:rPr>
          <w:spacing w:val="-1"/>
        </w:rPr>
        <w:t>质子重离子医疗保险金</w:t>
      </w:r>
    </w:p>
    <w:p>
      <w:pPr>
        <w:pStyle w:val="4"/>
        <w:spacing w:before="12"/>
        <w:rPr>
          <w:rFonts w:ascii="Microsoft JhengHei"/>
          <w:b/>
          <w:sz w:val="13"/>
        </w:rPr>
      </w:pPr>
    </w:p>
    <w:p>
      <w:pPr>
        <w:spacing w:after="0"/>
        <w:rPr>
          <w:rFonts w:ascii="Microsoft JhengHei"/>
          <w:sz w:val="13"/>
        </w:rPr>
        <w:sectPr>
          <w:type w:val="continuous"/>
          <w:pgSz w:w="11910" w:h="16840"/>
          <w:pgMar w:top="920" w:right="680" w:bottom="420" w:left="880" w:header="0" w:footer="230" w:gutter="0"/>
          <w:cols w:space="720" w:num="1"/>
        </w:sectPr>
      </w:pPr>
    </w:p>
    <w:p>
      <w:pPr>
        <w:spacing w:before="58" w:line="192" w:lineRule="auto"/>
        <w:ind w:left="1391" w:right="0" w:firstLine="0"/>
        <w:jc w:val="left"/>
        <w:rPr>
          <w:rFonts w:ascii="Microsoft JhengHei" w:eastAsia="Microsoft JhengHei"/>
          <w:b/>
          <w:sz w:val="21"/>
        </w:rPr>
      </w:pPr>
      <w:r>
        <w:rPr>
          <w:rFonts w:ascii="Microsoft JhengHei" w:eastAsia="Microsoft JhengHei"/>
          <w:b/>
          <w:spacing w:val="-2"/>
          <w:sz w:val="21"/>
        </w:rPr>
        <w:t>质子重离子医</w:t>
      </w:r>
      <w:r>
        <w:rPr>
          <w:rFonts w:ascii="Microsoft JhengHei" w:eastAsia="Microsoft JhengHei"/>
          <w:b/>
          <w:spacing w:val="-4"/>
          <w:sz w:val="21"/>
        </w:rPr>
        <w:t>疗保险金</w:t>
      </w:r>
    </w:p>
    <w:p>
      <w:pPr>
        <w:pStyle w:val="4"/>
        <w:spacing w:before="72" w:line="273" w:lineRule="auto"/>
        <w:ind w:left="286" w:right="619"/>
      </w:pPr>
      <w:r>
        <w:br w:type="column"/>
      </w:r>
      <w:r>
        <w:rPr>
          <w:spacing w:val="-2"/>
        </w:rPr>
        <w:t>被保险人因意外伤害或于等待期后因意外伤害以外的原因，经本公司认可</w:t>
      </w:r>
      <w:r>
        <w:rPr>
          <w:spacing w:val="-11"/>
        </w:rPr>
        <w:t>的医院初次确诊为本合同约定的“恶性肿瘤——重度”，且在本公司认可的</w:t>
      </w:r>
    </w:p>
    <w:p>
      <w:pPr>
        <w:spacing w:before="0" w:line="194" w:lineRule="auto"/>
        <w:ind w:left="286" w:right="615" w:firstLine="0"/>
        <w:jc w:val="left"/>
        <w:rPr>
          <w:sz w:val="21"/>
        </w:rPr>
      </w:pPr>
      <w:r>
        <w:rPr>
          <w:rFonts w:ascii="微软雅黑" w:eastAsia="微软雅黑"/>
          <w:b/>
          <w:spacing w:val="-2"/>
          <w:sz w:val="21"/>
        </w:rPr>
        <w:t>特定医疗机构</w:t>
      </w:r>
      <w:r>
        <w:rPr>
          <w:spacing w:val="-2"/>
          <w:sz w:val="21"/>
        </w:rPr>
        <w:t>（</w:t>
      </w:r>
      <w:r>
        <w:rPr>
          <w:spacing w:val="-14"/>
          <w:sz w:val="21"/>
        </w:rPr>
        <w:t xml:space="preserve">见释义 </w:t>
      </w:r>
      <w:r>
        <w:rPr>
          <w:spacing w:val="-2"/>
          <w:sz w:val="21"/>
        </w:rPr>
        <w:t>8.13）接受质子重离子治疗的，对被保险人发生的</w:t>
      </w:r>
      <w:r>
        <w:rPr>
          <w:spacing w:val="-4"/>
          <w:sz w:val="21"/>
        </w:rPr>
        <w:t>合理且必须的</w:t>
      </w:r>
      <w:r>
        <w:rPr>
          <w:rFonts w:ascii="微软雅黑" w:eastAsia="微软雅黑"/>
          <w:b/>
          <w:spacing w:val="-4"/>
          <w:sz w:val="21"/>
        </w:rPr>
        <w:t>质子重离子医疗费用</w:t>
      </w:r>
      <w:r>
        <w:rPr>
          <w:spacing w:val="-4"/>
          <w:sz w:val="21"/>
        </w:rPr>
        <w:t>（</w:t>
      </w:r>
      <w:r>
        <w:rPr>
          <w:spacing w:val="-3"/>
          <w:sz w:val="21"/>
        </w:rPr>
        <w:t xml:space="preserve">见释义 </w:t>
      </w:r>
      <w:r>
        <w:rPr>
          <w:spacing w:val="15"/>
          <w:sz w:val="21"/>
        </w:rPr>
        <w:t>8.14</w:t>
      </w:r>
      <w:r>
        <w:rPr>
          <w:spacing w:val="-96"/>
          <w:sz w:val="21"/>
        </w:rPr>
        <w:t>）</w:t>
      </w:r>
      <w:r>
        <w:rPr>
          <w:spacing w:val="-5"/>
          <w:sz w:val="21"/>
        </w:rPr>
        <w:t>，我们按本合同约定的</w:t>
      </w:r>
    </w:p>
    <w:p>
      <w:pPr>
        <w:pStyle w:val="4"/>
        <w:spacing w:before="2"/>
        <w:ind w:left="286"/>
      </w:pPr>
      <w:r>
        <w:rPr>
          <w:spacing w:val="-3"/>
        </w:rPr>
        <w:t>保险金计算方法给付质子重离子医疗保险金。</w:t>
      </w:r>
    </w:p>
    <w:p>
      <w:pPr>
        <w:pStyle w:val="4"/>
        <w:spacing w:before="3"/>
        <w:rPr>
          <w:sz w:val="29"/>
        </w:rPr>
      </w:pPr>
    </w:p>
    <w:p>
      <w:pPr>
        <w:pStyle w:val="4"/>
        <w:spacing w:line="276" w:lineRule="auto"/>
        <w:ind w:left="286" w:right="620"/>
        <w:jc w:val="both"/>
      </w:pPr>
      <w:r>
        <w:rPr>
          <w:spacing w:val="-2"/>
        </w:rPr>
        <w:t>当我们在本合同保险期间内累计给付的质子重离子医疗保险金达到质子重离子医疗保险金单项给付限额时，该项责任终止，我们不再承担质子重离子医疗保险金的给付责任。</w:t>
      </w:r>
    </w:p>
    <w:p>
      <w:pPr>
        <w:spacing w:after="0" w:line="276" w:lineRule="auto"/>
        <w:jc w:val="both"/>
        <w:sectPr>
          <w:type w:val="continuous"/>
          <w:pgSz w:w="11910" w:h="16840"/>
          <w:pgMar w:top="920" w:right="680" w:bottom="420" w:left="880" w:header="0" w:footer="230" w:gutter="0"/>
          <w:cols w:equalWidth="0" w:num="2">
            <w:col w:w="2659" w:space="40"/>
            <w:col w:w="7651"/>
          </w:cols>
        </w:sectPr>
      </w:pPr>
    </w:p>
    <w:p>
      <w:pPr>
        <w:pStyle w:val="4"/>
        <w:spacing w:before="7"/>
        <w:rPr>
          <w:sz w:val="20"/>
        </w:rPr>
      </w:pPr>
    </w:p>
    <w:p>
      <w:pPr>
        <w:pStyle w:val="4"/>
        <w:spacing w:before="72" w:line="273" w:lineRule="auto"/>
        <w:ind w:left="1391" w:right="620"/>
      </w:pPr>
      <w:r>
        <w:rPr>
          <w:spacing w:val="-6"/>
        </w:rPr>
        <w:t>我们在本合同保险期间内累计给付的一般医疗保险金、重大疾病医疗保险金与质子重离子医</w:t>
      </w:r>
      <w:r>
        <w:rPr>
          <w:spacing w:val="-2"/>
        </w:rPr>
        <w:t>疗保险金之和以总给付限额为限。</w:t>
      </w:r>
    </w:p>
    <w:p>
      <w:pPr>
        <w:spacing w:after="0" w:line="273" w:lineRule="auto"/>
        <w:sectPr>
          <w:type w:val="continuous"/>
          <w:pgSz w:w="11910" w:h="16840"/>
          <w:pgMar w:top="920" w:right="680" w:bottom="420" w:left="880" w:header="0" w:footer="230" w:gutter="0"/>
          <w:cols w:space="720" w:num="1"/>
        </w:sectPr>
      </w:pPr>
    </w:p>
    <w:p>
      <w:pPr>
        <w:pStyle w:val="4"/>
        <w:tabs>
          <w:tab w:val="left" w:pos="2985"/>
        </w:tabs>
        <w:spacing w:line="232" w:lineRule="auto"/>
        <w:ind w:left="2985" w:right="622" w:hanging="1594"/>
        <w:jc w:val="both"/>
      </w:pPr>
      <w:r>
        <w:rPr>
          <w:rFonts w:ascii="Microsoft JhengHei" w:eastAsia="Microsoft JhengHei"/>
          <w:b/>
          <w:spacing w:val="-4"/>
        </w:rPr>
        <w:t>特别约定</w:t>
      </w:r>
      <w:r>
        <w:rPr>
          <w:rFonts w:ascii="Microsoft JhengHei" w:eastAsia="Microsoft JhengHei"/>
          <w:b/>
        </w:rPr>
        <w:tab/>
      </w:r>
      <w:r>
        <w:rPr>
          <w:spacing w:val="-2"/>
        </w:rPr>
        <w:t>被保险人在本合同保险期间内接受保险责任范围内的住院治疗，且该次住院治疗延续至本合同保险期间届满日后：经本公司审核同意续保的，其</w:t>
      </w:r>
      <w:r>
        <w:rPr>
          <w:spacing w:val="-10"/>
        </w:rPr>
        <w:t>住</w:t>
      </w:r>
    </w:p>
    <w:p>
      <w:pPr>
        <w:pStyle w:val="4"/>
        <w:spacing w:before="35" w:line="278" w:lineRule="auto"/>
        <w:ind w:left="2985" w:right="616"/>
        <w:jc w:val="both"/>
      </w:pPr>
      <w:r>
        <w:rPr>
          <w:spacing w:val="-2"/>
        </w:rPr>
        <w:t>院医疗费用在两个保险期间分别承担保险责任；本合同不再续保的，对于</w:t>
      </w:r>
      <w:r>
        <w:rPr>
          <w:spacing w:val="-7"/>
        </w:rPr>
        <w:t xml:space="preserve">届满日后 </w:t>
      </w:r>
      <w:r>
        <w:rPr>
          <w:spacing w:val="-6"/>
        </w:rPr>
        <w:t>30</w:t>
      </w:r>
      <w:r>
        <w:rPr>
          <w:spacing w:val="-10"/>
        </w:rPr>
        <w:t xml:space="preserve"> 日内</w:t>
      </w:r>
      <w:r>
        <w:rPr>
          <w:spacing w:val="-6"/>
        </w:rPr>
        <w:t>（含）发生的住院医疗费用，我们仍在本合同约定的保险</w:t>
      </w:r>
      <w:r>
        <w:rPr>
          <w:spacing w:val="-2"/>
        </w:rPr>
        <w:t>责任范围内承担给付住院医疗保险金的责任。</w:t>
      </w:r>
    </w:p>
    <w:p>
      <w:pPr>
        <w:pStyle w:val="4"/>
        <w:rPr>
          <w:sz w:val="20"/>
        </w:rPr>
      </w:pPr>
    </w:p>
    <w:p>
      <w:pPr>
        <w:spacing w:after="0"/>
        <w:rPr>
          <w:sz w:val="20"/>
        </w:rPr>
        <w:sectPr>
          <w:pgSz w:w="11910" w:h="16840"/>
          <w:pgMar w:top="820" w:right="680" w:bottom="420" w:left="880" w:header="0" w:footer="230" w:gutter="0"/>
          <w:cols w:space="720" w:num="1"/>
        </w:sectPr>
      </w:pPr>
    </w:p>
    <w:p>
      <w:pPr>
        <w:pStyle w:val="4"/>
        <w:spacing w:before="4"/>
        <w:rPr>
          <w:sz w:val="14"/>
        </w:rPr>
      </w:pPr>
    </w:p>
    <w:p>
      <w:pPr>
        <w:pStyle w:val="3"/>
        <w:spacing w:before="0" w:line="194" w:lineRule="auto"/>
      </w:pPr>
      <w:r>
        <w:rPr>
          <w:spacing w:val="-2"/>
        </w:rPr>
        <w:t>医疗保险金计</w:t>
      </w:r>
      <w:r>
        <w:rPr>
          <w:spacing w:val="-4"/>
        </w:rPr>
        <w:t>算方法</w:t>
      </w:r>
    </w:p>
    <w:p>
      <w:pPr>
        <w:spacing w:before="15" w:line="240" w:lineRule="auto"/>
        <w:rPr>
          <w:rFonts w:ascii="Microsoft JhengHei"/>
          <w:b/>
          <w:sz w:val="10"/>
        </w:rPr>
      </w:pPr>
      <w:r>
        <w:br w:type="column"/>
      </w:r>
    </w:p>
    <w:p>
      <w:pPr>
        <w:pStyle w:val="4"/>
        <w:spacing w:before="1" w:line="278" w:lineRule="auto"/>
        <w:ind w:left="286" w:right="509"/>
      </w:pPr>
      <w:r>
        <w:rPr>
          <w:spacing w:val="-2"/>
        </w:rPr>
        <w:t>在本合同保险期间内，我们对被保险人每次就诊发生的、属于本合同医疗</w:t>
      </w:r>
      <w:r>
        <w:rPr>
          <w:spacing w:val="-7"/>
        </w:rPr>
        <w:t>保险金责任范围内的医疗费用有效金额，扣除对应责任下的免赔额余额后，</w:t>
      </w:r>
      <w:r>
        <w:rPr>
          <w:spacing w:val="-2"/>
        </w:rPr>
        <w:t>对剩余金额按约定的赔付比例给付医疗保险金，即：</w:t>
      </w:r>
    </w:p>
    <w:p>
      <w:pPr>
        <w:pStyle w:val="4"/>
        <w:spacing w:before="158" w:line="273" w:lineRule="auto"/>
        <w:ind w:left="3340" w:right="677" w:hanging="2997"/>
      </w:pPr>
      <w:r>
        <w:rPr>
          <w:spacing w:val="6"/>
        </w:rPr>
        <w:t xml:space="preserve">应给付的医疗保险金 = </w:t>
      </w:r>
      <w:r>
        <w:t>（</w:t>
      </w:r>
      <w:r>
        <w:rPr>
          <w:spacing w:val="-2"/>
        </w:rPr>
        <w:t>医疗费用有效金额 - 免赔额余额</w:t>
      </w:r>
      <w:r>
        <w:t>）</w:t>
      </w:r>
      <w:r>
        <w:rPr>
          <w:spacing w:val="-3"/>
        </w:rPr>
        <w:t xml:space="preserve"> × 赔付</w:t>
      </w:r>
      <w:r>
        <w:rPr>
          <w:spacing w:val="-4"/>
        </w:rPr>
        <w:t>比例。</w:t>
      </w:r>
    </w:p>
    <w:p>
      <w:pPr>
        <w:pStyle w:val="4"/>
        <w:spacing w:before="175" w:line="228" w:lineRule="auto"/>
        <w:ind w:left="286" w:right="615"/>
        <w:jc w:val="both"/>
      </w:pPr>
      <w:r>
        <w:t>医疗费用有效金额 = 被保险人每次就诊发生的合理且必须的医疗费用 -</w:t>
      </w:r>
      <w:r>
        <w:rPr>
          <w:spacing w:val="-2"/>
        </w:rPr>
        <w:t>被保险人该次从</w:t>
      </w:r>
      <w:r>
        <w:rPr>
          <w:rFonts w:ascii="微软雅黑" w:eastAsia="微软雅黑"/>
          <w:b/>
          <w:spacing w:val="-2"/>
        </w:rPr>
        <w:t>基本医疗保险</w:t>
      </w:r>
      <w:r>
        <w:rPr>
          <w:spacing w:val="-2"/>
        </w:rPr>
        <w:t>（</w:t>
      </w:r>
      <w:r>
        <w:rPr>
          <w:spacing w:val="-8"/>
        </w:rPr>
        <w:t xml:space="preserve">见释义 </w:t>
      </w:r>
      <w:r>
        <w:rPr>
          <w:spacing w:val="19"/>
        </w:rPr>
        <w:t>8.15</w:t>
      </w:r>
      <w:r>
        <w:rPr>
          <w:spacing w:val="-87"/>
        </w:rPr>
        <w:t>）</w:t>
      </w:r>
      <w:r>
        <w:rPr>
          <w:spacing w:val="-2"/>
        </w:rPr>
        <w:t>、</w:t>
      </w:r>
      <w:r>
        <w:rPr>
          <w:rFonts w:ascii="微软雅黑" w:eastAsia="微软雅黑"/>
          <w:b/>
          <w:spacing w:val="-2"/>
        </w:rPr>
        <w:t>政府主办补充医疗</w:t>
      </w:r>
      <w:r>
        <w:rPr>
          <w:spacing w:val="-2"/>
        </w:rPr>
        <w:t>（见释</w:t>
      </w:r>
      <w:r>
        <w:rPr>
          <w:spacing w:val="-21"/>
        </w:rPr>
        <w:t xml:space="preserve">义 </w:t>
      </w:r>
      <w:r>
        <w:t>8.16）或公费医疗获得的费用补偿。</w:t>
      </w:r>
    </w:p>
    <w:p>
      <w:pPr>
        <w:pStyle w:val="4"/>
        <w:rPr>
          <w:sz w:val="16"/>
        </w:rPr>
      </w:pPr>
    </w:p>
    <w:p>
      <w:pPr>
        <w:pStyle w:val="4"/>
        <w:spacing w:line="273" w:lineRule="auto"/>
        <w:ind w:left="286" w:right="621"/>
        <w:jc w:val="both"/>
      </w:pPr>
      <w:r>
        <w:rPr>
          <w:spacing w:val="-2"/>
        </w:rPr>
        <w:t>免赔额余额：指免赔额经前次理赔中被保险人发生的医疗费用的有效金额</w:t>
      </w:r>
      <w:r>
        <w:rPr>
          <w:spacing w:val="-3"/>
        </w:rPr>
        <w:t xml:space="preserve">抵扣过后剩余的金额。免赔额余额最低为 </w:t>
      </w:r>
      <w:r>
        <w:t>0。</w:t>
      </w:r>
    </w:p>
    <w:p>
      <w:pPr>
        <w:pStyle w:val="4"/>
        <w:spacing w:before="164" w:line="278" w:lineRule="auto"/>
        <w:ind w:left="286" w:right="615"/>
        <w:jc w:val="both"/>
      </w:pPr>
      <w:r>
        <w:rPr>
          <w:spacing w:val="-4"/>
        </w:rPr>
        <w:t xml:space="preserve">赔付比例：本合同约定的医疗费用赔付比例为 </w:t>
      </w:r>
      <w:r>
        <w:rPr>
          <w:spacing w:val="-2"/>
        </w:rPr>
        <w:t>100%；如被保险人以基本医疗保险（公费医疗）身份投保，但未以基本医疗保险（公费医疗）身份就</w:t>
      </w:r>
      <w:r>
        <w:rPr>
          <w:spacing w:val="-4"/>
        </w:rPr>
        <w:t xml:space="preserve">诊或结算，赔付比例为 </w:t>
      </w:r>
      <w:r>
        <w:t>60%。</w:t>
      </w:r>
    </w:p>
    <w:p>
      <w:pPr>
        <w:pStyle w:val="4"/>
        <w:spacing w:before="159" w:line="273" w:lineRule="auto"/>
        <w:ind w:left="286" w:right="622"/>
      </w:pPr>
      <w:r>
        <w:rPr>
          <w:spacing w:val="-2"/>
        </w:rPr>
        <w:t>我们每次给付的一般医疗保险金、重大疾病医疗保险金与质子重离子医疗保险金之和以医疗费用有效金额为限。</w:t>
      </w:r>
    </w:p>
    <w:p>
      <w:pPr>
        <w:spacing w:after="0" w:line="273" w:lineRule="auto"/>
        <w:sectPr>
          <w:type w:val="continuous"/>
          <w:pgSz w:w="11910" w:h="16840"/>
          <w:pgMar w:top="920" w:right="680" w:bottom="420" w:left="880" w:header="0" w:footer="230" w:gutter="0"/>
          <w:cols w:equalWidth="0" w:num="2">
            <w:col w:w="2660" w:space="40"/>
            <w:col w:w="7650"/>
          </w:cols>
        </w:sectPr>
      </w:pPr>
    </w:p>
    <w:p>
      <w:pPr>
        <w:pStyle w:val="4"/>
        <w:spacing w:before="5"/>
        <w:rPr>
          <w:sz w:val="20"/>
        </w:rPr>
      </w:pPr>
    </w:p>
    <w:p>
      <w:pPr>
        <w:pStyle w:val="4"/>
        <w:tabs>
          <w:tab w:val="left" w:pos="2985"/>
        </w:tabs>
        <w:spacing w:before="32" w:line="312" w:lineRule="exact"/>
        <w:ind w:left="2985" w:right="619" w:hanging="1594"/>
        <w:jc w:val="both"/>
      </w:pPr>
      <w:r>
        <w:rPr>
          <w:rFonts w:ascii="Microsoft JhengHei" w:eastAsia="Microsoft JhengHei"/>
          <w:b/>
          <w:spacing w:val="-4"/>
        </w:rPr>
        <w:t>补偿原则</w:t>
      </w:r>
      <w:r>
        <w:rPr>
          <w:rFonts w:ascii="Microsoft JhengHei" w:eastAsia="Microsoft JhengHei"/>
          <w:b/>
        </w:rPr>
        <w:tab/>
      </w:r>
      <w:r>
        <w:rPr>
          <w:spacing w:val="-2"/>
        </w:rPr>
        <w:t>若被保险人在本合同保险期间内且在申请该次理赔前所发生的合理且必须的医疗费用已通过其他途径（包括但不限于基本医疗保险、政府主办补充医疗、公费医疗、工作单位、本公司在内的任何商业保险机构及其他第三方等）获得补偿的，我们将按上述约定计算并给付医疗保险金，且最高给付金额不超过被保险人实际发生的合理且必须的医疗费用扣除其所获补偿后的余额。社保个人账户部分支出视为个人支付，不属于已获得的医疗</w:t>
      </w:r>
      <w:r>
        <w:rPr>
          <w:spacing w:val="-10"/>
        </w:rPr>
        <w:t>费</w:t>
      </w:r>
    </w:p>
    <w:p>
      <w:pPr>
        <w:pStyle w:val="4"/>
        <w:spacing w:before="40"/>
        <w:ind w:left="2985"/>
      </w:pPr>
      <w:r>
        <w:rPr>
          <w:spacing w:val="-3"/>
        </w:rPr>
        <w:t>用补偿。</w:t>
      </w:r>
    </w:p>
    <w:p>
      <w:pPr>
        <w:pStyle w:val="4"/>
        <w:spacing w:before="5"/>
        <w:rPr>
          <w:sz w:val="23"/>
        </w:rPr>
      </w:pPr>
    </w:p>
    <w:p>
      <w:pPr>
        <w:pStyle w:val="4"/>
        <w:tabs>
          <w:tab w:val="left" w:pos="2985"/>
        </w:tabs>
        <w:spacing w:line="256" w:lineRule="auto"/>
        <w:ind w:left="2985" w:right="619" w:hanging="1594"/>
        <w:jc w:val="both"/>
      </w:pPr>
      <w:r>
        <w:rPr>
          <w:rFonts w:ascii="Microsoft JhengHei" w:eastAsia="Microsoft JhengHei"/>
          <w:b/>
          <w:spacing w:val="-4"/>
        </w:rPr>
        <w:t>免赔额</w:t>
      </w:r>
      <w:r>
        <w:rPr>
          <w:rFonts w:ascii="Microsoft JhengHei" w:eastAsia="Microsoft JhengHei"/>
          <w:b/>
        </w:rPr>
        <w:tab/>
      </w:r>
      <w:r>
        <w:rPr>
          <w:spacing w:val="-2"/>
        </w:rPr>
        <w:t>本合同中所指免赔额均指年度免赔额，指被保险人自行承担，本合同不予赔偿的部分。被保险人从工作单位、商业保险等其他途径报销部分以及个人自付部分，均可计入免赔额，但被保险人通过基本医疗保险、政府主</w:t>
      </w:r>
      <w:r>
        <w:rPr>
          <w:spacing w:val="-10"/>
        </w:rPr>
        <w:t>办</w:t>
      </w:r>
    </w:p>
    <w:p>
      <w:pPr>
        <w:pStyle w:val="4"/>
        <w:spacing w:before="17" w:line="278" w:lineRule="auto"/>
        <w:ind w:left="2985" w:right="619"/>
      </w:pPr>
      <w:r>
        <w:rPr>
          <w:spacing w:val="-2"/>
        </w:rPr>
        <w:t>补充医疗和公费医疗获得的补偿，不可用于抵扣免赔额。从本合同获得的重大疾病医疗保险金和质子重离子医疗保险金，可用于抵扣免赔额。</w:t>
      </w:r>
    </w:p>
    <w:p>
      <w:pPr>
        <w:pStyle w:val="4"/>
        <w:spacing w:before="158" w:line="273" w:lineRule="auto"/>
        <w:ind w:left="2985" w:right="624"/>
      </w:pPr>
      <w:r>
        <w:rPr>
          <w:spacing w:val="-4"/>
        </w:rPr>
        <w:t>本合同约定的免赔额见附表</w:t>
      </w:r>
      <w:r>
        <w:rPr>
          <w:spacing w:val="-18"/>
        </w:rPr>
        <w:t>：《渤海人寿安康无忧医疗保险</w:t>
      </w:r>
      <w:r>
        <w:rPr>
          <w:spacing w:val="-4"/>
        </w:rPr>
        <w:t>（2021</w:t>
      </w:r>
      <w:r>
        <w:rPr>
          <w:spacing w:val="-27"/>
        </w:rPr>
        <w:t xml:space="preserve"> 版</w:t>
      </w:r>
      <w:r>
        <w:rPr>
          <w:spacing w:val="-4"/>
        </w:rPr>
        <w:t>）免赔</w:t>
      </w:r>
      <w:r>
        <w:rPr>
          <w:spacing w:val="-14"/>
        </w:rPr>
        <w:t>额与给付限额表》。</w:t>
      </w:r>
    </w:p>
    <w:p>
      <w:pPr>
        <w:pStyle w:val="4"/>
        <w:spacing w:before="165" w:line="278" w:lineRule="auto"/>
        <w:ind w:left="2985" w:right="619"/>
        <w:jc w:val="both"/>
      </w:pPr>
      <w:r>
        <w:rPr>
          <w:spacing w:val="-2"/>
        </w:rPr>
        <w:t>您同时为多个家庭成员投保本产品时，可向我们申请家庭成员共享一般医疗保险金的免赔额。可共享免赔额的家庭成员的年龄组合和成员构成应符合我们的要求，经我们审核同意并按共享免赔额的被保险人人数收取对应</w:t>
      </w:r>
      <w:r>
        <w:rPr>
          <w:spacing w:val="-17"/>
        </w:rPr>
        <w:t>的保险费后，各被保险人发生的符合其《渤海人寿安康无忧医疗保险</w:t>
      </w:r>
      <w:r>
        <w:rPr>
          <w:spacing w:val="-2"/>
        </w:rPr>
        <w:t>（2021版</w:t>
      </w:r>
      <w:r>
        <w:rPr>
          <w:spacing w:val="-106"/>
        </w:rPr>
        <w:t>）</w:t>
      </w:r>
      <w:r>
        <w:rPr>
          <w:spacing w:val="-2"/>
        </w:rPr>
        <w:t>》保险合同约定的医疗费用有效金额，可用于抵扣本合同的免赔额。</w:t>
      </w:r>
    </w:p>
    <w:p>
      <w:pPr>
        <w:pStyle w:val="4"/>
        <w:spacing w:before="158" w:line="273" w:lineRule="auto"/>
        <w:ind w:left="2985" w:right="616"/>
        <w:jc w:val="both"/>
      </w:pPr>
      <w:r>
        <w:rPr>
          <w:spacing w:val="-2"/>
        </w:rPr>
        <w:t>如共享免赔额的被保险人中，其中一人或几人初次确诊合同约定的重大疾</w:t>
      </w:r>
      <w:r>
        <w:rPr>
          <w:spacing w:val="-6"/>
        </w:rPr>
        <w:t xml:space="preserve">病，则重大疾病 </w:t>
      </w:r>
      <w:r>
        <w:rPr>
          <w:spacing w:val="-2"/>
        </w:rPr>
        <w:t>0</w:t>
      </w:r>
      <w:r>
        <w:rPr>
          <w:spacing w:val="-9"/>
        </w:rPr>
        <w:t xml:space="preserve"> 免赔额仅应用于该被保险人，共享免赔额不受该被保险</w:t>
      </w:r>
    </w:p>
    <w:p>
      <w:pPr>
        <w:spacing w:after="0" w:line="273" w:lineRule="auto"/>
        <w:jc w:val="both"/>
        <w:sectPr>
          <w:type w:val="continuous"/>
          <w:pgSz w:w="11910" w:h="16840"/>
          <w:pgMar w:top="920" w:right="680" w:bottom="420" w:left="880" w:header="0" w:footer="230" w:gutter="0"/>
          <w:cols w:space="720" w:num="1"/>
        </w:sectPr>
      </w:pPr>
    </w:p>
    <w:p>
      <w:pPr>
        <w:pStyle w:val="4"/>
        <w:spacing w:before="53" w:line="278" w:lineRule="auto"/>
        <w:ind w:left="2985" w:right="615"/>
        <w:jc w:val="both"/>
      </w:pPr>
      <w:r>
        <w:rPr>
          <w:spacing w:val="-6"/>
        </w:rPr>
        <w:t xml:space="preserve">人重大疾病 </w:t>
      </w:r>
      <w:r>
        <w:rPr>
          <w:spacing w:val="-2"/>
        </w:rPr>
        <w:t>0</w:t>
      </w:r>
      <w:r>
        <w:rPr>
          <w:spacing w:val="-7"/>
        </w:rPr>
        <w:t xml:space="preserve"> 免赔额影响，但已从本产品获得的重大疾病医疗保险金和质</w:t>
      </w:r>
      <w:r>
        <w:rPr>
          <w:spacing w:val="-2"/>
        </w:rPr>
        <w:t>子重离子医疗保险金可用于抵扣共享免赔额。</w:t>
      </w:r>
    </w:p>
    <w:p>
      <w:pPr>
        <w:pStyle w:val="4"/>
        <w:spacing w:before="158" w:line="276" w:lineRule="auto"/>
        <w:ind w:left="2985" w:right="619"/>
        <w:jc w:val="both"/>
      </w:pPr>
      <w:r>
        <w:rPr>
          <w:spacing w:val="-2"/>
        </w:rPr>
        <w:t>如您申请解除一份或多份已共享免赔额的保险合同，剩余持有《渤海人寿</w:t>
      </w:r>
      <w:r>
        <w:t>安康无忧医疗保险（2021</w:t>
      </w:r>
      <w:r>
        <w:rPr>
          <w:spacing w:val="-5"/>
        </w:rPr>
        <w:t xml:space="preserve"> 版</w:t>
      </w:r>
      <w:r>
        <w:rPr>
          <w:spacing w:val="-111"/>
        </w:rPr>
        <w:t>）</w:t>
      </w:r>
      <w:r>
        <w:t>》合同的被保险人的年龄组合和成员构成如</w:t>
      </w:r>
      <w:r>
        <w:rPr>
          <w:spacing w:val="-2"/>
        </w:rPr>
        <w:t>不符合我们的要求，则剩余的被保险人将无法继续共享免赔额。</w:t>
      </w:r>
    </w:p>
    <w:p>
      <w:pPr>
        <w:pStyle w:val="4"/>
        <w:spacing w:before="9"/>
        <w:rPr>
          <w:sz w:val="20"/>
        </w:rPr>
      </w:pPr>
    </w:p>
    <w:p>
      <w:pPr>
        <w:pStyle w:val="4"/>
        <w:tabs>
          <w:tab w:val="left" w:pos="2985"/>
        </w:tabs>
        <w:spacing w:line="381" w:lineRule="exact"/>
        <w:ind w:left="1391"/>
      </w:pPr>
      <w:r>
        <w:rPr>
          <w:rFonts w:ascii="Microsoft JhengHei" w:eastAsia="Microsoft JhengHei"/>
          <w:b/>
        </w:rPr>
        <w:t>给付限</w:t>
      </w:r>
      <w:r>
        <w:rPr>
          <w:rFonts w:ascii="Microsoft JhengHei" w:eastAsia="Microsoft JhengHei"/>
          <w:b/>
          <w:spacing w:val="-10"/>
        </w:rPr>
        <w:t>额</w:t>
      </w:r>
      <w:r>
        <w:rPr>
          <w:rFonts w:ascii="Microsoft JhengHei" w:eastAsia="Microsoft JhengHei"/>
          <w:b/>
        </w:rPr>
        <w:tab/>
      </w:r>
      <w:r>
        <w:rPr>
          <w:spacing w:val="-2"/>
        </w:rPr>
        <w:t>本合同中所指给付限额均指年度给付限额</w:t>
      </w:r>
      <w:r>
        <w:rPr>
          <w:spacing w:val="-95"/>
        </w:rPr>
        <w:t>。</w:t>
      </w:r>
      <w:r>
        <w:rPr>
          <w:spacing w:val="-2"/>
        </w:rPr>
        <w:t>本合同约定的给付限额见附表</w:t>
      </w:r>
      <w:r>
        <w:rPr>
          <w:spacing w:val="-10"/>
        </w:rPr>
        <w:t>：</w:t>
      </w:r>
    </w:p>
    <w:p>
      <w:pPr>
        <w:pStyle w:val="4"/>
        <w:spacing w:line="264" w:lineRule="exact"/>
        <w:ind w:left="2985"/>
        <w:jc w:val="both"/>
      </w:pPr>
      <w:r>
        <w:rPr>
          <w:spacing w:val="-2"/>
        </w:rPr>
        <w:t>《渤海人寿安康无忧医疗保险（2021</w:t>
      </w:r>
      <w:r>
        <w:rPr>
          <w:spacing w:val="-13"/>
        </w:rPr>
        <w:t xml:space="preserve"> 版</w:t>
      </w:r>
      <w:r>
        <w:rPr>
          <w:spacing w:val="-2"/>
        </w:rPr>
        <w:t>）</w:t>
      </w:r>
      <w:r>
        <w:rPr>
          <w:spacing w:val="-13"/>
        </w:rPr>
        <w:t>免赔额与给付限额表》。</w:t>
      </w:r>
    </w:p>
    <w:p>
      <w:pPr>
        <w:pStyle w:val="4"/>
        <w:spacing w:before="10"/>
        <w:rPr>
          <w:sz w:val="23"/>
        </w:rPr>
      </w:pPr>
    </w:p>
    <w:p>
      <w:pPr>
        <w:pStyle w:val="8"/>
        <w:numPr>
          <w:ilvl w:val="1"/>
          <w:numId w:val="2"/>
        </w:numPr>
        <w:tabs>
          <w:tab w:val="left" w:pos="1391"/>
          <w:tab w:val="left" w:pos="1392"/>
          <w:tab w:val="left" w:pos="2985"/>
        </w:tabs>
        <w:spacing w:before="0" w:after="0" w:line="256" w:lineRule="auto"/>
        <w:ind w:left="2985" w:right="619" w:hanging="2555"/>
        <w:jc w:val="both"/>
        <w:rPr>
          <w:sz w:val="21"/>
        </w:rPr>
      </w:pPr>
      <w:r>
        <w:rPr>
          <w:rFonts w:ascii="Microsoft JhengHei" w:eastAsia="Microsoft JhengHei"/>
          <w:b/>
          <w:spacing w:val="-4"/>
          <w:sz w:val="21"/>
        </w:rPr>
        <w:t>责任免除</w:t>
      </w:r>
      <w:r>
        <w:rPr>
          <w:rFonts w:ascii="Microsoft JhengHei" w:eastAsia="Microsoft JhengHei"/>
          <w:b/>
          <w:sz w:val="21"/>
        </w:rPr>
        <w:tab/>
      </w:r>
      <w:r>
        <w:rPr>
          <w:spacing w:val="-2"/>
          <w:sz w:val="21"/>
        </w:rPr>
        <w:t>因下列情形之一，导致被保险人发生医疗费用支出的，我们不承担给付医疗保险金的责任，且该次发生的医疗费用不计入免赔额，本合同仍继续有</w:t>
      </w:r>
      <w:r>
        <w:rPr>
          <w:spacing w:val="-6"/>
          <w:sz w:val="21"/>
        </w:rPr>
        <w:t>效：</w:t>
      </w:r>
    </w:p>
    <w:p>
      <w:pPr>
        <w:pStyle w:val="8"/>
        <w:numPr>
          <w:ilvl w:val="0"/>
          <w:numId w:val="5"/>
        </w:numPr>
        <w:tabs>
          <w:tab w:val="left" w:pos="3360"/>
        </w:tabs>
        <w:spacing w:before="12" w:after="0" w:line="240" w:lineRule="auto"/>
        <w:ind w:left="3359" w:right="0" w:hanging="375"/>
        <w:jc w:val="left"/>
        <w:rPr>
          <w:sz w:val="21"/>
        </w:rPr>
      </w:pPr>
      <w:r>
        <w:rPr>
          <w:spacing w:val="-3"/>
          <w:sz w:val="21"/>
        </w:rPr>
        <w:t>投保人对被保险人的故意杀害、故意伤害；</w:t>
      </w:r>
    </w:p>
    <w:p>
      <w:pPr>
        <w:pStyle w:val="8"/>
        <w:numPr>
          <w:ilvl w:val="0"/>
          <w:numId w:val="5"/>
        </w:numPr>
        <w:tabs>
          <w:tab w:val="left" w:pos="3360"/>
        </w:tabs>
        <w:spacing w:before="43" w:after="0" w:line="278" w:lineRule="auto"/>
        <w:ind w:left="2985" w:right="627" w:firstLine="0"/>
        <w:jc w:val="left"/>
        <w:rPr>
          <w:sz w:val="21"/>
        </w:rPr>
      </w:pPr>
      <w:r>
        <w:rPr>
          <w:spacing w:val="-2"/>
          <w:sz w:val="21"/>
        </w:rPr>
        <w:t>被保险人故意自伤、自杀、故意犯罪或者抗拒依法采取的刑事强制措</w:t>
      </w:r>
      <w:r>
        <w:rPr>
          <w:spacing w:val="-6"/>
          <w:sz w:val="21"/>
        </w:rPr>
        <w:t>施；</w:t>
      </w:r>
    </w:p>
    <w:p>
      <w:pPr>
        <w:pStyle w:val="8"/>
        <w:numPr>
          <w:ilvl w:val="0"/>
          <w:numId w:val="5"/>
        </w:numPr>
        <w:tabs>
          <w:tab w:val="left" w:pos="3360"/>
        </w:tabs>
        <w:spacing w:before="0" w:after="0" w:line="283" w:lineRule="exact"/>
        <w:ind w:left="3359" w:right="0" w:hanging="375"/>
        <w:jc w:val="left"/>
        <w:rPr>
          <w:sz w:val="21"/>
        </w:rPr>
      </w:pPr>
      <w:r>
        <w:rPr>
          <w:spacing w:val="-4"/>
          <w:sz w:val="21"/>
        </w:rPr>
        <w:t>被保险人</w:t>
      </w:r>
      <w:r>
        <w:rPr>
          <w:rFonts w:ascii="微软雅黑" w:eastAsia="微软雅黑"/>
          <w:b/>
          <w:spacing w:val="-4"/>
          <w:sz w:val="21"/>
        </w:rPr>
        <w:t>醉酒</w:t>
      </w:r>
      <w:r>
        <w:rPr>
          <w:spacing w:val="-4"/>
          <w:sz w:val="21"/>
        </w:rPr>
        <w:t>（见释义8.17），主动吸食或注射</w:t>
      </w:r>
      <w:r>
        <w:rPr>
          <w:rFonts w:ascii="微软雅黑" w:eastAsia="微软雅黑"/>
          <w:b/>
          <w:spacing w:val="-4"/>
          <w:sz w:val="21"/>
        </w:rPr>
        <w:t>毒品</w:t>
      </w:r>
      <w:r>
        <w:rPr>
          <w:spacing w:val="-4"/>
          <w:sz w:val="21"/>
        </w:rPr>
        <w:t>（见释义8.18）；</w:t>
      </w:r>
    </w:p>
    <w:p>
      <w:pPr>
        <w:pStyle w:val="8"/>
        <w:numPr>
          <w:ilvl w:val="0"/>
          <w:numId w:val="5"/>
        </w:numPr>
        <w:tabs>
          <w:tab w:val="left" w:pos="3360"/>
        </w:tabs>
        <w:spacing w:before="15" w:after="0" w:line="194" w:lineRule="auto"/>
        <w:ind w:left="2985" w:right="513" w:firstLine="0"/>
        <w:jc w:val="left"/>
        <w:rPr>
          <w:sz w:val="21"/>
        </w:rPr>
      </w:pPr>
      <w:r>
        <w:rPr>
          <w:spacing w:val="-2"/>
          <w:sz w:val="21"/>
        </w:rPr>
        <w:t>被保险人</w:t>
      </w:r>
      <w:r>
        <w:rPr>
          <w:rFonts w:ascii="微软雅黑" w:eastAsia="微软雅黑"/>
          <w:b/>
          <w:spacing w:val="-2"/>
          <w:sz w:val="21"/>
        </w:rPr>
        <w:t>酒后驾驶</w:t>
      </w:r>
      <w:r>
        <w:rPr>
          <w:spacing w:val="-2"/>
          <w:sz w:val="21"/>
        </w:rPr>
        <w:t>（见释义8.19）、</w:t>
      </w:r>
      <w:r>
        <w:rPr>
          <w:rFonts w:ascii="微软雅黑" w:eastAsia="微软雅黑"/>
          <w:b/>
          <w:spacing w:val="-2"/>
          <w:sz w:val="21"/>
        </w:rPr>
        <w:t>无合法有效驾驶证驾驶</w:t>
      </w:r>
      <w:r>
        <w:rPr>
          <w:spacing w:val="-2"/>
          <w:sz w:val="21"/>
        </w:rPr>
        <w:t xml:space="preserve">（见释义 </w:t>
      </w:r>
      <w:r>
        <w:rPr>
          <w:spacing w:val="-4"/>
          <w:sz w:val="21"/>
        </w:rPr>
        <w:t>8.20）或驾驶</w:t>
      </w:r>
      <w:r>
        <w:rPr>
          <w:rFonts w:ascii="微软雅黑" w:eastAsia="微软雅黑"/>
          <w:b/>
          <w:spacing w:val="-4"/>
          <w:sz w:val="21"/>
        </w:rPr>
        <w:t>无合法有效行驶证</w:t>
      </w:r>
      <w:r>
        <w:rPr>
          <w:spacing w:val="-4"/>
          <w:sz w:val="21"/>
        </w:rPr>
        <w:t>（见释义8.21）的</w:t>
      </w:r>
      <w:r>
        <w:rPr>
          <w:rFonts w:ascii="微软雅黑" w:eastAsia="微软雅黑"/>
          <w:b/>
          <w:spacing w:val="-4"/>
          <w:sz w:val="21"/>
        </w:rPr>
        <w:t>机动车</w:t>
      </w:r>
      <w:r>
        <w:rPr>
          <w:spacing w:val="-4"/>
          <w:sz w:val="21"/>
        </w:rPr>
        <w:t>（见释义8.22）；</w:t>
      </w:r>
    </w:p>
    <w:p>
      <w:pPr>
        <w:pStyle w:val="8"/>
        <w:numPr>
          <w:ilvl w:val="0"/>
          <w:numId w:val="5"/>
        </w:numPr>
        <w:tabs>
          <w:tab w:val="left" w:pos="3360"/>
        </w:tabs>
        <w:spacing w:before="0" w:after="0" w:line="294" w:lineRule="exact"/>
        <w:ind w:left="3359" w:right="0" w:hanging="375"/>
        <w:jc w:val="left"/>
        <w:rPr>
          <w:sz w:val="21"/>
        </w:rPr>
      </w:pPr>
      <w:r>
        <w:rPr>
          <w:spacing w:val="-2"/>
          <w:sz w:val="21"/>
        </w:rPr>
        <w:t>被保险人</w:t>
      </w:r>
      <w:r>
        <w:rPr>
          <w:rFonts w:ascii="微软雅黑" w:eastAsia="微软雅黑"/>
          <w:b/>
          <w:spacing w:val="-2"/>
          <w:sz w:val="21"/>
        </w:rPr>
        <w:t>感染艾滋病病毒或患艾滋病</w:t>
      </w:r>
      <w:r>
        <w:rPr>
          <w:spacing w:val="-2"/>
          <w:sz w:val="21"/>
        </w:rPr>
        <w:t>（见释义8.23）；</w:t>
      </w:r>
    </w:p>
    <w:p>
      <w:pPr>
        <w:pStyle w:val="8"/>
        <w:numPr>
          <w:ilvl w:val="0"/>
          <w:numId w:val="5"/>
        </w:numPr>
        <w:tabs>
          <w:tab w:val="left" w:pos="3360"/>
        </w:tabs>
        <w:spacing w:before="15" w:after="0" w:line="194" w:lineRule="auto"/>
        <w:ind w:left="2985" w:right="620" w:firstLine="0"/>
        <w:jc w:val="left"/>
        <w:rPr>
          <w:sz w:val="21"/>
        </w:rPr>
      </w:pPr>
      <w:r>
        <w:rPr>
          <w:rFonts w:ascii="微软雅黑" w:eastAsia="微软雅黑"/>
          <w:b/>
          <w:spacing w:val="-6"/>
          <w:sz w:val="21"/>
        </w:rPr>
        <w:t>既往症</w:t>
      </w:r>
      <w:r>
        <w:rPr>
          <w:spacing w:val="-6"/>
          <w:sz w:val="21"/>
        </w:rPr>
        <w:t>（见释义8.24）；</w:t>
      </w:r>
      <w:r>
        <w:rPr>
          <w:rFonts w:ascii="微软雅黑" w:eastAsia="微软雅黑"/>
          <w:b/>
          <w:spacing w:val="-6"/>
          <w:sz w:val="21"/>
        </w:rPr>
        <w:t>遗传性疾病</w:t>
      </w:r>
      <w:r>
        <w:rPr>
          <w:spacing w:val="-6"/>
          <w:sz w:val="21"/>
        </w:rPr>
        <w:t>（见释义8.25）；</w:t>
      </w:r>
      <w:r>
        <w:rPr>
          <w:rFonts w:ascii="微软雅黑" w:eastAsia="微软雅黑"/>
          <w:b/>
          <w:spacing w:val="-6"/>
          <w:sz w:val="21"/>
        </w:rPr>
        <w:t>先天性畸形、变</w:t>
      </w:r>
      <w:r>
        <w:rPr>
          <w:rFonts w:ascii="微软雅黑" w:eastAsia="微软雅黑"/>
          <w:b/>
          <w:spacing w:val="-2"/>
          <w:sz w:val="21"/>
        </w:rPr>
        <w:t>形或染色体异常</w:t>
      </w:r>
      <w:r>
        <w:rPr>
          <w:spacing w:val="-2"/>
          <w:sz w:val="21"/>
        </w:rPr>
        <w:t>（见释义8.26）；</w:t>
      </w:r>
    </w:p>
    <w:p>
      <w:pPr>
        <w:pStyle w:val="8"/>
        <w:numPr>
          <w:ilvl w:val="0"/>
          <w:numId w:val="5"/>
        </w:numPr>
        <w:tabs>
          <w:tab w:val="left" w:pos="3360"/>
        </w:tabs>
        <w:spacing w:before="41" w:after="0" w:line="206" w:lineRule="auto"/>
        <w:ind w:left="2985" w:right="513" w:firstLine="0"/>
        <w:jc w:val="left"/>
        <w:rPr>
          <w:sz w:val="21"/>
        </w:rPr>
      </w:pPr>
      <w:r>
        <w:rPr>
          <w:w w:val="100"/>
          <w:sz w:val="21"/>
        </w:rPr>
        <w:t>被保险人从事职业运动或可获得报酬的运动或竞技，在训练或比赛中</w:t>
      </w:r>
      <w:r>
        <w:rPr>
          <w:spacing w:val="-7"/>
          <w:w w:val="100"/>
          <w:sz w:val="21"/>
        </w:rPr>
        <w:t>受伤；被保险人从事或参加高风险运动，如：</w:t>
      </w:r>
      <w:r>
        <w:rPr>
          <w:rFonts w:ascii="微软雅黑" w:eastAsia="微软雅黑"/>
          <w:b/>
          <w:spacing w:val="-8"/>
          <w:w w:val="100"/>
          <w:sz w:val="21"/>
        </w:rPr>
        <w:t>潜水</w:t>
      </w:r>
      <w:r>
        <w:rPr>
          <w:spacing w:val="-5"/>
          <w:w w:val="100"/>
          <w:sz w:val="21"/>
        </w:rPr>
        <w:t>（</w:t>
      </w:r>
      <w:r>
        <w:rPr>
          <w:w w:val="100"/>
          <w:sz w:val="21"/>
        </w:rPr>
        <w:t>见释义8.2</w:t>
      </w:r>
      <w:r>
        <w:rPr>
          <w:spacing w:val="-5"/>
          <w:w w:val="100"/>
          <w:sz w:val="21"/>
        </w:rPr>
        <w:t>7</w:t>
      </w:r>
      <w:r>
        <w:rPr>
          <w:spacing w:val="-15"/>
          <w:w w:val="100"/>
          <w:sz w:val="21"/>
        </w:rPr>
        <w:t>）</w:t>
      </w:r>
      <w:r>
        <w:rPr>
          <w:spacing w:val="-9"/>
          <w:w w:val="100"/>
          <w:sz w:val="21"/>
        </w:rPr>
        <w:t>、滑水、</w:t>
      </w:r>
      <w:r>
        <w:rPr>
          <w:spacing w:val="-4"/>
          <w:w w:val="100"/>
          <w:sz w:val="21"/>
        </w:rPr>
        <w:t>冲浪、赛艇、漂流、跳伞或其他高空运动、蹦极、</w:t>
      </w:r>
      <w:r>
        <w:rPr>
          <w:rFonts w:ascii="微软雅黑" w:eastAsia="微软雅黑"/>
          <w:b/>
          <w:spacing w:val="2"/>
          <w:w w:val="100"/>
          <w:sz w:val="21"/>
        </w:rPr>
        <w:t>攀岩</w:t>
      </w:r>
      <w:r>
        <w:rPr>
          <w:w w:val="100"/>
          <w:sz w:val="21"/>
        </w:rPr>
        <w:t>（</w:t>
      </w:r>
      <w:r>
        <w:rPr>
          <w:spacing w:val="-2"/>
          <w:w w:val="100"/>
          <w:sz w:val="21"/>
        </w:rPr>
        <w:t>见释义</w:t>
      </w:r>
      <w:r>
        <w:rPr>
          <w:w w:val="100"/>
          <w:sz w:val="21"/>
        </w:rPr>
        <w:t>8.28</w:t>
      </w:r>
      <w:r>
        <w:rPr>
          <w:spacing w:val="-5"/>
          <w:w w:val="100"/>
          <w:sz w:val="21"/>
        </w:rPr>
        <w:t>）</w:t>
      </w:r>
      <w:r>
        <w:rPr>
          <w:w w:val="100"/>
          <w:sz w:val="21"/>
        </w:rPr>
        <w:t>、</w:t>
      </w:r>
    </w:p>
    <w:p>
      <w:pPr>
        <w:pStyle w:val="4"/>
        <w:spacing w:before="24" w:line="223" w:lineRule="auto"/>
        <w:ind w:left="2985" w:right="509"/>
        <w:rPr>
          <w:rFonts w:ascii="微软雅黑" w:eastAsia="微软雅黑"/>
          <w:b/>
        </w:rPr>
      </w:pPr>
      <w:r>
        <w:rPr>
          <w:spacing w:val="-7"/>
        </w:rPr>
        <w:t>乘坐或驾驶商业民航班机以外的飞行器、攀登海拔</w:t>
      </w:r>
      <w:r>
        <w:rPr>
          <w:spacing w:val="-2"/>
        </w:rPr>
        <w:t>3500米以上的独立山峰、滑雪、</w:t>
      </w:r>
      <w:r>
        <w:rPr>
          <w:rFonts w:ascii="微软雅黑" w:eastAsia="微软雅黑"/>
          <w:b/>
          <w:spacing w:val="-2"/>
        </w:rPr>
        <w:t>探险</w:t>
      </w:r>
      <w:r>
        <w:rPr>
          <w:spacing w:val="-2"/>
        </w:rPr>
        <w:t>（见释义8.29）、摔跤、</w:t>
      </w:r>
      <w:r>
        <w:rPr>
          <w:rFonts w:ascii="微软雅黑" w:eastAsia="微软雅黑"/>
          <w:b/>
          <w:spacing w:val="-2"/>
        </w:rPr>
        <w:t>武术比赛</w:t>
      </w:r>
      <w:r>
        <w:rPr>
          <w:spacing w:val="-2"/>
        </w:rPr>
        <w:t>（见释义8.30）、</w:t>
      </w:r>
      <w:r>
        <w:rPr>
          <w:rFonts w:ascii="微软雅黑" w:eastAsia="微软雅黑"/>
          <w:b/>
          <w:spacing w:val="-2"/>
        </w:rPr>
        <w:t>特技表演</w:t>
      </w:r>
    </w:p>
    <w:p>
      <w:pPr>
        <w:pStyle w:val="4"/>
        <w:spacing w:line="278" w:lineRule="auto"/>
        <w:ind w:left="2985" w:right="619"/>
      </w:pPr>
      <w:r>
        <w:rPr>
          <w:spacing w:val="-2"/>
        </w:rPr>
        <w:t>（见释义8.31）、马术、赛马、赛车、考察活动（洞穴、极地、沙漠、火山、冰川等）；</w:t>
      </w:r>
    </w:p>
    <w:p>
      <w:pPr>
        <w:pStyle w:val="8"/>
        <w:numPr>
          <w:ilvl w:val="0"/>
          <w:numId w:val="5"/>
        </w:numPr>
        <w:tabs>
          <w:tab w:val="left" w:pos="3360"/>
        </w:tabs>
        <w:spacing w:before="0" w:after="0" w:line="269" w:lineRule="exact"/>
        <w:ind w:left="3359" w:right="0" w:hanging="375"/>
        <w:jc w:val="left"/>
        <w:rPr>
          <w:sz w:val="21"/>
        </w:rPr>
      </w:pPr>
      <w:r>
        <w:rPr>
          <w:spacing w:val="-3"/>
          <w:sz w:val="21"/>
        </w:rPr>
        <w:t>战争、军事冲突、暴乱或武装叛乱；</w:t>
      </w:r>
    </w:p>
    <w:p>
      <w:pPr>
        <w:pStyle w:val="8"/>
        <w:numPr>
          <w:ilvl w:val="0"/>
          <w:numId w:val="5"/>
        </w:numPr>
        <w:tabs>
          <w:tab w:val="left" w:pos="3360"/>
        </w:tabs>
        <w:spacing w:before="43" w:after="0" w:line="240" w:lineRule="auto"/>
        <w:ind w:left="3359" w:right="0" w:hanging="375"/>
        <w:jc w:val="left"/>
        <w:rPr>
          <w:sz w:val="21"/>
        </w:rPr>
      </w:pPr>
      <w:r>
        <w:rPr>
          <w:spacing w:val="-3"/>
          <w:sz w:val="21"/>
        </w:rPr>
        <w:t>核爆炸、核辐射或核污染；</w:t>
      </w:r>
    </w:p>
    <w:p>
      <w:pPr>
        <w:pStyle w:val="8"/>
        <w:numPr>
          <w:ilvl w:val="0"/>
          <w:numId w:val="5"/>
        </w:numPr>
        <w:tabs>
          <w:tab w:val="left" w:pos="3466"/>
        </w:tabs>
        <w:spacing w:before="43" w:after="0" w:line="257" w:lineRule="exact"/>
        <w:ind w:left="3466" w:right="0" w:hanging="481"/>
        <w:jc w:val="left"/>
        <w:rPr>
          <w:sz w:val="21"/>
        </w:rPr>
      </w:pPr>
      <w:r>
        <w:rPr>
          <w:spacing w:val="-3"/>
          <w:sz w:val="21"/>
        </w:rPr>
        <w:t>被保险人在非本合同约定的医疗机构就诊发生的医疗费用；</w:t>
      </w:r>
    </w:p>
    <w:p>
      <w:pPr>
        <w:pStyle w:val="8"/>
        <w:numPr>
          <w:ilvl w:val="0"/>
          <w:numId w:val="5"/>
        </w:numPr>
        <w:tabs>
          <w:tab w:val="left" w:pos="3466"/>
        </w:tabs>
        <w:spacing w:before="0" w:after="0" w:line="256" w:lineRule="auto"/>
        <w:ind w:left="2985" w:right="619" w:firstLine="0"/>
        <w:jc w:val="both"/>
        <w:rPr>
          <w:sz w:val="21"/>
        </w:rPr>
      </w:pPr>
      <w:r>
        <w:rPr>
          <w:spacing w:val="-2"/>
          <w:sz w:val="21"/>
        </w:rPr>
        <w:t>未经医生</w:t>
      </w:r>
      <w:r>
        <w:rPr>
          <w:rFonts w:ascii="微软雅黑" w:eastAsia="微软雅黑"/>
          <w:b/>
          <w:spacing w:val="-2"/>
          <w:sz w:val="21"/>
        </w:rPr>
        <w:t>处方</w:t>
      </w:r>
      <w:r>
        <w:rPr>
          <w:spacing w:val="-2"/>
          <w:sz w:val="21"/>
        </w:rPr>
        <w:t>（见释义8.32）自行购买的药品或非医院药房购买的药品、滋补类中草药及其泡制的各类酒制剂、医生开具的超过30天部分的药</w:t>
      </w:r>
      <w:r>
        <w:rPr>
          <w:spacing w:val="-4"/>
          <w:sz w:val="21"/>
        </w:rPr>
        <w:t>品费用；</w:t>
      </w:r>
    </w:p>
    <w:p>
      <w:pPr>
        <w:pStyle w:val="8"/>
        <w:numPr>
          <w:ilvl w:val="0"/>
          <w:numId w:val="5"/>
        </w:numPr>
        <w:tabs>
          <w:tab w:val="left" w:pos="3466"/>
        </w:tabs>
        <w:spacing w:before="1" w:after="0" w:line="240" w:lineRule="auto"/>
        <w:ind w:left="3466" w:right="0" w:hanging="481"/>
        <w:jc w:val="both"/>
        <w:rPr>
          <w:sz w:val="21"/>
        </w:rPr>
      </w:pPr>
      <w:r>
        <w:rPr>
          <w:spacing w:val="-3"/>
          <w:sz w:val="21"/>
        </w:rPr>
        <w:t>被保险人未遵医嘱私自服用、涂用、注射药物；</w:t>
      </w:r>
    </w:p>
    <w:p>
      <w:pPr>
        <w:pStyle w:val="8"/>
        <w:numPr>
          <w:ilvl w:val="0"/>
          <w:numId w:val="5"/>
        </w:numPr>
        <w:tabs>
          <w:tab w:val="left" w:pos="3466"/>
        </w:tabs>
        <w:spacing w:before="43" w:after="0" w:line="240" w:lineRule="auto"/>
        <w:ind w:left="3466" w:right="0" w:hanging="481"/>
        <w:jc w:val="both"/>
        <w:rPr>
          <w:sz w:val="21"/>
        </w:rPr>
      </w:pPr>
      <w:r>
        <w:rPr>
          <w:spacing w:val="-3"/>
          <w:sz w:val="21"/>
        </w:rPr>
        <w:t>在诊疗过程中发生的医疗事故；</w:t>
      </w:r>
    </w:p>
    <w:p>
      <w:pPr>
        <w:pStyle w:val="8"/>
        <w:numPr>
          <w:ilvl w:val="0"/>
          <w:numId w:val="5"/>
        </w:numPr>
        <w:tabs>
          <w:tab w:val="left" w:pos="3466"/>
        </w:tabs>
        <w:spacing w:before="44" w:after="0" w:line="278" w:lineRule="auto"/>
        <w:ind w:left="2985" w:right="616" w:firstLine="0"/>
        <w:jc w:val="both"/>
        <w:rPr>
          <w:sz w:val="21"/>
        </w:rPr>
      </w:pPr>
      <w:r>
        <w:rPr>
          <w:spacing w:val="-2"/>
          <w:sz w:val="21"/>
        </w:rPr>
        <w:t>不孕不育治疗、避孕、节育（含绝育）、子宫体腔内妊娠、产前产后检查、流产、堕胎、分娩（含难产）、变性手术、人体试验、人工生殖，或者有前述任一原因引起的并发症；</w:t>
      </w:r>
    </w:p>
    <w:p>
      <w:pPr>
        <w:pStyle w:val="8"/>
        <w:numPr>
          <w:ilvl w:val="0"/>
          <w:numId w:val="5"/>
        </w:numPr>
        <w:tabs>
          <w:tab w:val="left" w:pos="3466"/>
        </w:tabs>
        <w:spacing w:before="0" w:after="0" w:line="278" w:lineRule="auto"/>
        <w:ind w:left="2985" w:right="621" w:firstLine="0"/>
        <w:jc w:val="both"/>
        <w:rPr>
          <w:sz w:val="21"/>
        </w:rPr>
      </w:pPr>
      <w:r>
        <w:rPr>
          <w:spacing w:val="-2"/>
          <w:sz w:val="21"/>
        </w:rPr>
        <w:t>性传播疾病的诊断、检测及治疗费用，包括但不限于梅毒、淋病、软下疳、性病淋巴肉芽肿和腹股沟肉芽肿及非淋菌性尿道炎、尖锐湿疣、生殖器疱疹；</w:t>
      </w:r>
    </w:p>
    <w:p>
      <w:pPr>
        <w:pStyle w:val="8"/>
        <w:numPr>
          <w:ilvl w:val="0"/>
          <w:numId w:val="5"/>
        </w:numPr>
        <w:tabs>
          <w:tab w:val="left" w:pos="3466"/>
        </w:tabs>
        <w:spacing w:before="0" w:after="0" w:line="278" w:lineRule="auto"/>
        <w:ind w:left="2985" w:right="511" w:firstLine="0"/>
        <w:jc w:val="both"/>
        <w:rPr>
          <w:sz w:val="21"/>
        </w:rPr>
      </w:pPr>
      <w:r>
        <w:rPr>
          <w:spacing w:val="-6"/>
          <w:sz w:val="21"/>
        </w:rPr>
        <w:t>疗养、康复治疗、心理治疗、美容、矫形、视力矫正手术、牙齿治疗、</w:t>
      </w:r>
      <w:r>
        <w:rPr>
          <w:spacing w:val="-2"/>
          <w:sz w:val="21"/>
        </w:rPr>
        <w:t>安装假肢、非意外伤害事故所致的整容手术；</w:t>
      </w:r>
    </w:p>
    <w:p>
      <w:pPr>
        <w:pStyle w:val="8"/>
        <w:numPr>
          <w:ilvl w:val="0"/>
          <w:numId w:val="5"/>
        </w:numPr>
        <w:tabs>
          <w:tab w:val="left" w:pos="3466"/>
        </w:tabs>
        <w:spacing w:before="0" w:after="0" w:line="278" w:lineRule="auto"/>
        <w:ind w:left="2985" w:right="621" w:firstLine="0"/>
        <w:jc w:val="both"/>
        <w:rPr>
          <w:sz w:val="21"/>
        </w:rPr>
      </w:pPr>
      <w:r>
        <w:rPr>
          <w:spacing w:val="-2"/>
          <w:sz w:val="21"/>
        </w:rPr>
        <w:t>减肥治疗、戒酒治疗、戒毒治疗、心理治疗、脱发健发治疗、包皮环切术、包皮剥离术、包皮气囊扩张术、性功能障碍治疗、睡眠障碍治疗、饮食障碍（贪食症、厌食症）治疗、视力矫正治疗；</w:t>
      </w:r>
    </w:p>
    <w:p>
      <w:pPr>
        <w:pStyle w:val="8"/>
        <w:numPr>
          <w:ilvl w:val="0"/>
          <w:numId w:val="5"/>
        </w:numPr>
        <w:tabs>
          <w:tab w:val="left" w:pos="3462"/>
        </w:tabs>
        <w:spacing w:before="0" w:after="0" w:line="240" w:lineRule="auto"/>
        <w:ind w:left="3461" w:right="0" w:hanging="482"/>
        <w:jc w:val="both"/>
        <w:rPr>
          <w:sz w:val="21"/>
        </w:rPr>
      </w:pPr>
      <w:r>
        <w:rPr>
          <w:spacing w:val="-3"/>
          <w:sz w:val="21"/>
        </w:rPr>
        <w:t>如下项目的治疗：皮肤色素沉着、痤疮治疗、红斑痤疮治疗，雀斑、</w:t>
      </w:r>
    </w:p>
    <w:p>
      <w:pPr>
        <w:spacing w:after="0" w:line="240" w:lineRule="auto"/>
        <w:jc w:val="both"/>
        <w:rPr>
          <w:sz w:val="21"/>
        </w:rPr>
        <w:sectPr>
          <w:pgSz w:w="11910" w:h="16840"/>
          <w:pgMar w:top="660" w:right="680" w:bottom="420" w:left="880" w:header="0" w:footer="230" w:gutter="0"/>
          <w:cols w:space="720" w:num="1"/>
        </w:sectPr>
      </w:pPr>
    </w:p>
    <w:tbl>
      <w:tblPr>
        <w:tblStyle w:val="5"/>
        <w:tblW w:w="0" w:type="auto"/>
        <w:tblInd w:w="33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4"/>
        <w:gridCol w:w="1841"/>
        <w:gridCol w:w="691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98" w:hRule="atLeast"/>
        </w:trPr>
        <w:tc>
          <w:tcPr>
            <w:tcW w:w="2585" w:type="dxa"/>
            <w:gridSpan w:val="2"/>
          </w:tcPr>
          <w:p>
            <w:pPr>
              <w:pStyle w:val="9"/>
              <w:rPr>
                <w:rFonts w:ascii="Times New Roman"/>
                <w:sz w:val="20"/>
              </w:rPr>
            </w:pPr>
          </w:p>
        </w:tc>
        <w:tc>
          <w:tcPr>
            <w:tcW w:w="6917" w:type="dxa"/>
          </w:tcPr>
          <w:p>
            <w:pPr>
              <w:pStyle w:val="9"/>
              <w:spacing w:line="241" w:lineRule="exact"/>
              <w:ind w:left="75"/>
              <w:rPr>
                <w:sz w:val="21"/>
              </w:rPr>
            </w:pPr>
            <w:r>
              <w:rPr>
                <w:spacing w:val="-3"/>
                <w:sz w:val="21"/>
              </w:rPr>
              <w:t>老年斑、痣的治疗和去除；对浅表静脉曲张、蜘蛛脉、除瘢痕疙瘩型外的</w:t>
            </w:r>
          </w:p>
          <w:p>
            <w:pPr>
              <w:pStyle w:val="9"/>
              <w:spacing w:before="43" w:line="278" w:lineRule="auto"/>
              <w:ind w:left="75"/>
              <w:rPr>
                <w:sz w:val="21"/>
              </w:rPr>
            </w:pPr>
            <w:r>
              <w:rPr>
                <w:spacing w:val="-4"/>
                <w:sz w:val="21"/>
              </w:rPr>
              <w:t>其它瘢痕、纹身去除、皮肤变色的治疗或手术，激光美容、除皱、除眼袋、</w:t>
            </w:r>
            <w:r>
              <w:rPr>
                <w:spacing w:val="-2"/>
                <w:sz w:val="21"/>
              </w:rPr>
              <w:t>开双眼皮、治疗斑秃、白发、秃发、脱发、植毛、脱毛、隆鼻、隆胸；</w:t>
            </w:r>
          </w:p>
          <w:p>
            <w:pPr>
              <w:pStyle w:val="9"/>
              <w:numPr>
                <w:ilvl w:val="0"/>
                <w:numId w:val="6"/>
              </w:numPr>
              <w:tabs>
                <w:tab w:val="left" w:pos="556"/>
              </w:tabs>
              <w:spacing w:before="0" w:after="0" w:line="278" w:lineRule="auto"/>
              <w:ind w:left="75" w:right="0" w:firstLine="0"/>
              <w:jc w:val="both"/>
              <w:rPr>
                <w:sz w:val="21"/>
              </w:rPr>
            </w:pPr>
            <w:r>
              <w:rPr>
                <w:spacing w:val="-2"/>
                <w:sz w:val="21"/>
              </w:rPr>
              <w:t>康复治疗或训练、修养或疗养、健康体检、隔离治疗、非处方药物、</w:t>
            </w:r>
            <w:r>
              <w:rPr>
                <w:spacing w:val="-4"/>
                <w:sz w:val="21"/>
              </w:rPr>
              <w:t>保健食品及用品、体外或植入的医疗辅助装置或用具（义肢、轮椅、拐杖、</w:t>
            </w:r>
            <w:r>
              <w:rPr>
                <w:spacing w:val="-2"/>
                <w:sz w:val="21"/>
              </w:rPr>
              <w:t>助听器、眼镜或隐形眼镜、义眼等等）及其安装；</w:t>
            </w:r>
          </w:p>
          <w:p>
            <w:pPr>
              <w:pStyle w:val="9"/>
              <w:numPr>
                <w:ilvl w:val="0"/>
                <w:numId w:val="6"/>
              </w:numPr>
              <w:tabs>
                <w:tab w:val="left" w:pos="556"/>
              </w:tabs>
              <w:spacing w:before="0" w:after="0" w:line="278" w:lineRule="auto"/>
              <w:ind w:left="75" w:right="100" w:firstLine="0"/>
              <w:jc w:val="both"/>
              <w:rPr>
                <w:sz w:val="21"/>
              </w:rPr>
            </w:pPr>
            <w:r>
              <w:rPr>
                <w:spacing w:val="-2"/>
                <w:sz w:val="21"/>
              </w:rPr>
              <w:t>各种医疗咨询和健康预测：如健康咨询、睡眠咨询、性咨询、心理咨询等费用。精神和行为障碍（依照世界卫生组织《疾病和有关健康问题的国际统计分类》第十次修订版（ICD-10）确定）；</w:t>
            </w:r>
          </w:p>
          <w:p>
            <w:pPr>
              <w:pStyle w:val="9"/>
              <w:numPr>
                <w:ilvl w:val="0"/>
                <w:numId w:val="6"/>
              </w:numPr>
              <w:tabs>
                <w:tab w:val="left" w:pos="556"/>
              </w:tabs>
              <w:spacing w:before="0" w:after="0" w:line="269" w:lineRule="exact"/>
              <w:ind w:left="555" w:right="0" w:hanging="481"/>
              <w:jc w:val="both"/>
              <w:rPr>
                <w:sz w:val="21"/>
              </w:rPr>
            </w:pPr>
            <w:r>
              <w:rPr>
                <w:spacing w:val="-11"/>
                <w:sz w:val="21"/>
              </w:rPr>
              <w:t>耐用医疗设备</w:t>
            </w:r>
            <w:r>
              <w:rPr>
                <w:spacing w:val="-2"/>
                <w:sz w:val="21"/>
              </w:rPr>
              <w:t>（</w:t>
            </w:r>
            <w:r>
              <w:rPr>
                <w:spacing w:val="-9"/>
                <w:sz w:val="21"/>
              </w:rPr>
              <w:t>指各种康复设备、矫形支具以及其他耐用医疗设备</w:t>
            </w:r>
            <w:r>
              <w:rPr>
                <w:spacing w:val="-11"/>
                <w:sz w:val="21"/>
              </w:rPr>
              <w:t>）；</w:t>
            </w:r>
          </w:p>
          <w:p>
            <w:pPr>
              <w:pStyle w:val="9"/>
              <w:numPr>
                <w:ilvl w:val="0"/>
                <w:numId w:val="6"/>
              </w:numPr>
              <w:tabs>
                <w:tab w:val="left" w:pos="556"/>
              </w:tabs>
              <w:spacing w:before="43" w:after="0" w:line="278" w:lineRule="auto"/>
              <w:ind w:left="75" w:right="99" w:firstLine="0"/>
              <w:jc w:val="left"/>
              <w:rPr>
                <w:sz w:val="21"/>
              </w:rPr>
            </w:pPr>
            <w:r>
              <w:rPr>
                <w:spacing w:val="-2"/>
                <w:sz w:val="21"/>
              </w:rPr>
              <w:t>被保险人接受实验性治疗（即未经科学或医学认可的医疗），或者接受未被治疗所在地权威部门批准的治疗；</w:t>
            </w:r>
          </w:p>
          <w:p>
            <w:pPr>
              <w:pStyle w:val="9"/>
              <w:numPr>
                <w:ilvl w:val="0"/>
                <w:numId w:val="6"/>
              </w:numPr>
              <w:tabs>
                <w:tab w:val="left" w:pos="556"/>
              </w:tabs>
              <w:spacing w:before="0" w:after="0" w:line="278" w:lineRule="auto"/>
              <w:ind w:left="75" w:right="100" w:firstLine="0"/>
              <w:jc w:val="left"/>
              <w:rPr>
                <w:sz w:val="21"/>
              </w:rPr>
            </w:pPr>
            <w:r>
              <w:rPr>
                <w:spacing w:val="-2"/>
                <w:sz w:val="21"/>
              </w:rPr>
              <w:t>器官移植费用不包括器官供体寻找、获取以及从供体切除、储藏、运送器官的相关费用，也不包括支付给供方的费用；</w:t>
            </w:r>
          </w:p>
          <w:p>
            <w:pPr>
              <w:pStyle w:val="9"/>
              <w:numPr>
                <w:ilvl w:val="0"/>
                <w:numId w:val="6"/>
              </w:numPr>
              <w:tabs>
                <w:tab w:val="left" w:pos="556"/>
              </w:tabs>
              <w:spacing w:before="0" w:after="0" w:line="278" w:lineRule="auto"/>
              <w:ind w:left="75" w:right="57" w:firstLine="0"/>
              <w:jc w:val="left"/>
              <w:rPr>
                <w:sz w:val="21"/>
              </w:rPr>
            </w:pPr>
            <w:r>
              <w:rPr>
                <w:spacing w:val="-2"/>
                <w:sz w:val="21"/>
              </w:rPr>
              <w:t>各类医疗鉴定，包括但不限于医疗事故鉴定、精神鉴定、验伤鉴定、基因鉴定。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0" w:hRule="atLeast"/>
        </w:trPr>
        <w:tc>
          <w:tcPr>
            <w:tcW w:w="744" w:type="dxa"/>
            <w:tcBorders>
              <w:bottom w:val="single" w:color="000000" w:sz="8" w:space="0"/>
            </w:tcBorders>
          </w:tcPr>
          <w:p>
            <w:pPr>
              <w:pStyle w:val="9"/>
              <w:spacing w:before="141" w:line="419" w:lineRule="exact"/>
              <w:ind w:left="105"/>
              <w:rPr>
                <w:rFonts w:ascii="Microsoft JhengHei"/>
                <w:b/>
                <w:sz w:val="24"/>
              </w:rPr>
            </w:pPr>
            <w:r>
              <w:rPr>
                <w:rFonts w:ascii="Microsoft JhengHei"/>
                <w:b/>
                <w:spacing w:val="-5"/>
                <w:w w:val="115"/>
                <w:sz w:val="24"/>
              </w:rPr>
              <w:t>3.</w:t>
            </w:r>
          </w:p>
        </w:tc>
        <w:tc>
          <w:tcPr>
            <w:tcW w:w="1841" w:type="dxa"/>
            <w:tcBorders>
              <w:bottom w:val="single" w:color="000000" w:sz="8" w:space="0"/>
            </w:tcBorders>
          </w:tcPr>
          <w:p>
            <w:pPr>
              <w:pStyle w:val="9"/>
              <w:spacing w:before="93"/>
              <w:ind w:left="322"/>
              <w:rPr>
                <w:rFonts w:ascii="Microsoft JhengHei" w:eastAsia="Microsoft JhengHei"/>
                <w:b/>
                <w:sz w:val="24"/>
              </w:rPr>
            </w:pPr>
            <w:r>
              <w:rPr>
                <w:rFonts w:ascii="Microsoft JhengHei" w:eastAsia="Microsoft JhengHei"/>
                <w:b/>
                <w:spacing w:val="-2"/>
                <w:sz w:val="24"/>
              </w:rPr>
              <w:t>保险金的申请</w:t>
            </w:r>
          </w:p>
        </w:tc>
        <w:tc>
          <w:tcPr>
            <w:tcW w:w="6917" w:type="dxa"/>
            <w:tcBorders>
              <w:bottom w:val="single" w:color="000000" w:sz="8" w:space="0"/>
            </w:tcBorders>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5" w:hRule="atLeast"/>
        </w:trPr>
        <w:tc>
          <w:tcPr>
            <w:tcW w:w="744" w:type="dxa"/>
            <w:tcBorders>
              <w:top w:val="single" w:color="000000" w:sz="8" w:space="0"/>
            </w:tcBorders>
          </w:tcPr>
          <w:p>
            <w:pPr>
              <w:pStyle w:val="9"/>
              <w:spacing w:before="6"/>
              <w:rPr>
                <w:sz w:val="20"/>
              </w:rPr>
            </w:pPr>
          </w:p>
          <w:p>
            <w:pPr>
              <w:pStyle w:val="9"/>
              <w:ind w:left="105"/>
              <w:rPr>
                <w:rFonts w:ascii="Microsoft JhengHei"/>
                <w:b/>
                <w:sz w:val="21"/>
              </w:rPr>
            </w:pPr>
            <w:r>
              <w:rPr>
                <w:rFonts w:ascii="Microsoft JhengHei"/>
                <w:b/>
                <w:spacing w:val="-5"/>
                <w:w w:val="105"/>
                <w:sz w:val="21"/>
              </w:rPr>
              <w:t>3.1</w:t>
            </w:r>
          </w:p>
        </w:tc>
        <w:tc>
          <w:tcPr>
            <w:tcW w:w="1841" w:type="dxa"/>
            <w:tcBorders>
              <w:top w:val="single" w:color="000000" w:sz="8" w:space="0"/>
            </w:tcBorders>
          </w:tcPr>
          <w:p>
            <w:pPr>
              <w:pStyle w:val="9"/>
              <w:spacing w:before="6"/>
              <w:rPr>
                <w:sz w:val="20"/>
              </w:rPr>
            </w:pPr>
          </w:p>
          <w:p>
            <w:pPr>
              <w:pStyle w:val="9"/>
              <w:ind w:left="322"/>
              <w:rPr>
                <w:rFonts w:ascii="Microsoft JhengHei" w:eastAsia="Microsoft JhengHei"/>
                <w:b/>
                <w:sz w:val="21"/>
              </w:rPr>
            </w:pPr>
            <w:r>
              <w:rPr>
                <w:rFonts w:ascii="Microsoft JhengHei" w:eastAsia="Microsoft JhengHei"/>
                <w:b/>
                <w:spacing w:val="-4"/>
                <w:sz w:val="21"/>
              </w:rPr>
              <w:t>受益人</w:t>
            </w:r>
          </w:p>
        </w:tc>
        <w:tc>
          <w:tcPr>
            <w:tcW w:w="6917" w:type="dxa"/>
            <w:tcBorders>
              <w:top w:val="single" w:color="000000" w:sz="8" w:space="0"/>
            </w:tcBorders>
          </w:tcPr>
          <w:p>
            <w:pPr>
              <w:pStyle w:val="9"/>
              <w:spacing w:before="11"/>
              <w:rPr>
                <w:sz w:val="25"/>
              </w:rPr>
            </w:pPr>
          </w:p>
          <w:p>
            <w:pPr>
              <w:pStyle w:val="9"/>
              <w:ind w:left="75"/>
              <w:rPr>
                <w:sz w:val="21"/>
              </w:rPr>
            </w:pPr>
            <w:r>
              <w:rPr>
                <w:spacing w:val="-3"/>
                <w:sz w:val="21"/>
              </w:rPr>
              <w:t>除另有指定外，本合同保险金受益人为被保险人本人。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82" w:hRule="atLeast"/>
        </w:trPr>
        <w:tc>
          <w:tcPr>
            <w:tcW w:w="744" w:type="dxa"/>
          </w:tcPr>
          <w:p>
            <w:pPr>
              <w:pStyle w:val="9"/>
              <w:spacing w:before="116"/>
              <w:ind w:left="105"/>
              <w:rPr>
                <w:rFonts w:ascii="Microsoft JhengHei"/>
                <w:b/>
                <w:sz w:val="21"/>
              </w:rPr>
            </w:pPr>
            <w:r>
              <w:rPr>
                <w:rFonts w:ascii="Microsoft JhengHei"/>
                <w:b/>
                <w:spacing w:val="-5"/>
                <w:w w:val="105"/>
                <w:sz w:val="21"/>
              </w:rPr>
              <w:t>3.2</w:t>
            </w:r>
          </w:p>
        </w:tc>
        <w:tc>
          <w:tcPr>
            <w:tcW w:w="1841" w:type="dxa"/>
          </w:tcPr>
          <w:p>
            <w:pPr>
              <w:pStyle w:val="9"/>
              <w:spacing w:before="116"/>
              <w:ind w:left="322"/>
              <w:rPr>
                <w:rFonts w:ascii="Microsoft JhengHei" w:eastAsia="Microsoft JhengHei"/>
                <w:b/>
                <w:sz w:val="21"/>
              </w:rPr>
            </w:pPr>
            <w:r>
              <w:rPr>
                <w:rFonts w:ascii="Microsoft JhengHei" w:eastAsia="Microsoft JhengHei"/>
                <w:b/>
                <w:spacing w:val="-2"/>
                <w:sz w:val="21"/>
              </w:rPr>
              <w:t>保险事故通知</w:t>
            </w:r>
          </w:p>
        </w:tc>
        <w:tc>
          <w:tcPr>
            <w:tcW w:w="6917" w:type="dxa"/>
          </w:tcPr>
          <w:p>
            <w:pPr>
              <w:pStyle w:val="9"/>
              <w:spacing w:before="5"/>
              <w:rPr>
                <w:sz w:val="14"/>
              </w:rPr>
            </w:pPr>
          </w:p>
          <w:p>
            <w:pPr>
              <w:pStyle w:val="9"/>
              <w:spacing w:before="1" w:line="278" w:lineRule="auto"/>
              <w:ind w:left="75" w:right="-15"/>
              <w:rPr>
                <w:sz w:val="21"/>
              </w:rPr>
            </w:pPr>
            <w:r>
              <w:rPr>
                <w:spacing w:val="-2"/>
                <w:sz w:val="21"/>
              </w:rPr>
              <w:t xml:space="preserve">您或者受益人知道保险事故发生后应当在 </w:t>
            </w:r>
            <w:r>
              <w:rPr>
                <w:sz w:val="21"/>
              </w:rPr>
              <w:t>10</w:t>
            </w:r>
            <w:r>
              <w:rPr>
                <w:spacing w:val="-12"/>
                <w:sz w:val="21"/>
              </w:rPr>
              <w:t xml:space="preserve"> 日内通知我们。故意或者因重</w:t>
            </w:r>
            <w:r>
              <w:rPr>
                <w:spacing w:val="-4"/>
                <w:sz w:val="21"/>
              </w:rPr>
              <w:t>大过失未及时通知，致使保险事故的性质、原因、损失程度等难以确定的，</w:t>
            </w:r>
            <w:r>
              <w:rPr>
                <w:spacing w:val="-2"/>
                <w:sz w:val="21"/>
              </w:rPr>
              <w:t>我们对无法确定的部分不承担给付保险金的责任，但我们通过其他途径已经及时知道或者应当及时知道保险事故发生或者虽未及时通知但不影响我们确定保险事故的性质、原因、损失程度的除外。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38" w:hRule="atLeast"/>
        </w:trPr>
        <w:tc>
          <w:tcPr>
            <w:tcW w:w="744" w:type="dxa"/>
          </w:tcPr>
          <w:p>
            <w:pPr>
              <w:pStyle w:val="9"/>
              <w:spacing w:before="115"/>
              <w:ind w:left="105"/>
              <w:rPr>
                <w:rFonts w:ascii="Microsoft JhengHei"/>
                <w:b/>
                <w:sz w:val="21"/>
              </w:rPr>
            </w:pPr>
            <w:r>
              <w:rPr>
                <w:rFonts w:ascii="Microsoft JhengHei"/>
                <w:b/>
                <w:spacing w:val="-5"/>
                <w:w w:val="105"/>
                <w:sz w:val="21"/>
              </w:rPr>
              <w:t>3.3</w:t>
            </w:r>
          </w:p>
        </w:tc>
        <w:tc>
          <w:tcPr>
            <w:tcW w:w="1841" w:type="dxa"/>
          </w:tcPr>
          <w:p>
            <w:pPr>
              <w:pStyle w:val="9"/>
              <w:spacing w:before="115"/>
              <w:ind w:left="322"/>
              <w:rPr>
                <w:rFonts w:ascii="Microsoft JhengHei" w:eastAsia="Microsoft JhengHei"/>
                <w:b/>
                <w:sz w:val="21"/>
              </w:rPr>
            </w:pPr>
            <w:r>
              <w:rPr>
                <w:rFonts w:ascii="Microsoft JhengHei" w:eastAsia="Microsoft JhengHei"/>
                <w:b/>
                <w:spacing w:val="-2"/>
                <w:sz w:val="21"/>
              </w:rPr>
              <w:t>保险金申请</w:t>
            </w:r>
          </w:p>
        </w:tc>
        <w:tc>
          <w:tcPr>
            <w:tcW w:w="6917" w:type="dxa"/>
          </w:tcPr>
          <w:p>
            <w:pPr>
              <w:pStyle w:val="9"/>
              <w:spacing w:before="5"/>
              <w:rPr>
                <w:sz w:val="14"/>
              </w:rPr>
            </w:pPr>
          </w:p>
          <w:p>
            <w:pPr>
              <w:pStyle w:val="9"/>
              <w:ind w:left="75"/>
              <w:rPr>
                <w:sz w:val="21"/>
              </w:rPr>
            </w:pPr>
            <w:r>
              <w:rPr>
                <w:spacing w:val="-3"/>
                <w:sz w:val="21"/>
              </w:rPr>
              <w:t>在申请保险金时，请按照下列方式办理：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759" w:hRule="atLeast"/>
        </w:trPr>
        <w:tc>
          <w:tcPr>
            <w:tcW w:w="744" w:type="dxa"/>
          </w:tcPr>
          <w:p>
            <w:pPr>
              <w:pStyle w:val="9"/>
              <w:rPr>
                <w:rFonts w:ascii="Times New Roman"/>
                <w:sz w:val="20"/>
              </w:rPr>
            </w:pPr>
          </w:p>
        </w:tc>
        <w:tc>
          <w:tcPr>
            <w:tcW w:w="1841" w:type="dxa"/>
          </w:tcPr>
          <w:p>
            <w:pPr>
              <w:pStyle w:val="9"/>
              <w:spacing w:before="169" w:line="194" w:lineRule="auto"/>
              <w:ind w:left="322" w:right="249"/>
              <w:rPr>
                <w:rFonts w:ascii="Microsoft JhengHei" w:eastAsia="Microsoft JhengHei"/>
                <w:b/>
                <w:sz w:val="21"/>
              </w:rPr>
            </w:pPr>
            <w:r>
              <w:rPr>
                <w:rFonts w:ascii="Microsoft JhengHei" w:eastAsia="Microsoft JhengHei"/>
                <w:b/>
                <w:spacing w:val="-2"/>
                <w:sz w:val="21"/>
              </w:rPr>
              <w:t>一般医疗保险</w:t>
            </w:r>
            <w:r>
              <w:rPr>
                <w:rFonts w:ascii="Microsoft JhengHei" w:eastAsia="Microsoft JhengHei"/>
                <w:b/>
                <w:spacing w:val="-4"/>
                <w:sz w:val="21"/>
              </w:rPr>
              <w:t>金申请</w:t>
            </w:r>
          </w:p>
        </w:tc>
        <w:tc>
          <w:tcPr>
            <w:tcW w:w="6917" w:type="dxa"/>
          </w:tcPr>
          <w:p>
            <w:pPr>
              <w:pStyle w:val="9"/>
              <w:spacing w:before="5"/>
              <w:rPr>
                <w:sz w:val="14"/>
              </w:rPr>
            </w:pPr>
          </w:p>
          <w:p>
            <w:pPr>
              <w:pStyle w:val="9"/>
              <w:spacing w:line="278" w:lineRule="auto"/>
              <w:ind w:left="75" w:right="103"/>
              <w:rPr>
                <w:sz w:val="21"/>
              </w:rPr>
            </w:pPr>
            <w:r>
              <w:rPr>
                <w:spacing w:val="-2"/>
                <w:sz w:val="21"/>
              </w:rPr>
              <w:t>申请一般医疗保险金的，申请人须填写领取保险金申请书，并向我们提供下列资料：</w:t>
            </w:r>
          </w:p>
          <w:p>
            <w:pPr>
              <w:pStyle w:val="9"/>
              <w:numPr>
                <w:ilvl w:val="0"/>
                <w:numId w:val="7"/>
              </w:numPr>
              <w:tabs>
                <w:tab w:val="left" w:pos="605"/>
              </w:tabs>
              <w:spacing w:before="1" w:after="0" w:line="257" w:lineRule="exact"/>
              <w:ind w:left="604" w:right="0" w:hanging="530"/>
              <w:jc w:val="left"/>
              <w:rPr>
                <w:sz w:val="21"/>
              </w:rPr>
            </w:pPr>
            <w:r>
              <w:rPr>
                <w:spacing w:val="-4"/>
                <w:sz w:val="21"/>
              </w:rPr>
              <w:t>本合同；</w:t>
            </w:r>
          </w:p>
          <w:p>
            <w:pPr>
              <w:pStyle w:val="9"/>
              <w:numPr>
                <w:ilvl w:val="0"/>
                <w:numId w:val="7"/>
              </w:numPr>
              <w:tabs>
                <w:tab w:val="left" w:pos="605"/>
              </w:tabs>
              <w:spacing w:before="0" w:after="0" w:line="371" w:lineRule="exact"/>
              <w:ind w:left="604" w:right="0" w:hanging="530"/>
              <w:jc w:val="left"/>
              <w:rPr>
                <w:sz w:val="21"/>
              </w:rPr>
            </w:pPr>
            <w:r>
              <w:rPr>
                <w:spacing w:val="-2"/>
                <w:sz w:val="21"/>
              </w:rPr>
              <w:t>申请人的</w:t>
            </w:r>
            <w:r>
              <w:rPr>
                <w:rFonts w:ascii="微软雅黑" w:eastAsia="微软雅黑"/>
                <w:b/>
                <w:spacing w:val="-2"/>
                <w:sz w:val="21"/>
              </w:rPr>
              <w:t>有效身份证件</w:t>
            </w:r>
            <w:r>
              <w:rPr>
                <w:spacing w:val="-2"/>
                <w:sz w:val="21"/>
              </w:rPr>
              <w:t>（</w:t>
            </w:r>
            <w:r>
              <w:rPr>
                <w:spacing w:val="-11"/>
                <w:sz w:val="21"/>
              </w:rPr>
              <w:t xml:space="preserve">见释义 </w:t>
            </w:r>
            <w:r>
              <w:rPr>
                <w:spacing w:val="-2"/>
                <w:sz w:val="21"/>
              </w:rPr>
              <w:t>8.33）；</w:t>
            </w:r>
          </w:p>
          <w:p>
            <w:pPr>
              <w:pStyle w:val="9"/>
              <w:numPr>
                <w:ilvl w:val="0"/>
                <w:numId w:val="7"/>
              </w:numPr>
              <w:tabs>
                <w:tab w:val="left" w:pos="605"/>
              </w:tabs>
              <w:spacing w:before="0" w:after="0" w:line="278" w:lineRule="auto"/>
              <w:ind w:left="75" w:right="103" w:firstLine="0"/>
              <w:jc w:val="left"/>
              <w:rPr>
                <w:sz w:val="21"/>
              </w:rPr>
            </w:pPr>
            <w:r>
              <w:rPr>
                <w:spacing w:val="-2"/>
                <w:sz w:val="21"/>
              </w:rPr>
              <w:t>由本公司认可的医院出具的医疗诊断书、医疗病历及出院小结、检查检验报告及药品明细处方；</w:t>
            </w:r>
          </w:p>
          <w:p>
            <w:pPr>
              <w:pStyle w:val="9"/>
              <w:numPr>
                <w:ilvl w:val="0"/>
                <w:numId w:val="7"/>
              </w:numPr>
              <w:tabs>
                <w:tab w:val="left" w:pos="605"/>
              </w:tabs>
              <w:spacing w:before="0" w:after="0" w:line="269" w:lineRule="exact"/>
              <w:ind w:left="604" w:right="0" w:hanging="530"/>
              <w:jc w:val="left"/>
              <w:rPr>
                <w:sz w:val="21"/>
              </w:rPr>
            </w:pPr>
            <w:r>
              <w:rPr>
                <w:spacing w:val="-3"/>
                <w:sz w:val="21"/>
              </w:rPr>
              <w:t>医疗费用原始单据及费用明细单原件或社保分割单据；</w:t>
            </w:r>
          </w:p>
          <w:p>
            <w:pPr>
              <w:pStyle w:val="9"/>
              <w:numPr>
                <w:ilvl w:val="0"/>
                <w:numId w:val="7"/>
              </w:numPr>
              <w:tabs>
                <w:tab w:val="left" w:pos="605"/>
              </w:tabs>
              <w:spacing w:before="39" w:after="0" w:line="278" w:lineRule="auto"/>
              <w:ind w:left="75" w:right="100" w:firstLine="0"/>
              <w:jc w:val="left"/>
              <w:rPr>
                <w:sz w:val="21"/>
              </w:rPr>
            </w:pPr>
            <w:r>
              <w:rPr>
                <w:spacing w:val="-7"/>
                <w:w w:val="100"/>
                <w:sz w:val="21"/>
              </w:rPr>
              <w:t>若已从其它途径获得了医疗费用补偿，则须提供从其他途径报销的</w:t>
            </w:r>
            <w:r>
              <w:rPr>
                <w:spacing w:val="-6"/>
                <w:w w:val="100"/>
                <w:sz w:val="21"/>
              </w:rPr>
              <w:t>凭证；</w:t>
            </w:r>
          </w:p>
          <w:p>
            <w:pPr>
              <w:pStyle w:val="9"/>
              <w:numPr>
                <w:ilvl w:val="0"/>
                <w:numId w:val="7"/>
              </w:numPr>
              <w:tabs>
                <w:tab w:val="left" w:pos="605"/>
              </w:tabs>
              <w:spacing w:before="0" w:after="0" w:line="278" w:lineRule="auto"/>
              <w:ind w:left="75" w:right="100" w:firstLine="0"/>
              <w:jc w:val="left"/>
              <w:rPr>
                <w:sz w:val="21"/>
              </w:rPr>
            </w:pPr>
            <w:r>
              <w:rPr>
                <w:spacing w:val="-2"/>
                <w:sz w:val="21"/>
              </w:rPr>
              <w:t>所能提供的与确认保险事故的性质、原因、伤害程度等有关的其他证明和资料。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744" w:type="dxa"/>
          </w:tcPr>
          <w:p>
            <w:pPr>
              <w:pStyle w:val="9"/>
              <w:rPr>
                <w:rFonts w:ascii="Times New Roman"/>
                <w:sz w:val="20"/>
              </w:rPr>
            </w:pPr>
          </w:p>
        </w:tc>
        <w:tc>
          <w:tcPr>
            <w:tcW w:w="1841" w:type="dxa"/>
          </w:tcPr>
          <w:p>
            <w:pPr>
              <w:pStyle w:val="9"/>
              <w:spacing w:before="116" w:line="339" w:lineRule="exact"/>
              <w:ind w:left="322"/>
              <w:rPr>
                <w:rFonts w:ascii="Microsoft JhengHei" w:eastAsia="Microsoft JhengHei"/>
                <w:b/>
                <w:sz w:val="21"/>
              </w:rPr>
            </w:pPr>
            <w:r>
              <w:rPr>
                <w:rFonts w:ascii="Microsoft JhengHei" w:eastAsia="Microsoft JhengHei"/>
                <w:b/>
                <w:spacing w:val="-2"/>
                <w:sz w:val="21"/>
              </w:rPr>
              <w:t>重大疾病医疗</w:t>
            </w:r>
          </w:p>
        </w:tc>
        <w:tc>
          <w:tcPr>
            <w:tcW w:w="6917" w:type="dxa"/>
          </w:tcPr>
          <w:p>
            <w:pPr>
              <w:pStyle w:val="9"/>
              <w:spacing w:before="6"/>
              <w:rPr>
                <w:sz w:val="14"/>
              </w:rPr>
            </w:pPr>
          </w:p>
          <w:p>
            <w:pPr>
              <w:pStyle w:val="9"/>
              <w:ind w:left="75"/>
              <w:rPr>
                <w:sz w:val="21"/>
              </w:rPr>
            </w:pPr>
            <w:r>
              <w:rPr>
                <w:spacing w:val="-3"/>
                <w:sz w:val="21"/>
              </w:rPr>
              <w:t>申请重大疾病医疗保险金、质子重离子医疗保险金的，申请人须填写领取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4" w:type="dxa"/>
          </w:tcPr>
          <w:p>
            <w:pPr>
              <w:pStyle w:val="9"/>
              <w:rPr>
                <w:rFonts w:ascii="Times New Roman"/>
                <w:sz w:val="20"/>
              </w:rPr>
            </w:pPr>
          </w:p>
        </w:tc>
        <w:tc>
          <w:tcPr>
            <w:tcW w:w="1841" w:type="dxa"/>
          </w:tcPr>
          <w:p>
            <w:pPr>
              <w:pStyle w:val="9"/>
              <w:spacing w:line="292" w:lineRule="exact"/>
              <w:ind w:left="322"/>
              <w:rPr>
                <w:rFonts w:ascii="Microsoft JhengHei" w:eastAsia="Microsoft JhengHei"/>
                <w:b/>
                <w:sz w:val="21"/>
              </w:rPr>
            </w:pPr>
            <w:r>
              <w:rPr>
                <w:rFonts w:ascii="Microsoft JhengHei" w:eastAsia="Microsoft JhengHei"/>
                <w:b/>
                <w:spacing w:val="-2"/>
                <w:sz w:val="21"/>
              </w:rPr>
              <w:t>保险金、质子</w:t>
            </w:r>
          </w:p>
        </w:tc>
        <w:tc>
          <w:tcPr>
            <w:tcW w:w="6917" w:type="dxa"/>
          </w:tcPr>
          <w:p>
            <w:pPr>
              <w:pStyle w:val="9"/>
              <w:spacing w:before="22"/>
              <w:ind w:left="75"/>
              <w:rPr>
                <w:sz w:val="21"/>
              </w:rPr>
            </w:pPr>
            <w:r>
              <w:rPr>
                <w:spacing w:val="-3"/>
                <w:sz w:val="21"/>
              </w:rPr>
              <w:t>保险金申请书，并向我们提供下列资料：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44" w:type="dxa"/>
          </w:tcPr>
          <w:p>
            <w:pPr>
              <w:pStyle w:val="9"/>
              <w:rPr>
                <w:rFonts w:ascii="Times New Roman"/>
                <w:sz w:val="20"/>
              </w:rPr>
            </w:pPr>
          </w:p>
        </w:tc>
        <w:tc>
          <w:tcPr>
            <w:tcW w:w="1841" w:type="dxa"/>
          </w:tcPr>
          <w:p>
            <w:pPr>
              <w:pStyle w:val="9"/>
              <w:spacing w:line="292" w:lineRule="exact"/>
              <w:ind w:left="322"/>
              <w:rPr>
                <w:rFonts w:ascii="Microsoft JhengHei" w:eastAsia="Microsoft JhengHei"/>
                <w:b/>
                <w:sz w:val="21"/>
              </w:rPr>
            </w:pPr>
            <w:r>
              <w:rPr>
                <w:rFonts w:ascii="Microsoft JhengHei" w:eastAsia="Microsoft JhengHei"/>
                <w:b/>
                <w:spacing w:val="-2"/>
                <w:sz w:val="21"/>
              </w:rPr>
              <w:t>重离子医疗保</w:t>
            </w:r>
          </w:p>
        </w:tc>
        <w:tc>
          <w:tcPr>
            <w:tcW w:w="6917" w:type="dxa"/>
          </w:tcPr>
          <w:p>
            <w:pPr>
              <w:pStyle w:val="9"/>
              <w:spacing w:before="22"/>
              <w:ind w:left="75"/>
              <w:rPr>
                <w:sz w:val="21"/>
              </w:rPr>
            </w:pPr>
            <w:r>
              <w:rPr>
                <w:spacing w:val="-2"/>
                <w:sz w:val="21"/>
              </w:rPr>
              <w:t>（1）</w:t>
            </w:r>
            <w:r>
              <w:rPr>
                <w:spacing w:val="-4"/>
                <w:sz w:val="21"/>
              </w:rPr>
              <w:t>本合同；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44" w:type="dxa"/>
          </w:tcPr>
          <w:p>
            <w:pPr>
              <w:pStyle w:val="9"/>
              <w:rPr>
                <w:rFonts w:ascii="Times New Roman"/>
                <w:sz w:val="20"/>
              </w:rPr>
            </w:pPr>
          </w:p>
        </w:tc>
        <w:tc>
          <w:tcPr>
            <w:tcW w:w="1841" w:type="dxa"/>
          </w:tcPr>
          <w:p>
            <w:pPr>
              <w:pStyle w:val="9"/>
              <w:spacing w:line="292" w:lineRule="exact"/>
              <w:ind w:left="322"/>
              <w:rPr>
                <w:rFonts w:ascii="Microsoft JhengHei" w:eastAsia="Microsoft JhengHei"/>
                <w:b/>
                <w:sz w:val="21"/>
              </w:rPr>
            </w:pPr>
            <w:r>
              <w:rPr>
                <w:rFonts w:ascii="Microsoft JhengHei" w:eastAsia="Microsoft JhengHei"/>
                <w:b/>
                <w:spacing w:val="-3"/>
                <w:sz w:val="21"/>
              </w:rPr>
              <w:t>险金申请</w:t>
            </w:r>
          </w:p>
        </w:tc>
        <w:tc>
          <w:tcPr>
            <w:tcW w:w="6917" w:type="dxa"/>
          </w:tcPr>
          <w:p>
            <w:pPr>
              <w:pStyle w:val="9"/>
              <w:spacing w:before="22"/>
              <w:ind w:left="75"/>
              <w:rPr>
                <w:sz w:val="21"/>
              </w:rPr>
            </w:pPr>
            <w:r>
              <w:rPr>
                <w:spacing w:val="-2"/>
                <w:sz w:val="21"/>
              </w:rPr>
              <w:t>（2）</w:t>
            </w:r>
            <w:r>
              <w:rPr>
                <w:spacing w:val="-3"/>
                <w:sz w:val="21"/>
              </w:rPr>
              <w:t>申请人的有效身份证件；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4" w:type="dxa"/>
          </w:tcPr>
          <w:p>
            <w:pPr>
              <w:pStyle w:val="9"/>
              <w:rPr>
                <w:rFonts w:ascii="Times New Roman"/>
                <w:sz w:val="20"/>
              </w:rPr>
            </w:pPr>
          </w:p>
        </w:tc>
        <w:tc>
          <w:tcPr>
            <w:tcW w:w="1841" w:type="dxa"/>
          </w:tcPr>
          <w:p>
            <w:pPr>
              <w:pStyle w:val="9"/>
              <w:rPr>
                <w:rFonts w:ascii="Times New Roman"/>
                <w:sz w:val="20"/>
              </w:rPr>
            </w:pPr>
          </w:p>
        </w:tc>
        <w:tc>
          <w:tcPr>
            <w:tcW w:w="6917" w:type="dxa"/>
          </w:tcPr>
          <w:p>
            <w:pPr>
              <w:pStyle w:val="9"/>
              <w:spacing w:before="22"/>
              <w:ind w:left="75"/>
              <w:rPr>
                <w:sz w:val="21"/>
              </w:rPr>
            </w:pPr>
            <w:r>
              <w:rPr>
                <w:spacing w:val="-6"/>
                <w:sz w:val="21"/>
              </w:rPr>
              <w:t>（3）</w:t>
            </w:r>
            <w:r>
              <w:rPr>
                <w:spacing w:val="-7"/>
                <w:sz w:val="21"/>
              </w:rPr>
              <w:t>由本公司认可的医院出具的医疗诊断书、医疗病历及出院小结、检查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4" w:type="dxa"/>
          </w:tcPr>
          <w:p>
            <w:pPr>
              <w:pStyle w:val="9"/>
              <w:rPr>
                <w:rFonts w:ascii="Times New Roman"/>
                <w:sz w:val="20"/>
              </w:rPr>
            </w:pPr>
          </w:p>
        </w:tc>
        <w:tc>
          <w:tcPr>
            <w:tcW w:w="1841" w:type="dxa"/>
          </w:tcPr>
          <w:p>
            <w:pPr>
              <w:pStyle w:val="9"/>
              <w:rPr>
                <w:rFonts w:ascii="Times New Roman"/>
                <w:sz w:val="20"/>
              </w:rPr>
            </w:pPr>
          </w:p>
        </w:tc>
        <w:tc>
          <w:tcPr>
            <w:tcW w:w="6917" w:type="dxa"/>
          </w:tcPr>
          <w:p>
            <w:pPr>
              <w:pStyle w:val="9"/>
              <w:spacing w:before="22"/>
              <w:ind w:left="75"/>
              <w:rPr>
                <w:sz w:val="21"/>
              </w:rPr>
            </w:pPr>
            <w:r>
              <w:rPr>
                <w:spacing w:val="-3"/>
                <w:sz w:val="21"/>
              </w:rPr>
              <w:t>检验报告及药品明细处方；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44" w:type="dxa"/>
          </w:tcPr>
          <w:p>
            <w:pPr>
              <w:pStyle w:val="9"/>
              <w:rPr>
                <w:rFonts w:ascii="Times New Roman"/>
                <w:sz w:val="18"/>
              </w:rPr>
            </w:pPr>
          </w:p>
        </w:tc>
        <w:tc>
          <w:tcPr>
            <w:tcW w:w="1841" w:type="dxa"/>
          </w:tcPr>
          <w:p>
            <w:pPr>
              <w:pStyle w:val="9"/>
              <w:rPr>
                <w:rFonts w:ascii="Times New Roman"/>
                <w:sz w:val="18"/>
              </w:rPr>
            </w:pPr>
          </w:p>
        </w:tc>
        <w:tc>
          <w:tcPr>
            <w:tcW w:w="6917" w:type="dxa"/>
          </w:tcPr>
          <w:p>
            <w:pPr>
              <w:pStyle w:val="9"/>
              <w:spacing w:before="22" w:line="220" w:lineRule="exact"/>
              <w:ind w:left="75"/>
              <w:rPr>
                <w:sz w:val="21"/>
              </w:rPr>
            </w:pPr>
            <w:r>
              <w:rPr>
                <w:spacing w:val="-4"/>
                <w:sz w:val="21"/>
              </w:rPr>
              <w:t>（4）</w:t>
            </w:r>
            <w:r>
              <w:rPr>
                <w:spacing w:val="-5"/>
                <w:sz w:val="21"/>
              </w:rPr>
              <w:t>由本公司认可的医院出具的可证明被保险人所患重大疾病的诊断证明</w:t>
            </w:r>
          </w:p>
        </w:tc>
      </w:tr>
    </w:tbl>
    <w:p>
      <w:pPr>
        <w:spacing w:after="0" w:line="220" w:lineRule="exact"/>
        <w:rPr>
          <w:sz w:val="21"/>
        </w:rPr>
        <w:sectPr>
          <w:pgSz w:w="11910" w:h="16840"/>
          <w:pgMar w:top="740" w:right="680" w:bottom="420" w:left="880" w:header="0" w:footer="230" w:gutter="0"/>
          <w:cols w:space="720" w:num="1"/>
        </w:sectPr>
      </w:pPr>
    </w:p>
    <w:p>
      <w:pPr>
        <w:pStyle w:val="4"/>
        <w:spacing w:before="53"/>
        <w:ind w:left="2985"/>
      </w:pPr>
      <w:r>
        <w:rPr>
          <w:spacing w:val="-3"/>
        </w:rPr>
        <w:t>和诊断所患重大疾病必需的检查报告；</w:t>
      </w:r>
    </w:p>
    <w:p>
      <w:pPr>
        <w:pStyle w:val="8"/>
        <w:numPr>
          <w:ilvl w:val="0"/>
          <w:numId w:val="4"/>
        </w:numPr>
        <w:tabs>
          <w:tab w:val="left" w:pos="3515"/>
        </w:tabs>
        <w:spacing w:before="42" w:after="0" w:line="240" w:lineRule="auto"/>
        <w:ind w:left="3514" w:right="0" w:hanging="530"/>
        <w:jc w:val="left"/>
        <w:rPr>
          <w:sz w:val="21"/>
        </w:rPr>
      </w:pPr>
      <w:r>
        <w:rPr>
          <w:spacing w:val="-3"/>
          <w:sz w:val="21"/>
        </w:rPr>
        <w:t>医疗费用原始单据及费用明细单原件或社保分割单据；</w:t>
      </w:r>
    </w:p>
    <w:p>
      <w:pPr>
        <w:pStyle w:val="8"/>
        <w:numPr>
          <w:ilvl w:val="0"/>
          <w:numId w:val="4"/>
        </w:numPr>
        <w:tabs>
          <w:tab w:val="left" w:pos="3515"/>
        </w:tabs>
        <w:spacing w:before="43" w:after="0" w:line="278" w:lineRule="auto"/>
        <w:ind w:left="2985" w:right="617" w:firstLine="0"/>
        <w:jc w:val="left"/>
        <w:rPr>
          <w:sz w:val="21"/>
        </w:rPr>
      </w:pPr>
      <w:r>
        <w:rPr>
          <w:spacing w:val="-7"/>
          <w:w w:val="100"/>
          <w:sz w:val="21"/>
        </w:rPr>
        <w:t>若已从其它途径获得了医疗费用补偿，则须提供从其他途径报销的</w:t>
      </w:r>
      <w:r>
        <w:rPr>
          <w:spacing w:val="-6"/>
          <w:w w:val="100"/>
          <w:sz w:val="21"/>
        </w:rPr>
        <w:t>凭证；</w:t>
      </w:r>
    </w:p>
    <w:p>
      <w:pPr>
        <w:pStyle w:val="8"/>
        <w:numPr>
          <w:ilvl w:val="0"/>
          <w:numId w:val="4"/>
        </w:numPr>
        <w:tabs>
          <w:tab w:val="left" w:pos="3515"/>
        </w:tabs>
        <w:spacing w:before="0" w:after="0" w:line="278" w:lineRule="auto"/>
        <w:ind w:left="2985" w:right="617" w:firstLine="0"/>
        <w:jc w:val="left"/>
        <w:rPr>
          <w:sz w:val="21"/>
        </w:rPr>
      </w:pPr>
      <w:r>
        <w:rPr>
          <w:spacing w:val="-2"/>
          <w:sz w:val="21"/>
        </w:rPr>
        <w:t>所能提供的与确认保险事故的性质、原因、伤害程度等有关的其他证明和资料。</w:t>
      </w:r>
    </w:p>
    <w:p>
      <w:pPr>
        <w:pStyle w:val="4"/>
        <w:spacing w:before="7"/>
        <w:rPr>
          <w:sz w:val="20"/>
        </w:rPr>
      </w:pPr>
    </w:p>
    <w:p>
      <w:pPr>
        <w:pStyle w:val="4"/>
        <w:tabs>
          <w:tab w:val="left" w:pos="2985"/>
        </w:tabs>
        <w:spacing w:line="235" w:lineRule="auto"/>
        <w:ind w:left="2985" w:right="622" w:hanging="1594"/>
      </w:pPr>
      <w:r>
        <w:rPr>
          <w:rFonts w:ascii="Microsoft JhengHei" w:eastAsia="Microsoft JhengHei"/>
          <w:b/>
          <w:spacing w:val="-2"/>
        </w:rPr>
        <w:t>特别注意事项</w:t>
      </w:r>
      <w:r>
        <w:rPr>
          <w:rFonts w:ascii="Microsoft JhengHei" w:eastAsia="Microsoft JhengHei"/>
          <w:b/>
        </w:rPr>
        <w:tab/>
      </w:r>
      <w:r>
        <w:rPr>
          <w:spacing w:val="-2"/>
        </w:rPr>
        <w:t>以上证明和资料不完整的，我们将及时一次性通知受益人补充提供有关的证明和资料。</w:t>
      </w:r>
    </w:p>
    <w:p>
      <w:pPr>
        <w:pStyle w:val="4"/>
        <w:spacing w:before="166" w:line="278" w:lineRule="auto"/>
        <w:ind w:left="2985" w:right="622"/>
      </w:pPr>
      <w:r>
        <w:rPr>
          <w:spacing w:val="-2"/>
        </w:rPr>
        <w:t>委托他人领取保险金时，受托人还必须提供本人的有效身份证件及委托人亲笔签名的授权委托书。</w:t>
      </w:r>
    </w:p>
    <w:p>
      <w:pPr>
        <w:pStyle w:val="4"/>
        <w:spacing w:before="120" w:line="278" w:lineRule="auto"/>
        <w:ind w:left="2985" w:right="622"/>
      </w:pPr>
      <w:r>
        <w:rPr>
          <w:spacing w:val="-2"/>
        </w:rPr>
        <w:t>保险金作为被保险人遗产时，继承人还必须提供可证明其合法继承权的相关法律文件。</w:t>
      </w:r>
    </w:p>
    <w:p>
      <w:pPr>
        <w:pStyle w:val="4"/>
        <w:spacing w:before="120" w:line="278" w:lineRule="auto"/>
        <w:ind w:left="2985" w:right="622"/>
        <w:jc w:val="both"/>
      </w:pPr>
      <w:r>
        <w:rPr>
          <w:spacing w:val="-2"/>
        </w:rPr>
        <w:t>受益人或者继承人为无民事行为能力人或者限制民事行为能力人时，由其合法监护人代其申请领取保险金，其合法监护人还必须提供受益人或者继承人为无民事行为能力人或者限制民事行为能力人的证明和监护人具有合法监护权的证明。</w:t>
      </w:r>
    </w:p>
    <w:p>
      <w:pPr>
        <w:pStyle w:val="4"/>
        <w:rPr>
          <w:sz w:val="20"/>
        </w:rPr>
      </w:pPr>
    </w:p>
    <w:p>
      <w:pPr>
        <w:pStyle w:val="8"/>
        <w:numPr>
          <w:ilvl w:val="1"/>
          <w:numId w:val="8"/>
        </w:numPr>
        <w:tabs>
          <w:tab w:val="left" w:pos="1391"/>
          <w:tab w:val="left" w:pos="1392"/>
        </w:tabs>
        <w:spacing w:before="0" w:after="0" w:line="256" w:lineRule="auto"/>
        <w:ind w:left="2985" w:right="619" w:hanging="2555"/>
        <w:jc w:val="both"/>
        <w:rPr>
          <w:sz w:val="21"/>
        </w:rPr>
      </w:pPr>
      <w:r>
        <w:rPr>
          <w:rFonts w:ascii="Microsoft JhengHei" w:eastAsia="Microsoft JhengHei"/>
          <w:b/>
          <w:spacing w:val="70"/>
          <w:sz w:val="21"/>
        </w:rPr>
        <w:t xml:space="preserve">保险金给付 </w:t>
      </w:r>
      <w:r>
        <w:rPr>
          <w:spacing w:val="-1"/>
          <w:sz w:val="21"/>
        </w:rPr>
        <w:t xml:space="preserve">我们在收到领取保险金申请书及本合同约定的证明和资料后，将在 </w:t>
      </w:r>
      <w:r>
        <w:rPr>
          <w:sz w:val="21"/>
        </w:rPr>
        <w:t>5</w:t>
      </w:r>
      <w:r>
        <w:rPr>
          <w:spacing w:val="-9"/>
          <w:sz w:val="21"/>
        </w:rPr>
        <w:t xml:space="preserve"> 日内</w:t>
      </w:r>
      <w:r>
        <w:rPr>
          <w:spacing w:val="-7"/>
          <w:sz w:val="21"/>
        </w:rPr>
        <w:t xml:space="preserve">作出核定；情形复杂的，在 </w:t>
      </w:r>
      <w:r>
        <w:rPr>
          <w:spacing w:val="-6"/>
          <w:sz w:val="21"/>
        </w:rPr>
        <w:t>30</w:t>
      </w:r>
      <w:r>
        <w:rPr>
          <w:spacing w:val="-9"/>
          <w:sz w:val="21"/>
        </w:rPr>
        <w:t xml:space="preserve"> 日内作出核定。对属于保险责任的，我们在</w:t>
      </w:r>
      <w:r>
        <w:rPr>
          <w:spacing w:val="-2"/>
          <w:sz w:val="21"/>
        </w:rPr>
        <w:t xml:space="preserve">与受益人达成给付保险金的协议后 </w:t>
      </w:r>
      <w:r>
        <w:rPr>
          <w:sz w:val="21"/>
        </w:rPr>
        <w:t>10</w:t>
      </w:r>
      <w:r>
        <w:rPr>
          <w:spacing w:val="-5"/>
          <w:sz w:val="21"/>
        </w:rPr>
        <w:t xml:space="preserve"> 日内，履行给付保险金义务。</w:t>
      </w:r>
    </w:p>
    <w:p>
      <w:pPr>
        <w:pStyle w:val="4"/>
        <w:spacing w:before="137" w:line="278" w:lineRule="auto"/>
        <w:ind w:left="2985" w:right="620"/>
        <w:jc w:val="both"/>
      </w:pPr>
      <w:r>
        <w:rPr>
          <w:spacing w:val="-2"/>
        </w:rPr>
        <w:t>我们未及时履行前款规定义务的，对属于保险责任的，除支付保险金外，应当赔偿受益人因此受到的损失。前述“损失”是指按照中国人民银行公布的同时期的人民币活期存款基准利率、以复利方式计算的利息损失。</w:t>
      </w:r>
    </w:p>
    <w:p>
      <w:pPr>
        <w:pStyle w:val="4"/>
        <w:spacing w:before="120" w:line="278" w:lineRule="auto"/>
        <w:ind w:left="2985" w:right="615"/>
        <w:jc w:val="both"/>
      </w:pPr>
      <w:r>
        <w:rPr>
          <w:spacing w:val="-4"/>
        </w:rPr>
        <w:t xml:space="preserve">对不属于保险责任的，我们自作出核定之日起 </w:t>
      </w:r>
      <w:r>
        <w:rPr>
          <w:spacing w:val="-2"/>
        </w:rPr>
        <w:t>3</w:t>
      </w:r>
      <w:r>
        <w:rPr>
          <w:spacing w:val="-7"/>
        </w:rPr>
        <w:t xml:space="preserve"> 日内向受益人发出拒绝给</w:t>
      </w:r>
      <w:r>
        <w:rPr>
          <w:spacing w:val="-2"/>
        </w:rPr>
        <w:t>付保险金通知书并说明理由。</w:t>
      </w:r>
    </w:p>
    <w:p>
      <w:pPr>
        <w:pStyle w:val="4"/>
        <w:spacing w:before="120" w:line="278" w:lineRule="auto"/>
        <w:ind w:left="2985" w:right="619"/>
        <w:jc w:val="both"/>
      </w:pPr>
      <w:r>
        <w:rPr>
          <w:spacing w:val="-3"/>
        </w:rPr>
        <w:t xml:space="preserve">我们在收到领取保险金申请书及有关证明和资料之日起 </w:t>
      </w:r>
      <w:r>
        <w:rPr>
          <w:spacing w:val="-2"/>
        </w:rPr>
        <w:t>60</w:t>
      </w:r>
      <w:r>
        <w:rPr>
          <w:spacing w:val="-18"/>
        </w:rPr>
        <w:t xml:space="preserve"> 日内，对给付保</w:t>
      </w:r>
      <w:r>
        <w:rPr>
          <w:spacing w:val="-2"/>
        </w:rPr>
        <w:t>险金的金额不能确定的，根据已有证明和资料可以确定的金额先予支付；我们最终确定给付保险金的金额后，将支付相应的差额。</w:t>
      </w:r>
    </w:p>
    <w:p>
      <w:pPr>
        <w:pStyle w:val="4"/>
        <w:spacing w:before="9"/>
        <w:rPr>
          <w:sz w:val="20"/>
        </w:rPr>
      </w:pPr>
    </w:p>
    <w:p>
      <w:pPr>
        <w:pStyle w:val="8"/>
        <w:numPr>
          <w:ilvl w:val="1"/>
          <w:numId w:val="8"/>
        </w:numPr>
        <w:tabs>
          <w:tab w:val="left" w:pos="1391"/>
          <w:tab w:val="left" w:pos="1392"/>
          <w:tab w:val="left" w:pos="2985"/>
        </w:tabs>
        <w:spacing w:before="1" w:after="0" w:line="232" w:lineRule="auto"/>
        <w:ind w:left="2985" w:right="615" w:hanging="2555"/>
        <w:jc w:val="both"/>
        <w:rPr>
          <w:sz w:val="21"/>
        </w:rPr>
      </w:pPr>
      <w:r>
        <w:rPr>
          <w:rFonts w:ascii="Microsoft JhengHei" w:eastAsia="Microsoft JhengHei"/>
          <w:b/>
          <w:spacing w:val="-4"/>
          <w:sz w:val="21"/>
        </w:rPr>
        <w:t>诉讼时效</w:t>
      </w:r>
      <w:r>
        <w:rPr>
          <w:rFonts w:ascii="Microsoft JhengHei" w:eastAsia="Microsoft JhengHei"/>
          <w:b/>
          <w:sz w:val="21"/>
        </w:rPr>
        <w:tab/>
      </w:r>
      <w:r>
        <w:rPr>
          <w:spacing w:val="-2"/>
          <w:sz w:val="21"/>
        </w:rPr>
        <w:t>权利人向我们申请给付保险金的诉讼时效期间为</w:t>
      </w:r>
      <w:r>
        <w:rPr>
          <w:spacing w:val="-25"/>
          <w:sz w:val="21"/>
        </w:rPr>
        <w:t xml:space="preserve"> </w:t>
      </w:r>
      <w:r>
        <w:rPr>
          <w:spacing w:val="-2"/>
          <w:sz w:val="21"/>
        </w:rPr>
        <w:t>2</w:t>
      </w:r>
      <w:r>
        <w:rPr>
          <w:spacing w:val="-24"/>
          <w:sz w:val="21"/>
        </w:rPr>
        <w:t xml:space="preserve"> </w:t>
      </w:r>
      <w:r>
        <w:rPr>
          <w:spacing w:val="-2"/>
          <w:sz w:val="21"/>
        </w:rPr>
        <w:t>年，自其知道或者应当知道保险事故发生之日起计算。</w:t>
      </w:r>
    </w:p>
    <w:p>
      <w:pPr>
        <w:pStyle w:val="4"/>
        <w:spacing w:before="3"/>
        <w:rPr>
          <w:sz w:val="25"/>
        </w:rPr>
      </w:pPr>
    </w:p>
    <w:p>
      <w:pPr>
        <w:pStyle w:val="2"/>
        <w:numPr>
          <w:ilvl w:val="0"/>
          <w:numId w:val="9"/>
        </w:numPr>
        <w:tabs>
          <w:tab w:val="left" w:pos="1391"/>
          <w:tab w:val="left" w:pos="1392"/>
        </w:tabs>
        <w:spacing w:before="0" w:after="0" w:line="240" w:lineRule="auto"/>
        <w:ind w:left="1391" w:right="0" w:hanging="962"/>
        <w:jc w:val="left"/>
      </w:pPr>
      <w:r>
        <w:rPr>
          <w:spacing w:val="-2"/>
        </w:rPr>
        <w:t>保险费的交纳</w:t>
      </w:r>
    </w:p>
    <w:p>
      <w:pPr>
        <w:pStyle w:val="4"/>
        <w:spacing w:line="20" w:lineRule="exact"/>
        <w:ind w:left="325"/>
        <w:rPr>
          <w:rFonts w:ascii="Microsoft JhengHei"/>
          <w:sz w:val="2"/>
        </w:rPr>
      </w:pPr>
      <w:r>
        <w:rPr>
          <w:rFonts w:ascii="Microsoft JhengHei"/>
          <w:sz w:val="2"/>
        </w:rPr>
        <w:drawing>
          <wp:inline distT="0" distB="0" distL="0" distR="0">
            <wp:extent cx="5981065" cy="11430"/>
            <wp:effectExtent l="0" t="0" r="0" b="0"/>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a:picLocks noChangeAspect="1"/>
                    </pic:cNvPicPr>
                  </pic:nvPicPr>
                  <pic:blipFill>
                    <a:blip r:embed="rId9" cstate="print"/>
                    <a:stretch>
                      <a:fillRect/>
                    </a:stretch>
                  </pic:blipFill>
                  <pic:spPr>
                    <a:xfrm>
                      <a:off x="0" y="0"/>
                      <a:ext cx="5981458" cy="11430"/>
                    </a:xfrm>
                    <a:prstGeom prst="rect">
                      <a:avLst/>
                    </a:prstGeom>
                  </pic:spPr>
                </pic:pic>
              </a:graphicData>
            </a:graphic>
          </wp:inline>
        </w:drawing>
      </w:r>
    </w:p>
    <w:p>
      <w:pPr>
        <w:pStyle w:val="4"/>
        <w:spacing w:before="17"/>
        <w:rPr>
          <w:rFonts w:ascii="Microsoft JhengHei"/>
          <w:b/>
          <w:sz w:val="13"/>
        </w:rPr>
      </w:pPr>
    </w:p>
    <w:p>
      <w:pPr>
        <w:pStyle w:val="8"/>
        <w:numPr>
          <w:ilvl w:val="1"/>
          <w:numId w:val="9"/>
        </w:numPr>
        <w:tabs>
          <w:tab w:val="left" w:pos="1391"/>
          <w:tab w:val="left" w:pos="1392"/>
          <w:tab w:val="left" w:pos="2985"/>
        </w:tabs>
        <w:spacing w:before="0" w:after="0" w:line="240" w:lineRule="auto"/>
        <w:ind w:left="1391" w:right="0" w:hanging="962"/>
        <w:jc w:val="left"/>
        <w:rPr>
          <w:sz w:val="21"/>
        </w:rPr>
      </w:pPr>
      <w:r>
        <w:rPr>
          <w:rFonts w:ascii="Microsoft JhengHei" w:eastAsia="Microsoft JhengHei"/>
          <w:b/>
          <w:sz w:val="21"/>
        </w:rPr>
        <w:t>保险费的交</w:t>
      </w:r>
      <w:r>
        <w:rPr>
          <w:rFonts w:ascii="Microsoft JhengHei" w:eastAsia="Microsoft JhengHei"/>
          <w:b/>
          <w:spacing w:val="-10"/>
          <w:sz w:val="21"/>
        </w:rPr>
        <w:t>纳</w:t>
      </w:r>
      <w:r>
        <w:rPr>
          <w:rFonts w:ascii="Microsoft JhengHei" w:eastAsia="Microsoft JhengHei"/>
          <w:b/>
          <w:sz w:val="21"/>
        </w:rPr>
        <w:tab/>
      </w:r>
      <w:r>
        <w:rPr>
          <w:spacing w:val="-2"/>
          <w:sz w:val="21"/>
        </w:rPr>
        <w:t>本合同的交费方式为一次性交清保险费，并在保险单上载明</w:t>
      </w:r>
      <w:r>
        <w:rPr>
          <w:spacing w:val="-10"/>
          <w:sz w:val="21"/>
        </w:rPr>
        <w:t>。</w:t>
      </w:r>
    </w:p>
    <w:p>
      <w:pPr>
        <w:pStyle w:val="4"/>
        <w:spacing w:before="4"/>
        <w:rPr>
          <w:sz w:val="17"/>
        </w:rPr>
      </w:pPr>
    </w:p>
    <w:p>
      <w:pPr>
        <w:pStyle w:val="2"/>
        <w:numPr>
          <w:ilvl w:val="0"/>
          <w:numId w:val="9"/>
        </w:numPr>
        <w:tabs>
          <w:tab w:val="left" w:pos="1391"/>
          <w:tab w:val="left" w:pos="1392"/>
        </w:tabs>
        <w:spacing w:before="0" w:after="0" w:line="240" w:lineRule="auto"/>
        <w:ind w:left="1391" w:right="0" w:hanging="962"/>
        <w:jc w:val="left"/>
      </w:pPr>
      <w:r>
        <w:drawing>
          <wp:anchor distT="0" distB="0" distL="0" distR="0" simplePos="0" relativeHeight="251660288" behindDoc="1" locked="0" layoutInCell="1" allowOverlap="1">
            <wp:simplePos x="0" y="0"/>
            <wp:positionH relativeFrom="page">
              <wp:posOffset>765175</wp:posOffset>
            </wp:positionH>
            <wp:positionV relativeFrom="paragraph">
              <wp:posOffset>248285</wp:posOffset>
            </wp:positionV>
            <wp:extent cx="6034405" cy="12065"/>
            <wp:effectExtent l="0" t="0" r="0" b="0"/>
            <wp:wrapNone/>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a:picLocks noChangeAspect="1"/>
                    </pic:cNvPicPr>
                  </pic:nvPicPr>
                  <pic:blipFill>
                    <a:blip r:embed="rId9" cstate="print"/>
                    <a:stretch>
                      <a:fillRect/>
                    </a:stretch>
                  </pic:blipFill>
                  <pic:spPr>
                    <a:xfrm>
                      <a:off x="0" y="0"/>
                      <a:ext cx="6034354" cy="12191"/>
                    </a:xfrm>
                    <a:prstGeom prst="rect">
                      <a:avLst/>
                    </a:prstGeom>
                  </pic:spPr>
                </pic:pic>
              </a:graphicData>
            </a:graphic>
          </wp:anchor>
        </w:drawing>
      </w:r>
      <w:r>
        <w:rPr>
          <w:spacing w:val="-3"/>
        </w:rPr>
        <w:t>合同解除</w:t>
      </w:r>
    </w:p>
    <w:p>
      <w:pPr>
        <w:pStyle w:val="4"/>
        <w:spacing w:before="5"/>
        <w:rPr>
          <w:rFonts w:ascii="Microsoft JhengHei"/>
          <w:b/>
          <w:sz w:val="12"/>
        </w:rPr>
      </w:pPr>
    </w:p>
    <w:p>
      <w:pPr>
        <w:spacing w:after="0"/>
        <w:rPr>
          <w:rFonts w:ascii="Microsoft JhengHei"/>
          <w:sz w:val="12"/>
        </w:rPr>
        <w:sectPr>
          <w:pgSz w:w="11910" w:h="16840"/>
          <w:pgMar w:top="660" w:right="680" w:bottom="420" w:left="880" w:header="0" w:footer="230" w:gutter="0"/>
          <w:cols w:space="720" w:num="1"/>
        </w:sectPr>
      </w:pPr>
    </w:p>
    <w:p>
      <w:pPr>
        <w:pStyle w:val="3"/>
        <w:numPr>
          <w:ilvl w:val="1"/>
          <w:numId w:val="9"/>
        </w:numPr>
        <w:tabs>
          <w:tab w:val="left" w:pos="1391"/>
          <w:tab w:val="left" w:pos="1392"/>
        </w:tabs>
        <w:spacing w:before="56" w:after="0" w:line="194" w:lineRule="auto"/>
        <w:ind w:left="1391" w:right="0" w:hanging="961"/>
        <w:jc w:val="left"/>
      </w:pPr>
      <w:r>
        <w:rPr>
          <w:spacing w:val="-2"/>
        </w:rPr>
        <w:t>您解除合同的手续及风险</w:t>
      </w:r>
    </w:p>
    <w:p>
      <w:pPr>
        <w:pStyle w:val="4"/>
        <w:spacing w:before="72" w:line="278" w:lineRule="auto"/>
        <w:ind w:left="286" w:right="622"/>
      </w:pPr>
      <w:r>
        <w:br w:type="column"/>
      </w:r>
      <w:r>
        <w:rPr>
          <w:spacing w:val="-2"/>
        </w:rPr>
        <w:t>如果被保险人未发生保险事故，且您要求解除本合同，请填写解除合同申请书并向我们提供下列资料的原件：</w:t>
      </w:r>
    </w:p>
    <w:p>
      <w:pPr>
        <w:pStyle w:val="8"/>
        <w:numPr>
          <w:ilvl w:val="0"/>
          <w:numId w:val="10"/>
        </w:numPr>
        <w:tabs>
          <w:tab w:val="left" w:pos="816"/>
        </w:tabs>
        <w:spacing w:before="0" w:after="0" w:line="269" w:lineRule="exact"/>
        <w:ind w:left="815" w:right="0" w:hanging="530"/>
        <w:jc w:val="left"/>
        <w:rPr>
          <w:sz w:val="21"/>
        </w:rPr>
      </w:pPr>
      <w:r>
        <w:rPr>
          <w:spacing w:val="-4"/>
          <w:sz w:val="21"/>
        </w:rPr>
        <w:t>本合同；</w:t>
      </w:r>
    </w:p>
    <w:p>
      <w:pPr>
        <w:pStyle w:val="8"/>
        <w:numPr>
          <w:ilvl w:val="0"/>
          <w:numId w:val="10"/>
        </w:numPr>
        <w:tabs>
          <w:tab w:val="left" w:pos="816"/>
        </w:tabs>
        <w:spacing w:before="43" w:after="0" w:line="240" w:lineRule="auto"/>
        <w:ind w:left="815" w:right="0" w:hanging="530"/>
        <w:jc w:val="left"/>
        <w:rPr>
          <w:sz w:val="21"/>
        </w:rPr>
      </w:pPr>
      <w:r>
        <w:rPr>
          <w:spacing w:val="-3"/>
          <w:sz w:val="21"/>
        </w:rPr>
        <w:t>您的有效身份证件。</w:t>
      </w:r>
    </w:p>
    <w:p>
      <w:pPr>
        <w:pStyle w:val="4"/>
        <w:spacing w:before="2"/>
        <w:rPr>
          <w:sz w:val="17"/>
        </w:rPr>
      </w:pPr>
    </w:p>
    <w:p>
      <w:pPr>
        <w:pStyle w:val="4"/>
        <w:spacing w:before="1" w:line="218" w:lineRule="auto"/>
        <w:ind w:left="286" w:right="622"/>
      </w:pPr>
      <w:r>
        <w:rPr>
          <w:spacing w:val="-2"/>
        </w:rPr>
        <w:t>自我们收到解除合同申请书时起，本合同终止。我们自收到解除合同申请</w:t>
      </w:r>
      <w:r>
        <w:rPr>
          <w:spacing w:val="-6"/>
        </w:rPr>
        <w:t xml:space="preserve">书之日起 </w:t>
      </w:r>
      <w:r>
        <w:t>30</w:t>
      </w:r>
      <w:r>
        <w:rPr>
          <w:spacing w:val="-6"/>
        </w:rPr>
        <w:t xml:space="preserve"> 日内向您退还本合同终止时的</w:t>
      </w:r>
      <w:r>
        <w:rPr>
          <w:rFonts w:ascii="微软雅黑" w:eastAsia="微软雅黑"/>
          <w:b/>
        </w:rPr>
        <w:t>现金价值</w:t>
      </w:r>
      <w:r>
        <w:t>（</w:t>
      </w:r>
      <w:r>
        <w:rPr>
          <w:spacing w:val="-8"/>
        </w:rPr>
        <w:t xml:space="preserve">见释义 </w:t>
      </w:r>
      <w:r>
        <w:rPr>
          <w:spacing w:val="22"/>
        </w:rPr>
        <w:t>8.</w:t>
      </w:r>
      <w:r>
        <w:rPr>
          <w:spacing w:val="17"/>
        </w:rPr>
        <w:t>3</w:t>
      </w:r>
      <w:r>
        <w:rPr>
          <w:spacing w:val="22"/>
        </w:rPr>
        <w:t>4</w:t>
      </w:r>
      <w:r>
        <w:rPr>
          <w:spacing w:val="-84"/>
        </w:rPr>
        <w:t>）</w:t>
      </w:r>
      <w:r>
        <w:t>。</w:t>
      </w:r>
    </w:p>
    <w:p>
      <w:pPr>
        <w:spacing w:after="0" w:line="218" w:lineRule="auto"/>
        <w:sectPr>
          <w:type w:val="continuous"/>
          <w:pgSz w:w="11910" w:h="16840"/>
          <w:pgMar w:top="920" w:right="680" w:bottom="420" w:left="880" w:header="0" w:footer="230" w:gutter="0"/>
          <w:cols w:equalWidth="0" w:num="2">
            <w:col w:w="2659" w:space="40"/>
            <w:col w:w="7651"/>
          </w:cols>
        </w:sectPr>
      </w:pPr>
    </w:p>
    <w:p>
      <w:pPr>
        <w:pStyle w:val="4"/>
        <w:spacing w:before="51" w:line="276" w:lineRule="auto"/>
        <w:ind w:left="2985" w:right="619"/>
        <w:jc w:val="both"/>
      </w:pPr>
      <w:r>
        <w:rPr>
          <w:spacing w:val="-6"/>
        </w:rPr>
        <w:t>如您解除本合同后，剩余持有《渤海人寿安康无忧医疗保险（2021</w:t>
      </w:r>
      <w:r>
        <w:rPr>
          <w:spacing w:val="-13"/>
        </w:rPr>
        <w:t xml:space="preserve"> 版</w:t>
      </w:r>
      <w:r>
        <w:rPr>
          <w:spacing w:val="-106"/>
        </w:rPr>
        <w:t>）</w:t>
      </w:r>
      <w:r>
        <w:rPr>
          <w:spacing w:val="-6"/>
        </w:rPr>
        <w:t>》合</w:t>
      </w:r>
      <w:r>
        <w:rPr>
          <w:spacing w:val="-2"/>
        </w:rPr>
        <w:t>同的被保险人的年龄组合和成员构成如不符合我们的要求，则剩余的被保险人将无法继续共享免赔额。</w:t>
      </w:r>
    </w:p>
    <w:p>
      <w:pPr>
        <w:pStyle w:val="4"/>
        <w:spacing w:before="4"/>
        <w:rPr>
          <w:sz w:val="18"/>
        </w:rPr>
      </w:pPr>
    </w:p>
    <w:p>
      <w:pPr>
        <w:pStyle w:val="2"/>
        <w:numPr>
          <w:ilvl w:val="0"/>
          <w:numId w:val="9"/>
        </w:numPr>
        <w:tabs>
          <w:tab w:val="left" w:pos="1391"/>
          <w:tab w:val="left" w:pos="1392"/>
        </w:tabs>
        <w:spacing w:before="0" w:after="0" w:line="240" w:lineRule="auto"/>
        <w:ind w:left="1391" w:right="0" w:hanging="962"/>
        <w:jc w:val="left"/>
      </w:pPr>
      <w:r>
        <w:drawing>
          <wp:anchor distT="0" distB="0" distL="0" distR="0" simplePos="0" relativeHeight="251661312" behindDoc="1" locked="0" layoutInCell="1" allowOverlap="1">
            <wp:simplePos x="0" y="0"/>
            <wp:positionH relativeFrom="page">
              <wp:posOffset>765175</wp:posOffset>
            </wp:positionH>
            <wp:positionV relativeFrom="paragraph">
              <wp:posOffset>245745</wp:posOffset>
            </wp:positionV>
            <wp:extent cx="6034405" cy="12065"/>
            <wp:effectExtent l="0" t="0" r="0" b="0"/>
            <wp:wrapNone/>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a:picLocks noChangeAspect="1"/>
                    </pic:cNvPicPr>
                  </pic:nvPicPr>
                  <pic:blipFill>
                    <a:blip r:embed="rId9" cstate="print"/>
                    <a:stretch>
                      <a:fillRect/>
                    </a:stretch>
                  </pic:blipFill>
                  <pic:spPr>
                    <a:xfrm>
                      <a:off x="0" y="0"/>
                      <a:ext cx="6034354" cy="12192"/>
                    </a:xfrm>
                    <a:prstGeom prst="rect">
                      <a:avLst/>
                    </a:prstGeom>
                  </pic:spPr>
                </pic:pic>
              </a:graphicData>
            </a:graphic>
          </wp:anchor>
        </w:drawing>
      </w:r>
      <w:r>
        <w:rPr>
          <w:spacing w:val="-2"/>
        </w:rPr>
        <w:t>其它需要关注的事项</w:t>
      </w:r>
    </w:p>
    <w:p>
      <w:pPr>
        <w:pStyle w:val="4"/>
        <w:spacing w:before="5"/>
        <w:rPr>
          <w:rFonts w:ascii="Microsoft JhengHei"/>
          <w:b/>
          <w:sz w:val="12"/>
        </w:rPr>
      </w:pPr>
    </w:p>
    <w:p>
      <w:pPr>
        <w:spacing w:after="0"/>
        <w:rPr>
          <w:rFonts w:ascii="Microsoft JhengHei"/>
          <w:sz w:val="12"/>
        </w:rPr>
        <w:sectPr>
          <w:pgSz w:w="11910" w:h="16840"/>
          <w:pgMar w:top="820" w:right="680" w:bottom="420" w:left="880" w:header="0" w:footer="230" w:gutter="0"/>
          <w:cols w:space="720" w:num="1"/>
        </w:sectPr>
      </w:pPr>
    </w:p>
    <w:p>
      <w:pPr>
        <w:pStyle w:val="3"/>
        <w:numPr>
          <w:ilvl w:val="1"/>
          <w:numId w:val="9"/>
        </w:numPr>
        <w:tabs>
          <w:tab w:val="left" w:pos="1391"/>
          <w:tab w:val="left" w:pos="1392"/>
        </w:tabs>
        <w:spacing w:before="58" w:after="0" w:line="192" w:lineRule="auto"/>
        <w:ind w:left="1391" w:right="0" w:hanging="961"/>
        <w:jc w:val="left"/>
      </w:pPr>
      <w:r>
        <w:rPr>
          <w:spacing w:val="-2"/>
        </w:rPr>
        <w:t>明确说明与如</w:t>
      </w:r>
      <w:r>
        <w:rPr>
          <w:spacing w:val="-4"/>
        </w:rPr>
        <w:t>实告知</w:t>
      </w:r>
    </w:p>
    <w:p>
      <w:pPr>
        <w:pStyle w:val="4"/>
        <w:spacing w:before="71" w:line="276" w:lineRule="auto"/>
        <w:ind w:left="286" w:right="619"/>
        <w:jc w:val="both"/>
      </w:pPr>
      <w:r>
        <w:br w:type="column"/>
      </w:r>
      <w:r>
        <w:rPr>
          <w:spacing w:val="-2"/>
        </w:rPr>
        <w:t>订立本合同时，我们应当向您说明本合同的内容。对本合同中免除我们责任的条款，我们在订立合同时应当在投保单、保险单或者其他保险凭证上作出足以引起您注意的提示，并对该条款的内容以书面或者口头形式向您作出明确说明，未作提示或者明确说明的，该条款不产生效力。</w:t>
      </w:r>
    </w:p>
    <w:p>
      <w:pPr>
        <w:pStyle w:val="4"/>
        <w:spacing w:before="165"/>
        <w:ind w:left="286"/>
      </w:pPr>
      <w:r>
        <w:rPr>
          <w:spacing w:val="-3"/>
        </w:rPr>
        <w:t>我们会就您和被保险人的有关情况提出书面询问，您应当如实告知。</w:t>
      </w:r>
    </w:p>
    <w:p>
      <w:pPr>
        <w:pStyle w:val="4"/>
        <w:spacing w:before="9"/>
        <w:rPr>
          <w:sz w:val="15"/>
        </w:rPr>
      </w:pPr>
    </w:p>
    <w:p>
      <w:pPr>
        <w:pStyle w:val="4"/>
        <w:spacing w:line="273" w:lineRule="auto"/>
        <w:ind w:left="286" w:right="622"/>
      </w:pPr>
      <w:r>
        <w:rPr>
          <w:spacing w:val="-2"/>
        </w:rPr>
        <w:t>如果您故意或者因重大过失未履行前款约定的如实告知义务，足以影响我们决定是否同意承保或者提高保险费率的，我们有权解除本合同。</w:t>
      </w:r>
    </w:p>
    <w:p>
      <w:pPr>
        <w:pStyle w:val="4"/>
        <w:spacing w:before="165" w:line="278" w:lineRule="auto"/>
        <w:ind w:left="286" w:right="622"/>
      </w:pPr>
      <w:r>
        <w:rPr>
          <w:spacing w:val="-2"/>
        </w:rPr>
        <w:t>如果您故意不履行如实告知义务，对于本合同解除前发生的保险事故，我们不承担给付保险金的责任，并不退还保险费。</w:t>
      </w:r>
    </w:p>
    <w:p>
      <w:pPr>
        <w:pStyle w:val="4"/>
        <w:spacing w:before="158" w:line="276" w:lineRule="auto"/>
        <w:ind w:left="286" w:right="512"/>
      </w:pPr>
      <w:r>
        <w:rPr>
          <w:spacing w:val="-7"/>
        </w:rPr>
        <w:t>如果您因重大过失未履行如实告知义务，对保险事故的发生有严重影响的，</w:t>
      </w:r>
      <w:r>
        <w:rPr>
          <w:spacing w:val="-2"/>
        </w:rPr>
        <w:t>对于本合同解除前发生的保险事故，我们不承担给付保险金的责任，但应当向您退还保险费。</w:t>
      </w:r>
    </w:p>
    <w:p>
      <w:pPr>
        <w:pStyle w:val="4"/>
        <w:spacing w:before="162" w:line="278" w:lineRule="auto"/>
        <w:ind w:left="286" w:right="622"/>
      </w:pPr>
      <w:r>
        <w:rPr>
          <w:spacing w:val="-2"/>
        </w:rPr>
        <w:t>您通过我们同意或者认可的网站向我们在线提交的电子信息与您向我们提交的书面文件具有相同的法律效力。</w:t>
      </w:r>
    </w:p>
    <w:p>
      <w:pPr>
        <w:spacing w:after="0" w:line="278" w:lineRule="auto"/>
        <w:sectPr>
          <w:type w:val="continuous"/>
          <w:pgSz w:w="11910" w:h="16840"/>
          <w:pgMar w:top="920" w:right="680" w:bottom="420" w:left="880" w:header="0" w:footer="230" w:gutter="0"/>
          <w:cols w:equalWidth="0" w:num="2">
            <w:col w:w="2659" w:space="40"/>
            <w:col w:w="7651"/>
          </w:cols>
        </w:sectPr>
      </w:pPr>
    </w:p>
    <w:p>
      <w:pPr>
        <w:pStyle w:val="4"/>
        <w:spacing w:before="11"/>
        <w:rPr>
          <w:sz w:val="19"/>
        </w:rPr>
      </w:pPr>
    </w:p>
    <w:p>
      <w:pPr>
        <w:spacing w:after="0"/>
        <w:rPr>
          <w:sz w:val="19"/>
        </w:rPr>
        <w:sectPr>
          <w:type w:val="continuous"/>
          <w:pgSz w:w="11910" w:h="16840"/>
          <w:pgMar w:top="920" w:right="680" w:bottom="420" w:left="880" w:header="0" w:footer="230" w:gutter="0"/>
          <w:cols w:space="720" w:num="1"/>
        </w:sectPr>
      </w:pPr>
    </w:p>
    <w:p>
      <w:pPr>
        <w:pStyle w:val="3"/>
        <w:numPr>
          <w:ilvl w:val="1"/>
          <w:numId w:val="9"/>
        </w:numPr>
        <w:tabs>
          <w:tab w:val="left" w:pos="1391"/>
          <w:tab w:val="left" w:pos="1392"/>
        </w:tabs>
        <w:spacing w:before="58" w:after="0" w:line="192" w:lineRule="auto"/>
        <w:ind w:left="1391" w:right="0" w:hanging="961"/>
        <w:jc w:val="left"/>
      </w:pPr>
      <w:r>
        <w:rPr>
          <w:spacing w:val="-2"/>
        </w:rPr>
        <w:t>我们合同解除</w:t>
      </w:r>
      <w:r>
        <w:rPr>
          <w:spacing w:val="-4"/>
        </w:rPr>
        <w:t>权的限制</w:t>
      </w:r>
    </w:p>
    <w:p>
      <w:pPr>
        <w:pStyle w:val="4"/>
        <w:spacing w:before="71" w:line="273" w:lineRule="auto"/>
        <w:ind w:left="286" w:right="735"/>
      </w:pPr>
      <w:r>
        <w:br w:type="column"/>
      </w:r>
      <w:r>
        <w:rPr>
          <w:spacing w:val="-2"/>
        </w:rPr>
        <w:t xml:space="preserve">前条规定的合同解除权，自我们知道有解除事由之日起，超过 </w:t>
      </w:r>
      <w:r>
        <w:t>30</w:t>
      </w:r>
      <w:r>
        <w:rPr>
          <w:spacing w:val="-15"/>
        </w:rPr>
        <w:t xml:space="preserve"> 日不行</w:t>
      </w:r>
      <w:r>
        <w:rPr>
          <w:spacing w:val="-2"/>
        </w:rPr>
        <w:t>使而消灭。</w:t>
      </w:r>
    </w:p>
    <w:p>
      <w:pPr>
        <w:pStyle w:val="4"/>
        <w:spacing w:before="165" w:line="278" w:lineRule="auto"/>
        <w:ind w:left="286" w:right="843"/>
      </w:pPr>
      <w:r>
        <w:rPr>
          <w:spacing w:val="-2"/>
        </w:rPr>
        <w:t>我们在本合同订立时已经知道您未如实告知的情况的，我们不得解除合同；发生保险事故的，我们承担给付保险金的责任</w:t>
      </w:r>
    </w:p>
    <w:p>
      <w:pPr>
        <w:spacing w:after="0" w:line="278" w:lineRule="auto"/>
        <w:sectPr>
          <w:type w:val="continuous"/>
          <w:pgSz w:w="11910" w:h="16840"/>
          <w:pgMar w:top="920" w:right="680" w:bottom="420" w:left="880" w:header="0" w:footer="230" w:gutter="0"/>
          <w:cols w:equalWidth="0" w:num="2">
            <w:col w:w="2659" w:space="40"/>
            <w:col w:w="7651"/>
          </w:cols>
        </w:sectPr>
      </w:pPr>
    </w:p>
    <w:p>
      <w:pPr>
        <w:pStyle w:val="4"/>
        <w:spacing w:before="11"/>
        <w:rPr>
          <w:sz w:val="19"/>
        </w:rPr>
      </w:pPr>
    </w:p>
    <w:p>
      <w:pPr>
        <w:spacing w:after="0"/>
        <w:rPr>
          <w:sz w:val="19"/>
        </w:rPr>
        <w:sectPr>
          <w:type w:val="continuous"/>
          <w:pgSz w:w="11910" w:h="16840"/>
          <w:pgMar w:top="920" w:right="680" w:bottom="420" w:left="880" w:header="0" w:footer="230" w:gutter="0"/>
          <w:cols w:space="720" w:num="1"/>
        </w:sectPr>
      </w:pPr>
    </w:p>
    <w:p>
      <w:pPr>
        <w:pStyle w:val="3"/>
        <w:numPr>
          <w:ilvl w:val="1"/>
          <w:numId w:val="9"/>
        </w:numPr>
        <w:tabs>
          <w:tab w:val="left" w:pos="1391"/>
          <w:tab w:val="left" w:pos="1392"/>
        </w:tabs>
        <w:spacing w:before="55" w:after="0" w:line="194" w:lineRule="auto"/>
        <w:ind w:left="1391" w:right="0" w:hanging="961"/>
        <w:jc w:val="left"/>
      </w:pPr>
      <w:r>
        <w:rPr>
          <w:spacing w:val="-2"/>
        </w:rPr>
        <w:t>职业或服务场</w:t>
      </w:r>
      <w:r>
        <w:rPr>
          <w:spacing w:val="-4"/>
        </w:rPr>
        <w:t>所变更</w:t>
      </w:r>
    </w:p>
    <w:p>
      <w:pPr>
        <w:pStyle w:val="4"/>
        <w:spacing w:before="72" w:line="278" w:lineRule="auto"/>
        <w:ind w:left="286" w:right="629"/>
      </w:pPr>
      <w:r>
        <w:br w:type="column"/>
      </w:r>
      <w:r>
        <w:rPr>
          <w:spacing w:val="-2"/>
        </w:rPr>
        <w:t>在本合同保险期间内，被保险人职业或服务场所变更的，您或被保险人应</w:t>
      </w:r>
      <w:r>
        <w:rPr>
          <w:spacing w:val="-3"/>
        </w:rPr>
        <w:t xml:space="preserve">于变更之日起 </w:t>
      </w:r>
      <w:r>
        <w:t>10</w:t>
      </w:r>
      <w:r>
        <w:rPr>
          <w:spacing w:val="-5"/>
        </w:rPr>
        <w:t xml:space="preserve"> 日内以书面形式通知本公司：</w:t>
      </w:r>
    </w:p>
    <w:p>
      <w:pPr>
        <w:pStyle w:val="8"/>
        <w:numPr>
          <w:ilvl w:val="0"/>
          <w:numId w:val="11"/>
        </w:numPr>
        <w:tabs>
          <w:tab w:val="left" w:pos="605"/>
        </w:tabs>
        <w:spacing w:before="158" w:after="0" w:line="276" w:lineRule="auto"/>
        <w:ind w:left="286" w:right="735" w:firstLine="0"/>
        <w:jc w:val="left"/>
        <w:rPr>
          <w:sz w:val="21"/>
        </w:rPr>
      </w:pPr>
      <w:r>
        <w:rPr>
          <w:spacing w:val="-2"/>
          <w:sz w:val="21"/>
        </w:rPr>
        <w:t>若被保险人变更后的职业或服务场所不在本公司承保范围之内的，本公司自被保险人职业或服务场所变更之日起对被保险人所负保险责任终止，并按约定退还被保险人职业或服务场所变更之日的现金价值。</w:t>
      </w:r>
    </w:p>
    <w:p>
      <w:pPr>
        <w:pStyle w:val="8"/>
        <w:numPr>
          <w:ilvl w:val="0"/>
          <w:numId w:val="11"/>
        </w:numPr>
        <w:tabs>
          <w:tab w:val="left" w:pos="605"/>
        </w:tabs>
        <w:spacing w:before="162" w:after="0" w:line="278" w:lineRule="auto"/>
        <w:ind w:left="286" w:right="629" w:firstLine="0"/>
        <w:jc w:val="left"/>
        <w:rPr>
          <w:sz w:val="21"/>
        </w:rPr>
      </w:pPr>
      <w:r>
        <w:rPr>
          <w:spacing w:val="-2"/>
          <w:sz w:val="21"/>
        </w:rPr>
        <w:t>若您和被保险人均未能就被保险人的职业或服务场所变更情况以书面形式通知本公司，并且被保险人变更后的职业或服务场所不在本公司承保范围之内的，本公司不承担给付保险金的责任，但退还被保险人职业或服务场所变更之日的现金价值。</w:t>
      </w:r>
    </w:p>
    <w:p>
      <w:pPr>
        <w:spacing w:after="0" w:line="278" w:lineRule="auto"/>
        <w:jc w:val="left"/>
        <w:rPr>
          <w:sz w:val="21"/>
        </w:rPr>
        <w:sectPr>
          <w:type w:val="continuous"/>
          <w:pgSz w:w="11910" w:h="16840"/>
          <w:pgMar w:top="920" w:right="680" w:bottom="420" w:left="880" w:header="0" w:footer="230" w:gutter="0"/>
          <w:cols w:equalWidth="0" w:num="2">
            <w:col w:w="2659" w:space="40"/>
            <w:col w:w="7651"/>
          </w:cols>
        </w:sectPr>
      </w:pPr>
    </w:p>
    <w:p>
      <w:pPr>
        <w:pStyle w:val="4"/>
        <w:spacing w:before="11"/>
        <w:rPr>
          <w:sz w:val="19"/>
        </w:rPr>
      </w:pPr>
    </w:p>
    <w:p>
      <w:pPr>
        <w:pStyle w:val="8"/>
        <w:numPr>
          <w:ilvl w:val="1"/>
          <w:numId w:val="9"/>
        </w:numPr>
        <w:tabs>
          <w:tab w:val="left" w:pos="1391"/>
          <w:tab w:val="left" w:pos="1392"/>
          <w:tab w:val="left" w:pos="2985"/>
        </w:tabs>
        <w:spacing w:before="5" w:after="0" w:line="237" w:lineRule="auto"/>
        <w:ind w:left="2985" w:right="622" w:hanging="2555"/>
        <w:jc w:val="left"/>
        <w:rPr>
          <w:sz w:val="21"/>
        </w:rPr>
      </w:pPr>
      <w:r>
        <w:rPr>
          <w:rFonts w:ascii="Microsoft JhengHei" w:eastAsia="Microsoft JhengHei"/>
          <w:b/>
          <w:spacing w:val="-2"/>
          <w:sz w:val="21"/>
        </w:rPr>
        <w:t>年龄性别错误</w:t>
      </w:r>
      <w:r>
        <w:rPr>
          <w:rFonts w:ascii="Microsoft JhengHei" w:eastAsia="Microsoft JhengHei"/>
          <w:b/>
          <w:sz w:val="21"/>
        </w:rPr>
        <w:tab/>
      </w:r>
      <w:r>
        <w:rPr>
          <w:spacing w:val="-2"/>
          <w:sz w:val="21"/>
        </w:rPr>
        <w:t>您在申请投保时，应将与有效身份证件相符的被保险人的出生日期和性别在投保单上填明，如果发生错误按照下列方式办理：</w:t>
      </w:r>
    </w:p>
    <w:p>
      <w:pPr>
        <w:pStyle w:val="4"/>
        <w:spacing w:before="9"/>
        <w:rPr>
          <w:sz w:val="15"/>
        </w:rPr>
      </w:pPr>
    </w:p>
    <w:p>
      <w:pPr>
        <w:pStyle w:val="8"/>
        <w:numPr>
          <w:ilvl w:val="2"/>
          <w:numId w:val="9"/>
        </w:numPr>
        <w:tabs>
          <w:tab w:val="left" w:pos="3515"/>
        </w:tabs>
        <w:spacing w:before="0" w:after="0" w:line="278" w:lineRule="auto"/>
        <w:ind w:left="2985" w:right="617" w:firstLine="0"/>
        <w:jc w:val="both"/>
        <w:rPr>
          <w:sz w:val="21"/>
        </w:rPr>
      </w:pPr>
      <w:r>
        <w:rPr>
          <w:spacing w:val="-2"/>
          <w:sz w:val="21"/>
        </w:rPr>
        <w:t>您申报的被保险人年龄不真实，并且其真实年龄不符合本合同约定投保年龄限制的，我们有权解除本合同。对于解除本合同的，本合同自解除之日起终止，我们向您退还本合同终止时的现金价值。对于本合同解除前发生的保险事故，我们不承担给付保险金的责任。我们行使合同解除权适用“我们合同解除权的限制”的规定。</w:t>
      </w:r>
    </w:p>
    <w:p>
      <w:pPr>
        <w:spacing w:after="0" w:line="278" w:lineRule="auto"/>
        <w:jc w:val="both"/>
        <w:rPr>
          <w:sz w:val="21"/>
        </w:rPr>
        <w:sectPr>
          <w:type w:val="continuous"/>
          <w:pgSz w:w="11910" w:h="16840"/>
          <w:pgMar w:top="920" w:right="680" w:bottom="420" w:left="880" w:header="0" w:footer="230" w:gutter="0"/>
          <w:cols w:space="720" w:num="1"/>
        </w:sectPr>
      </w:pPr>
    </w:p>
    <w:p>
      <w:pPr>
        <w:pStyle w:val="8"/>
        <w:numPr>
          <w:ilvl w:val="2"/>
          <w:numId w:val="9"/>
        </w:numPr>
        <w:tabs>
          <w:tab w:val="left" w:pos="3515"/>
        </w:tabs>
        <w:spacing w:before="51" w:after="0" w:line="276" w:lineRule="auto"/>
        <w:ind w:left="2985" w:right="511" w:firstLine="0"/>
        <w:jc w:val="left"/>
        <w:rPr>
          <w:sz w:val="21"/>
        </w:rPr>
      </w:pPr>
      <w:r>
        <w:rPr>
          <w:spacing w:val="-10"/>
          <w:sz w:val="21"/>
        </w:rPr>
        <w:t>您申报的被保险人年龄不真实，致使您实交保险费少于应交保险费的</w:t>
      </w:r>
      <w:r>
        <w:rPr>
          <w:spacing w:val="-2"/>
          <w:sz w:val="21"/>
        </w:rPr>
        <w:t>，我们有权更正并要求您补交保险费。如果已经发生保险事故，在给付保险金时按实交保险费和应交保险费的比例给付。</w:t>
      </w:r>
    </w:p>
    <w:p>
      <w:pPr>
        <w:pStyle w:val="8"/>
        <w:numPr>
          <w:ilvl w:val="2"/>
          <w:numId w:val="9"/>
        </w:numPr>
        <w:tabs>
          <w:tab w:val="left" w:pos="3515"/>
        </w:tabs>
        <w:spacing w:before="161" w:after="0" w:line="278" w:lineRule="auto"/>
        <w:ind w:left="2985" w:right="511" w:firstLine="0"/>
        <w:jc w:val="left"/>
        <w:rPr>
          <w:sz w:val="21"/>
        </w:rPr>
      </w:pPr>
      <w:r>
        <w:rPr>
          <w:spacing w:val="-10"/>
          <w:sz w:val="21"/>
        </w:rPr>
        <w:t>您申报的被保险人年龄不真实，致使您实交保险费多于应交保险费的</w:t>
      </w:r>
      <w:r>
        <w:rPr>
          <w:spacing w:val="-2"/>
          <w:sz w:val="21"/>
        </w:rPr>
        <w:t>，我们向您无息退还多收的保险费。</w:t>
      </w:r>
    </w:p>
    <w:p>
      <w:pPr>
        <w:pStyle w:val="4"/>
        <w:spacing w:before="7"/>
        <w:rPr>
          <w:sz w:val="20"/>
        </w:rPr>
      </w:pPr>
    </w:p>
    <w:p>
      <w:pPr>
        <w:pStyle w:val="8"/>
        <w:numPr>
          <w:ilvl w:val="1"/>
          <w:numId w:val="9"/>
        </w:numPr>
        <w:tabs>
          <w:tab w:val="left" w:pos="1391"/>
          <w:tab w:val="left" w:pos="1392"/>
          <w:tab w:val="left" w:pos="2985"/>
        </w:tabs>
        <w:spacing w:before="0" w:after="0" w:line="235" w:lineRule="auto"/>
        <w:ind w:left="2985" w:right="622" w:hanging="2555"/>
        <w:jc w:val="both"/>
        <w:rPr>
          <w:sz w:val="21"/>
        </w:rPr>
      </w:pPr>
      <w:r>
        <w:rPr>
          <w:rFonts w:ascii="Microsoft JhengHei" w:eastAsia="Microsoft JhengHei"/>
          <w:b/>
          <w:spacing w:val="-4"/>
          <w:sz w:val="21"/>
        </w:rPr>
        <w:t>未还款项</w:t>
      </w:r>
      <w:r>
        <w:rPr>
          <w:rFonts w:ascii="Microsoft JhengHei" w:eastAsia="Microsoft JhengHei"/>
          <w:b/>
          <w:sz w:val="21"/>
        </w:rPr>
        <w:tab/>
      </w:r>
      <w:r>
        <w:rPr>
          <w:spacing w:val="-2"/>
          <w:sz w:val="21"/>
        </w:rPr>
        <w:t>我们在给付各项保险金、退还现金价值或者返还保险费时，如果您有欠交的保险费或者其他各项欠款，我们将先行扣除上述各项欠款及应付利息。</w:t>
      </w:r>
    </w:p>
    <w:p>
      <w:pPr>
        <w:pStyle w:val="4"/>
        <w:spacing w:before="8"/>
        <w:rPr>
          <w:sz w:val="23"/>
        </w:rPr>
      </w:pPr>
    </w:p>
    <w:p>
      <w:pPr>
        <w:pStyle w:val="8"/>
        <w:numPr>
          <w:ilvl w:val="1"/>
          <w:numId w:val="9"/>
        </w:numPr>
        <w:tabs>
          <w:tab w:val="left" w:pos="1391"/>
          <w:tab w:val="left" w:pos="1392"/>
        </w:tabs>
        <w:spacing w:before="0" w:after="0" w:line="256" w:lineRule="auto"/>
        <w:ind w:left="2985" w:right="622" w:hanging="2555"/>
        <w:jc w:val="both"/>
        <w:rPr>
          <w:sz w:val="21"/>
        </w:rPr>
      </w:pPr>
      <w:r>
        <w:rPr>
          <w:rFonts w:ascii="Microsoft JhengHei" w:eastAsia="Microsoft JhengHei"/>
          <w:b/>
          <w:spacing w:val="37"/>
          <w:sz w:val="21"/>
        </w:rPr>
        <w:t xml:space="preserve">合同内容变更 </w:t>
      </w:r>
      <w:r>
        <w:rPr>
          <w:sz w:val="21"/>
        </w:rPr>
        <w:t>在本合同有效期内，经您与我们协商一致，可以变更本合同的有关内容。</w:t>
      </w:r>
      <w:r>
        <w:rPr>
          <w:spacing w:val="-2"/>
          <w:sz w:val="21"/>
        </w:rPr>
        <w:t>变更本合同的，应当由我们在保险单或者其他保险凭证上批注或者附贴批单，或者由您与我们订立书面的变更协议。</w:t>
      </w:r>
    </w:p>
    <w:p>
      <w:pPr>
        <w:pStyle w:val="4"/>
        <w:spacing w:before="5"/>
      </w:pPr>
    </w:p>
    <w:p>
      <w:pPr>
        <w:pStyle w:val="8"/>
        <w:numPr>
          <w:ilvl w:val="1"/>
          <w:numId w:val="9"/>
        </w:numPr>
        <w:tabs>
          <w:tab w:val="left" w:pos="1391"/>
          <w:tab w:val="left" w:pos="1392"/>
          <w:tab w:val="left" w:pos="2985"/>
        </w:tabs>
        <w:spacing w:before="0" w:after="0" w:line="256" w:lineRule="auto"/>
        <w:ind w:left="2985" w:right="512" w:hanging="2555"/>
        <w:jc w:val="left"/>
        <w:rPr>
          <w:sz w:val="21"/>
        </w:rPr>
      </w:pPr>
      <w:r>
        <w:rPr>
          <w:rFonts w:ascii="Microsoft JhengHei" w:eastAsia="Microsoft JhengHei"/>
          <w:b/>
          <w:spacing w:val="-2"/>
          <w:sz w:val="21"/>
        </w:rPr>
        <w:t>联系方式变更</w:t>
      </w:r>
      <w:r>
        <w:rPr>
          <w:rFonts w:ascii="Microsoft JhengHei" w:eastAsia="Microsoft JhengHei"/>
          <w:b/>
          <w:sz w:val="21"/>
        </w:rPr>
        <w:tab/>
      </w:r>
      <w:r>
        <w:rPr>
          <w:spacing w:val="-4"/>
          <w:sz w:val="21"/>
        </w:rPr>
        <w:t>为了保障您的合法权益，您的住所、通讯地址或者电话等联系方式变更时，</w:t>
      </w:r>
      <w:r>
        <w:rPr>
          <w:spacing w:val="-2"/>
          <w:sz w:val="21"/>
        </w:rPr>
        <w:t>请及时以书面形式或者双方认可的其他形式通知我们。如果您未以书面形式或者双方认可的其他形式通知我们，我们按本合同载明的最后联系方式</w:t>
      </w:r>
    </w:p>
    <w:p>
      <w:pPr>
        <w:pStyle w:val="4"/>
        <w:spacing w:before="12"/>
        <w:ind w:left="2985"/>
      </w:pPr>
      <w:r>
        <w:rPr>
          <w:spacing w:val="-3"/>
        </w:rPr>
        <w:t>发送的有关通知，均视为已送达给您。</w:t>
      </w:r>
    </w:p>
    <w:p>
      <w:pPr>
        <w:pStyle w:val="4"/>
        <w:spacing w:before="5"/>
        <w:rPr>
          <w:sz w:val="24"/>
        </w:rPr>
      </w:pPr>
    </w:p>
    <w:p>
      <w:pPr>
        <w:pStyle w:val="8"/>
        <w:numPr>
          <w:ilvl w:val="1"/>
          <w:numId w:val="9"/>
        </w:numPr>
        <w:tabs>
          <w:tab w:val="left" w:pos="1391"/>
          <w:tab w:val="left" w:pos="1392"/>
          <w:tab w:val="left" w:pos="2985"/>
        </w:tabs>
        <w:spacing w:before="1" w:after="0" w:line="232" w:lineRule="auto"/>
        <w:ind w:left="2985" w:right="622" w:hanging="2555"/>
        <w:jc w:val="left"/>
        <w:rPr>
          <w:sz w:val="21"/>
        </w:rPr>
      </w:pPr>
      <w:r>
        <w:rPr>
          <w:rFonts w:ascii="Microsoft JhengHei" w:eastAsia="Microsoft JhengHei"/>
          <w:b/>
          <w:spacing w:val="-4"/>
          <w:sz w:val="21"/>
        </w:rPr>
        <w:t>争议处理</w:t>
      </w:r>
      <w:r>
        <w:rPr>
          <w:rFonts w:ascii="Microsoft JhengHei" w:eastAsia="Microsoft JhengHei"/>
          <w:b/>
          <w:sz w:val="21"/>
        </w:rPr>
        <w:tab/>
      </w:r>
      <w:r>
        <w:rPr>
          <w:spacing w:val="-2"/>
          <w:sz w:val="21"/>
        </w:rPr>
        <w:t>本合同履行过程中，双方发生争议不能协商解决的，可以达成仲裁协议通过仲裁解决，也可以依法直接向法院提起诉讼。</w:t>
      </w:r>
    </w:p>
    <w:p>
      <w:pPr>
        <w:pStyle w:val="4"/>
        <w:spacing w:before="12"/>
        <w:rPr>
          <w:sz w:val="23"/>
        </w:rPr>
      </w:pPr>
    </w:p>
    <w:p>
      <w:pPr>
        <w:pStyle w:val="8"/>
        <w:numPr>
          <w:ilvl w:val="1"/>
          <w:numId w:val="9"/>
        </w:numPr>
        <w:tabs>
          <w:tab w:val="left" w:pos="1391"/>
          <w:tab w:val="left" w:pos="1392"/>
        </w:tabs>
        <w:spacing w:before="0" w:after="0" w:line="256" w:lineRule="auto"/>
        <w:ind w:left="2985" w:right="622" w:hanging="2555"/>
        <w:jc w:val="both"/>
        <w:rPr>
          <w:sz w:val="21"/>
        </w:rPr>
      </w:pPr>
      <w:r>
        <w:rPr>
          <w:rFonts w:ascii="Microsoft JhengHei" w:eastAsia="Microsoft JhengHei"/>
          <w:b/>
          <w:spacing w:val="37"/>
          <w:sz w:val="21"/>
        </w:rPr>
        <w:t xml:space="preserve">保险事故鉴定 </w:t>
      </w:r>
      <w:r>
        <w:rPr>
          <w:sz w:val="21"/>
        </w:rPr>
        <w:t>如果被保险人发生保险事故，您和我们均可以委托双方认可的保险公估机</w:t>
      </w:r>
      <w:r>
        <w:rPr>
          <w:spacing w:val="-2"/>
          <w:sz w:val="21"/>
        </w:rPr>
        <w:t>构等依法设立的独立评估机构或者具有相关专业知识的人员，对保险事故进行评估和鉴定。</w:t>
      </w:r>
    </w:p>
    <w:p>
      <w:pPr>
        <w:pStyle w:val="4"/>
        <w:rPr>
          <w:sz w:val="19"/>
        </w:rPr>
      </w:pPr>
    </w:p>
    <w:p>
      <w:pPr>
        <w:pStyle w:val="2"/>
        <w:numPr>
          <w:ilvl w:val="0"/>
          <w:numId w:val="12"/>
        </w:numPr>
        <w:tabs>
          <w:tab w:val="left" w:pos="1391"/>
          <w:tab w:val="left" w:pos="1392"/>
        </w:tabs>
        <w:spacing w:before="0" w:after="0" w:line="240" w:lineRule="auto"/>
        <w:ind w:left="1391" w:right="0" w:hanging="962"/>
        <w:jc w:val="left"/>
      </w:pPr>
      <w:r>
        <w:drawing>
          <wp:anchor distT="0" distB="0" distL="0" distR="0" simplePos="0" relativeHeight="251661312" behindDoc="1" locked="0" layoutInCell="1" allowOverlap="1">
            <wp:simplePos x="0" y="0"/>
            <wp:positionH relativeFrom="page">
              <wp:posOffset>765175</wp:posOffset>
            </wp:positionH>
            <wp:positionV relativeFrom="paragraph">
              <wp:posOffset>245110</wp:posOffset>
            </wp:positionV>
            <wp:extent cx="6034405" cy="12065"/>
            <wp:effectExtent l="0" t="0" r="0" b="0"/>
            <wp:wrapNone/>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pic:cNvPicPr>
                      <a:picLocks noChangeAspect="1"/>
                    </pic:cNvPicPr>
                  </pic:nvPicPr>
                  <pic:blipFill>
                    <a:blip r:embed="rId9" cstate="print"/>
                    <a:stretch>
                      <a:fillRect/>
                    </a:stretch>
                  </pic:blipFill>
                  <pic:spPr>
                    <a:xfrm>
                      <a:off x="0" y="0"/>
                      <a:ext cx="6034354" cy="12191"/>
                    </a:xfrm>
                    <a:prstGeom prst="rect">
                      <a:avLst/>
                    </a:prstGeom>
                  </pic:spPr>
                </pic:pic>
              </a:graphicData>
            </a:graphic>
          </wp:anchor>
        </w:drawing>
      </w:r>
      <w:r>
        <w:rPr>
          <w:spacing w:val="-2"/>
        </w:rPr>
        <w:t>重大疾病定义</w:t>
      </w:r>
    </w:p>
    <w:p>
      <w:pPr>
        <w:pStyle w:val="8"/>
        <w:numPr>
          <w:ilvl w:val="1"/>
          <w:numId w:val="12"/>
        </w:numPr>
        <w:tabs>
          <w:tab w:val="left" w:pos="1391"/>
          <w:tab w:val="left" w:pos="1392"/>
        </w:tabs>
        <w:spacing w:before="126" w:after="0" w:line="194" w:lineRule="auto"/>
        <w:ind w:left="2985" w:right="624" w:hanging="2555"/>
        <w:jc w:val="both"/>
        <w:rPr>
          <w:sz w:val="21"/>
        </w:rPr>
      </w:pPr>
      <w:r>
        <w:rPr>
          <w:rFonts w:ascii="Microsoft JhengHei" w:eastAsia="Microsoft JhengHei"/>
          <w:b/>
          <w:spacing w:val="21"/>
          <w:sz w:val="21"/>
        </w:rPr>
        <w:t xml:space="preserve">一般重大疾病 </w:t>
      </w:r>
      <w:r>
        <w:rPr>
          <w:sz w:val="21"/>
        </w:rPr>
        <w:t>指被保险人发生符合以下疾病定义所述条件的疾病（</w:t>
      </w:r>
      <w:r>
        <w:rPr>
          <w:spacing w:val="-14"/>
          <w:sz w:val="21"/>
        </w:rPr>
        <w:t xml:space="preserve">共 </w:t>
      </w:r>
      <w:r>
        <w:rPr>
          <w:sz w:val="21"/>
        </w:rPr>
        <w:t>100</w:t>
      </w:r>
      <w:r>
        <w:rPr>
          <w:spacing w:val="-13"/>
          <w:sz w:val="21"/>
        </w:rPr>
        <w:t xml:space="preserve"> 种</w:t>
      </w:r>
      <w:r>
        <w:rPr>
          <w:spacing w:val="-77"/>
          <w:sz w:val="21"/>
        </w:rPr>
        <w:t>）</w:t>
      </w:r>
      <w:r>
        <w:rPr>
          <w:spacing w:val="-20"/>
          <w:sz w:val="21"/>
        </w:rPr>
        <w:t>，应当由</w:t>
      </w:r>
      <w:r>
        <w:rPr>
          <w:rFonts w:ascii="微软雅黑" w:eastAsia="微软雅黑"/>
          <w:b/>
          <w:sz w:val="21"/>
        </w:rPr>
        <w:t>专科医生</w:t>
      </w:r>
      <w:r>
        <w:rPr>
          <w:sz w:val="21"/>
        </w:rPr>
        <w:t>（</w:t>
      </w:r>
      <w:r>
        <w:rPr>
          <w:spacing w:val="-11"/>
          <w:sz w:val="21"/>
        </w:rPr>
        <w:t xml:space="preserve">见释义 </w:t>
      </w:r>
      <w:r>
        <w:rPr>
          <w:sz w:val="21"/>
        </w:rPr>
        <w:t>8.35）明确诊断。</w:t>
      </w:r>
    </w:p>
    <w:p>
      <w:pPr>
        <w:pStyle w:val="4"/>
        <w:spacing w:before="12" w:line="278" w:lineRule="auto"/>
        <w:ind w:left="2985" w:right="617"/>
        <w:jc w:val="both"/>
      </w:pPr>
      <w:r>
        <w:rPr>
          <w:spacing w:val="-14"/>
        </w:rPr>
        <w:t xml:space="preserve">第 </w:t>
      </w:r>
      <w:r>
        <w:t>1</w:t>
      </w:r>
      <w:r>
        <w:rPr>
          <w:spacing w:val="-14"/>
        </w:rPr>
        <w:t xml:space="preserve"> 至第 </w:t>
      </w:r>
      <w:r>
        <w:t>28</w:t>
      </w:r>
      <w:r>
        <w:rPr>
          <w:spacing w:val="-5"/>
        </w:rPr>
        <w:t xml:space="preserve"> 项为中国保险行业协会与中国医师协会发布的《重大疾病保</w:t>
      </w:r>
      <w:r>
        <w:t>险的疾病定义使用规范（2020</w:t>
      </w:r>
      <w:r>
        <w:rPr>
          <w:spacing w:val="-3"/>
        </w:rPr>
        <w:t xml:space="preserve"> 年修订版</w:t>
      </w:r>
      <w:r>
        <w:rPr>
          <w:spacing w:val="-106"/>
        </w:rPr>
        <w:t>）</w:t>
      </w:r>
      <w:r>
        <w:t>》中重度疾病的疾病名称和疾病</w:t>
      </w:r>
      <w:r>
        <w:rPr>
          <w:spacing w:val="-2"/>
        </w:rPr>
        <w:t xml:space="preserve">定义，第 </w:t>
      </w:r>
      <w:r>
        <w:t>29</w:t>
      </w:r>
      <w:r>
        <w:rPr>
          <w:spacing w:val="-9"/>
        </w:rPr>
        <w:t xml:space="preserve"> 至第 </w:t>
      </w:r>
      <w:r>
        <w:t>100</w:t>
      </w:r>
      <w:r>
        <w:rPr>
          <w:spacing w:val="-5"/>
        </w:rPr>
        <w:t xml:space="preserve"> 项为我们增加的疾病名称并自行制定疾病定义。</w:t>
      </w:r>
    </w:p>
    <w:p>
      <w:pPr>
        <w:spacing w:before="0" w:line="320" w:lineRule="exact"/>
        <w:ind w:left="2985" w:right="0" w:firstLine="0"/>
        <w:jc w:val="left"/>
        <w:rPr>
          <w:rFonts w:ascii="微软雅黑" w:eastAsia="微软雅黑"/>
          <w:b/>
          <w:sz w:val="21"/>
        </w:rPr>
      </w:pPr>
      <w:r>
        <w:rPr>
          <w:rFonts w:ascii="微软雅黑" w:eastAsia="微软雅黑"/>
          <w:b/>
          <w:spacing w:val="-3"/>
          <w:sz w:val="21"/>
        </w:rPr>
        <w:t>以下疾病名称仅供理解使用，具体保障范围以每项疾病具体定义为准。</w:t>
      </w:r>
    </w:p>
    <w:p>
      <w:pPr>
        <w:pStyle w:val="4"/>
        <w:spacing w:before="7"/>
        <w:rPr>
          <w:rFonts w:ascii="微软雅黑"/>
          <w:b/>
          <w:sz w:val="13"/>
        </w:rPr>
      </w:pPr>
    </w:p>
    <w:p>
      <w:pPr>
        <w:spacing w:after="0"/>
        <w:rPr>
          <w:rFonts w:ascii="微软雅黑"/>
          <w:sz w:val="13"/>
        </w:rPr>
        <w:sectPr>
          <w:pgSz w:w="11910" w:h="16840"/>
          <w:pgMar w:top="820" w:right="680" w:bottom="420" w:left="880" w:header="0" w:footer="230" w:gutter="0"/>
          <w:cols w:space="720" w:num="1"/>
        </w:sectPr>
      </w:pPr>
    </w:p>
    <w:p>
      <w:pPr>
        <w:pStyle w:val="8"/>
        <w:numPr>
          <w:ilvl w:val="2"/>
          <w:numId w:val="12"/>
        </w:numPr>
        <w:tabs>
          <w:tab w:val="left" w:pos="1709"/>
        </w:tabs>
        <w:spacing w:before="2" w:after="0" w:line="349" w:lineRule="exact"/>
        <w:ind w:left="1708" w:right="0" w:hanging="318"/>
        <w:jc w:val="left"/>
        <w:rPr>
          <w:rFonts w:ascii="Microsoft JhengHei" w:hAnsi="Microsoft JhengHei" w:eastAsia="Microsoft JhengHei"/>
          <w:b/>
          <w:sz w:val="21"/>
        </w:rPr>
      </w:pPr>
      <w:r>
        <w:rPr>
          <w:rFonts w:ascii="Microsoft JhengHei" w:hAnsi="Microsoft JhengHei" w:eastAsia="Microsoft JhengHei"/>
          <w:b/>
          <w:spacing w:val="-5"/>
          <w:sz w:val="21"/>
        </w:rPr>
        <w:t>恶性肿瘤—</w:t>
      </w:r>
    </w:p>
    <w:p>
      <w:pPr>
        <w:spacing w:before="0" w:line="349" w:lineRule="exact"/>
        <w:ind w:left="1391" w:right="0" w:firstLine="0"/>
        <w:jc w:val="left"/>
        <w:rPr>
          <w:rFonts w:ascii="Microsoft JhengHei" w:hAnsi="Microsoft JhengHei" w:eastAsia="Microsoft JhengHei"/>
          <w:b/>
          <w:sz w:val="21"/>
        </w:rPr>
      </w:pPr>
      <w:r>
        <w:rPr>
          <w:rFonts w:ascii="Microsoft JhengHei" w:hAnsi="Microsoft JhengHei" w:eastAsia="Microsoft JhengHei"/>
          <w:b/>
          <w:w w:val="95"/>
          <w:sz w:val="21"/>
        </w:rPr>
        <w:t>—重</w:t>
      </w:r>
      <w:r>
        <w:rPr>
          <w:rFonts w:ascii="Microsoft JhengHei" w:hAnsi="Microsoft JhengHei" w:eastAsia="Microsoft JhengHei"/>
          <w:b/>
          <w:spacing w:val="-10"/>
          <w:w w:val="95"/>
          <w:sz w:val="21"/>
        </w:rPr>
        <w:t>度</w:t>
      </w:r>
    </w:p>
    <w:p>
      <w:pPr>
        <w:spacing w:before="107" w:line="199" w:lineRule="auto"/>
        <w:ind w:left="180" w:right="615" w:firstLine="0"/>
        <w:jc w:val="both"/>
        <w:rPr>
          <w:sz w:val="21"/>
        </w:rPr>
      </w:pPr>
      <w:r>
        <w:br w:type="column"/>
      </w:r>
      <w:r>
        <w:rPr>
          <w:spacing w:val="-5"/>
          <w:w w:val="100"/>
          <w:sz w:val="21"/>
        </w:rPr>
        <w:t>指恶性细胞不受控制的进行性增长和扩散，浸润和破坏周围正常组织，可以经血管、淋巴管和体腔扩散转移到身体其他部位，病灶经</w:t>
      </w:r>
      <w:r>
        <w:rPr>
          <w:rFonts w:ascii="微软雅黑" w:eastAsia="微软雅黑"/>
          <w:b/>
          <w:w w:val="100"/>
          <w:sz w:val="21"/>
        </w:rPr>
        <w:t>组织病理学检</w:t>
      </w:r>
      <w:r>
        <w:rPr>
          <w:rFonts w:ascii="微软雅黑" w:eastAsia="微软雅黑"/>
          <w:b/>
          <w:spacing w:val="-34"/>
          <w:w w:val="100"/>
          <w:sz w:val="21"/>
        </w:rPr>
        <w:t>查</w:t>
      </w:r>
      <w:r>
        <w:rPr>
          <w:w w:val="100"/>
          <w:sz w:val="21"/>
        </w:rPr>
        <w:t>（</w:t>
      </w:r>
      <w:r>
        <w:rPr>
          <w:spacing w:val="-2"/>
          <w:w w:val="100"/>
          <w:sz w:val="21"/>
        </w:rPr>
        <w:t>见释义</w:t>
      </w:r>
      <w:r>
        <w:rPr>
          <w:spacing w:val="-52"/>
          <w:sz w:val="21"/>
        </w:rPr>
        <w:t xml:space="preserve"> </w:t>
      </w:r>
      <w:r>
        <w:rPr>
          <w:w w:val="100"/>
          <w:sz w:val="21"/>
        </w:rPr>
        <w:t>8.36</w:t>
      </w:r>
      <w:r>
        <w:rPr>
          <w:spacing w:val="-144"/>
          <w:w w:val="100"/>
          <w:sz w:val="21"/>
        </w:rPr>
        <w:t>）</w:t>
      </w:r>
      <w:r>
        <w:rPr>
          <w:spacing w:val="-5"/>
          <w:w w:val="100"/>
          <w:sz w:val="21"/>
        </w:rPr>
        <w:t>（</w:t>
      </w:r>
      <w:r>
        <w:rPr>
          <w:spacing w:val="-3"/>
          <w:w w:val="100"/>
          <w:sz w:val="21"/>
        </w:rPr>
        <w:t>涵盖骨髓病理学检查</w:t>
      </w:r>
      <w:r>
        <w:rPr>
          <w:spacing w:val="-39"/>
          <w:w w:val="100"/>
          <w:sz w:val="21"/>
        </w:rPr>
        <w:t>）</w:t>
      </w:r>
      <w:r>
        <w:rPr>
          <w:spacing w:val="-8"/>
          <w:w w:val="100"/>
          <w:sz w:val="21"/>
        </w:rPr>
        <w:t>结果明确诊断，临床诊断属于世</w:t>
      </w:r>
      <w:r>
        <w:rPr>
          <w:spacing w:val="-11"/>
          <w:w w:val="100"/>
          <w:sz w:val="21"/>
        </w:rPr>
        <w:t>界卫生组织</w:t>
      </w:r>
      <w:r>
        <w:rPr>
          <w:w w:val="100"/>
          <w:sz w:val="21"/>
        </w:rPr>
        <w:t>（WH</w:t>
      </w:r>
      <w:r>
        <w:rPr>
          <w:spacing w:val="-5"/>
          <w:w w:val="100"/>
          <w:sz w:val="21"/>
        </w:rPr>
        <w:t>O</w:t>
      </w:r>
      <w:r>
        <w:rPr>
          <w:spacing w:val="-14"/>
          <w:w w:val="100"/>
          <w:sz w:val="21"/>
        </w:rPr>
        <w:t>，</w:t>
      </w:r>
      <w:r>
        <w:rPr>
          <w:w w:val="100"/>
          <w:sz w:val="21"/>
        </w:rPr>
        <w:t>Wo</w:t>
      </w:r>
      <w:r>
        <w:rPr>
          <w:spacing w:val="-5"/>
          <w:w w:val="100"/>
          <w:sz w:val="21"/>
        </w:rPr>
        <w:t>r</w:t>
      </w:r>
      <w:r>
        <w:rPr>
          <w:w w:val="100"/>
          <w:sz w:val="21"/>
        </w:rPr>
        <w:t>ld</w:t>
      </w:r>
      <w:r>
        <w:rPr>
          <w:spacing w:val="-24"/>
          <w:sz w:val="21"/>
        </w:rPr>
        <w:t xml:space="preserve"> </w:t>
      </w:r>
      <w:r>
        <w:rPr>
          <w:spacing w:val="-5"/>
          <w:w w:val="100"/>
          <w:sz w:val="21"/>
        </w:rPr>
        <w:t>H</w:t>
      </w:r>
      <w:r>
        <w:rPr>
          <w:w w:val="100"/>
          <w:sz w:val="21"/>
        </w:rPr>
        <w:t>ealth</w:t>
      </w:r>
      <w:r>
        <w:rPr>
          <w:spacing w:val="-29"/>
          <w:sz w:val="21"/>
        </w:rPr>
        <w:t xml:space="preserve"> </w:t>
      </w:r>
      <w:r>
        <w:rPr>
          <w:w w:val="100"/>
          <w:sz w:val="21"/>
        </w:rPr>
        <w:t>Organ</w:t>
      </w:r>
      <w:r>
        <w:rPr>
          <w:spacing w:val="-5"/>
          <w:w w:val="100"/>
          <w:sz w:val="21"/>
        </w:rPr>
        <w:t>i</w:t>
      </w:r>
      <w:r>
        <w:rPr>
          <w:w w:val="100"/>
          <w:sz w:val="21"/>
        </w:rPr>
        <w:t>zatio</w:t>
      </w:r>
      <w:r>
        <w:rPr>
          <w:spacing w:val="1"/>
          <w:w w:val="100"/>
          <w:sz w:val="21"/>
        </w:rPr>
        <w:t>n</w:t>
      </w:r>
      <w:r>
        <w:rPr>
          <w:spacing w:val="-125"/>
          <w:w w:val="100"/>
          <w:sz w:val="21"/>
        </w:rPr>
        <w:t>）</w:t>
      </w:r>
      <w:r>
        <w:rPr>
          <w:rFonts w:ascii="微软雅黑" w:eastAsia="微软雅黑"/>
          <w:b/>
          <w:spacing w:val="-2"/>
          <w:w w:val="100"/>
          <w:sz w:val="21"/>
        </w:rPr>
        <w:t>《疾病和有关健康问题的</w:t>
      </w:r>
      <w:r>
        <w:rPr>
          <w:rFonts w:ascii="微软雅黑" w:eastAsia="微软雅黑"/>
          <w:b/>
          <w:spacing w:val="-4"/>
          <w:w w:val="100"/>
          <w:sz w:val="21"/>
        </w:rPr>
        <w:t>国际统计分类》第十次修订版</w:t>
      </w:r>
      <w:r>
        <w:rPr>
          <w:rFonts w:ascii="微软雅黑" w:eastAsia="微软雅黑"/>
          <w:b/>
          <w:spacing w:val="1"/>
          <w:w w:val="100"/>
          <w:sz w:val="21"/>
        </w:rPr>
        <w:t>（</w:t>
      </w:r>
      <w:r>
        <w:rPr>
          <w:rFonts w:ascii="微软雅黑" w:eastAsia="微软雅黑"/>
          <w:b/>
          <w:w w:val="83"/>
          <w:sz w:val="21"/>
        </w:rPr>
        <w:t>ICD</w:t>
      </w:r>
      <w:r>
        <w:rPr>
          <w:rFonts w:ascii="微软雅黑" w:eastAsia="微软雅黑"/>
          <w:b/>
          <w:w w:val="115"/>
          <w:sz w:val="21"/>
        </w:rPr>
        <w:t>-</w:t>
      </w:r>
      <w:r>
        <w:rPr>
          <w:rFonts w:ascii="微软雅黑" w:eastAsia="微软雅黑"/>
          <w:b/>
          <w:w w:val="81"/>
          <w:sz w:val="21"/>
        </w:rPr>
        <w:t>10</w:t>
      </w:r>
      <w:r>
        <w:rPr>
          <w:rFonts w:ascii="微软雅黑" w:eastAsia="微软雅黑"/>
          <w:b/>
          <w:spacing w:val="-5"/>
          <w:w w:val="100"/>
          <w:sz w:val="21"/>
        </w:rPr>
        <w:t>）</w:t>
      </w:r>
      <w:r>
        <w:rPr>
          <w:rFonts w:ascii="微软雅黑" w:eastAsia="微软雅黑"/>
          <w:b/>
          <w:spacing w:val="-2"/>
          <w:w w:val="100"/>
          <w:sz w:val="21"/>
        </w:rPr>
        <w:t>的恶性肿瘤类别及《国际疾病分</w:t>
      </w:r>
      <w:r>
        <w:rPr>
          <w:rFonts w:ascii="微软雅黑" w:eastAsia="微软雅黑"/>
          <w:b/>
          <w:spacing w:val="-6"/>
          <w:w w:val="100"/>
          <w:sz w:val="21"/>
        </w:rPr>
        <w:t>类肿瘤学专辑》第三版</w:t>
      </w:r>
      <w:r>
        <w:rPr>
          <w:rFonts w:ascii="微软雅黑" w:eastAsia="微软雅黑"/>
          <w:b/>
          <w:w w:val="100"/>
          <w:sz w:val="21"/>
        </w:rPr>
        <w:t>（</w:t>
      </w:r>
      <w:r>
        <w:rPr>
          <w:rFonts w:ascii="微软雅黑" w:eastAsia="微软雅黑"/>
          <w:b/>
          <w:w w:val="83"/>
          <w:sz w:val="21"/>
        </w:rPr>
        <w:t>ICD</w:t>
      </w:r>
      <w:r>
        <w:rPr>
          <w:rFonts w:ascii="微软雅黑" w:eastAsia="微软雅黑"/>
          <w:b/>
          <w:w w:val="115"/>
          <w:sz w:val="21"/>
        </w:rPr>
        <w:t>-</w:t>
      </w:r>
      <w:r>
        <w:rPr>
          <w:rFonts w:ascii="微软雅黑" w:eastAsia="微软雅黑"/>
          <w:b/>
          <w:w w:val="61"/>
          <w:sz w:val="21"/>
        </w:rPr>
        <w:t>O</w:t>
      </w:r>
      <w:r>
        <w:rPr>
          <w:rFonts w:ascii="微软雅黑" w:eastAsia="微软雅黑"/>
          <w:b/>
          <w:w w:val="115"/>
          <w:sz w:val="21"/>
        </w:rPr>
        <w:t>-</w:t>
      </w:r>
      <w:r>
        <w:rPr>
          <w:rFonts w:ascii="微软雅黑" w:eastAsia="微软雅黑"/>
          <w:b/>
          <w:w w:val="81"/>
          <w:sz w:val="21"/>
        </w:rPr>
        <w:t>3</w:t>
      </w:r>
      <w:r>
        <w:rPr>
          <w:rFonts w:ascii="微软雅黑" w:eastAsia="微软雅黑"/>
          <w:b/>
          <w:spacing w:val="-120"/>
          <w:w w:val="100"/>
          <w:sz w:val="21"/>
        </w:rPr>
        <w:t>）</w:t>
      </w:r>
      <w:r>
        <w:rPr>
          <w:w w:val="100"/>
          <w:sz w:val="21"/>
        </w:rPr>
        <w:t>（见释义</w:t>
      </w:r>
      <w:r>
        <w:rPr>
          <w:spacing w:val="-57"/>
          <w:sz w:val="21"/>
        </w:rPr>
        <w:t xml:space="preserve"> </w:t>
      </w:r>
      <w:r>
        <w:rPr>
          <w:w w:val="100"/>
          <w:sz w:val="21"/>
        </w:rPr>
        <w:t>8.37</w:t>
      </w:r>
      <w:r>
        <w:rPr>
          <w:spacing w:val="-15"/>
          <w:w w:val="100"/>
          <w:sz w:val="21"/>
        </w:rPr>
        <w:t>）</w:t>
      </w:r>
      <w:r>
        <w:rPr>
          <w:spacing w:val="-4"/>
          <w:w w:val="100"/>
          <w:sz w:val="21"/>
        </w:rPr>
        <w:t>的肿瘤形态学编码属于</w:t>
      </w:r>
    </w:p>
    <w:p>
      <w:pPr>
        <w:pStyle w:val="4"/>
        <w:spacing w:before="7"/>
        <w:ind w:left="180"/>
      </w:pPr>
      <w:r>
        <w:rPr>
          <w:spacing w:val="-2"/>
        </w:rPr>
        <w:t>3、6、9（恶性肿瘤）</w:t>
      </w:r>
      <w:r>
        <w:rPr>
          <w:spacing w:val="-4"/>
        </w:rPr>
        <w:t>范畴的疾病。</w:t>
      </w:r>
    </w:p>
    <w:p>
      <w:pPr>
        <w:pStyle w:val="4"/>
        <w:spacing w:before="44"/>
        <w:ind w:left="180"/>
      </w:pPr>
      <w:r>
        <w:rPr>
          <w:spacing w:val="-10"/>
        </w:rPr>
        <w:t>下列疾病不属于“恶性肿瘤——重度”，不在保障范围内：</w:t>
      </w:r>
    </w:p>
    <w:p>
      <w:pPr>
        <w:pStyle w:val="8"/>
        <w:numPr>
          <w:ilvl w:val="0"/>
          <w:numId w:val="13"/>
        </w:numPr>
        <w:tabs>
          <w:tab w:val="left" w:pos="710"/>
        </w:tabs>
        <w:spacing w:before="43" w:after="0" w:line="278" w:lineRule="auto"/>
        <w:ind w:left="180" w:right="514" w:firstLine="0"/>
        <w:jc w:val="left"/>
        <w:rPr>
          <w:sz w:val="21"/>
        </w:rPr>
      </w:pPr>
      <w:r>
        <w:rPr>
          <w:sz w:val="21"/>
        </w:rPr>
        <w:t>ICD-O-3 肿瘤形态学编码属于 0（良性肿瘤</w:t>
      </w:r>
      <w:r>
        <w:rPr>
          <w:spacing w:val="-106"/>
          <w:sz w:val="21"/>
        </w:rPr>
        <w:t>）</w:t>
      </w:r>
      <w:r>
        <w:rPr>
          <w:sz w:val="21"/>
        </w:rPr>
        <w:t>、1（动态未定性肿瘤</w:t>
      </w:r>
      <w:r>
        <w:rPr>
          <w:spacing w:val="-106"/>
          <w:sz w:val="21"/>
        </w:rPr>
        <w:t>）</w:t>
      </w:r>
      <w:r>
        <w:rPr>
          <w:sz w:val="21"/>
        </w:rPr>
        <w:t>、 2（原位癌和非侵袭性癌）范畴的疾病，如：</w:t>
      </w:r>
    </w:p>
    <w:p>
      <w:pPr>
        <w:pStyle w:val="8"/>
        <w:numPr>
          <w:ilvl w:val="0"/>
          <w:numId w:val="14"/>
        </w:numPr>
        <w:tabs>
          <w:tab w:val="left" w:pos="393"/>
        </w:tabs>
        <w:spacing w:before="0" w:after="0" w:line="278" w:lineRule="auto"/>
        <w:ind w:left="180" w:right="512" w:firstLine="0"/>
        <w:jc w:val="left"/>
        <w:rPr>
          <w:sz w:val="21"/>
        </w:rPr>
      </w:pPr>
      <w:r>
        <w:rPr>
          <w:spacing w:val="-4"/>
          <w:sz w:val="21"/>
        </w:rPr>
        <w:t>原位癌，癌前病变，非浸润性癌，非侵袭性癌，肿瘤细胞未侵犯基底层，</w:t>
      </w:r>
      <w:r>
        <w:rPr>
          <w:spacing w:val="-2"/>
          <w:sz w:val="21"/>
        </w:rPr>
        <w:t>上皮内瘤变，细胞不典型性增生等；</w:t>
      </w:r>
    </w:p>
    <w:p>
      <w:pPr>
        <w:pStyle w:val="8"/>
        <w:numPr>
          <w:ilvl w:val="0"/>
          <w:numId w:val="14"/>
        </w:numPr>
        <w:tabs>
          <w:tab w:val="left" w:pos="393"/>
        </w:tabs>
        <w:spacing w:before="0" w:after="0" w:line="257" w:lineRule="exact"/>
        <w:ind w:left="393" w:right="0" w:hanging="213"/>
        <w:jc w:val="left"/>
        <w:rPr>
          <w:sz w:val="21"/>
        </w:rPr>
      </w:pPr>
      <w:r>
        <w:rPr>
          <w:spacing w:val="-7"/>
          <w:sz w:val="21"/>
        </w:rPr>
        <w:t>交界性肿瘤，交界恶性肿瘤，肿瘤低度恶性潜能，潜在低度恶性肿瘤等；</w:t>
      </w:r>
    </w:p>
    <w:p>
      <w:pPr>
        <w:pStyle w:val="8"/>
        <w:numPr>
          <w:ilvl w:val="0"/>
          <w:numId w:val="13"/>
        </w:numPr>
        <w:tabs>
          <w:tab w:val="left" w:pos="710"/>
        </w:tabs>
        <w:spacing w:before="0" w:after="0" w:line="375" w:lineRule="exact"/>
        <w:ind w:left="709" w:right="0" w:hanging="530"/>
        <w:jc w:val="left"/>
        <w:rPr>
          <w:sz w:val="21"/>
        </w:rPr>
      </w:pPr>
      <w:r>
        <w:rPr>
          <w:rFonts w:ascii="微软雅黑" w:hAnsi="微软雅黑" w:eastAsia="微软雅黑"/>
          <w:b/>
          <w:w w:val="90"/>
          <w:sz w:val="21"/>
        </w:rPr>
        <w:t>TNM</w:t>
      </w:r>
      <w:r>
        <w:rPr>
          <w:rFonts w:ascii="微软雅黑" w:hAnsi="微软雅黑" w:eastAsia="微软雅黑"/>
          <w:b/>
          <w:spacing w:val="16"/>
          <w:sz w:val="21"/>
        </w:rPr>
        <w:t xml:space="preserve"> </w:t>
      </w:r>
      <w:r>
        <w:rPr>
          <w:rFonts w:ascii="微软雅黑" w:hAnsi="微软雅黑" w:eastAsia="微软雅黑"/>
          <w:b/>
          <w:w w:val="95"/>
          <w:sz w:val="21"/>
        </w:rPr>
        <w:t>分期</w:t>
      </w:r>
      <w:r>
        <w:rPr>
          <w:w w:val="95"/>
          <w:sz w:val="21"/>
        </w:rPr>
        <w:t>（见</w:t>
      </w:r>
      <w:r>
        <w:rPr>
          <w:spacing w:val="-8"/>
          <w:w w:val="95"/>
          <w:sz w:val="21"/>
        </w:rPr>
        <w:t xml:space="preserve">释义 </w:t>
      </w:r>
      <w:r>
        <w:rPr>
          <w:w w:val="95"/>
          <w:sz w:val="21"/>
        </w:rPr>
        <w:t>8.38）为Ⅰ期或更轻分期的甲状腺癌</w:t>
      </w:r>
      <w:r>
        <w:rPr>
          <w:spacing w:val="-10"/>
          <w:w w:val="95"/>
          <w:sz w:val="21"/>
        </w:rPr>
        <w:t>；</w:t>
      </w:r>
    </w:p>
    <w:p>
      <w:pPr>
        <w:spacing w:after="0" w:line="375" w:lineRule="exact"/>
        <w:jc w:val="left"/>
        <w:rPr>
          <w:sz w:val="21"/>
        </w:rPr>
        <w:sectPr>
          <w:type w:val="continuous"/>
          <w:pgSz w:w="11910" w:h="16840"/>
          <w:pgMar w:top="920" w:right="680" w:bottom="420" w:left="880" w:header="0" w:footer="230" w:gutter="0"/>
          <w:cols w:equalWidth="0" w:num="2">
            <w:col w:w="2765" w:space="40"/>
            <w:col w:w="7545"/>
          </w:cols>
        </w:sectPr>
      </w:pPr>
    </w:p>
    <w:p>
      <w:pPr>
        <w:pStyle w:val="8"/>
        <w:numPr>
          <w:ilvl w:val="0"/>
          <w:numId w:val="13"/>
        </w:numPr>
        <w:tabs>
          <w:tab w:val="left" w:pos="3515"/>
        </w:tabs>
        <w:spacing w:before="52" w:after="0" w:line="240" w:lineRule="auto"/>
        <w:ind w:left="3514" w:right="0" w:hanging="530"/>
        <w:jc w:val="left"/>
        <w:rPr>
          <w:sz w:val="21"/>
        </w:rPr>
      </w:pPr>
      <w:r>
        <w:rPr>
          <w:position w:val="1"/>
          <w:sz w:val="21"/>
        </w:rPr>
        <w:t>TNM</w:t>
      </w:r>
      <w:r>
        <w:rPr>
          <w:spacing w:val="-16"/>
          <w:position w:val="1"/>
          <w:sz w:val="21"/>
        </w:rPr>
        <w:t xml:space="preserve"> 分期为 </w:t>
      </w:r>
      <w:r>
        <w:rPr>
          <w:position w:val="1"/>
          <w:sz w:val="21"/>
        </w:rPr>
        <w:t>T</w:t>
      </w:r>
      <w:r>
        <w:rPr>
          <w:sz w:val="11"/>
        </w:rPr>
        <w:t>1</w:t>
      </w:r>
      <w:r>
        <w:rPr>
          <w:position w:val="1"/>
          <w:sz w:val="21"/>
        </w:rPr>
        <w:t>N</w:t>
      </w:r>
      <w:r>
        <w:rPr>
          <w:sz w:val="11"/>
        </w:rPr>
        <w:t>0</w:t>
      </w:r>
      <w:r>
        <w:rPr>
          <w:position w:val="1"/>
          <w:sz w:val="21"/>
        </w:rPr>
        <w:t>M</w:t>
      </w:r>
      <w:r>
        <w:rPr>
          <w:sz w:val="11"/>
        </w:rPr>
        <w:t>0</w:t>
      </w:r>
      <w:r>
        <w:rPr>
          <w:spacing w:val="43"/>
          <w:sz w:val="11"/>
        </w:rPr>
        <w:t xml:space="preserve"> </w:t>
      </w:r>
      <w:r>
        <w:rPr>
          <w:spacing w:val="-1"/>
          <w:position w:val="1"/>
          <w:sz w:val="21"/>
        </w:rPr>
        <w:t>期或更轻分期的前列腺癌；</w:t>
      </w:r>
    </w:p>
    <w:p>
      <w:pPr>
        <w:pStyle w:val="8"/>
        <w:numPr>
          <w:ilvl w:val="0"/>
          <w:numId w:val="13"/>
        </w:numPr>
        <w:tabs>
          <w:tab w:val="left" w:pos="3515"/>
        </w:tabs>
        <w:spacing w:before="43" w:after="0" w:line="240" w:lineRule="auto"/>
        <w:ind w:left="3514" w:right="0" w:hanging="530"/>
        <w:jc w:val="left"/>
        <w:rPr>
          <w:sz w:val="21"/>
        </w:rPr>
      </w:pPr>
      <w:r>
        <w:rPr>
          <w:spacing w:val="-3"/>
          <w:sz w:val="21"/>
        </w:rPr>
        <w:t>黑色素瘤以外的未发生淋巴结和远处转移的皮肤恶性肿瘤；</w:t>
      </w:r>
    </w:p>
    <w:p>
      <w:pPr>
        <w:pStyle w:val="8"/>
        <w:numPr>
          <w:ilvl w:val="0"/>
          <w:numId w:val="13"/>
        </w:numPr>
        <w:tabs>
          <w:tab w:val="left" w:pos="3515"/>
        </w:tabs>
        <w:spacing w:before="43" w:after="0" w:line="240" w:lineRule="auto"/>
        <w:ind w:left="3514" w:right="0" w:hanging="530"/>
        <w:jc w:val="left"/>
        <w:rPr>
          <w:sz w:val="21"/>
        </w:rPr>
      </w:pPr>
      <w:r>
        <w:rPr>
          <w:spacing w:val="-3"/>
          <w:sz w:val="21"/>
        </w:rPr>
        <w:t xml:space="preserve">相当于 </w:t>
      </w:r>
      <w:r>
        <w:rPr>
          <w:sz w:val="21"/>
        </w:rPr>
        <w:t>Binet</w:t>
      </w:r>
      <w:r>
        <w:rPr>
          <w:spacing w:val="-5"/>
          <w:sz w:val="21"/>
        </w:rPr>
        <w:t xml:space="preserve"> 分期方案 </w:t>
      </w:r>
      <w:r>
        <w:rPr>
          <w:sz w:val="21"/>
        </w:rPr>
        <w:t>A</w:t>
      </w:r>
      <w:r>
        <w:rPr>
          <w:spacing w:val="-3"/>
          <w:sz w:val="21"/>
        </w:rPr>
        <w:t xml:space="preserve"> 期程度的慢性淋巴细胞白血病；</w:t>
      </w:r>
    </w:p>
    <w:p>
      <w:pPr>
        <w:pStyle w:val="8"/>
        <w:numPr>
          <w:ilvl w:val="0"/>
          <w:numId w:val="13"/>
        </w:numPr>
        <w:tabs>
          <w:tab w:val="left" w:pos="3515"/>
        </w:tabs>
        <w:spacing w:before="43" w:after="0" w:line="240" w:lineRule="auto"/>
        <w:ind w:left="3514" w:right="0" w:hanging="530"/>
        <w:jc w:val="left"/>
        <w:rPr>
          <w:sz w:val="21"/>
        </w:rPr>
      </w:pPr>
      <w:r>
        <w:rPr>
          <w:spacing w:val="-4"/>
          <w:sz w:val="21"/>
        </w:rPr>
        <w:t xml:space="preserve">相当于 </w:t>
      </w:r>
      <w:r>
        <w:rPr>
          <w:sz w:val="21"/>
        </w:rPr>
        <w:t>Ann</w:t>
      </w:r>
      <w:r>
        <w:rPr>
          <w:spacing w:val="-8"/>
          <w:sz w:val="21"/>
        </w:rPr>
        <w:t xml:space="preserve"> </w:t>
      </w:r>
      <w:r>
        <w:rPr>
          <w:sz w:val="21"/>
        </w:rPr>
        <w:t>Arbor</w:t>
      </w:r>
      <w:r>
        <w:rPr>
          <w:spacing w:val="-4"/>
          <w:sz w:val="21"/>
        </w:rPr>
        <w:t xml:space="preserve"> 分期方案Ⅰ期程度的何杰金氏病；</w:t>
      </w:r>
    </w:p>
    <w:p>
      <w:pPr>
        <w:pStyle w:val="8"/>
        <w:numPr>
          <w:ilvl w:val="0"/>
          <w:numId w:val="13"/>
        </w:numPr>
        <w:tabs>
          <w:tab w:val="left" w:pos="3515"/>
        </w:tabs>
        <w:spacing w:before="43" w:after="0" w:line="278" w:lineRule="auto"/>
        <w:ind w:left="2985" w:right="615" w:firstLine="0"/>
        <w:jc w:val="left"/>
        <w:rPr>
          <w:sz w:val="21"/>
        </w:rPr>
      </w:pPr>
      <w:r>
        <w:rPr>
          <w:spacing w:val="-1"/>
          <w:sz w:val="21"/>
        </w:rPr>
        <w:t xml:space="preserve">未发生淋巴结和远处转移且 </w:t>
      </w:r>
      <w:r>
        <w:rPr>
          <w:sz w:val="21"/>
        </w:rPr>
        <w:t>WHO</w:t>
      </w:r>
      <w:r>
        <w:rPr>
          <w:spacing w:val="-3"/>
          <w:sz w:val="21"/>
        </w:rPr>
        <w:t xml:space="preserve"> 分级为 </w:t>
      </w:r>
      <w:r>
        <w:rPr>
          <w:sz w:val="21"/>
        </w:rPr>
        <w:t>G1</w:t>
      </w:r>
      <w:r>
        <w:rPr>
          <w:spacing w:val="-2"/>
          <w:sz w:val="21"/>
        </w:rPr>
        <w:t xml:space="preserve"> 级别</w:t>
      </w:r>
      <w:r>
        <w:rPr>
          <w:sz w:val="21"/>
        </w:rPr>
        <w:t>（核分裂像&lt;10/50 HPF 和 ki-67≤2%）或更轻分级的神经内分泌肿瘤。</w:t>
      </w:r>
    </w:p>
    <w:p>
      <w:pPr>
        <w:pStyle w:val="4"/>
        <w:spacing w:before="12"/>
        <w:rPr>
          <w:sz w:val="19"/>
        </w:rPr>
      </w:pPr>
    </w:p>
    <w:p>
      <w:pPr>
        <w:spacing w:after="0"/>
        <w:rPr>
          <w:sz w:val="19"/>
        </w:rPr>
        <w:sectPr>
          <w:pgSz w:w="11910" w:h="16840"/>
          <w:pgMar w:top="660" w:right="680" w:bottom="420" w:left="880" w:header="0" w:footer="230" w:gutter="0"/>
          <w:cols w:space="720" w:num="1"/>
        </w:sectPr>
      </w:pPr>
    </w:p>
    <w:p>
      <w:pPr>
        <w:pStyle w:val="3"/>
        <w:numPr>
          <w:ilvl w:val="2"/>
          <w:numId w:val="12"/>
        </w:numPr>
        <w:tabs>
          <w:tab w:val="left" w:pos="1709"/>
        </w:tabs>
        <w:spacing w:before="55" w:after="0" w:line="194" w:lineRule="auto"/>
        <w:ind w:left="1391" w:right="0" w:firstLine="0"/>
        <w:jc w:val="left"/>
      </w:pPr>
      <w:r>
        <w:rPr>
          <w:spacing w:val="-2"/>
        </w:rPr>
        <w:t>较重急性心</w:t>
      </w:r>
      <w:r>
        <w:rPr>
          <w:spacing w:val="-4"/>
        </w:rPr>
        <w:t>肌梗死</w:t>
      </w:r>
    </w:p>
    <w:p>
      <w:pPr>
        <w:pStyle w:val="4"/>
        <w:spacing w:before="72" w:line="278" w:lineRule="auto"/>
        <w:ind w:left="181" w:right="616"/>
        <w:jc w:val="both"/>
      </w:pPr>
      <w:r>
        <w:br w:type="column"/>
      </w:r>
      <w:r>
        <w:rPr>
          <w:spacing w:val="-2"/>
        </w:rPr>
        <w:t>急性心肌梗死指由于冠状动脉闭塞或梗阻引起部分心肌严重的持久性缺血造成急性心肌坏死。急性心肌梗死的诊断必须依据国际国内诊断标准，符合（1）检测到肌酸激酶同工酶（CK-MB）或肌钙蛋白（cTn）升高和/或降</w:t>
      </w:r>
      <w:r>
        <w:rPr>
          <w:spacing w:val="-7"/>
        </w:rPr>
        <w:t>低的动态变化，至少一次达到或超过心肌梗死的临床诊断标准；</w:t>
      </w:r>
      <w:r>
        <w:rPr>
          <w:spacing w:val="24"/>
        </w:rPr>
        <w:t>（</w:t>
      </w:r>
      <w:r>
        <w:rPr>
          <w:spacing w:val="22"/>
        </w:rPr>
        <w:t>2）</w:t>
      </w:r>
      <w:r>
        <w:rPr>
          <w:spacing w:val="-4"/>
        </w:rPr>
        <w:t>同时</w:t>
      </w:r>
      <w:r>
        <w:rPr>
          <w:spacing w:val="-2"/>
        </w:rPr>
        <w:t>存在下列之一的证据，包括：缺血性胸痛症状、新发生的缺血性心电图改</w:t>
      </w:r>
      <w:r>
        <w:rPr>
          <w:spacing w:val="-5"/>
        </w:rPr>
        <w:t xml:space="preserve">变、新生成的病理性 </w:t>
      </w:r>
      <w:r>
        <w:rPr>
          <w:spacing w:val="-2"/>
        </w:rPr>
        <w:t>Q</w:t>
      </w:r>
      <w:r>
        <w:rPr>
          <w:spacing w:val="-7"/>
        </w:rPr>
        <w:t xml:space="preserve"> 波、影像学证据显示有新出现的心肌活性丧失或新</w:t>
      </w:r>
      <w:r>
        <w:rPr>
          <w:spacing w:val="-2"/>
        </w:rPr>
        <w:t>出现局部室壁运动异常、冠脉造影证实存在冠状动脉血栓。较重急性心肌梗死指依照上述标准被明确诊断为急性心肌梗死，并且必须同时满足下列至少一项条件：</w:t>
      </w:r>
    </w:p>
    <w:p>
      <w:pPr>
        <w:pStyle w:val="8"/>
        <w:numPr>
          <w:ilvl w:val="0"/>
          <w:numId w:val="15"/>
        </w:numPr>
        <w:tabs>
          <w:tab w:val="left" w:pos="711"/>
        </w:tabs>
        <w:spacing w:before="0" w:after="0" w:line="278" w:lineRule="auto"/>
        <w:ind w:left="181" w:right="620" w:firstLine="0"/>
        <w:jc w:val="both"/>
        <w:rPr>
          <w:sz w:val="21"/>
        </w:rPr>
      </w:pPr>
      <w:r>
        <w:rPr>
          <w:spacing w:val="-2"/>
          <w:sz w:val="21"/>
        </w:rPr>
        <w:t>心肌损伤标志物肌钙蛋白（cTn）升高，至少一次检测结果达到该检</w:t>
      </w:r>
      <w:r>
        <w:rPr>
          <w:sz w:val="21"/>
        </w:rPr>
        <w:t>验正常参考值上限的 15 倍（含）以上；</w:t>
      </w:r>
    </w:p>
    <w:p>
      <w:pPr>
        <w:pStyle w:val="8"/>
        <w:numPr>
          <w:ilvl w:val="0"/>
          <w:numId w:val="15"/>
        </w:numPr>
        <w:tabs>
          <w:tab w:val="left" w:pos="711"/>
        </w:tabs>
        <w:spacing w:before="0" w:after="0" w:line="278" w:lineRule="auto"/>
        <w:ind w:left="181" w:right="621" w:firstLine="0"/>
        <w:jc w:val="both"/>
        <w:rPr>
          <w:sz w:val="21"/>
        </w:rPr>
      </w:pPr>
      <w:r>
        <w:rPr>
          <w:spacing w:val="-2"/>
          <w:sz w:val="21"/>
        </w:rPr>
        <w:t>肌酸激酶同工酶（CK-MB）升高，至少一次检测结果达到该检验正常</w:t>
      </w:r>
      <w:r>
        <w:rPr>
          <w:sz w:val="21"/>
        </w:rPr>
        <w:t>参考值上限的 2 倍（含）以上；</w:t>
      </w:r>
    </w:p>
    <w:p>
      <w:pPr>
        <w:pStyle w:val="8"/>
        <w:numPr>
          <w:ilvl w:val="0"/>
          <w:numId w:val="15"/>
        </w:numPr>
        <w:tabs>
          <w:tab w:val="left" w:pos="720"/>
        </w:tabs>
        <w:spacing w:before="0" w:after="0" w:line="269" w:lineRule="exact"/>
        <w:ind w:left="719" w:right="0" w:hanging="539"/>
        <w:jc w:val="both"/>
        <w:rPr>
          <w:sz w:val="21"/>
        </w:rPr>
      </w:pPr>
      <w:r>
        <w:rPr>
          <w:sz w:val="21"/>
        </w:rPr>
        <w:t>出现左心室收缩功能下降，在确诊</w:t>
      </w:r>
      <w:r>
        <w:rPr>
          <w:spacing w:val="34"/>
          <w:w w:val="150"/>
          <w:sz w:val="21"/>
        </w:rPr>
        <w:t xml:space="preserve"> </w:t>
      </w:r>
      <w:r>
        <w:rPr>
          <w:sz w:val="21"/>
        </w:rPr>
        <w:t>6</w:t>
      </w:r>
      <w:r>
        <w:rPr>
          <w:spacing w:val="29"/>
          <w:w w:val="150"/>
          <w:sz w:val="21"/>
        </w:rPr>
        <w:t xml:space="preserve"> </w:t>
      </w:r>
      <w:r>
        <w:rPr>
          <w:spacing w:val="-1"/>
          <w:sz w:val="21"/>
        </w:rPr>
        <w:t>周以后，检测左室射血分数</w:t>
      </w:r>
    </w:p>
    <w:p>
      <w:pPr>
        <w:pStyle w:val="4"/>
        <w:spacing w:before="43"/>
        <w:ind w:left="181"/>
        <w:jc w:val="both"/>
      </w:pPr>
      <w:r>
        <w:t>（LVEF）</w:t>
      </w:r>
      <w:r>
        <w:rPr>
          <w:spacing w:val="-4"/>
        </w:rPr>
        <w:t xml:space="preserve">低于 </w:t>
      </w:r>
      <w:r>
        <w:t>50%（不含</w:t>
      </w:r>
      <w:r>
        <w:rPr>
          <w:spacing w:val="-111"/>
        </w:rPr>
        <w:t>）</w:t>
      </w:r>
      <w:r>
        <w:rPr>
          <w:spacing w:val="-5"/>
        </w:rPr>
        <w:t>；</w:t>
      </w:r>
    </w:p>
    <w:p>
      <w:pPr>
        <w:pStyle w:val="8"/>
        <w:numPr>
          <w:ilvl w:val="0"/>
          <w:numId w:val="15"/>
        </w:numPr>
        <w:tabs>
          <w:tab w:val="left" w:pos="711"/>
        </w:tabs>
        <w:spacing w:before="43" w:after="0" w:line="278" w:lineRule="auto"/>
        <w:ind w:left="181" w:right="530" w:firstLine="0"/>
        <w:jc w:val="left"/>
        <w:rPr>
          <w:sz w:val="21"/>
        </w:rPr>
      </w:pPr>
      <w:r>
        <w:rPr>
          <w:spacing w:val="-2"/>
          <w:sz w:val="21"/>
        </w:rPr>
        <w:t>影像学检查证实存在新发的乳头肌功能失调或断裂引起的中度（含）以上的二尖瓣反流；</w:t>
      </w:r>
    </w:p>
    <w:p>
      <w:pPr>
        <w:pStyle w:val="8"/>
        <w:numPr>
          <w:ilvl w:val="0"/>
          <w:numId w:val="15"/>
        </w:numPr>
        <w:tabs>
          <w:tab w:val="left" w:pos="711"/>
        </w:tabs>
        <w:spacing w:before="0" w:after="0" w:line="269" w:lineRule="exact"/>
        <w:ind w:left="710" w:right="0" w:hanging="530"/>
        <w:jc w:val="left"/>
        <w:rPr>
          <w:sz w:val="21"/>
        </w:rPr>
      </w:pPr>
      <w:r>
        <w:rPr>
          <w:spacing w:val="-3"/>
          <w:sz w:val="21"/>
        </w:rPr>
        <w:t>影像学检查证实存在新出现的室壁瘤；</w:t>
      </w:r>
    </w:p>
    <w:p>
      <w:pPr>
        <w:pStyle w:val="8"/>
        <w:numPr>
          <w:ilvl w:val="0"/>
          <w:numId w:val="15"/>
        </w:numPr>
        <w:tabs>
          <w:tab w:val="left" w:pos="711"/>
        </w:tabs>
        <w:spacing w:before="43" w:after="0" w:line="240" w:lineRule="auto"/>
        <w:ind w:left="710" w:right="0" w:hanging="530"/>
        <w:jc w:val="left"/>
        <w:rPr>
          <w:sz w:val="21"/>
        </w:rPr>
      </w:pPr>
      <w:r>
        <w:rPr>
          <w:spacing w:val="-3"/>
          <w:sz w:val="21"/>
        </w:rPr>
        <w:t>出现室性心动过速、心室颤动或心源性休克。</w:t>
      </w:r>
    </w:p>
    <w:p>
      <w:pPr>
        <w:pStyle w:val="4"/>
        <w:spacing w:before="43"/>
        <w:ind w:left="181"/>
      </w:pPr>
      <w:r>
        <w:rPr>
          <w:spacing w:val="-9"/>
        </w:rPr>
        <w:t>其他非冠状动脉阻塞性疾病所引起的肌钙蛋白</w:t>
      </w:r>
      <w:r>
        <w:rPr>
          <w:spacing w:val="18"/>
        </w:rPr>
        <w:t>（</w:t>
      </w:r>
      <w:r>
        <w:rPr>
          <w:spacing w:val="16"/>
        </w:rPr>
        <w:t>cTn</w:t>
      </w:r>
      <w:r>
        <w:rPr>
          <w:spacing w:val="-90"/>
        </w:rPr>
        <w:t>）</w:t>
      </w:r>
      <w:r>
        <w:rPr>
          <w:spacing w:val="-5"/>
        </w:rPr>
        <w:t>升高不在保障范围内。</w:t>
      </w:r>
    </w:p>
    <w:p>
      <w:pPr>
        <w:spacing w:after="0"/>
        <w:sectPr>
          <w:type w:val="continuous"/>
          <w:pgSz w:w="11910" w:h="16840"/>
          <w:pgMar w:top="920" w:right="680" w:bottom="420" w:left="880" w:header="0" w:footer="230" w:gutter="0"/>
          <w:cols w:equalWidth="0" w:num="2">
            <w:col w:w="2765" w:space="40"/>
            <w:col w:w="7545"/>
          </w:cols>
        </w:sectPr>
      </w:pP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604"/>
        </w:tabs>
        <w:spacing w:before="55" w:after="0" w:line="194" w:lineRule="auto"/>
        <w:ind w:left="1391" w:right="0" w:firstLine="0"/>
        <w:jc w:val="left"/>
      </w:pPr>
      <w:r>
        <w:rPr>
          <w:spacing w:val="-2"/>
        </w:rPr>
        <w:t>严重脑中风</w:t>
      </w:r>
      <w:r>
        <w:rPr>
          <w:spacing w:val="-4"/>
        </w:rPr>
        <w:t>后遗症</w:t>
      </w:r>
    </w:p>
    <w:p>
      <w:pPr>
        <w:pStyle w:val="4"/>
        <w:spacing w:before="72"/>
        <w:ind w:left="286"/>
      </w:pPr>
      <w:r>
        <w:br w:type="column"/>
      </w:r>
      <w:r>
        <w:rPr>
          <w:spacing w:val="-3"/>
        </w:rPr>
        <w:t>指因脑血管的突发病变引起脑血管出血、栓塞或梗塞，须由头颅断层扫描</w:t>
      </w:r>
    </w:p>
    <w:p>
      <w:pPr>
        <w:pStyle w:val="4"/>
        <w:spacing w:before="42" w:line="278" w:lineRule="auto"/>
        <w:ind w:left="286" w:right="619"/>
        <w:jc w:val="both"/>
      </w:pPr>
      <w:r>
        <w:rPr>
          <w:spacing w:val="22"/>
        </w:rPr>
        <w:t>（CT</w:t>
      </w:r>
      <w:r>
        <w:rPr>
          <w:spacing w:val="-84"/>
        </w:rPr>
        <w:t>）</w:t>
      </w:r>
      <w:r>
        <w:rPr>
          <w:spacing w:val="-4"/>
        </w:rPr>
        <w:t>、核磁共振检查（MRI）等影像学检查证实，并导致神经系统永久性</w:t>
      </w:r>
      <w:r>
        <w:rPr>
          <w:spacing w:val="-3"/>
        </w:rPr>
        <w:t xml:space="preserve">的功能障碍。神经系统永久性的功能障碍，指疾病确诊 </w:t>
      </w:r>
      <w:r>
        <w:rPr>
          <w:spacing w:val="-2"/>
        </w:rPr>
        <w:t>180</w:t>
      </w:r>
      <w:r>
        <w:rPr>
          <w:spacing w:val="-7"/>
        </w:rPr>
        <w:t xml:space="preserve"> 天后，仍遗留</w:t>
      </w:r>
      <w:r>
        <w:rPr>
          <w:spacing w:val="-2"/>
        </w:rPr>
        <w:t>下列至少一种障碍：</w:t>
      </w:r>
    </w:p>
    <w:p>
      <w:pPr>
        <w:pStyle w:val="8"/>
        <w:numPr>
          <w:ilvl w:val="1"/>
          <w:numId w:val="15"/>
        </w:numPr>
        <w:tabs>
          <w:tab w:val="left" w:pos="816"/>
        </w:tabs>
        <w:spacing w:before="0" w:after="0" w:line="316" w:lineRule="exact"/>
        <w:ind w:left="815" w:right="0" w:hanging="530"/>
        <w:jc w:val="left"/>
        <w:rPr>
          <w:sz w:val="21"/>
        </w:rPr>
      </w:pPr>
      <w:r>
        <w:rPr>
          <w:spacing w:val="-6"/>
          <w:sz w:val="21"/>
        </w:rPr>
        <w:t>一肢（含）以上</w:t>
      </w:r>
      <w:r>
        <w:rPr>
          <w:rFonts w:ascii="微软雅黑" w:eastAsia="微软雅黑"/>
          <w:b/>
          <w:spacing w:val="-6"/>
          <w:sz w:val="21"/>
        </w:rPr>
        <w:t>肢体</w:t>
      </w:r>
      <w:r>
        <w:rPr>
          <w:spacing w:val="-6"/>
          <w:sz w:val="21"/>
        </w:rPr>
        <w:t>（</w:t>
      </w:r>
      <w:r>
        <w:rPr>
          <w:spacing w:val="-17"/>
          <w:sz w:val="21"/>
        </w:rPr>
        <w:t xml:space="preserve">见释义 </w:t>
      </w:r>
      <w:r>
        <w:rPr>
          <w:spacing w:val="-6"/>
          <w:sz w:val="21"/>
        </w:rPr>
        <w:t>8.39）</w:t>
      </w:r>
      <w:r>
        <w:rPr>
          <w:rFonts w:ascii="微软雅黑" w:eastAsia="微软雅黑"/>
          <w:b/>
          <w:spacing w:val="-6"/>
          <w:sz w:val="21"/>
        </w:rPr>
        <w:t>肌力</w:t>
      </w:r>
      <w:r>
        <w:rPr>
          <w:spacing w:val="-6"/>
          <w:sz w:val="21"/>
        </w:rPr>
        <w:t>（</w:t>
      </w:r>
      <w:r>
        <w:rPr>
          <w:spacing w:val="-18"/>
          <w:sz w:val="21"/>
        </w:rPr>
        <w:t xml:space="preserve">见释义 </w:t>
      </w:r>
      <w:r>
        <w:rPr>
          <w:spacing w:val="-6"/>
          <w:sz w:val="21"/>
        </w:rPr>
        <w:t>8.40）</w:t>
      </w:r>
      <w:r>
        <w:rPr>
          <w:spacing w:val="-26"/>
          <w:sz w:val="21"/>
        </w:rPr>
        <w:t xml:space="preserve"> </w:t>
      </w:r>
      <w:r>
        <w:rPr>
          <w:spacing w:val="-6"/>
          <w:sz w:val="21"/>
        </w:rPr>
        <w:t>2</w:t>
      </w:r>
      <w:r>
        <w:rPr>
          <w:spacing w:val="-1"/>
          <w:sz w:val="21"/>
        </w:rPr>
        <w:t xml:space="preserve"> 级</w:t>
      </w:r>
      <w:r>
        <w:rPr>
          <w:spacing w:val="-6"/>
          <w:sz w:val="21"/>
        </w:rPr>
        <w:t>（含</w:t>
      </w:r>
      <w:r>
        <w:rPr>
          <w:spacing w:val="-10"/>
          <w:sz w:val="21"/>
        </w:rPr>
        <w:t>）</w:t>
      </w:r>
    </w:p>
    <w:p>
      <w:pPr>
        <w:pStyle w:val="4"/>
        <w:spacing w:line="253" w:lineRule="exact"/>
        <w:ind w:left="286"/>
      </w:pPr>
      <w:r>
        <w:rPr>
          <w:spacing w:val="-4"/>
        </w:rPr>
        <w:t>以下；</w:t>
      </w:r>
    </w:p>
    <w:p>
      <w:pPr>
        <w:pStyle w:val="8"/>
        <w:numPr>
          <w:ilvl w:val="1"/>
          <w:numId w:val="15"/>
        </w:numPr>
        <w:tabs>
          <w:tab w:val="left" w:pos="816"/>
        </w:tabs>
        <w:spacing w:before="0" w:after="0" w:line="337" w:lineRule="exact"/>
        <w:ind w:left="815" w:right="0" w:hanging="530"/>
        <w:jc w:val="both"/>
        <w:rPr>
          <w:sz w:val="21"/>
        </w:rPr>
      </w:pPr>
      <w:r>
        <w:rPr>
          <w:rFonts w:ascii="微软雅黑" w:eastAsia="微软雅黑"/>
          <w:b/>
          <w:spacing w:val="-2"/>
          <w:sz w:val="21"/>
        </w:rPr>
        <w:t>语言能力完全丧失，或严重咀嚼吞咽功能障碍</w:t>
      </w:r>
      <w:r>
        <w:rPr>
          <w:spacing w:val="-2"/>
          <w:sz w:val="21"/>
        </w:rPr>
        <w:t>（</w:t>
      </w:r>
      <w:r>
        <w:rPr>
          <w:spacing w:val="-4"/>
          <w:sz w:val="21"/>
        </w:rPr>
        <w:t xml:space="preserve">见释义 </w:t>
      </w:r>
      <w:r>
        <w:rPr>
          <w:spacing w:val="16"/>
          <w:sz w:val="21"/>
        </w:rPr>
        <w:t>8.</w:t>
      </w:r>
      <w:r>
        <w:rPr>
          <w:spacing w:val="11"/>
          <w:sz w:val="21"/>
        </w:rPr>
        <w:t>4</w:t>
      </w:r>
      <w:r>
        <w:rPr>
          <w:spacing w:val="16"/>
          <w:sz w:val="21"/>
        </w:rPr>
        <w:t>1</w:t>
      </w:r>
      <w:r>
        <w:rPr>
          <w:spacing w:val="-90"/>
          <w:sz w:val="21"/>
        </w:rPr>
        <w:t>）</w:t>
      </w:r>
      <w:r>
        <w:rPr>
          <w:spacing w:val="16"/>
          <w:sz w:val="21"/>
        </w:rPr>
        <w:t>；</w:t>
      </w:r>
    </w:p>
    <w:p>
      <w:pPr>
        <w:pStyle w:val="8"/>
        <w:numPr>
          <w:ilvl w:val="1"/>
          <w:numId w:val="15"/>
        </w:numPr>
        <w:tabs>
          <w:tab w:val="left" w:pos="826"/>
        </w:tabs>
        <w:spacing w:before="0" w:after="0" w:line="346" w:lineRule="exact"/>
        <w:ind w:left="825" w:right="0" w:hanging="540"/>
        <w:jc w:val="left"/>
        <w:rPr>
          <w:sz w:val="21"/>
        </w:rPr>
      </w:pPr>
      <w:r>
        <w:rPr>
          <w:sz w:val="21"/>
        </w:rPr>
        <w:t>自主生活能力完全丧失，无法独立完成</w:t>
      </w:r>
      <w:r>
        <w:rPr>
          <w:rFonts w:ascii="微软雅黑" w:eastAsia="微软雅黑"/>
          <w:b/>
          <w:sz w:val="21"/>
        </w:rPr>
        <w:t>六项基本日常生活</w:t>
      </w:r>
      <w:r>
        <w:rPr>
          <w:sz w:val="21"/>
        </w:rPr>
        <w:t>（</w:t>
      </w:r>
      <w:r>
        <w:rPr>
          <w:spacing w:val="-4"/>
          <w:sz w:val="21"/>
        </w:rPr>
        <w:t>见释义</w:t>
      </w:r>
    </w:p>
    <w:p>
      <w:pPr>
        <w:pStyle w:val="4"/>
        <w:spacing w:line="265" w:lineRule="exact"/>
        <w:ind w:left="286"/>
      </w:pPr>
      <w:r>
        <w:rPr>
          <w:spacing w:val="-2"/>
        </w:rPr>
        <w:t>8.42）</w:t>
      </w:r>
      <w:r>
        <w:rPr>
          <w:spacing w:val="-3"/>
        </w:rPr>
        <w:t>活动中的三项或三项以上。</w:t>
      </w:r>
    </w:p>
    <w:p>
      <w:pPr>
        <w:spacing w:after="0" w:line="265" w:lineRule="exact"/>
        <w:sectPr>
          <w:type w:val="continuous"/>
          <w:pgSz w:w="11910" w:h="16840"/>
          <w:pgMar w:top="920" w:right="680" w:bottom="420" w:left="880" w:header="0" w:footer="230" w:gutter="0"/>
          <w:cols w:equalWidth="0" w:num="2">
            <w:col w:w="2659" w:space="40"/>
            <w:col w:w="7651"/>
          </w:cols>
        </w:sectPr>
      </w:pP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604"/>
        </w:tabs>
        <w:spacing w:before="59" w:after="0" w:line="192" w:lineRule="auto"/>
        <w:ind w:left="1391" w:right="0" w:firstLine="0"/>
        <w:jc w:val="both"/>
      </w:pPr>
      <w:r>
        <w:rPr>
          <w:spacing w:val="-2"/>
        </w:rPr>
        <w:t>重大器官移植术或造血干细胞移植术</w:t>
      </w:r>
    </w:p>
    <w:p>
      <w:pPr>
        <w:pStyle w:val="4"/>
        <w:spacing w:before="72" w:line="273" w:lineRule="auto"/>
        <w:ind w:left="286" w:right="513"/>
      </w:pPr>
      <w:r>
        <w:br w:type="column"/>
      </w:r>
      <w:r>
        <w:rPr>
          <w:spacing w:val="-4"/>
        </w:rPr>
        <w:t>重大器官移植术，指因相应器官功能衰竭，已经实施了肾脏、肝脏、心脏、</w:t>
      </w:r>
      <w:r>
        <w:rPr>
          <w:spacing w:val="-2"/>
        </w:rPr>
        <w:t>肺脏或小肠的异体移植手术。</w:t>
      </w:r>
    </w:p>
    <w:p>
      <w:pPr>
        <w:pStyle w:val="4"/>
        <w:spacing w:before="6" w:line="278" w:lineRule="auto"/>
        <w:ind w:left="286" w:right="512"/>
      </w:pPr>
      <w:r>
        <w:rPr>
          <w:spacing w:val="-2"/>
        </w:rPr>
        <w:t>造血干细胞移植术，指因造血功能损害或造血系统恶性肿瘤，已经实施了</w:t>
      </w:r>
      <w:r>
        <w:rPr>
          <w:spacing w:val="-4"/>
        </w:rPr>
        <w:t>造血干细胞（包括骨髓造血干细胞、外周血造血干细胞和脐血造血干细胞）</w:t>
      </w:r>
      <w:r>
        <w:rPr>
          <w:spacing w:val="-2"/>
        </w:rPr>
        <w:t>的移植手术。</w:t>
      </w:r>
    </w:p>
    <w:p>
      <w:pPr>
        <w:spacing w:after="0" w:line="278" w:lineRule="auto"/>
        <w:sectPr>
          <w:type w:val="continuous"/>
          <w:pgSz w:w="11910" w:h="16840"/>
          <w:pgMar w:top="920" w:right="680" w:bottom="420" w:left="880" w:header="0" w:footer="230" w:gutter="0"/>
          <w:cols w:equalWidth="0" w:num="2">
            <w:col w:w="2659" w:space="40"/>
            <w:col w:w="7651"/>
          </w:cols>
        </w:sectPr>
      </w:pPr>
    </w:p>
    <w:p>
      <w:pPr>
        <w:pStyle w:val="4"/>
        <w:spacing w:before="3"/>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604"/>
        </w:tabs>
        <w:spacing w:before="59" w:after="0" w:line="192" w:lineRule="auto"/>
        <w:ind w:left="1391" w:right="0" w:firstLine="0"/>
        <w:jc w:val="both"/>
      </w:pPr>
      <w:r>
        <w:rPr>
          <w:spacing w:val="-2"/>
        </w:rPr>
        <w:t>冠状动脉搭桥术（或称冠状动脉旁路移</w:t>
      </w:r>
      <w:r>
        <w:rPr>
          <w:spacing w:val="-4"/>
        </w:rPr>
        <w:t>植术）</w:t>
      </w:r>
    </w:p>
    <w:p>
      <w:pPr>
        <w:pStyle w:val="4"/>
        <w:spacing w:before="72" w:line="273" w:lineRule="auto"/>
        <w:ind w:left="286" w:right="620"/>
      </w:pPr>
      <w:r>
        <w:br w:type="column"/>
      </w:r>
      <w:r>
        <w:rPr>
          <w:spacing w:val="-2"/>
        </w:rPr>
        <w:t>指为治疗严重的冠心病，已经实施了切开心包进行的冠状动脉血管旁路移植的手术。</w:t>
      </w:r>
    </w:p>
    <w:p>
      <w:pPr>
        <w:pStyle w:val="4"/>
        <w:spacing w:before="6"/>
        <w:ind w:left="286"/>
      </w:pPr>
      <w:r>
        <w:rPr>
          <w:spacing w:val="-3"/>
        </w:rPr>
        <w:t>所有未切开心包的冠状动脉介入治疗不在保障范围内。</w:t>
      </w:r>
    </w:p>
    <w:p>
      <w:pPr>
        <w:spacing w:after="0"/>
        <w:sectPr>
          <w:type w:val="continuous"/>
          <w:pgSz w:w="11910" w:h="16840"/>
          <w:pgMar w:top="920" w:right="680" w:bottom="420" w:left="880" w:header="0" w:footer="230" w:gutter="0"/>
          <w:cols w:equalWidth="0" w:num="2">
            <w:col w:w="2659" w:space="40"/>
            <w:col w:w="7651"/>
          </w:cols>
        </w:sectPr>
      </w:pPr>
    </w:p>
    <w:p>
      <w:pPr>
        <w:pStyle w:val="3"/>
        <w:numPr>
          <w:ilvl w:val="2"/>
          <w:numId w:val="12"/>
        </w:numPr>
        <w:tabs>
          <w:tab w:val="left" w:pos="1709"/>
        </w:tabs>
        <w:spacing w:before="37" w:after="0" w:line="192" w:lineRule="auto"/>
        <w:ind w:left="1391" w:right="0" w:firstLine="0"/>
        <w:jc w:val="left"/>
      </w:pPr>
      <w:r>
        <w:rPr>
          <w:spacing w:val="-2"/>
        </w:rPr>
        <w:t>严重慢性肾</w:t>
      </w:r>
      <w:r>
        <w:rPr>
          <w:spacing w:val="-6"/>
        </w:rPr>
        <w:t>衰竭</w:t>
      </w:r>
    </w:p>
    <w:p>
      <w:pPr>
        <w:pStyle w:val="4"/>
        <w:spacing w:before="51" w:line="276" w:lineRule="auto"/>
        <w:ind w:left="181" w:right="619"/>
        <w:jc w:val="both"/>
      </w:pPr>
      <w:r>
        <w:br w:type="column"/>
      </w:r>
      <w:r>
        <w:rPr>
          <w:spacing w:val="-2"/>
        </w:rPr>
        <w:t>指双肾功能慢性不可逆性衰竭，依据肾脏病预后质量倡议（K/DOQI）制定</w:t>
      </w:r>
      <w:r>
        <w:t>的指南，分期达到慢性肾脏病 5 期，且经诊断后已经进行了至少 90 天</w:t>
      </w:r>
      <w:r>
        <w:rPr>
          <w:spacing w:val="-2"/>
        </w:rPr>
        <w:t>的规律性透析治疗。规律性透析是指每周进行血液透析或每天进行腹膜透</w:t>
      </w:r>
      <w:r>
        <w:rPr>
          <w:spacing w:val="-6"/>
        </w:rPr>
        <w:t>析。</w:t>
      </w:r>
    </w:p>
    <w:p>
      <w:pPr>
        <w:spacing w:after="0" w:line="276" w:lineRule="auto"/>
        <w:jc w:val="both"/>
        <w:sectPr>
          <w:pgSz w:w="11910" w:h="16840"/>
          <w:pgMar w:top="820" w:right="680" w:bottom="420" w:left="880" w:header="0" w:footer="230" w:gutter="0"/>
          <w:cols w:equalWidth="0" w:num="2">
            <w:col w:w="2765" w:space="40"/>
            <w:col w:w="7545"/>
          </w:cols>
        </w:sectPr>
      </w:pPr>
    </w:p>
    <w:p>
      <w:pPr>
        <w:pStyle w:val="4"/>
        <w:spacing w:before="9"/>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604"/>
        </w:tabs>
        <w:spacing w:before="59" w:after="0" w:line="192" w:lineRule="auto"/>
        <w:ind w:left="1391" w:right="0" w:firstLine="0"/>
        <w:jc w:val="left"/>
      </w:pPr>
      <w:r>
        <w:rPr>
          <w:spacing w:val="-2"/>
        </w:rPr>
        <w:t>多个肢体缺</w:t>
      </w:r>
      <w:r>
        <w:rPr>
          <w:spacing w:val="-10"/>
        </w:rPr>
        <w:t>失</w:t>
      </w:r>
    </w:p>
    <w:p>
      <w:pPr>
        <w:pStyle w:val="4"/>
        <w:spacing w:before="72" w:line="273" w:lineRule="auto"/>
        <w:ind w:left="286" w:right="622"/>
      </w:pPr>
      <w:r>
        <w:br w:type="column"/>
      </w:r>
      <w:r>
        <w:rPr>
          <w:spacing w:val="-2"/>
        </w:rPr>
        <w:t>指因疾病或意外伤害导致两个或两个以上肢体自腕关节或踝关节近端（靠近躯干端）以上完全性断离。</w:t>
      </w:r>
    </w:p>
    <w:p>
      <w:pPr>
        <w:spacing w:after="0" w:line="273" w:lineRule="auto"/>
        <w:sectPr>
          <w:type w:val="continuous"/>
          <w:pgSz w:w="11910" w:h="16840"/>
          <w:pgMar w:top="920" w:right="680" w:bottom="420" w:left="880" w:header="0" w:footer="230" w:gutter="0"/>
          <w:cols w:equalWidth="0" w:num="2">
            <w:col w:w="2659" w:space="40"/>
            <w:col w:w="7651"/>
          </w:cols>
        </w:sectPr>
      </w:pPr>
    </w:p>
    <w:p>
      <w:pPr>
        <w:pStyle w:val="4"/>
        <w:spacing w:before="9"/>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604"/>
        </w:tabs>
        <w:spacing w:before="58" w:after="0" w:line="192" w:lineRule="auto"/>
        <w:ind w:left="1391" w:right="0" w:firstLine="0"/>
        <w:jc w:val="both"/>
      </w:pPr>
      <w:r>
        <w:rPr>
          <w:spacing w:val="-2"/>
        </w:rPr>
        <w:t>急性重症肝炎或亚急性重</w:t>
      </w:r>
      <w:r>
        <w:rPr>
          <w:spacing w:val="-4"/>
        </w:rPr>
        <w:t>症肝炎</w:t>
      </w:r>
    </w:p>
    <w:p>
      <w:pPr>
        <w:pStyle w:val="4"/>
        <w:spacing w:before="72" w:line="273" w:lineRule="auto"/>
        <w:ind w:left="286" w:right="622"/>
      </w:pPr>
      <w:r>
        <w:br w:type="column"/>
      </w:r>
      <w:r>
        <w:rPr>
          <w:spacing w:val="-2"/>
        </w:rPr>
        <w:t>指因肝炎病毒感染引起肝脏组织弥漫性坏死，导致急性肝功能衰竭，且经血清学或病毒学检查证实，并须满足下列全部条件：</w:t>
      </w:r>
    </w:p>
    <w:p>
      <w:pPr>
        <w:pStyle w:val="8"/>
        <w:numPr>
          <w:ilvl w:val="0"/>
          <w:numId w:val="16"/>
        </w:numPr>
        <w:tabs>
          <w:tab w:val="left" w:pos="816"/>
        </w:tabs>
        <w:spacing w:before="6" w:after="0" w:line="240" w:lineRule="auto"/>
        <w:ind w:left="815" w:right="0" w:hanging="530"/>
        <w:jc w:val="left"/>
        <w:rPr>
          <w:sz w:val="21"/>
        </w:rPr>
      </w:pPr>
      <w:r>
        <w:rPr>
          <w:spacing w:val="-3"/>
          <w:sz w:val="21"/>
        </w:rPr>
        <w:t>重度黄疸或黄疸迅速加重；</w:t>
      </w:r>
    </w:p>
    <w:p>
      <w:pPr>
        <w:pStyle w:val="8"/>
        <w:numPr>
          <w:ilvl w:val="0"/>
          <w:numId w:val="16"/>
        </w:numPr>
        <w:tabs>
          <w:tab w:val="left" w:pos="816"/>
        </w:tabs>
        <w:spacing w:before="43" w:after="0" w:line="240" w:lineRule="auto"/>
        <w:ind w:left="815" w:right="0" w:hanging="530"/>
        <w:jc w:val="left"/>
        <w:rPr>
          <w:sz w:val="21"/>
        </w:rPr>
      </w:pPr>
      <w:r>
        <w:rPr>
          <w:spacing w:val="-4"/>
          <w:sz w:val="21"/>
        </w:rPr>
        <w:t>肝性脑病；</w:t>
      </w:r>
    </w:p>
    <w:p>
      <w:pPr>
        <w:pStyle w:val="4"/>
        <w:spacing w:before="43"/>
        <w:ind w:left="286"/>
      </w:pPr>
      <w:r>
        <w:rPr>
          <w:spacing w:val="-2"/>
        </w:rPr>
        <w:t>（3）B</w:t>
      </w:r>
      <w:r>
        <w:rPr>
          <w:spacing w:val="-9"/>
        </w:rPr>
        <w:t xml:space="preserve"> 超或其他影像学检查显示肝脏体积急速萎缩；</w:t>
      </w:r>
    </w:p>
    <w:p>
      <w:pPr>
        <w:pStyle w:val="4"/>
        <w:spacing w:before="43"/>
        <w:ind w:left="286"/>
      </w:pPr>
      <w:r>
        <w:rPr>
          <w:spacing w:val="-2"/>
        </w:rPr>
        <w:t>（4）</w:t>
      </w:r>
      <w:r>
        <w:rPr>
          <w:spacing w:val="-3"/>
        </w:rPr>
        <w:t>肝功能指标进行性恶化。</w:t>
      </w:r>
    </w:p>
    <w:p>
      <w:pPr>
        <w:spacing w:after="0"/>
        <w:sectPr>
          <w:type w:val="continuous"/>
          <w:pgSz w:w="11910" w:h="16840"/>
          <w:pgMar w:top="920" w:right="680" w:bottom="420" w:left="880" w:header="0" w:footer="230" w:gutter="0"/>
          <w:cols w:equalWidth="0" w:num="2">
            <w:col w:w="2659" w:space="40"/>
            <w:col w:w="7651"/>
          </w:cols>
        </w:sectPr>
      </w:pP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09"/>
        </w:tabs>
        <w:spacing w:before="56" w:after="0" w:line="194" w:lineRule="auto"/>
        <w:ind w:left="1391" w:right="0" w:firstLine="0"/>
        <w:jc w:val="left"/>
      </w:pPr>
      <w:r>
        <w:rPr>
          <w:spacing w:val="-2"/>
        </w:rPr>
        <w:t>严重非恶性</w:t>
      </w:r>
      <w:r>
        <w:rPr>
          <w:spacing w:val="-4"/>
        </w:rPr>
        <w:t>颅内肿瘤</w:t>
      </w:r>
    </w:p>
    <w:p>
      <w:pPr>
        <w:pStyle w:val="4"/>
        <w:spacing w:before="72" w:line="278" w:lineRule="auto"/>
        <w:ind w:left="181" w:right="616"/>
        <w:jc w:val="both"/>
      </w:pPr>
      <w:r>
        <w:br w:type="column"/>
      </w:r>
      <w:r>
        <w:t>指起源于脑、脑神经、脑被膜的非恶性肿瘤，ICD-O-3</w:t>
      </w:r>
      <w:r>
        <w:rPr>
          <w:spacing w:val="-4"/>
        </w:rPr>
        <w:t xml:space="preserve"> 肿瘤形态学编码属于 </w:t>
      </w:r>
      <w:r>
        <w:t>0（良性肿瘤</w:t>
      </w:r>
      <w:r>
        <w:rPr>
          <w:spacing w:val="-111"/>
        </w:rPr>
        <w:t>）</w:t>
      </w:r>
      <w:r>
        <w:t>、1（动态未定性肿瘤）范畴，并已经引起颅内压升高或</w:t>
      </w:r>
      <w:r>
        <w:rPr>
          <w:spacing w:val="-2"/>
        </w:rPr>
        <w:t>神经系统功能损害，出现视乳头水肿或视觉受损、听觉受损、面部或肢体</w:t>
      </w:r>
      <w:r>
        <w:rPr>
          <w:spacing w:val="-4"/>
        </w:rPr>
        <w:t>瘫痪、癫痫等，须由头颅断层扫描</w:t>
      </w:r>
      <w:r>
        <w:rPr>
          <w:spacing w:val="23"/>
        </w:rPr>
        <w:t>（</w:t>
      </w:r>
      <w:r>
        <w:rPr>
          <w:spacing w:val="22"/>
        </w:rPr>
        <w:t>CT</w:t>
      </w:r>
      <w:r>
        <w:rPr>
          <w:spacing w:val="-84"/>
        </w:rPr>
        <w:t>）</w:t>
      </w:r>
      <w:r>
        <w:rPr>
          <w:spacing w:val="-4"/>
        </w:rPr>
        <w:t>、核磁共振检查（MRI）或正电子</w:t>
      </w:r>
      <w:r>
        <w:rPr>
          <w:spacing w:val="-2"/>
        </w:rPr>
        <w:t>发射断层扫描（PET）等影像学检查证实，且须满足下列至少一项条件：</w:t>
      </w:r>
    </w:p>
    <w:p>
      <w:pPr>
        <w:pStyle w:val="8"/>
        <w:numPr>
          <w:ilvl w:val="0"/>
          <w:numId w:val="17"/>
        </w:numPr>
        <w:tabs>
          <w:tab w:val="left" w:pos="711"/>
        </w:tabs>
        <w:spacing w:before="0" w:after="0" w:line="240" w:lineRule="auto"/>
        <w:ind w:left="710" w:right="0" w:hanging="530"/>
        <w:jc w:val="left"/>
        <w:rPr>
          <w:sz w:val="21"/>
        </w:rPr>
      </w:pPr>
      <w:r>
        <w:rPr>
          <w:spacing w:val="-3"/>
          <w:sz w:val="21"/>
        </w:rPr>
        <w:t>已经实施了开颅进行的颅内肿瘤完全或部分切除手术；</w:t>
      </w:r>
    </w:p>
    <w:p>
      <w:pPr>
        <w:pStyle w:val="8"/>
        <w:numPr>
          <w:ilvl w:val="0"/>
          <w:numId w:val="17"/>
        </w:numPr>
        <w:tabs>
          <w:tab w:val="left" w:pos="711"/>
        </w:tabs>
        <w:spacing w:before="43" w:after="0" w:line="240" w:lineRule="auto"/>
        <w:ind w:left="710" w:right="0" w:hanging="530"/>
        <w:jc w:val="left"/>
        <w:rPr>
          <w:sz w:val="21"/>
        </w:rPr>
      </w:pPr>
      <w:r>
        <w:rPr>
          <w:spacing w:val="-2"/>
          <w:sz w:val="21"/>
        </w:rPr>
        <w:t>已经实施了针对颅内肿瘤的放射治疗，如γ</w:t>
      </w:r>
      <w:r>
        <w:rPr>
          <w:spacing w:val="-3"/>
          <w:sz w:val="21"/>
        </w:rPr>
        <w:t>刀、质子重离子治疗等。</w:t>
      </w:r>
    </w:p>
    <w:p>
      <w:pPr>
        <w:pStyle w:val="4"/>
        <w:spacing w:before="43"/>
        <w:ind w:left="181"/>
      </w:pPr>
      <w:r>
        <w:rPr>
          <w:spacing w:val="-3"/>
        </w:rPr>
        <w:t>下列疾病不在保障范围内：</w:t>
      </w:r>
    </w:p>
    <w:p>
      <w:pPr>
        <w:pStyle w:val="8"/>
        <w:numPr>
          <w:ilvl w:val="0"/>
          <w:numId w:val="18"/>
        </w:numPr>
        <w:tabs>
          <w:tab w:val="left" w:pos="711"/>
        </w:tabs>
        <w:spacing w:before="43" w:after="0" w:line="240" w:lineRule="auto"/>
        <w:ind w:left="710" w:right="0" w:hanging="530"/>
        <w:jc w:val="left"/>
        <w:rPr>
          <w:sz w:val="21"/>
        </w:rPr>
      </w:pPr>
      <w:r>
        <w:rPr>
          <w:spacing w:val="-4"/>
          <w:sz w:val="21"/>
        </w:rPr>
        <w:t>脑垂体瘤；</w:t>
      </w:r>
    </w:p>
    <w:p>
      <w:pPr>
        <w:pStyle w:val="8"/>
        <w:numPr>
          <w:ilvl w:val="0"/>
          <w:numId w:val="18"/>
        </w:numPr>
        <w:tabs>
          <w:tab w:val="left" w:pos="711"/>
        </w:tabs>
        <w:spacing w:before="42" w:after="0" w:line="240" w:lineRule="auto"/>
        <w:ind w:left="710" w:right="0" w:hanging="530"/>
        <w:jc w:val="left"/>
        <w:rPr>
          <w:sz w:val="21"/>
        </w:rPr>
      </w:pPr>
      <w:r>
        <w:rPr>
          <w:spacing w:val="-4"/>
          <w:sz w:val="21"/>
        </w:rPr>
        <w:t>脑囊肿；</w:t>
      </w:r>
    </w:p>
    <w:p>
      <w:pPr>
        <w:pStyle w:val="8"/>
        <w:numPr>
          <w:ilvl w:val="0"/>
          <w:numId w:val="18"/>
        </w:numPr>
        <w:tabs>
          <w:tab w:val="left" w:pos="711"/>
        </w:tabs>
        <w:spacing w:before="44" w:after="0" w:line="278" w:lineRule="auto"/>
        <w:ind w:left="181" w:right="622" w:firstLine="0"/>
        <w:jc w:val="left"/>
        <w:rPr>
          <w:sz w:val="21"/>
        </w:rPr>
      </w:pPr>
      <w:r>
        <w:rPr>
          <w:spacing w:val="-4"/>
          <w:sz w:val="21"/>
        </w:rPr>
        <w:t>颅内血管性疾病（如脑动脉瘤、脑动静脉畸形、海绵状血管瘤、毛细</w:t>
      </w:r>
      <w:r>
        <w:rPr>
          <w:spacing w:val="-2"/>
          <w:sz w:val="21"/>
        </w:rPr>
        <w:t>血管扩张症等</w:t>
      </w:r>
      <w:r>
        <w:rPr>
          <w:spacing w:val="-106"/>
          <w:sz w:val="21"/>
        </w:rPr>
        <w:t>）</w:t>
      </w:r>
      <w:r>
        <w:rPr>
          <w:spacing w:val="-2"/>
          <w:sz w:val="21"/>
        </w:rPr>
        <w:t>。</w:t>
      </w:r>
    </w:p>
    <w:p>
      <w:pPr>
        <w:spacing w:after="0" w:line="278" w:lineRule="auto"/>
        <w:jc w:val="left"/>
        <w:rPr>
          <w:sz w:val="21"/>
        </w:rPr>
        <w:sectPr>
          <w:type w:val="continuous"/>
          <w:pgSz w:w="11910" w:h="16840"/>
          <w:pgMar w:top="920" w:right="680" w:bottom="420" w:left="880" w:header="0" w:footer="230" w:gutter="0"/>
          <w:cols w:equalWidth="0" w:num="2">
            <w:col w:w="2765" w:space="40"/>
            <w:col w:w="7545"/>
          </w:cols>
        </w:sectPr>
      </w:pPr>
    </w:p>
    <w:p>
      <w:pPr>
        <w:pStyle w:val="4"/>
        <w:spacing w:before="11"/>
        <w:rPr>
          <w:sz w:val="19"/>
        </w:rPr>
      </w:pPr>
    </w:p>
    <w:p>
      <w:pPr>
        <w:spacing w:after="0"/>
        <w:rPr>
          <w:sz w:val="19"/>
        </w:rPr>
        <w:sectPr>
          <w:type w:val="continuous"/>
          <w:pgSz w:w="11910" w:h="16840"/>
          <w:pgMar w:top="920" w:right="680" w:bottom="420" w:left="880" w:header="0" w:footer="230" w:gutter="0"/>
          <w:cols w:space="720" w:num="1"/>
        </w:sectPr>
      </w:pPr>
    </w:p>
    <w:p>
      <w:pPr>
        <w:pStyle w:val="3"/>
        <w:numPr>
          <w:ilvl w:val="2"/>
          <w:numId w:val="12"/>
        </w:numPr>
        <w:tabs>
          <w:tab w:val="left" w:pos="1814"/>
        </w:tabs>
        <w:spacing w:before="55" w:after="0" w:line="194" w:lineRule="auto"/>
        <w:ind w:left="1391" w:right="0" w:firstLine="0"/>
        <w:jc w:val="left"/>
      </w:pPr>
      <w:r>
        <w:rPr>
          <w:spacing w:val="-4"/>
        </w:rPr>
        <w:t>严重慢性肝衰竭</w:t>
      </w:r>
    </w:p>
    <w:p>
      <w:pPr>
        <w:pStyle w:val="4"/>
        <w:spacing w:before="72"/>
        <w:ind w:left="286"/>
      </w:pPr>
      <w:r>
        <w:br w:type="column"/>
      </w:r>
      <w:r>
        <w:rPr>
          <w:spacing w:val="-3"/>
        </w:rPr>
        <w:t>指因慢性肝脏疾病导致肝衰竭，且须满足下列全部条件：</w:t>
      </w:r>
    </w:p>
    <w:p>
      <w:pPr>
        <w:pStyle w:val="8"/>
        <w:numPr>
          <w:ilvl w:val="1"/>
          <w:numId w:val="18"/>
        </w:numPr>
        <w:tabs>
          <w:tab w:val="left" w:pos="816"/>
        </w:tabs>
        <w:spacing w:before="42" w:after="0" w:line="240" w:lineRule="auto"/>
        <w:ind w:left="815" w:right="0" w:hanging="530"/>
        <w:jc w:val="left"/>
        <w:rPr>
          <w:sz w:val="21"/>
        </w:rPr>
      </w:pPr>
      <w:r>
        <w:rPr>
          <w:spacing w:val="-4"/>
          <w:sz w:val="21"/>
        </w:rPr>
        <w:t>持续性黄疸；</w:t>
      </w:r>
    </w:p>
    <w:p>
      <w:pPr>
        <w:pStyle w:val="8"/>
        <w:numPr>
          <w:ilvl w:val="1"/>
          <w:numId w:val="18"/>
        </w:numPr>
        <w:tabs>
          <w:tab w:val="left" w:pos="816"/>
        </w:tabs>
        <w:spacing w:before="44" w:after="0" w:line="240" w:lineRule="auto"/>
        <w:ind w:left="815" w:right="0" w:hanging="530"/>
        <w:jc w:val="left"/>
        <w:rPr>
          <w:sz w:val="21"/>
        </w:rPr>
      </w:pPr>
      <w:r>
        <w:rPr>
          <w:spacing w:val="-4"/>
          <w:sz w:val="21"/>
        </w:rPr>
        <w:t>腹水；</w:t>
      </w:r>
    </w:p>
    <w:p>
      <w:pPr>
        <w:pStyle w:val="8"/>
        <w:numPr>
          <w:ilvl w:val="1"/>
          <w:numId w:val="18"/>
        </w:numPr>
        <w:tabs>
          <w:tab w:val="left" w:pos="816"/>
        </w:tabs>
        <w:spacing w:before="43" w:after="0" w:line="240" w:lineRule="auto"/>
        <w:ind w:left="815" w:right="0" w:hanging="530"/>
        <w:jc w:val="left"/>
        <w:rPr>
          <w:sz w:val="21"/>
        </w:rPr>
      </w:pPr>
      <w:r>
        <w:rPr>
          <w:spacing w:val="-4"/>
          <w:sz w:val="21"/>
        </w:rPr>
        <w:t>肝性脑病；</w:t>
      </w:r>
    </w:p>
    <w:p>
      <w:pPr>
        <w:pStyle w:val="8"/>
        <w:numPr>
          <w:ilvl w:val="1"/>
          <w:numId w:val="18"/>
        </w:numPr>
        <w:tabs>
          <w:tab w:val="left" w:pos="816"/>
        </w:tabs>
        <w:spacing w:before="43" w:after="0" w:line="240" w:lineRule="auto"/>
        <w:ind w:left="815" w:right="0" w:hanging="530"/>
        <w:jc w:val="left"/>
        <w:rPr>
          <w:sz w:val="21"/>
        </w:rPr>
      </w:pPr>
      <w:r>
        <w:rPr>
          <w:spacing w:val="-3"/>
          <w:sz w:val="21"/>
        </w:rPr>
        <w:t>充血性脾肿大伴脾功能亢进或食管胃底静脉曲张。</w:t>
      </w:r>
    </w:p>
    <w:p>
      <w:pPr>
        <w:pStyle w:val="4"/>
        <w:spacing w:before="43"/>
        <w:ind w:left="286"/>
      </w:pPr>
      <w:r>
        <w:rPr>
          <w:spacing w:val="-3"/>
        </w:rPr>
        <w:t>因酗酒或药物滥用导致的肝衰竭不在保障范围内。</w:t>
      </w:r>
    </w:p>
    <w:p>
      <w:pPr>
        <w:spacing w:after="0"/>
        <w:sectPr>
          <w:type w:val="continuous"/>
          <w:pgSz w:w="11910" w:h="16840"/>
          <w:pgMar w:top="920" w:right="680" w:bottom="420" w:left="880" w:header="0" w:footer="230" w:gutter="0"/>
          <w:cols w:equalWidth="0" w:num="2">
            <w:col w:w="2659" w:space="40"/>
            <w:col w:w="7651"/>
          </w:cols>
        </w:sectPr>
      </w:pP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814"/>
        </w:tabs>
        <w:spacing w:before="55" w:after="0" w:line="194" w:lineRule="auto"/>
        <w:ind w:left="1391" w:right="0" w:firstLine="0"/>
        <w:jc w:val="both"/>
      </w:pPr>
      <w:r>
        <w:rPr>
          <w:spacing w:val="-4"/>
        </w:rPr>
        <w:t>严重脑炎</w:t>
      </w:r>
      <w:r>
        <w:rPr>
          <w:spacing w:val="-2"/>
        </w:rPr>
        <w:t>后遗症或严重脑膜炎后遗症</w:t>
      </w:r>
    </w:p>
    <w:p>
      <w:pPr>
        <w:pStyle w:val="4"/>
        <w:spacing w:before="71" w:line="278" w:lineRule="auto"/>
        <w:ind w:left="286" w:right="615"/>
        <w:jc w:val="both"/>
      </w:pPr>
      <w:r>
        <w:br w:type="column"/>
      </w:r>
      <w:r>
        <w:rPr>
          <w:spacing w:val="-2"/>
        </w:rPr>
        <w:t>指因患脑炎或脑膜炎导致的神经系统永久性的功能障碍。神经系统永久性</w:t>
      </w:r>
      <w:r>
        <w:rPr>
          <w:spacing w:val="-4"/>
        </w:rPr>
        <w:t xml:space="preserve">的功能障碍，指经相关专科医生确诊疾病 </w:t>
      </w:r>
      <w:r>
        <w:rPr>
          <w:spacing w:val="-2"/>
        </w:rPr>
        <w:t>180</w:t>
      </w:r>
      <w:r>
        <w:rPr>
          <w:spacing w:val="-7"/>
        </w:rPr>
        <w:t xml:space="preserve"> 天后，仍遗留下列至少一种</w:t>
      </w:r>
      <w:r>
        <w:rPr>
          <w:spacing w:val="-4"/>
        </w:rPr>
        <w:t>障碍：</w:t>
      </w:r>
    </w:p>
    <w:p>
      <w:pPr>
        <w:pStyle w:val="8"/>
        <w:numPr>
          <w:ilvl w:val="0"/>
          <w:numId w:val="19"/>
        </w:numPr>
        <w:tabs>
          <w:tab w:val="left" w:pos="816"/>
        </w:tabs>
        <w:spacing w:before="1" w:after="0" w:line="240" w:lineRule="auto"/>
        <w:ind w:left="815" w:right="0" w:hanging="530"/>
        <w:jc w:val="left"/>
        <w:rPr>
          <w:sz w:val="21"/>
        </w:rPr>
      </w:pPr>
      <w:r>
        <w:rPr>
          <w:spacing w:val="-2"/>
          <w:sz w:val="21"/>
        </w:rPr>
        <w:t>一肢（含）</w:t>
      </w:r>
      <w:r>
        <w:rPr>
          <w:spacing w:val="-9"/>
          <w:sz w:val="21"/>
        </w:rPr>
        <w:t xml:space="preserve">以上肢体肌力 </w:t>
      </w:r>
      <w:r>
        <w:rPr>
          <w:spacing w:val="-2"/>
          <w:sz w:val="21"/>
        </w:rPr>
        <w:t>2</w:t>
      </w:r>
      <w:r>
        <w:rPr>
          <w:spacing w:val="-25"/>
          <w:sz w:val="21"/>
        </w:rPr>
        <w:t xml:space="preserve"> 级</w:t>
      </w:r>
      <w:r>
        <w:rPr>
          <w:spacing w:val="-2"/>
          <w:sz w:val="21"/>
        </w:rPr>
        <w:t>（含）</w:t>
      </w:r>
      <w:r>
        <w:rPr>
          <w:spacing w:val="-5"/>
          <w:sz w:val="21"/>
        </w:rPr>
        <w:t>以下；</w:t>
      </w:r>
    </w:p>
    <w:p>
      <w:pPr>
        <w:pStyle w:val="8"/>
        <w:numPr>
          <w:ilvl w:val="0"/>
          <w:numId w:val="19"/>
        </w:numPr>
        <w:tabs>
          <w:tab w:val="left" w:pos="816"/>
        </w:tabs>
        <w:spacing w:before="42" w:after="0" w:line="240" w:lineRule="auto"/>
        <w:ind w:left="815" w:right="0" w:hanging="530"/>
        <w:jc w:val="left"/>
        <w:rPr>
          <w:sz w:val="21"/>
        </w:rPr>
      </w:pPr>
      <w:r>
        <w:rPr>
          <w:spacing w:val="-3"/>
          <w:sz w:val="21"/>
        </w:rPr>
        <w:t>语言能力完全丧失，或严重咀嚼吞咽功能障碍；</w:t>
      </w:r>
    </w:p>
    <w:p>
      <w:pPr>
        <w:pStyle w:val="8"/>
        <w:numPr>
          <w:ilvl w:val="0"/>
          <w:numId w:val="19"/>
        </w:numPr>
        <w:tabs>
          <w:tab w:val="left" w:pos="816"/>
        </w:tabs>
        <w:spacing w:before="43" w:after="0" w:line="278" w:lineRule="auto"/>
        <w:ind w:left="286" w:right="619" w:firstLine="0"/>
        <w:jc w:val="left"/>
        <w:rPr>
          <w:sz w:val="21"/>
        </w:rPr>
      </w:pPr>
      <w:r>
        <w:rPr>
          <w:spacing w:val="-2"/>
          <w:sz w:val="21"/>
        </w:rPr>
        <w:t xml:space="preserve">由具有评估资格的专科医生根据临床痴呆评定量表（CDR，Clinical </w:t>
      </w:r>
      <w:r>
        <w:rPr>
          <w:sz w:val="21"/>
        </w:rPr>
        <w:t>Dementia Rating）评估结果为 3 分；</w:t>
      </w:r>
    </w:p>
    <w:p>
      <w:pPr>
        <w:pStyle w:val="8"/>
        <w:numPr>
          <w:ilvl w:val="0"/>
          <w:numId w:val="19"/>
        </w:numPr>
        <w:tabs>
          <w:tab w:val="left" w:pos="816"/>
        </w:tabs>
        <w:spacing w:before="1" w:after="0" w:line="278" w:lineRule="auto"/>
        <w:ind w:left="286" w:right="617" w:firstLine="0"/>
        <w:jc w:val="left"/>
        <w:rPr>
          <w:sz w:val="21"/>
        </w:rPr>
      </w:pPr>
      <w:r>
        <w:rPr>
          <w:spacing w:val="-2"/>
          <w:sz w:val="21"/>
        </w:rPr>
        <w:t>自主生活能力完全丧失，无法独立完成六项基本日常生活活动中的三项或三项以上。</w:t>
      </w:r>
    </w:p>
    <w:p>
      <w:pPr>
        <w:spacing w:after="0" w:line="278" w:lineRule="auto"/>
        <w:jc w:val="left"/>
        <w:rPr>
          <w:sz w:val="21"/>
        </w:rPr>
        <w:sectPr>
          <w:type w:val="continuous"/>
          <w:pgSz w:w="11910" w:h="16840"/>
          <w:pgMar w:top="920" w:right="680" w:bottom="420" w:left="880" w:header="0" w:footer="230" w:gutter="0"/>
          <w:cols w:equalWidth="0" w:num="2">
            <w:col w:w="2659" w:space="40"/>
            <w:col w:w="7651"/>
          </w:cols>
        </w:sectPr>
      </w:pPr>
    </w:p>
    <w:p>
      <w:pPr>
        <w:pStyle w:val="4"/>
        <w:spacing w:before="11"/>
        <w:rPr>
          <w:sz w:val="19"/>
        </w:rPr>
      </w:pPr>
    </w:p>
    <w:p>
      <w:pPr>
        <w:pStyle w:val="8"/>
        <w:numPr>
          <w:ilvl w:val="2"/>
          <w:numId w:val="12"/>
        </w:numPr>
        <w:tabs>
          <w:tab w:val="left" w:pos="1710"/>
          <w:tab w:val="left" w:pos="2985"/>
        </w:tabs>
        <w:spacing w:before="2" w:after="0" w:line="256" w:lineRule="auto"/>
        <w:ind w:left="2985" w:right="629" w:hanging="1594"/>
        <w:jc w:val="left"/>
        <w:rPr>
          <w:sz w:val="21"/>
        </w:rPr>
      </w:pPr>
      <w:r>
        <w:rPr>
          <w:rFonts w:ascii="Microsoft JhengHei" w:eastAsia="Microsoft JhengHei"/>
          <w:b/>
          <w:spacing w:val="-4"/>
          <w:sz w:val="21"/>
        </w:rPr>
        <w:t>深度昏迷</w:t>
      </w:r>
      <w:r>
        <w:rPr>
          <w:rFonts w:ascii="Microsoft JhengHei" w:eastAsia="Microsoft JhengHei"/>
          <w:b/>
          <w:sz w:val="21"/>
        </w:rPr>
        <w:tab/>
      </w:r>
      <w:r>
        <w:rPr>
          <w:spacing w:val="-2"/>
          <w:sz w:val="21"/>
        </w:rPr>
        <w:t>指因疾病或意外伤害导致意识丧失,对外界刺激和体内需求均无反应,昏迷</w:t>
      </w:r>
      <w:r>
        <w:rPr>
          <w:sz w:val="21"/>
        </w:rPr>
        <w:t>程度按照格拉斯哥昏迷分级（GCS，Glasgow Coma Scale）结果为5分或5</w:t>
      </w:r>
      <w:r>
        <w:rPr>
          <w:spacing w:val="-2"/>
          <w:sz w:val="21"/>
        </w:rPr>
        <w:t>分以下，且已经持续使用呼吸机及其它生命维持系统96小时以上。</w:t>
      </w:r>
    </w:p>
    <w:p>
      <w:pPr>
        <w:spacing w:after="0" w:line="256" w:lineRule="auto"/>
        <w:jc w:val="left"/>
        <w:rPr>
          <w:sz w:val="21"/>
        </w:rPr>
        <w:sectPr>
          <w:type w:val="continuous"/>
          <w:pgSz w:w="11910" w:h="16840"/>
          <w:pgMar w:top="920" w:right="680" w:bottom="420" w:left="880" w:header="0" w:footer="230" w:gutter="0"/>
          <w:cols w:space="720" w:num="1"/>
        </w:sectPr>
      </w:pPr>
    </w:p>
    <w:p>
      <w:pPr>
        <w:pStyle w:val="4"/>
        <w:spacing w:before="53"/>
        <w:ind w:left="2985"/>
      </w:pPr>
      <w:r>
        <w:rPr>
          <w:spacing w:val="-3"/>
        </w:rPr>
        <w:t>因酗酒或药物滥用导致的深度昏迷不在保障范围内。</w:t>
      </w:r>
    </w:p>
    <w:p>
      <w:pPr>
        <w:pStyle w:val="4"/>
        <w:spacing w:before="2"/>
        <w:rPr>
          <w:sz w:val="23"/>
        </w:rPr>
      </w:pPr>
    </w:p>
    <w:p>
      <w:pPr>
        <w:spacing w:after="0"/>
        <w:rPr>
          <w:sz w:val="23"/>
        </w:rPr>
        <w:sectPr>
          <w:pgSz w:w="11910" w:h="16840"/>
          <w:pgMar w:top="660" w:right="680" w:bottom="420" w:left="880" w:header="0" w:footer="230" w:gutter="0"/>
          <w:cols w:space="720" w:num="1"/>
        </w:sectPr>
      </w:pPr>
    </w:p>
    <w:p>
      <w:pPr>
        <w:pStyle w:val="3"/>
        <w:numPr>
          <w:ilvl w:val="2"/>
          <w:numId w:val="12"/>
        </w:numPr>
        <w:tabs>
          <w:tab w:val="left" w:pos="1710"/>
        </w:tabs>
        <w:spacing w:before="3" w:after="0" w:line="349" w:lineRule="exact"/>
        <w:ind w:left="1709" w:right="0" w:hanging="319"/>
        <w:jc w:val="left"/>
      </w:pPr>
      <w:r>
        <w:rPr>
          <w:spacing w:val="-5"/>
        </w:rPr>
        <w:t>双耳失聪—</w:t>
      </w:r>
    </w:p>
    <w:p>
      <w:pPr>
        <w:spacing w:before="16" w:line="194" w:lineRule="auto"/>
        <w:ind w:left="1391" w:right="105" w:firstLine="0"/>
        <w:jc w:val="left"/>
        <w:rPr>
          <w:rFonts w:ascii="Microsoft JhengHei" w:hAnsi="Microsoft JhengHei" w:eastAsia="Microsoft JhengHei"/>
          <w:b/>
          <w:sz w:val="21"/>
        </w:rPr>
      </w:pPr>
      <w:r>
        <w:rPr>
          <w:rFonts w:ascii="Microsoft JhengHei" w:hAnsi="Microsoft JhengHei" w:eastAsia="Microsoft JhengHei"/>
          <w:b/>
          <w:spacing w:val="-4"/>
          <w:sz w:val="21"/>
        </w:rPr>
        <w:t>—三周岁始理</w:t>
      </w:r>
      <w:r>
        <w:rPr>
          <w:rFonts w:ascii="Microsoft JhengHei" w:hAnsi="Microsoft JhengHei" w:eastAsia="Microsoft JhengHei"/>
          <w:b/>
          <w:spacing w:val="-10"/>
          <w:sz w:val="21"/>
        </w:rPr>
        <w:t>赔</w:t>
      </w:r>
    </w:p>
    <w:p>
      <w:pPr>
        <w:pStyle w:val="4"/>
        <w:spacing w:before="5" w:line="256" w:lineRule="auto"/>
        <w:ind w:left="180" w:right="509"/>
      </w:pPr>
      <w:r>
        <w:br w:type="column"/>
      </w:r>
      <w:r>
        <w:t>指因疾病或意外伤害导致双耳听力</w:t>
      </w:r>
      <w:r>
        <w:rPr>
          <w:rFonts w:ascii="微软雅黑" w:eastAsia="微软雅黑"/>
          <w:b/>
        </w:rPr>
        <w:t>永久不可逆</w:t>
      </w:r>
      <w:r>
        <w:t xml:space="preserve">(见释义 8.43)性丧失，在 </w:t>
      </w:r>
      <w:r>
        <w:rPr>
          <w:spacing w:val="-4"/>
        </w:rPr>
        <w:t>500</w:t>
      </w:r>
      <w:r>
        <w:rPr>
          <w:spacing w:val="-15"/>
        </w:rPr>
        <w:t xml:space="preserve"> 赫兹、</w:t>
      </w:r>
      <w:r>
        <w:rPr>
          <w:spacing w:val="-4"/>
        </w:rPr>
        <w:t>1000</w:t>
      </w:r>
      <w:r>
        <w:rPr>
          <w:spacing w:val="-22"/>
        </w:rPr>
        <w:t xml:space="preserve"> 赫兹和 </w:t>
      </w:r>
      <w:r>
        <w:rPr>
          <w:spacing w:val="-4"/>
        </w:rPr>
        <w:t>2000</w:t>
      </w:r>
      <w:r>
        <w:rPr>
          <w:spacing w:val="-13"/>
        </w:rPr>
        <w:t xml:space="preserve"> 赫兹语音频率下，平均听阈大于等于 </w:t>
      </w:r>
      <w:r>
        <w:rPr>
          <w:spacing w:val="-4"/>
        </w:rPr>
        <w:t>91</w:t>
      </w:r>
      <w:r>
        <w:rPr>
          <w:spacing w:val="-15"/>
        </w:rPr>
        <w:t xml:space="preserve"> 分贝，</w:t>
      </w:r>
      <w:r>
        <w:rPr>
          <w:spacing w:val="-2"/>
        </w:rPr>
        <w:t>且经纯音听力测试、声导抗检测或听觉诱发电位检测等证实。</w:t>
      </w:r>
    </w:p>
    <w:p>
      <w:pPr>
        <w:pStyle w:val="4"/>
        <w:spacing w:before="14"/>
        <w:ind w:left="180"/>
      </w:pPr>
      <w:r>
        <w:rPr>
          <w:spacing w:val="-9"/>
        </w:rPr>
        <w:t xml:space="preserve">被保险人在 </w:t>
      </w:r>
      <w:r>
        <w:rPr>
          <w:spacing w:val="-2"/>
        </w:rPr>
        <w:t>3</w:t>
      </w:r>
      <w:r>
        <w:rPr>
          <w:spacing w:val="-9"/>
        </w:rPr>
        <w:t xml:space="preserve"> 周岁之前因疾病或意外导致的双耳失聪不在保障范围内。</w:t>
      </w:r>
    </w:p>
    <w:p>
      <w:pPr>
        <w:spacing w:after="0"/>
        <w:sectPr>
          <w:type w:val="continuous"/>
          <w:pgSz w:w="11910" w:h="16840"/>
          <w:pgMar w:top="920" w:right="680" w:bottom="420" w:left="880" w:header="0" w:footer="230" w:gutter="0"/>
          <w:cols w:equalWidth="0" w:num="2">
            <w:col w:w="2765" w:space="40"/>
            <w:col w:w="7545"/>
          </w:cols>
        </w:sectPr>
      </w:pP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2" w:after="0" w:line="349" w:lineRule="exact"/>
        <w:ind w:left="1709" w:right="0" w:hanging="319"/>
        <w:jc w:val="left"/>
      </w:pPr>
      <w:r>
        <w:rPr>
          <w:spacing w:val="-5"/>
        </w:rPr>
        <w:t>双目失明—</w:t>
      </w:r>
    </w:p>
    <w:p>
      <w:pPr>
        <w:spacing w:before="16" w:line="194" w:lineRule="auto"/>
        <w:ind w:left="1391" w:right="105" w:firstLine="0"/>
        <w:jc w:val="left"/>
        <w:rPr>
          <w:rFonts w:ascii="Microsoft JhengHei" w:hAnsi="Microsoft JhengHei" w:eastAsia="Microsoft JhengHei"/>
          <w:b/>
          <w:sz w:val="21"/>
        </w:rPr>
      </w:pPr>
      <w:r>
        <w:rPr>
          <w:rFonts w:ascii="Microsoft JhengHei" w:hAnsi="Microsoft JhengHei" w:eastAsia="Microsoft JhengHei"/>
          <w:b/>
          <w:spacing w:val="-4"/>
          <w:sz w:val="21"/>
        </w:rPr>
        <w:t>—三周岁始理</w:t>
      </w:r>
      <w:r>
        <w:rPr>
          <w:rFonts w:ascii="Microsoft JhengHei" w:hAnsi="Microsoft JhengHei" w:eastAsia="Microsoft JhengHei"/>
          <w:b/>
          <w:spacing w:val="-10"/>
          <w:sz w:val="21"/>
        </w:rPr>
        <w:t>赔</w:t>
      </w:r>
    </w:p>
    <w:p>
      <w:pPr>
        <w:pStyle w:val="4"/>
        <w:spacing w:before="71" w:line="278" w:lineRule="auto"/>
        <w:ind w:left="180" w:right="622"/>
      </w:pPr>
      <w:r>
        <w:br w:type="column"/>
      </w:r>
      <w:r>
        <w:rPr>
          <w:spacing w:val="-2"/>
        </w:rPr>
        <w:t>指因疾病或意外伤害导致双眼视力永久不可逆性丧失，双眼中较好眼须满足下列至少一项条件：</w:t>
      </w:r>
    </w:p>
    <w:p>
      <w:pPr>
        <w:pStyle w:val="8"/>
        <w:numPr>
          <w:ilvl w:val="0"/>
          <w:numId w:val="20"/>
        </w:numPr>
        <w:tabs>
          <w:tab w:val="left" w:pos="710"/>
        </w:tabs>
        <w:spacing w:before="0" w:after="0" w:line="269" w:lineRule="exact"/>
        <w:ind w:left="709" w:right="0" w:hanging="530"/>
        <w:jc w:val="left"/>
        <w:rPr>
          <w:sz w:val="21"/>
        </w:rPr>
      </w:pPr>
      <w:r>
        <w:rPr>
          <w:spacing w:val="-4"/>
          <w:sz w:val="21"/>
        </w:rPr>
        <w:t>眼球缺失或摘除；</w:t>
      </w:r>
    </w:p>
    <w:p>
      <w:pPr>
        <w:pStyle w:val="8"/>
        <w:numPr>
          <w:ilvl w:val="0"/>
          <w:numId w:val="20"/>
        </w:numPr>
        <w:tabs>
          <w:tab w:val="left" w:pos="710"/>
        </w:tabs>
        <w:spacing w:before="44" w:after="0" w:line="278" w:lineRule="auto"/>
        <w:ind w:left="180" w:right="616" w:firstLine="0"/>
        <w:jc w:val="left"/>
        <w:rPr>
          <w:sz w:val="21"/>
        </w:rPr>
      </w:pPr>
      <w:r>
        <w:rPr>
          <w:spacing w:val="-6"/>
          <w:sz w:val="21"/>
        </w:rPr>
        <w:t xml:space="preserve">矫正视力低于 </w:t>
      </w:r>
      <w:r>
        <w:rPr>
          <w:sz w:val="21"/>
        </w:rPr>
        <w:t>0.02（采用国际标准视力表，如果使用其他视力表应</w:t>
      </w:r>
      <w:r>
        <w:rPr>
          <w:spacing w:val="-4"/>
          <w:sz w:val="21"/>
        </w:rPr>
        <w:t>进行换算</w:t>
      </w:r>
      <w:r>
        <w:rPr>
          <w:spacing w:val="-106"/>
          <w:sz w:val="21"/>
        </w:rPr>
        <w:t>）</w:t>
      </w:r>
      <w:r>
        <w:rPr>
          <w:sz w:val="21"/>
        </w:rPr>
        <w:t>；</w:t>
      </w:r>
    </w:p>
    <w:p>
      <w:pPr>
        <w:pStyle w:val="8"/>
        <w:numPr>
          <w:ilvl w:val="0"/>
          <w:numId w:val="20"/>
        </w:numPr>
        <w:tabs>
          <w:tab w:val="left" w:pos="710"/>
        </w:tabs>
        <w:spacing w:before="0" w:after="0" w:line="269" w:lineRule="exact"/>
        <w:ind w:left="709" w:right="0" w:hanging="530"/>
        <w:jc w:val="left"/>
        <w:rPr>
          <w:sz w:val="21"/>
        </w:rPr>
      </w:pPr>
      <w:r>
        <w:rPr>
          <w:spacing w:val="-9"/>
          <w:sz w:val="21"/>
        </w:rPr>
        <w:t xml:space="preserve">视野半径小于 </w:t>
      </w:r>
      <w:r>
        <w:rPr>
          <w:spacing w:val="-2"/>
          <w:sz w:val="21"/>
        </w:rPr>
        <w:t>5</w:t>
      </w:r>
      <w:r>
        <w:rPr>
          <w:spacing w:val="-22"/>
          <w:sz w:val="21"/>
        </w:rPr>
        <w:t xml:space="preserve"> 度。</w:t>
      </w:r>
    </w:p>
    <w:p>
      <w:pPr>
        <w:pStyle w:val="4"/>
        <w:spacing w:before="43"/>
        <w:ind w:left="180"/>
      </w:pPr>
      <w:r>
        <w:rPr>
          <w:spacing w:val="-9"/>
        </w:rPr>
        <w:t xml:space="preserve">被保险人在 </w:t>
      </w:r>
      <w:r>
        <w:rPr>
          <w:spacing w:val="-2"/>
        </w:rPr>
        <w:t>3</w:t>
      </w:r>
      <w:r>
        <w:rPr>
          <w:spacing w:val="-9"/>
        </w:rPr>
        <w:t xml:space="preserve"> 周岁之前因疾病或意外导致的双目失明不在保障范围内。</w:t>
      </w:r>
    </w:p>
    <w:p>
      <w:pPr>
        <w:spacing w:after="0"/>
        <w:sectPr>
          <w:type w:val="continuous"/>
          <w:pgSz w:w="11910" w:h="16840"/>
          <w:pgMar w:top="920" w:right="680" w:bottom="420" w:left="880" w:header="0" w:footer="230" w:gutter="0"/>
          <w:cols w:equalWidth="0" w:num="2">
            <w:col w:w="2765" w:space="40"/>
            <w:col w:w="7545"/>
          </w:cols>
        </w:sectPr>
      </w:pPr>
    </w:p>
    <w:p>
      <w:pPr>
        <w:pStyle w:val="4"/>
        <w:spacing w:before="3"/>
        <w:rPr>
          <w:sz w:val="23"/>
        </w:rPr>
      </w:pPr>
    </w:p>
    <w:p>
      <w:pPr>
        <w:pStyle w:val="8"/>
        <w:numPr>
          <w:ilvl w:val="2"/>
          <w:numId w:val="12"/>
        </w:numPr>
        <w:tabs>
          <w:tab w:val="left" w:pos="1710"/>
          <w:tab w:val="left" w:pos="2985"/>
        </w:tabs>
        <w:spacing w:before="11" w:after="0" w:line="232" w:lineRule="auto"/>
        <w:ind w:left="2985" w:right="620" w:hanging="1594"/>
        <w:jc w:val="left"/>
        <w:rPr>
          <w:sz w:val="21"/>
        </w:rPr>
      </w:pPr>
      <w:r>
        <w:rPr>
          <w:rFonts w:ascii="Microsoft JhengHei" w:eastAsia="Microsoft JhengHei"/>
          <w:b/>
          <w:w w:val="100"/>
          <w:sz w:val="21"/>
        </w:rPr>
        <w:t>瘫痪</w:t>
      </w:r>
      <w:r>
        <w:rPr>
          <w:rFonts w:ascii="Microsoft JhengHei" w:eastAsia="Microsoft JhengHei"/>
          <w:b/>
          <w:sz w:val="21"/>
        </w:rPr>
        <w:tab/>
      </w:r>
      <w:r>
        <w:rPr>
          <w:spacing w:val="9"/>
          <w:w w:val="100"/>
          <w:sz w:val="21"/>
        </w:rPr>
        <w:t>指</w:t>
      </w:r>
      <w:r>
        <w:rPr>
          <w:spacing w:val="4"/>
          <w:w w:val="100"/>
          <w:sz w:val="21"/>
        </w:rPr>
        <w:t>因疾病</w:t>
      </w:r>
      <w:r>
        <w:rPr>
          <w:spacing w:val="9"/>
          <w:w w:val="100"/>
          <w:sz w:val="21"/>
        </w:rPr>
        <w:t>或</w:t>
      </w:r>
      <w:r>
        <w:rPr>
          <w:spacing w:val="4"/>
          <w:w w:val="100"/>
          <w:sz w:val="21"/>
        </w:rPr>
        <w:t>意外</w:t>
      </w:r>
      <w:r>
        <w:rPr>
          <w:spacing w:val="9"/>
          <w:w w:val="100"/>
          <w:sz w:val="21"/>
        </w:rPr>
        <w:t>伤</w:t>
      </w:r>
      <w:r>
        <w:rPr>
          <w:spacing w:val="4"/>
          <w:w w:val="100"/>
          <w:sz w:val="21"/>
        </w:rPr>
        <w:t>害导致</w:t>
      </w:r>
      <w:r>
        <w:rPr>
          <w:spacing w:val="9"/>
          <w:w w:val="100"/>
          <w:sz w:val="21"/>
        </w:rPr>
        <w:t>两</w:t>
      </w:r>
      <w:r>
        <w:rPr>
          <w:spacing w:val="4"/>
          <w:w w:val="100"/>
          <w:sz w:val="21"/>
        </w:rPr>
        <w:t>肢或</w:t>
      </w:r>
      <w:r>
        <w:rPr>
          <w:spacing w:val="9"/>
          <w:w w:val="100"/>
          <w:sz w:val="21"/>
        </w:rPr>
        <w:t>两</w:t>
      </w:r>
      <w:r>
        <w:rPr>
          <w:spacing w:val="4"/>
          <w:w w:val="100"/>
          <w:sz w:val="21"/>
        </w:rPr>
        <w:t>肢以上</w:t>
      </w:r>
      <w:r>
        <w:rPr>
          <w:spacing w:val="9"/>
          <w:w w:val="100"/>
          <w:sz w:val="21"/>
        </w:rPr>
        <w:t>肢</w:t>
      </w:r>
      <w:r>
        <w:rPr>
          <w:spacing w:val="10"/>
          <w:w w:val="100"/>
          <w:sz w:val="21"/>
        </w:rPr>
        <w:t>体</w:t>
      </w:r>
      <w:r>
        <w:rPr>
          <w:spacing w:val="4"/>
          <w:w w:val="100"/>
          <w:sz w:val="21"/>
        </w:rPr>
        <w:t>随意</w:t>
      </w:r>
      <w:r>
        <w:rPr>
          <w:spacing w:val="9"/>
          <w:w w:val="100"/>
          <w:sz w:val="21"/>
        </w:rPr>
        <w:t>运</w:t>
      </w:r>
      <w:r>
        <w:rPr>
          <w:spacing w:val="4"/>
          <w:w w:val="100"/>
          <w:sz w:val="21"/>
        </w:rPr>
        <w:t>动功</w:t>
      </w:r>
      <w:r>
        <w:rPr>
          <w:spacing w:val="6"/>
          <w:w w:val="100"/>
          <w:sz w:val="21"/>
        </w:rPr>
        <w:t>能</w:t>
      </w:r>
      <w:r>
        <w:rPr>
          <w:spacing w:val="9"/>
          <w:w w:val="100"/>
          <w:sz w:val="21"/>
        </w:rPr>
        <w:t>永</w:t>
      </w:r>
      <w:r>
        <w:rPr>
          <w:spacing w:val="4"/>
          <w:w w:val="100"/>
          <w:sz w:val="21"/>
        </w:rPr>
        <w:t>久完</w:t>
      </w:r>
      <w:r>
        <w:rPr>
          <w:spacing w:val="9"/>
          <w:w w:val="100"/>
          <w:sz w:val="21"/>
        </w:rPr>
        <w:t>全</w:t>
      </w:r>
      <w:r>
        <w:rPr>
          <w:w w:val="100"/>
          <w:sz w:val="21"/>
        </w:rPr>
        <w:t>丧失。肢体</w:t>
      </w:r>
      <w:r>
        <w:rPr>
          <w:spacing w:val="-5"/>
          <w:w w:val="100"/>
          <w:sz w:val="21"/>
        </w:rPr>
        <w:t>随</w:t>
      </w:r>
      <w:r>
        <w:rPr>
          <w:w w:val="100"/>
          <w:sz w:val="21"/>
        </w:rPr>
        <w:t>意运动</w:t>
      </w:r>
      <w:r>
        <w:rPr>
          <w:spacing w:val="-5"/>
          <w:w w:val="100"/>
          <w:sz w:val="21"/>
        </w:rPr>
        <w:t>功</w:t>
      </w:r>
      <w:r>
        <w:rPr>
          <w:w w:val="100"/>
          <w:sz w:val="21"/>
        </w:rPr>
        <w:t>能永久</w:t>
      </w:r>
      <w:r>
        <w:rPr>
          <w:spacing w:val="-5"/>
          <w:w w:val="100"/>
          <w:sz w:val="21"/>
        </w:rPr>
        <w:t>完</w:t>
      </w:r>
      <w:r>
        <w:rPr>
          <w:w w:val="100"/>
          <w:sz w:val="21"/>
        </w:rPr>
        <w:t>全丧失</w:t>
      </w:r>
      <w:r>
        <w:rPr>
          <w:spacing w:val="-5"/>
          <w:w w:val="100"/>
          <w:sz w:val="21"/>
        </w:rPr>
        <w:t>，</w:t>
      </w:r>
      <w:r>
        <w:rPr>
          <w:w w:val="100"/>
          <w:sz w:val="21"/>
        </w:rPr>
        <w:t>指疾病确诊</w:t>
      </w:r>
      <w:r>
        <w:rPr>
          <w:spacing w:val="-52"/>
          <w:sz w:val="21"/>
        </w:rPr>
        <w:t xml:space="preserve"> </w:t>
      </w:r>
      <w:r>
        <w:rPr>
          <w:w w:val="100"/>
          <w:sz w:val="21"/>
        </w:rPr>
        <w:t>1</w:t>
      </w:r>
      <w:r>
        <w:rPr>
          <w:spacing w:val="-5"/>
          <w:w w:val="100"/>
          <w:sz w:val="21"/>
        </w:rPr>
        <w:t>8</w:t>
      </w:r>
      <w:r>
        <w:rPr>
          <w:w w:val="100"/>
          <w:sz w:val="21"/>
        </w:rPr>
        <w:t>0</w:t>
      </w:r>
      <w:r>
        <w:rPr>
          <w:spacing w:val="-48"/>
          <w:sz w:val="21"/>
        </w:rPr>
        <w:t xml:space="preserve"> </w:t>
      </w:r>
      <w:r>
        <w:rPr>
          <w:w w:val="100"/>
          <w:sz w:val="21"/>
        </w:rPr>
        <w:t>天后或意外</w:t>
      </w:r>
      <w:r>
        <w:rPr>
          <w:spacing w:val="-5"/>
          <w:w w:val="100"/>
          <w:sz w:val="21"/>
        </w:rPr>
        <w:t>伤</w:t>
      </w:r>
      <w:r>
        <w:rPr>
          <w:w w:val="100"/>
          <w:sz w:val="21"/>
        </w:rPr>
        <w:t>害</w:t>
      </w:r>
      <w:r>
        <w:rPr>
          <w:spacing w:val="-14"/>
          <w:w w:val="100"/>
          <w:sz w:val="21"/>
        </w:rPr>
        <w:t>发</w:t>
      </w:r>
    </w:p>
    <w:p>
      <w:pPr>
        <w:pStyle w:val="4"/>
        <w:spacing w:before="45" w:line="278" w:lineRule="auto"/>
        <w:ind w:left="2985" w:right="619"/>
      </w:pPr>
      <w:r>
        <w:rPr>
          <w:spacing w:val="-27"/>
        </w:rPr>
        <w:t xml:space="preserve">生 </w:t>
      </w:r>
      <w:r>
        <w:t>180</w:t>
      </w:r>
      <w:r>
        <w:rPr>
          <w:spacing w:val="-9"/>
        </w:rPr>
        <w:t xml:space="preserve"> 天后，每肢三大关节中的两大关节仍然完全僵硬，或肢体肌力在 </w:t>
      </w:r>
      <w:r>
        <w:t>2</w:t>
      </w:r>
      <w:r>
        <w:rPr>
          <w:spacing w:val="-2"/>
        </w:rPr>
        <w:t>级（含）以下。</w:t>
      </w:r>
    </w:p>
    <w:p>
      <w:pPr>
        <w:pStyle w:val="4"/>
        <w:spacing w:before="3"/>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心脏瓣膜手</w:t>
      </w:r>
      <w:r>
        <w:rPr>
          <w:spacing w:val="-10"/>
        </w:rPr>
        <w:t>术</w:t>
      </w:r>
    </w:p>
    <w:p>
      <w:pPr>
        <w:pStyle w:val="4"/>
        <w:spacing w:before="71" w:line="273" w:lineRule="auto"/>
        <w:ind w:left="181" w:right="620"/>
      </w:pPr>
      <w:r>
        <w:br w:type="column"/>
      </w:r>
      <w:r>
        <w:rPr>
          <w:spacing w:val="-2"/>
        </w:rPr>
        <w:t>指为治疗心脏瓣膜疾病，已经实施了切开心脏进行的心脏瓣膜置换或修复</w:t>
      </w:r>
      <w:r>
        <w:rPr>
          <w:spacing w:val="-4"/>
        </w:rPr>
        <w:t>的手术。</w:t>
      </w:r>
    </w:p>
    <w:p>
      <w:pPr>
        <w:pStyle w:val="4"/>
        <w:spacing w:before="6"/>
        <w:ind w:left="181"/>
      </w:pPr>
      <w:r>
        <w:rPr>
          <w:spacing w:val="-3"/>
        </w:rPr>
        <w:t>所有未切开心脏的心脏瓣膜介入手术不在保障范围内。</w:t>
      </w:r>
    </w:p>
    <w:p>
      <w:pPr>
        <w:spacing w:after="0"/>
        <w:sectPr>
          <w:type w:val="continuous"/>
          <w:pgSz w:w="11910" w:h="16840"/>
          <w:pgMar w:top="920" w:right="680" w:bottom="420" w:left="880" w:header="0" w:footer="230" w:gutter="0"/>
          <w:cols w:equalWidth="0" w:num="2">
            <w:col w:w="2765" w:space="40"/>
            <w:col w:w="7545"/>
          </w:cols>
        </w:sectPr>
      </w:pPr>
    </w:p>
    <w:p>
      <w:pPr>
        <w:pStyle w:val="4"/>
        <w:rPr>
          <w:sz w:val="20"/>
        </w:rPr>
      </w:pPr>
    </w:p>
    <w:p>
      <w:pPr>
        <w:spacing w:after="0"/>
        <w:rPr>
          <w:sz w:val="20"/>
        </w:rPr>
        <w:sectPr>
          <w:type w:val="continuous"/>
          <w:pgSz w:w="11910" w:h="16840"/>
          <w:pgMar w:top="920" w:right="680" w:bottom="420" w:left="880" w:header="0" w:footer="230" w:gutter="0"/>
          <w:cols w:space="720" w:num="1"/>
        </w:sectPr>
      </w:pPr>
    </w:p>
    <w:p>
      <w:pPr>
        <w:pStyle w:val="4"/>
        <w:spacing w:before="12"/>
        <w:rPr>
          <w:sz w:val="14"/>
        </w:rPr>
      </w:pPr>
    </w:p>
    <w:p>
      <w:pPr>
        <w:pStyle w:val="3"/>
        <w:numPr>
          <w:ilvl w:val="2"/>
          <w:numId w:val="12"/>
        </w:numPr>
        <w:tabs>
          <w:tab w:val="left" w:pos="1710"/>
        </w:tabs>
        <w:spacing w:before="0" w:after="0" w:line="192" w:lineRule="auto"/>
        <w:ind w:left="1391" w:right="0" w:firstLine="0"/>
        <w:jc w:val="left"/>
      </w:pPr>
      <w:r>
        <w:rPr>
          <w:spacing w:val="-2"/>
        </w:rPr>
        <w:t>严重阿尔茨</w:t>
      </w:r>
      <w:r>
        <w:rPr>
          <w:spacing w:val="-4"/>
        </w:rPr>
        <w:t>海默病</w:t>
      </w:r>
    </w:p>
    <w:p>
      <w:pPr>
        <w:spacing w:before="2" w:line="240" w:lineRule="auto"/>
        <w:rPr>
          <w:rFonts w:ascii="Microsoft JhengHei"/>
          <w:b/>
          <w:sz w:val="11"/>
        </w:rPr>
      </w:pPr>
      <w:r>
        <w:br w:type="column"/>
      </w:r>
    </w:p>
    <w:p>
      <w:pPr>
        <w:pStyle w:val="4"/>
        <w:spacing w:line="278" w:lineRule="auto"/>
        <w:ind w:left="181" w:right="619"/>
        <w:jc w:val="both"/>
      </w:pPr>
      <w:r>
        <w:rPr>
          <w:spacing w:val="-2"/>
        </w:rPr>
        <w:t>指因大脑进行性、不可逆性改变导致智能严重衰退或丧失，临床表现为严重的认知功能障碍、精神行为异常和社交能力减退等，其日常生活必须持</w:t>
      </w:r>
      <w:r>
        <w:rPr>
          <w:spacing w:val="-4"/>
        </w:rPr>
        <w:t>续受到他人监护。须由头颅断层扫描</w:t>
      </w:r>
      <w:r>
        <w:rPr>
          <w:spacing w:val="23"/>
        </w:rPr>
        <w:t>（</w:t>
      </w:r>
      <w:r>
        <w:rPr>
          <w:spacing w:val="22"/>
        </w:rPr>
        <w:t>CT</w:t>
      </w:r>
      <w:r>
        <w:rPr>
          <w:spacing w:val="-84"/>
        </w:rPr>
        <w:t>）</w:t>
      </w:r>
      <w:r>
        <w:rPr>
          <w:spacing w:val="-4"/>
        </w:rPr>
        <w:t>、核磁共振检查（MRI）或正电子发射断层扫描（PET）等影像学检查证实，并经相关专科医生确诊，且须</w:t>
      </w:r>
      <w:r>
        <w:rPr>
          <w:spacing w:val="-2"/>
        </w:rPr>
        <w:t>满足下列至少一项条件：</w:t>
      </w:r>
    </w:p>
    <w:p>
      <w:pPr>
        <w:pStyle w:val="8"/>
        <w:numPr>
          <w:ilvl w:val="0"/>
          <w:numId w:val="21"/>
        </w:numPr>
        <w:tabs>
          <w:tab w:val="left" w:pos="711"/>
        </w:tabs>
        <w:spacing w:before="0" w:after="0" w:line="278" w:lineRule="auto"/>
        <w:ind w:left="181" w:right="619" w:firstLine="0"/>
        <w:jc w:val="both"/>
        <w:rPr>
          <w:sz w:val="21"/>
        </w:rPr>
      </w:pPr>
      <w:r>
        <w:rPr>
          <w:spacing w:val="-2"/>
          <w:sz w:val="21"/>
        </w:rPr>
        <w:t xml:space="preserve">由具有评估资格的专科医生根据临床痴呆评定量表（CDR，Clinical </w:t>
      </w:r>
      <w:r>
        <w:rPr>
          <w:sz w:val="21"/>
        </w:rPr>
        <w:t>Dementia Rating）评估结果为 3 分；</w:t>
      </w:r>
    </w:p>
    <w:p>
      <w:pPr>
        <w:pStyle w:val="8"/>
        <w:numPr>
          <w:ilvl w:val="0"/>
          <w:numId w:val="21"/>
        </w:numPr>
        <w:tabs>
          <w:tab w:val="left" w:pos="711"/>
        </w:tabs>
        <w:spacing w:before="0" w:after="0" w:line="278" w:lineRule="auto"/>
        <w:ind w:left="181" w:right="617" w:firstLine="0"/>
        <w:jc w:val="left"/>
        <w:rPr>
          <w:sz w:val="21"/>
        </w:rPr>
      </w:pPr>
      <w:r>
        <w:rPr>
          <w:spacing w:val="-2"/>
          <w:sz w:val="21"/>
        </w:rPr>
        <w:t>自主生活能力完全丧失，无法独立完成六项基本日常生活活动中的三项或三项以上。</w:t>
      </w:r>
    </w:p>
    <w:p>
      <w:pPr>
        <w:pStyle w:val="4"/>
        <w:spacing w:line="269" w:lineRule="exact"/>
        <w:ind w:left="181"/>
      </w:pPr>
      <w:r>
        <w:rPr>
          <w:spacing w:val="-3"/>
        </w:rPr>
        <w:t>阿尔茨海默病之外的其他类型痴呆不在保障范围内。</w:t>
      </w:r>
    </w:p>
    <w:p>
      <w:pPr>
        <w:spacing w:after="0" w:line="269" w:lineRule="exact"/>
        <w:sectPr>
          <w:type w:val="continuous"/>
          <w:pgSz w:w="11910" w:h="16840"/>
          <w:pgMar w:top="920" w:right="680" w:bottom="420" w:left="880" w:header="0" w:footer="230" w:gutter="0"/>
          <w:cols w:equalWidth="0" w:num="2">
            <w:col w:w="2765" w:space="40"/>
            <w:col w:w="7545"/>
          </w:cols>
        </w:sectPr>
      </w:pPr>
    </w:p>
    <w:p>
      <w:pPr>
        <w:pStyle w:val="4"/>
        <w:spacing w:before="4"/>
        <w:rPr>
          <w:sz w:val="23"/>
        </w:rPr>
      </w:pPr>
    </w:p>
    <w:p>
      <w:pPr>
        <w:pStyle w:val="8"/>
        <w:numPr>
          <w:ilvl w:val="2"/>
          <w:numId w:val="12"/>
        </w:numPr>
        <w:tabs>
          <w:tab w:val="left" w:pos="1710"/>
        </w:tabs>
        <w:spacing w:before="2" w:after="0" w:line="256" w:lineRule="auto"/>
        <w:ind w:left="2985" w:right="620" w:hanging="1594"/>
        <w:jc w:val="both"/>
        <w:rPr>
          <w:sz w:val="21"/>
        </w:rPr>
      </w:pPr>
      <w:r>
        <w:rPr>
          <w:rFonts w:ascii="Microsoft JhengHei" w:eastAsia="Microsoft JhengHei"/>
          <w:b/>
          <w:sz w:val="21"/>
        </w:rPr>
        <w:t xml:space="preserve">严重脑损伤 </w:t>
      </w:r>
      <w:r>
        <w:rPr>
          <w:sz w:val="21"/>
        </w:rPr>
        <w:t>指因头部遭受机械性外力，引起脑重要部位损伤，导致神经系统永久性的</w:t>
      </w:r>
      <w:r>
        <w:rPr>
          <w:spacing w:val="-4"/>
          <w:sz w:val="21"/>
        </w:rPr>
        <w:t>功能障碍。须由头颅断层扫描</w:t>
      </w:r>
      <w:r>
        <w:rPr>
          <w:spacing w:val="19"/>
          <w:sz w:val="21"/>
        </w:rPr>
        <w:t>（</w:t>
      </w:r>
      <w:r>
        <w:rPr>
          <w:spacing w:val="23"/>
          <w:sz w:val="21"/>
        </w:rPr>
        <w:t>CT</w:t>
      </w:r>
      <w:r>
        <w:rPr>
          <w:spacing w:val="-83"/>
          <w:sz w:val="21"/>
        </w:rPr>
        <w:t>）</w:t>
      </w:r>
      <w:r>
        <w:rPr>
          <w:spacing w:val="-4"/>
          <w:sz w:val="21"/>
        </w:rPr>
        <w:t>、核磁共振检查（MRI）或正电子发射断层扫描（PET）等影像学检查证实。神经系统永久性的功能障碍，指脑损</w:t>
      </w:r>
    </w:p>
    <w:p>
      <w:pPr>
        <w:pStyle w:val="4"/>
        <w:spacing w:before="12"/>
        <w:ind w:left="2985"/>
      </w:pPr>
      <w:r>
        <w:rPr>
          <w:spacing w:val="-25"/>
        </w:rPr>
        <w:t xml:space="preserve">伤 </w:t>
      </w:r>
      <w:r>
        <w:rPr>
          <w:spacing w:val="-2"/>
        </w:rPr>
        <w:t>180</w:t>
      </w:r>
      <w:r>
        <w:rPr>
          <w:spacing w:val="-10"/>
        </w:rPr>
        <w:t xml:space="preserve"> 天后，仍遗留下列至少一种障碍：</w:t>
      </w:r>
    </w:p>
    <w:p>
      <w:pPr>
        <w:pStyle w:val="8"/>
        <w:numPr>
          <w:ilvl w:val="3"/>
          <w:numId w:val="12"/>
        </w:numPr>
        <w:tabs>
          <w:tab w:val="left" w:pos="3515"/>
        </w:tabs>
        <w:spacing w:before="43" w:after="0" w:line="240" w:lineRule="auto"/>
        <w:ind w:left="3514" w:right="0" w:hanging="530"/>
        <w:jc w:val="left"/>
        <w:rPr>
          <w:sz w:val="21"/>
        </w:rPr>
      </w:pPr>
      <w:r>
        <w:rPr>
          <w:spacing w:val="-2"/>
          <w:sz w:val="21"/>
        </w:rPr>
        <w:t>一肢（含）</w:t>
      </w:r>
      <w:r>
        <w:rPr>
          <w:spacing w:val="-9"/>
          <w:sz w:val="21"/>
        </w:rPr>
        <w:t xml:space="preserve">以上肢体肌力 </w:t>
      </w:r>
      <w:r>
        <w:rPr>
          <w:spacing w:val="-2"/>
          <w:sz w:val="21"/>
        </w:rPr>
        <w:t>2</w:t>
      </w:r>
      <w:r>
        <w:rPr>
          <w:spacing w:val="-25"/>
          <w:sz w:val="21"/>
        </w:rPr>
        <w:t xml:space="preserve"> 级</w:t>
      </w:r>
      <w:r>
        <w:rPr>
          <w:spacing w:val="-2"/>
          <w:sz w:val="21"/>
        </w:rPr>
        <w:t>（含）</w:t>
      </w:r>
      <w:r>
        <w:rPr>
          <w:spacing w:val="-5"/>
          <w:sz w:val="21"/>
        </w:rPr>
        <w:t>以下；</w:t>
      </w:r>
    </w:p>
    <w:p>
      <w:pPr>
        <w:pStyle w:val="8"/>
        <w:numPr>
          <w:ilvl w:val="3"/>
          <w:numId w:val="12"/>
        </w:numPr>
        <w:tabs>
          <w:tab w:val="left" w:pos="3515"/>
        </w:tabs>
        <w:spacing w:before="43" w:after="0" w:line="240" w:lineRule="auto"/>
        <w:ind w:left="3514" w:right="0" w:hanging="530"/>
        <w:jc w:val="left"/>
        <w:rPr>
          <w:sz w:val="21"/>
        </w:rPr>
      </w:pPr>
      <w:r>
        <w:rPr>
          <w:spacing w:val="-3"/>
          <w:sz w:val="21"/>
        </w:rPr>
        <w:t>语言能力完全丧失，或严重咀嚼吞咽功能障碍；</w:t>
      </w:r>
    </w:p>
    <w:p>
      <w:pPr>
        <w:pStyle w:val="8"/>
        <w:numPr>
          <w:ilvl w:val="3"/>
          <w:numId w:val="12"/>
        </w:numPr>
        <w:tabs>
          <w:tab w:val="left" w:pos="3515"/>
        </w:tabs>
        <w:spacing w:before="43" w:after="0" w:line="278" w:lineRule="auto"/>
        <w:ind w:left="2985" w:right="617" w:firstLine="0"/>
        <w:jc w:val="left"/>
        <w:rPr>
          <w:sz w:val="21"/>
        </w:rPr>
      </w:pPr>
      <w:r>
        <w:rPr>
          <w:spacing w:val="-2"/>
          <w:sz w:val="21"/>
        </w:rPr>
        <w:t>自主生活能力完全丧失，无法独立完成六项基本日常生活活动中的三项或三项以上。</w:t>
      </w:r>
    </w:p>
    <w:p>
      <w:pPr>
        <w:pStyle w:val="4"/>
        <w:spacing w:before="3"/>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9" w:after="0" w:line="192" w:lineRule="auto"/>
        <w:ind w:left="1391" w:right="0" w:firstLine="0"/>
        <w:jc w:val="left"/>
      </w:pPr>
      <w:r>
        <w:rPr>
          <w:spacing w:val="-2"/>
        </w:rPr>
        <w:t>严重原发性</w:t>
      </w:r>
      <w:r>
        <w:rPr>
          <w:spacing w:val="-4"/>
        </w:rPr>
        <w:t>帕金森病</w:t>
      </w:r>
    </w:p>
    <w:p>
      <w:pPr>
        <w:pStyle w:val="4"/>
        <w:spacing w:before="72" w:line="276" w:lineRule="auto"/>
        <w:ind w:left="181" w:right="620"/>
        <w:jc w:val="both"/>
      </w:pPr>
      <w:r>
        <w:br w:type="column"/>
      </w:r>
      <w:r>
        <w:rPr>
          <w:spacing w:val="-2"/>
        </w:rPr>
        <w:t>是一种中枢神经系统的退行性疾病，临床表现为运动迟缓、静止性震颤或肌强直等，经相关专科医生确诊，且须满足自主生活能力完全丧失，无法独立完成六项基本日常生活活动中的三项或三项以上。继发性帕金森综合征、帕金森叠加综合征不在保障范围内。</w:t>
      </w:r>
    </w:p>
    <w:p>
      <w:pPr>
        <w:spacing w:after="0" w:line="276" w:lineRule="auto"/>
        <w:jc w:val="both"/>
        <w:sectPr>
          <w:type w:val="continuous"/>
          <w:pgSz w:w="11910" w:h="16840"/>
          <w:pgMar w:top="920" w:right="680" w:bottom="420" w:left="880" w:header="0" w:footer="230" w:gutter="0"/>
          <w:cols w:equalWidth="0" w:num="2">
            <w:col w:w="2765" w:space="40"/>
            <w:col w:w="7545"/>
          </w:cols>
        </w:sectPr>
      </w:pPr>
    </w:p>
    <w:p>
      <w:pPr>
        <w:pStyle w:val="3"/>
        <w:numPr>
          <w:ilvl w:val="2"/>
          <w:numId w:val="12"/>
        </w:numPr>
        <w:tabs>
          <w:tab w:val="left" w:pos="1710"/>
        </w:tabs>
        <w:spacing w:before="37" w:after="0" w:line="192" w:lineRule="auto"/>
        <w:ind w:left="1391" w:right="0" w:firstLine="0"/>
        <w:jc w:val="left"/>
      </w:pPr>
      <w:r>
        <w:rPr>
          <w:spacing w:val="-2"/>
        </w:rPr>
        <w:t>严重Ⅲ度烧</w:t>
      </w:r>
      <w:r>
        <w:rPr>
          <w:spacing w:val="-10"/>
        </w:rPr>
        <w:t>伤</w:t>
      </w:r>
    </w:p>
    <w:p>
      <w:pPr>
        <w:pStyle w:val="4"/>
        <w:spacing w:before="51" w:line="273" w:lineRule="auto"/>
        <w:ind w:left="180" w:right="528"/>
      </w:pPr>
      <w:r>
        <w:br w:type="column"/>
      </w:r>
      <w:r>
        <w:rPr>
          <w:spacing w:val="-2"/>
        </w:rPr>
        <w:t xml:space="preserve">指烧伤程度为Ⅲ度，且Ⅲ度烧伤面积达到全身体表面积的 </w:t>
      </w:r>
      <w:r>
        <w:t>20%</w:t>
      </w:r>
      <w:r>
        <w:rPr>
          <w:spacing w:val="-27"/>
        </w:rPr>
        <w:t xml:space="preserve">或 </w:t>
      </w:r>
      <w:r>
        <w:t>20%以上。</w:t>
      </w:r>
      <w:r>
        <w:rPr>
          <w:spacing w:val="-2"/>
        </w:rPr>
        <w:t>体表面积根据《中国新九分法》计算。</w:t>
      </w:r>
    </w:p>
    <w:p>
      <w:pPr>
        <w:spacing w:after="0" w:line="273" w:lineRule="auto"/>
        <w:sectPr>
          <w:pgSz w:w="11910" w:h="16840"/>
          <w:pgMar w:top="820" w:right="680" w:bottom="420" w:left="880" w:header="0" w:footer="230" w:gutter="0"/>
          <w:cols w:equalWidth="0" w:num="2">
            <w:col w:w="2765" w:space="40"/>
            <w:col w:w="7545"/>
          </w:cols>
        </w:sectPr>
      </w:pPr>
    </w:p>
    <w:p>
      <w:pPr>
        <w:pStyle w:val="4"/>
        <w:spacing w:before="9"/>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严重特发性肺动脉高压</w:t>
      </w:r>
    </w:p>
    <w:p>
      <w:pPr>
        <w:spacing w:before="101" w:line="206" w:lineRule="auto"/>
        <w:ind w:left="180" w:right="552" w:firstLine="0"/>
        <w:jc w:val="both"/>
        <w:rPr>
          <w:sz w:val="21"/>
        </w:rPr>
      </w:pPr>
      <w:r>
        <w:br w:type="column"/>
      </w:r>
      <w:r>
        <w:rPr>
          <w:spacing w:val="-2"/>
          <w:sz w:val="21"/>
        </w:rPr>
        <w:t>指不明原因的肺动脉压力持续性增高，进行性发展而导致的慢性疾病，已</w:t>
      </w:r>
      <w:r>
        <w:rPr>
          <w:spacing w:val="-2"/>
          <w:w w:val="95"/>
          <w:sz w:val="21"/>
        </w:rPr>
        <w:t>经造成永久不可逆性的体力活动能力</w:t>
      </w:r>
      <w:r>
        <w:rPr>
          <w:spacing w:val="-14"/>
          <w:w w:val="95"/>
          <w:sz w:val="21"/>
        </w:rPr>
        <w:t>受限，达到</w:t>
      </w:r>
      <w:r>
        <w:rPr>
          <w:rFonts w:ascii="微软雅黑" w:hAnsi="微软雅黑" w:eastAsia="微软雅黑"/>
          <w:b/>
          <w:spacing w:val="-2"/>
          <w:w w:val="95"/>
          <w:sz w:val="21"/>
        </w:rPr>
        <w:t>美国纽约心脏病学</w:t>
      </w:r>
      <w:r>
        <w:rPr>
          <w:rFonts w:ascii="微软雅黑" w:hAnsi="微软雅黑" w:eastAsia="微软雅黑"/>
          <w:b/>
          <w:spacing w:val="-53"/>
          <w:w w:val="95"/>
          <w:sz w:val="21"/>
        </w:rPr>
        <w:t>会</w:t>
      </w:r>
      <w:r>
        <w:rPr>
          <w:rFonts w:ascii="微软雅黑" w:hAnsi="微软雅黑" w:eastAsia="微软雅黑"/>
          <w:b/>
          <w:spacing w:val="-2"/>
          <w:w w:val="95"/>
          <w:sz w:val="21"/>
        </w:rPr>
        <w:t xml:space="preserve">（New </w:t>
      </w:r>
      <w:r>
        <w:rPr>
          <w:rFonts w:ascii="微软雅黑" w:hAnsi="微软雅黑" w:eastAsia="微软雅黑"/>
          <w:b/>
          <w:w w:val="90"/>
          <w:sz w:val="21"/>
        </w:rPr>
        <w:t>York</w:t>
      </w:r>
      <w:r>
        <w:rPr>
          <w:rFonts w:ascii="微软雅黑" w:hAnsi="微软雅黑" w:eastAsia="微软雅黑"/>
          <w:b/>
          <w:spacing w:val="36"/>
          <w:sz w:val="21"/>
        </w:rPr>
        <w:t xml:space="preserve">  </w:t>
      </w:r>
      <w:r>
        <w:rPr>
          <w:rFonts w:ascii="微软雅黑" w:hAnsi="微软雅黑" w:eastAsia="微软雅黑"/>
          <w:b/>
          <w:w w:val="90"/>
          <w:sz w:val="21"/>
        </w:rPr>
        <w:t>Heart</w:t>
      </w:r>
      <w:r>
        <w:rPr>
          <w:rFonts w:ascii="微软雅黑" w:hAnsi="微软雅黑" w:eastAsia="微软雅黑"/>
          <w:b/>
          <w:spacing w:val="41"/>
          <w:sz w:val="21"/>
        </w:rPr>
        <w:t xml:space="preserve">  </w:t>
      </w:r>
      <w:r>
        <w:rPr>
          <w:rFonts w:ascii="微软雅黑" w:hAnsi="微软雅黑" w:eastAsia="微软雅黑"/>
          <w:b/>
          <w:w w:val="90"/>
          <w:sz w:val="21"/>
        </w:rPr>
        <w:t>Association，NYHA）心功能状态分级</w:t>
      </w:r>
      <w:r>
        <w:rPr>
          <w:w w:val="90"/>
          <w:sz w:val="21"/>
        </w:rPr>
        <w:t>（见释义</w:t>
      </w:r>
      <w:r>
        <w:rPr>
          <w:spacing w:val="-4"/>
          <w:sz w:val="21"/>
        </w:rPr>
        <w:t xml:space="preserve"> </w:t>
      </w:r>
      <w:r>
        <w:rPr>
          <w:w w:val="90"/>
          <w:sz w:val="21"/>
        </w:rPr>
        <w:t>8.44）Ⅳ</w:t>
      </w:r>
      <w:r>
        <w:rPr>
          <w:spacing w:val="-5"/>
          <w:w w:val="90"/>
          <w:sz w:val="21"/>
        </w:rPr>
        <w:t>级，</w:t>
      </w:r>
    </w:p>
    <w:p>
      <w:pPr>
        <w:pStyle w:val="4"/>
        <w:spacing w:before="5"/>
        <w:ind w:left="180"/>
        <w:jc w:val="both"/>
      </w:pPr>
      <w:r>
        <w:rPr>
          <w:spacing w:val="-4"/>
        </w:rPr>
        <w:t xml:space="preserve">且静息状态下肺动脉平均压在 </w:t>
      </w:r>
      <w:r>
        <w:rPr>
          <w:spacing w:val="-2"/>
        </w:rPr>
        <w:t>36mmHg（含）</w:t>
      </w:r>
      <w:r>
        <w:rPr>
          <w:spacing w:val="-5"/>
        </w:rPr>
        <w:t>以上。</w:t>
      </w:r>
    </w:p>
    <w:p>
      <w:pPr>
        <w:spacing w:after="0"/>
        <w:jc w:val="both"/>
        <w:sectPr>
          <w:type w:val="continuous"/>
          <w:pgSz w:w="11910" w:h="16840"/>
          <w:pgMar w:top="920" w:right="680" w:bottom="420" w:left="880" w:header="0" w:footer="230" w:gutter="0"/>
          <w:cols w:equalWidth="0" w:num="2">
            <w:col w:w="2765" w:space="40"/>
            <w:col w:w="7545"/>
          </w:cols>
        </w:sectPr>
      </w:pPr>
    </w:p>
    <w:p>
      <w:pPr>
        <w:pStyle w:val="4"/>
        <w:spacing w:before="8"/>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严重运动神</w:t>
      </w:r>
      <w:r>
        <w:rPr>
          <w:spacing w:val="-4"/>
        </w:rPr>
        <w:t>经元病</w:t>
      </w:r>
    </w:p>
    <w:p>
      <w:pPr>
        <w:pStyle w:val="4"/>
        <w:spacing w:before="72" w:line="276" w:lineRule="auto"/>
        <w:ind w:left="181" w:right="622"/>
        <w:jc w:val="both"/>
      </w:pPr>
      <w:r>
        <w:br w:type="column"/>
      </w:r>
      <w:r>
        <w:rPr>
          <w:spacing w:val="-2"/>
        </w:rPr>
        <w:t>是一组中枢神经系统运动神经元的进行性变性疾病，包括进行性脊肌萎缩症、进行性延髓麻痹症、原发性侧索硬化症、肌萎缩性侧索硬化症。经相关专科医生确诊，且须满足下列至少一项条件：</w:t>
      </w:r>
    </w:p>
    <w:p>
      <w:pPr>
        <w:pStyle w:val="8"/>
        <w:numPr>
          <w:ilvl w:val="0"/>
          <w:numId w:val="22"/>
        </w:numPr>
        <w:tabs>
          <w:tab w:val="left" w:pos="711"/>
        </w:tabs>
        <w:spacing w:before="3" w:after="0" w:line="240" w:lineRule="auto"/>
        <w:ind w:left="710" w:right="0" w:hanging="530"/>
        <w:jc w:val="left"/>
        <w:rPr>
          <w:sz w:val="21"/>
        </w:rPr>
      </w:pPr>
      <w:r>
        <w:rPr>
          <w:spacing w:val="-3"/>
          <w:sz w:val="21"/>
        </w:rPr>
        <w:t>严重咀嚼吞咽功能障碍；</w:t>
      </w:r>
    </w:p>
    <w:p>
      <w:pPr>
        <w:pStyle w:val="8"/>
        <w:numPr>
          <w:ilvl w:val="0"/>
          <w:numId w:val="22"/>
        </w:numPr>
        <w:tabs>
          <w:tab w:val="left" w:pos="711"/>
        </w:tabs>
        <w:spacing w:before="43" w:after="0" w:line="278" w:lineRule="auto"/>
        <w:ind w:left="181" w:right="619" w:firstLine="0"/>
        <w:jc w:val="left"/>
        <w:rPr>
          <w:sz w:val="21"/>
        </w:rPr>
      </w:pPr>
      <w:r>
        <w:rPr>
          <w:spacing w:val="-1"/>
          <w:sz w:val="21"/>
        </w:rPr>
        <w:t xml:space="preserve">呼吸肌麻痹导致严重呼吸困难，且已经持续使用呼吸机 </w:t>
      </w:r>
      <w:r>
        <w:rPr>
          <w:sz w:val="21"/>
        </w:rPr>
        <w:t>7</w:t>
      </w:r>
      <w:r>
        <w:rPr>
          <w:spacing w:val="-6"/>
          <w:sz w:val="21"/>
        </w:rPr>
        <w:t xml:space="preserve"> 天</w:t>
      </w:r>
      <w:r>
        <w:rPr>
          <w:sz w:val="21"/>
        </w:rPr>
        <w:t>（含）</w:t>
      </w:r>
      <w:r>
        <w:rPr>
          <w:spacing w:val="-4"/>
          <w:sz w:val="21"/>
        </w:rPr>
        <w:t>以上；</w:t>
      </w:r>
    </w:p>
    <w:p>
      <w:pPr>
        <w:pStyle w:val="8"/>
        <w:numPr>
          <w:ilvl w:val="0"/>
          <w:numId w:val="22"/>
        </w:numPr>
        <w:tabs>
          <w:tab w:val="left" w:pos="711"/>
        </w:tabs>
        <w:spacing w:before="0" w:after="0" w:line="278" w:lineRule="auto"/>
        <w:ind w:left="181" w:right="617" w:firstLine="0"/>
        <w:jc w:val="left"/>
        <w:rPr>
          <w:sz w:val="21"/>
        </w:rPr>
      </w:pPr>
      <w:r>
        <w:rPr>
          <w:spacing w:val="-2"/>
          <w:sz w:val="21"/>
        </w:rPr>
        <w:t>自主生活能力完全丧失，无法独立完成六项基本日常生活活动中的三项或三项以上。</w:t>
      </w:r>
    </w:p>
    <w:p>
      <w:pPr>
        <w:spacing w:after="0" w:line="278" w:lineRule="auto"/>
        <w:jc w:val="left"/>
        <w:rPr>
          <w:sz w:val="21"/>
        </w:rPr>
        <w:sectPr>
          <w:type w:val="continuous"/>
          <w:pgSz w:w="11910" w:h="16840"/>
          <w:pgMar w:top="920" w:right="680" w:bottom="420" w:left="880" w:header="0" w:footer="230" w:gutter="0"/>
          <w:cols w:equalWidth="0" w:num="2">
            <w:col w:w="2765" w:space="40"/>
            <w:col w:w="7545"/>
          </w:cols>
        </w:sectPr>
      </w:pPr>
    </w:p>
    <w:p>
      <w:pPr>
        <w:pStyle w:val="4"/>
        <w:spacing w:before="11"/>
        <w:rPr>
          <w:sz w:val="19"/>
        </w:rPr>
      </w:pPr>
    </w:p>
    <w:p>
      <w:pPr>
        <w:spacing w:after="0"/>
        <w:rPr>
          <w:sz w:val="19"/>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6" w:after="0" w:line="194" w:lineRule="auto"/>
        <w:ind w:left="1391" w:right="0" w:firstLine="0"/>
        <w:jc w:val="left"/>
      </w:pPr>
      <w:r>
        <w:rPr>
          <w:spacing w:val="-2"/>
        </w:rPr>
        <w:t>语言能力丧失（三周岁始</w:t>
      </w:r>
      <w:r>
        <w:rPr>
          <w:spacing w:val="-4"/>
        </w:rPr>
        <w:t>理赔）</w:t>
      </w:r>
    </w:p>
    <w:p>
      <w:pPr>
        <w:pStyle w:val="4"/>
        <w:spacing w:before="72"/>
        <w:ind w:left="181"/>
      </w:pPr>
      <w:r>
        <w:br w:type="column"/>
      </w:r>
      <w:r>
        <w:rPr>
          <w:spacing w:val="-1"/>
        </w:rPr>
        <w:t xml:space="preserve">指因疾病或意外伤害导致语言能力完全丧失，经过积极治疗至少 </w:t>
      </w:r>
      <w:r>
        <w:t>12</w:t>
      </w:r>
      <w:r>
        <w:rPr>
          <w:spacing w:val="-8"/>
        </w:rPr>
        <w:t xml:space="preserve"> 个月</w:t>
      </w:r>
    </w:p>
    <w:p>
      <w:pPr>
        <w:pStyle w:val="4"/>
        <w:spacing w:before="43"/>
        <w:ind w:left="181"/>
      </w:pPr>
      <w:r>
        <w:rPr>
          <w:spacing w:val="-2"/>
        </w:rPr>
        <w:t>（声带完全切除不受此时间限制</w:t>
      </w:r>
      <w:r>
        <w:rPr>
          <w:spacing w:val="-106"/>
        </w:rPr>
        <w:t>）</w:t>
      </w:r>
      <w:r>
        <w:rPr>
          <w:spacing w:val="-3"/>
        </w:rPr>
        <w:t>，仍无法通过现有医疗手段恢复。</w:t>
      </w:r>
    </w:p>
    <w:p>
      <w:pPr>
        <w:pStyle w:val="4"/>
        <w:spacing w:before="43"/>
        <w:ind w:left="181"/>
      </w:pPr>
      <w:r>
        <w:rPr>
          <w:spacing w:val="-3"/>
        </w:rPr>
        <w:t>精神心理因素所致的语言能力丧失不在保障范围内。</w:t>
      </w:r>
    </w:p>
    <w:p>
      <w:pPr>
        <w:pStyle w:val="4"/>
        <w:spacing w:before="43" w:line="278" w:lineRule="auto"/>
        <w:ind w:left="181" w:right="617"/>
      </w:pPr>
      <w:r>
        <w:rPr>
          <w:spacing w:val="-8"/>
        </w:rPr>
        <w:t xml:space="preserve">被保险人在 </w:t>
      </w:r>
      <w:r>
        <w:t>3</w:t>
      </w:r>
      <w:r>
        <w:rPr>
          <w:spacing w:val="-7"/>
        </w:rPr>
        <w:t xml:space="preserve"> 周岁之前因疾病或意外伤害导致的语言能力丧失不在保障范</w:t>
      </w:r>
      <w:r>
        <w:rPr>
          <w:spacing w:val="-4"/>
        </w:rPr>
        <w:t>围内。</w:t>
      </w:r>
    </w:p>
    <w:p>
      <w:pPr>
        <w:spacing w:after="0" w:line="278" w:lineRule="auto"/>
        <w:sectPr>
          <w:type w:val="continuous"/>
          <w:pgSz w:w="11910" w:h="16840"/>
          <w:pgMar w:top="920" w:right="680" w:bottom="420" w:left="880" w:header="0" w:footer="230" w:gutter="0"/>
          <w:cols w:equalWidth="0" w:num="2">
            <w:col w:w="2765" w:space="40"/>
            <w:col w:w="7545"/>
          </w:cols>
        </w:sectPr>
      </w:pPr>
    </w:p>
    <w:p>
      <w:pPr>
        <w:pStyle w:val="4"/>
        <w:spacing w:before="11"/>
        <w:rPr>
          <w:sz w:val="19"/>
        </w:rPr>
      </w:pPr>
    </w:p>
    <w:p>
      <w:pPr>
        <w:spacing w:after="0"/>
        <w:rPr>
          <w:sz w:val="19"/>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6" w:after="0" w:line="194" w:lineRule="auto"/>
        <w:ind w:left="1391" w:right="0" w:firstLine="0"/>
        <w:jc w:val="left"/>
      </w:pPr>
      <w:r>
        <w:rPr>
          <w:spacing w:val="-2"/>
        </w:rPr>
        <w:t>重型再生障</w:t>
      </w:r>
      <w:r>
        <w:rPr>
          <w:spacing w:val="-4"/>
        </w:rPr>
        <w:t>碍性贫血</w:t>
      </w:r>
    </w:p>
    <w:p>
      <w:pPr>
        <w:pStyle w:val="4"/>
        <w:spacing w:before="72" w:line="278" w:lineRule="auto"/>
        <w:ind w:left="181" w:right="622"/>
      </w:pPr>
      <w:r>
        <w:br w:type="column"/>
      </w:r>
      <w:r>
        <w:rPr>
          <w:spacing w:val="-2"/>
        </w:rPr>
        <w:t>指因骨髓造血功能慢性持续性衰竭导致的贫血、中性粒细胞减少及血小板减少，且须满足下列全部条件：</w:t>
      </w:r>
    </w:p>
    <w:p>
      <w:pPr>
        <w:pStyle w:val="8"/>
        <w:numPr>
          <w:ilvl w:val="0"/>
          <w:numId w:val="23"/>
        </w:numPr>
        <w:tabs>
          <w:tab w:val="left" w:pos="711"/>
        </w:tabs>
        <w:spacing w:before="0" w:after="0" w:line="278" w:lineRule="auto"/>
        <w:ind w:left="181" w:right="619" w:firstLine="0"/>
        <w:jc w:val="left"/>
        <w:rPr>
          <w:sz w:val="21"/>
        </w:rPr>
      </w:pPr>
      <w:r>
        <w:rPr>
          <w:spacing w:val="-2"/>
          <w:sz w:val="21"/>
        </w:rPr>
        <w:t xml:space="preserve">骨髓穿刺检查或骨髓活检结果支持诊断：骨髓细胞增生程度&lt;正常的 </w:t>
      </w:r>
      <w:r>
        <w:rPr>
          <w:sz w:val="21"/>
        </w:rPr>
        <w:t>25%；如≥正常的 25%但&lt;50%，则残存的造血细胞应&lt;30%；</w:t>
      </w:r>
    </w:p>
    <w:p>
      <w:pPr>
        <w:pStyle w:val="8"/>
        <w:numPr>
          <w:ilvl w:val="0"/>
          <w:numId w:val="23"/>
        </w:numPr>
        <w:tabs>
          <w:tab w:val="left" w:pos="711"/>
        </w:tabs>
        <w:spacing w:before="0" w:after="0" w:line="269" w:lineRule="exact"/>
        <w:ind w:left="710" w:right="0" w:hanging="530"/>
        <w:jc w:val="left"/>
        <w:rPr>
          <w:sz w:val="21"/>
        </w:rPr>
      </w:pPr>
      <w:r>
        <w:rPr>
          <w:spacing w:val="-3"/>
          <w:sz w:val="21"/>
        </w:rPr>
        <w:t>外周血象须具备以下三项条件中的两项：</w:t>
      </w:r>
    </w:p>
    <w:p>
      <w:pPr>
        <w:pStyle w:val="4"/>
        <w:spacing w:before="33"/>
        <w:ind w:left="604"/>
      </w:pPr>
      <w:r>
        <w:rPr>
          <w:spacing w:val="-2"/>
        </w:rPr>
        <w:t>①中性粒细胞绝对值＜0.5×10</w:t>
      </w:r>
      <w:r>
        <w:rPr>
          <w:spacing w:val="-2"/>
          <w:position w:val="11"/>
          <w:sz w:val="11"/>
        </w:rPr>
        <w:t>9</w:t>
      </w:r>
      <w:r>
        <w:rPr>
          <w:spacing w:val="-2"/>
        </w:rPr>
        <w:t>/L；</w:t>
      </w:r>
    </w:p>
    <w:p>
      <w:pPr>
        <w:pStyle w:val="4"/>
        <w:spacing w:before="33"/>
        <w:ind w:left="604"/>
      </w:pPr>
      <w:r>
        <w:rPr>
          <w:spacing w:val="-2"/>
        </w:rPr>
        <w:t>②网织红细胞计数＜20×10</w:t>
      </w:r>
      <w:r>
        <w:rPr>
          <w:spacing w:val="-2"/>
          <w:position w:val="11"/>
          <w:sz w:val="11"/>
        </w:rPr>
        <w:t>9</w:t>
      </w:r>
      <w:r>
        <w:rPr>
          <w:spacing w:val="-2"/>
        </w:rPr>
        <w:t>/L；</w:t>
      </w:r>
    </w:p>
    <w:p>
      <w:pPr>
        <w:pStyle w:val="4"/>
        <w:spacing w:before="34"/>
        <w:ind w:left="604"/>
      </w:pPr>
      <w:r>
        <w:rPr>
          <w:spacing w:val="-2"/>
        </w:rPr>
        <w:t>③血小板绝对值＜20×10</w:t>
      </w:r>
      <w:r>
        <w:rPr>
          <w:spacing w:val="-2"/>
          <w:position w:val="11"/>
          <w:sz w:val="11"/>
        </w:rPr>
        <w:t>9</w:t>
      </w:r>
      <w:r>
        <w:rPr>
          <w:spacing w:val="-2"/>
        </w:rPr>
        <w:t>/L</w:t>
      </w:r>
      <w:r>
        <w:rPr>
          <w:spacing w:val="-12"/>
        </w:rPr>
        <w:t>。</w:t>
      </w:r>
    </w:p>
    <w:p>
      <w:pPr>
        <w:spacing w:after="0"/>
        <w:sectPr>
          <w:type w:val="continuous"/>
          <w:pgSz w:w="11910" w:h="16840"/>
          <w:pgMar w:top="920" w:right="680" w:bottom="420" w:left="880" w:header="0" w:footer="230" w:gutter="0"/>
          <w:cols w:equalWidth="0" w:num="2">
            <w:col w:w="2765" w:space="40"/>
            <w:col w:w="7545"/>
          </w:cols>
        </w:sectPr>
      </w:pPr>
    </w:p>
    <w:p>
      <w:pPr>
        <w:pStyle w:val="4"/>
        <w:spacing w:before="3"/>
        <w:rPr>
          <w:sz w:val="23"/>
        </w:rPr>
      </w:pPr>
    </w:p>
    <w:p>
      <w:pPr>
        <w:pStyle w:val="8"/>
        <w:numPr>
          <w:ilvl w:val="2"/>
          <w:numId w:val="12"/>
        </w:numPr>
        <w:tabs>
          <w:tab w:val="left" w:pos="1710"/>
        </w:tabs>
        <w:spacing w:before="32" w:after="0" w:line="312" w:lineRule="exact"/>
        <w:ind w:left="2985" w:right="619" w:hanging="1594"/>
        <w:jc w:val="both"/>
        <w:rPr>
          <w:sz w:val="21"/>
        </w:rPr>
      </w:pPr>
      <w:r>
        <w:rPr>
          <w:rFonts w:ascii="Microsoft JhengHei" w:eastAsia="Microsoft JhengHei"/>
          <w:b/>
          <w:sz w:val="21"/>
        </w:rPr>
        <w:t xml:space="preserve">主动脉手术 </w:t>
      </w:r>
      <w:r>
        <w:rPr>
          <w:sz w:val="21"/>
        </w:rPr>
        <w:t>指为治疗主动脉疾病或主动脉创伤，已经实施了开胸（含胸腔镜下）或开</w:t>
      </w:r>
      <w:r>
        <w:rPr>
          <w:spacing w:val="-2"/>
          <w:sz w:val="21"/>
        </w:rPr>
        <w:t>腹（含腹腔镜下）进行的切除、置换、修补病损主动脉血管、主动脉创伤后修复的手术。主动脉指升主动脉、主动脉弓和降主动脉（含胸主动脉和腹主动脉</w:t>
      </w:r>
      <w:r>
        <w:rPr>
          <w:spacing w:val="-106"/>
          <w:sz w:val="21"/>
        </w:rPr>
        <w:t>）</w:t>
      </w:r>
      <w:r>
        <w:rPr>
          <w:spacing w:val="-4"/>
          <w:sz w:val="21"/>
        </w:rPr>
        <w:t>，不包括升主动脉、主动脉弓和降主动脉的分支血管。</w:t>
      </w:r>
    </w:p>
    <w:p>
      <w:pPr>
        <w:pStyle w:val="4"/>
        <w:spacing w:before="40"/>
        <w:ind w:left="2985"/>
      </w:pPr>
      <w:r>
        <w:rPr>
          <w:spacing w:val="-3"/>
        </w:rPr>
        <w:t>所有未实施开胸或开腹的动脉内介入治疗不在保障范围内。</w:t>
      </w: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5" w:after="0" w:line="194" w:lineRule="auto"/>
        <w:ind w:left="1391" w:right="0" w:firstLine="0"/>
        <w:jc w:val="left"/>
      </w:pPr>
      <w:r>
        <w:rPr>
          <w:spacing w:val="-2"/>
        </w:rPr>
        <w:t>严重慢性呼</w:t>
      </w:r>
      <w:r>
        <w:rPr>
          <w:spacing w:val="-4"/>
        </w:rPr>
        <w:t>吸衰竭</w:t>
      </w:r>
    </w:p>
    <w:p>
      <w:pPr>
        <w:pStyle w:val="4"/>
        <w:spacing w:before="71" w:line="278" w:lineRule="auto"/>
        <w:ind w:left="180" w:right="619"/>
      </w:pPr>
      <w:r>
        <w:br w:type="column"/>
      </w:r>
      <w:r>
        <w:rPr>
          <w:spacing w:val="-1"/>
        </w:rPr>
        <w:t xml:space="preserve">指因慢性呼吸系统疾病导致永久不可逆性的呼吸衰竭，经过积极治疗 </w:t>
      </w:r>
      <w:r>
        <w:t>180</w:t>
      </w:r>
      <w:r>
        <w:rPr>
          <w:spacing w:val="-2"/>
        </w:rPr>
        <w:t>天后满足以下所有条件：</w:t>
      </w:r>
    </w:p>
    <w:p>
      <w:pPr>
        <w:pStyle w:val="8"/>
        <w:numPr>
          <w:ilvl w:val="0"/>
          <w:numId w:val="24"/>
        </w:numPr>
        <w:tabs>
          <w:tab w:val="left" w:pos="710"/>
        </w:tabs>
        <w:spacing w:before="0" w:after="0" w:line="269" w:lineRule="exact"/>
        <w:ind w:left="709" w:right="0" w:hanging="530"/>
        <w:jc w:val="left"/>
        <w:rPr>
          <w:sz w:val="21"/>
        </w:rPr>
      </w:pPr>
      <w:r>
        <w:rPr>
          <w:spacing w:val="-3"/>
          <w:sz w:val="21"/>
        </w:rPr>
        <w:t>静息时出现呼吸困难；</w:t>
      </w:r>
    </w:p>
    <w:p>
      <w:pPr>
        <w:pStyle w:val="8"/>
        <w:numPr>
          <w:ilvl w:val="0"/>
          <w:numId w:val="24"/>
        </w:numPr>
        <w:tabs>
          <w:tab w:val="left" w:pos="710"/>
        </w:tabs>
        <w:spacing w:before="43" w:after="0" w:line="240" w:lineRule="auto"/>
        <w:ind w:left="709" w:right="0" w:hanging="530"/>
        <w:jc w:val="left"/>
        <w:rPr>
          <w:sz w:val="21"/>
        </w:rPr>
      </w:pPr>
      <w:r>
        <w:rPr>
          <w:spacing w:val="-2"/>
          <w:position w:val="1"/>
          <w:sz w:val="21"/>
        </w:rPr>
        <w:t>肺功能第一秒用力呼气容积（FEV</w:t>
      </w:r>
      <w:r>
        <w:rPr>
          <w:spacing w:val="-2"/>
          <w:sz w:val="11"/>
        </w:rPr>
        <w:t>1</w:t>
      </w:r>
      <w:r>
        <w:rPr>
          <w:spacing w:val="-2"/>
          <w:position w:val="1"/>
          <w:sz w:val="21"/>
        </w:rPr>
        <w:t>）占预计值的百分比＜30%；</w:t>
      </w:r>
    </w:p>
    <w:p>
      <w:pPr>
        <w:pStyle w:val="8"/>
        <w:numPr>
          <w:ilvl w:val="0"/>
          <w:numId w:val="24"/>
        </w:numPr>
        <w:tabs>
          <w:tab w:val="left" w:pos="710"/>
        </w:tabs>
        <w:spacing w:before="43" w:after="0" w:line="240" w:lineRule="auto"/>
        <w:ind w:left="709" w:right="0" w:hanging="530"/>
        <w:jc w:val="left"/>
        <w:rPr>
          <w:sz w:val="21"/>
        </w:rPr>
      </w:pPr>
      <w:r>
        <w:rPr>
          <w:spacing w:val="-2"/>
          <w:position w:val="1"/>
          <w:sz w:val="21"/>
        </w:rPr>
        <w:t>在静息状态、呼吸空气条件下，动脉血氧分压（PaO</w:t>
      </w:r>
      <w:r>
        <w:rPr>
          <w:spacing w:val="-2"/>
          <w:sz w:val="11"/>
        </w:rPr>
        <w:t>2</w:t>
      </w:r>
      <w:r>
        <w:rPr>
          <w:spacing w:val="-2"/>
          <w:position w:val="1"/>
          <w:sz w:val="21"/>
        </w:rPr>
        <w:t>）＜50mmHg</w:t>
      </w:r>
      <w:r>
        <w:rPr>
          <w:spacing w:val="-10"/>
          <w:position w:val="1"/>
          <w:sz w:val="21"/>
        </w:rPr>
        <w:t>。</w:t>
      </w:r>
    </w:p>
    <w:p>
      <w:pPr>
        <w:spacing w:after="0" w:line="240" w:lineRule="auto"/>
        <w:jc w:val="left"/>
        <w:rPr>
          <w:sz w:val="21"/>
        </w:rPr>
        <w:sectPr>
          <w:type w:val="continuous"/>
          <w:pgSz w:w="11910" w:h="16840"/>
          <w:pgMar w:top="920" w:right="680" w:bottom="420" w:left="880" w:header="0" w:footer="230" w:gutter="0"/>
          <w:cols w:equalWidth="0" w:num="2">
            <w:col w:w="2765" w:space="40"/>
            <w:col w:w="7545"/>
          </w:cols>
        </w:sectPr>
      </w:pPr>
    </w:p>
    <w:p>
      <w:pPr>
        <w:pStyle w:val="4"/>
        <w:spacing w:before="4"/>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5" w:after="0" w:line="194" w:lineRule="auto"/>
        <w:ind w:left="1391" w:right="0" w:firstLine="0"/>
        <w:jc w:val="left"/>
      </w:pPr>
      <w:r>
        <w:rPr>
          <w:spacing w:val="-2"/>
        </w:rPr>
        <w:t>严重克罗恩</w:t>
      </w:r>
      <w:r>
        <w:rPr>
          <w:spacing w:val="-10"/>
        </w:rPr>
        <w:t>病</w:t>
      </w:r>
    </w:p>
    <w:p>
      <w:pPr>
        <w:pStyle w:val="4"/>
        <w:spacing w:before="71" w:line="278" w:lineRule="auto"/>
        <w:ind w:left="181" w:right="615"/>
        <w:jc w:val="both"/>
      </w:pPr>
      <w:r>
        <w:br w:type="column"/>
      </w:r>
      <w:r>
        <w:rPr>
          <w:spacing w:val="-6"/>
        </w:rPr>
        <w:t>指一种慢性肉芽肿性肠炎，具有特征性的克罗恩病（Crohn</w:t>
      </w:r>
      <w:r>
        <w:rPr>
          <w:spacing w:val="-9"/>
        </w:rPr>
        <w:t xml:space="preserve"> 病</w:t>
      </w:r>
      <w:r>
        <w:rPr>
          <w:spacing w:val="-6"/>
        </w:rPr>
        <w:t>）病理组织学</w:t>
      </w:r>
      <w:r>
        <w:rPr>
          <w:spacing w:val="-2"/>
        </w:rPr>
        <w:t>变化，须根据组织病理学特点诊断，且已经造成瘘管形成并伴有肠梗阻或</w:t>
      </w:r>
      <w:r>
        <w:rPr>
          <w:spacing w:val="-4"/>
        </w:rPr>
        <w:t>肠穿孔。</w:t>
      </w:r>
    </w:p>
    <w:p>
      <w:pPr>
        <w:spacing w:after="0" w:line="278" w:lineRule="auto"/>
        <w:jc w:val="both"/>
        <w:sectPr>
          <w:type w:val="continuous"/>
          <w:pgSz w:w="11910" w:h="16840"/>
          <w:pgMar w:top="920" w:right="680" w:bottom="420" w:left="880" w:header="0" w:footer="230" w:gutter="0"/>
          <w:cols w:equalWidth="0" w:num="2">
            <w:col w:w="2765" w:space="40"/>
            <w:col w:w="7545"/>
          </w:cols>
        </w:sectPr>
      </w:pPr>
    </w:p>
    <w:p>
      <w:pPr>
        <w:pStyle w:val="3"/>
        <w:numPr>
          <w:ilvl w:val="2"/>
          <w:numId w:val="12"/>
        </w:numPr>
        <w:tabs>
          <w:tab w:val="left" w:pos="1710"/>
        </w:tabs>
        <w:spacing w:before="37" w:after="0" w:line="192" w:lineRule="auto"/>
        <w:ind w:left="1391" w:right="0" w:firstLine="0"/>
        <w:jc w:val="left"/>
      </w:pPr>
      <w:r>
        <w:rPr>
          <w:spacing w:val="-2"/>
        </w:rPr>
        <w:t>严重溃疡性</w:t>
      </w:r>
      <w:r>
        <w:rPr>
          <w:spacing w:val="-4"/>
        </w:rPr>
        <w:t>结肠炎</w:t>
      </w:r>
    </w:p>
    <w:p>
      <w:pPr>
        <w:pStyle w:val="4"/>
        <w:spacing w:before="51" w:line="276" w:lineRule="auto"/>
        <w:ind w:left="181" w:right="622"/>
        <w:jc w:val="both"/>
      </w:pPr>
      <w:r>
        <w:br w:type="column"/>
      </w:r>
      <w:r>
        <w:rPr>
          <w:spacing w:val="-2"/>
        </w:rPr>
        <w:t>指伴有致命性电解质紊乱的急性暴发性溃疡性结肠炎，病变已经累及全结肠，表现为严重的血便和系统性症状体征，须根据组织病理学特点诊断，且已经实施了结肠切除或回肠造瘘术。</w:t>
      </w:r>
    </w:p>
    <w:p>
      <w:pPr>
        <w:spacing w:after="0" w:line="276" w:lineRule="auto"/>
        <w:jc w:val="both"/>
        <w:sectPr>
          <w:pgSz w:w="11910" w:h="16840"/>
          <w:pgMar w:top="820" w:right="680" w:bottom="775" w:left="880" w:header="0" w:footer="230" w:gutter="0"/>
          <w:cols w:equalWidth="0" w:num="2">
            <w:col w:w="2765" w:space="40"/>
            <w:col w:w="7545"/>
          </w:cols>
        </w:sectPr>
      </w:pPr>
    </w:p>
    <w:p>
      <w:pPr>
        <w:pStyle w:val="4"/>
        <w:spacing w:before="6"/>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严重多发性</w:t>
      </w:r>
      <w:r>
        <w:rPr>
          <w:spacing w:val="-6"/>
        </w:rPr>
        <w:t>硬化</w:t>
      </w:r>
    </w:p>
    <w:p>
      <w:pPr>
        <w:pStyle w:val="4"/>
        <w:spacing w:before="72" w:line="276" w:lineRule="auto"/>
        <w:ind w:left="181" w:right="512"/>
      </w:pPr>
      <w:r>
        <w:br w:type="column"/>
      </w:r>
      <w:r>
        <w:rPr>
          <w:spacing w:val="-2"/>
        </w:rPr>
        <w:t>多发性硬化为中枢神经系统白质多灶性脱髓鞘病变，病变有时累及灰质。</w:t>
      </w:r>
      <w:r>
        <w:rPr>
          <w:spacing w:val="-10"/>
        </w:rPr>
        <w:t>多发性硬化必须明确诊断，并且已经造成永久不可逆的神经系统功能损害。</w:t>
      </w:r>
      <w:r>
        <w:rPr>
          <w:spacing w:val="-1"/>
        </w:rPr>
        <w:t xml:space="preserve">永久不可逆的神经系统损害指被保险人持续 </w:t>
      </w:r>
      <w:r>
        <w:t>180</w:t>
      </w:r>
      <w:r>
        <w:rPr>
          <w:spacing w:val="-3"/>
        </w:rPr>
        <w:t xml:space="preserve"> 天无法独立完成下列基本</w:t>
      </w:r>
      <w:r>
        <w:rPr>
          <w:spacing w:val="-2"/>
        </w:rPr>
        <w:t>日常生活活动：</w:t>
      </w:r>
    </w:p>
    <w:p>
      <w:pPr>
        <w:pStyle w:val="8"/>
        <w:numPr>
          <w:ilvl w:val="0"/>
          <w:numId w:val="25"/>
        </w:numPr>
        <w:tabs>
          <w:tab w:val="left" w:pos="711"/>
        </w:tabs>
        <w:spacing w:before="6" w:after="0" w:line="240" w:lineRule="auto"/>
        <w:ind w:left="710" w:right="0" w:hanging="530"/>
        <w:jc w:val="left"/>
        <w:rPr>
          <w:sz w:val="21"/>
        </w:rPr>
      </w:pPr>
      <w:r>
        <w:rPr>
          <w:spacing w:val="-3"/>
          <w:sz w:val="21"/>
        </w:rPr>
        <w:t>移动：自己从一个房间移动到另一个房间；或者</w:t>
      </w:r>
    </w:p>
    <w:p>
      <w:pPr>
        <w:pStyle w:val="8"/>
        <w:numPr>
          <w:ilvl w:val="0"/>
          <w:numId w:val="25"/>
        </w:numPr>
        <w:tabs>
          <w:tab w:val="left" w:pos="711"/>
        </w:tabs>
        <w:spacing w:before="43" w:after="0" w:line="240" w:lineRule="auto"/>
        <w:ind w:left="710" w:right="0" w:hanging="530"/>
        <w:jc w:val="left"/>
        <w:rPr>
          <w:sz w:val="21"/>
        </w:rPr>
      </w:pPr>
      <w:r>
        <w:rPr>
          <w:spacing w:val="-3"/>
          <w:sz w:val="21"/>
        </w:rPr>
        <w:t>进食：自己从已准备好的碗或碟中取食物放入口中。</w:t>
      </w:r>
    </w:p>
    <w:p>
      <w:pPr>
        <w:pStyle w:val="4"/>
        <w:spacing w:before="43"/>
        <w:ind w:left="181"/>
      </w:pPr>
      <w:r>
        <w:rPr>
          <w:spacing w:val="-3"/>
        </w:rPr>
        <w:t>德韦克综合症和其他脱髓鞘疾病不在保障范围内。</w:t>
      </w:r>
    </w:p>
    <w:p>
      <w:pPr>
        <w:spacing w:after="0"/>
        <w:sectPr>
          <w:type w:val="continuous"/>
          <w:pgSz w:w="11910" w:h="16840"/>
          <w:pgMar w:top="920" w:right="680" w:bottom="420" w:left="880" w:header="0" w:footer="230" w:gutter="0"/>
          <w:cols w:equalWidth="0" w:num="2">
            <w:col w:w="2765" w:space="40"/>
            <w:col w:w="7545"/>
          </w:cols>
        </w:sectPr>
      </w:pPr>
    </w:p>
    <w:p>
      <w:pPr>
        <w:pStyle w:val="4"/>
        <w:spacing w:before="8"/>
        <w:rPr>
          <w:sz w:val="23"/>
        </w:rPr>
      </w:pPr>
    </w:p>
    <w:p>
      <w:pPr>
        <w:pStyle w:val="8"/>
        <w:numPr>
          <w:ilvl w:val="2"/>
          <w:numId w:val="12"/>
        </w:numPr>
        <w:tabs>
          <w:tab w:val="left" w:pos="1710"/>
        </w:tabs>
        <w:spacing w:before="11" w:after="0" w:line="232" w:lineRule="auto"/>
        <w:ind w:left="2985" w:right="622" w:hanging="1594"/>
        <w:jc w:val="both"/>
        <w:rPr>
          <w:sz w:val="21"/>
        </w:rPr>
      </w:pPr>
      <w:r>
        <w:rPr>
          <w:rFonts w:ascii="Microsoft JhengHei" w:eastAsia="Microsoft JhengHei"/>
          <w:b/>
          <w:sz w:val="21"/>
        </w:rPr>
        <w:t xml:space="preserve">脊髓灰质炎 </w:t>
      </w:r>
      <w:r>
        <w:rPr>
          <w:sz w:val="21"/>
        </w:rPr>
        <w:t>脊髓灰质炎是由于脊髓灰质炎病毒感染所致的瘫痪性疾病，临床表现为运</w:t>
      </w:r>
      <w:r>
        <w:rPr>
          <w:spacing w:val="-2"/>
          <w:sz w:val="21"/>
        </w:rPr>
        <w:t>动功能损害或呼吸无力。脊髓灰质炎必须明确诊断。</w:t>
      </w:r>
    </w:p>
    <w:p>
      <w:pPr>
        <w:pStyle w:val="4"/>
        <w:spacing w:before="44" w:line="278" w:lineRule="auto"/>
        <w:ind w:left="2985" w:right="616"/>
        <w:jc w:val="both"/>
      </w:pPr>
      <w:r>
        <w:rPr>
          <w:spacing w:val="-2"/>
        </w:rPr>
        <w:t>本合同仅对脊髓灰质炎造成的神经系统功能损害导致被保险人一肢或一肢以上肢体机能永久完全丧失的情况予以理赔。肢体机能永久完全丧失，指</w:t>
      </w:r>
      <w:r>
        <w:rPr>
          <w:spacing w:val="-7"/>
        </w:rPr>
        <w:t xml:space="preserve">疾病确诊 </w:t>
      </w:r>
      <w:r>
        <w:rPr>
          <w:spacing w:val="-2"/>
        </w:rPr>
        <w:t>180</w:t>
      </w:r>
      <w:r>
        <w:rPr>
          <w:spacing w:val="-7"/>
        </w:rPr>
        <w:t xml:space="preserve"> 天后，每肢三大关节中的两大关节仍然完全僵硬，或不能随</w:t>
      </w:r>
      <w:r>
        <w:rPr>
          <w:spacing w:val="-2"/>
        </w:rPr>
        <w:t>意识活动。</w:t>
      </w:r>
    </w:p>
    <w:p>
      <w:pPr>
        <w:pStyle w:val="4"/>
        <w:spacing w:before="12"/>
        <w:rPr>
          <w:sz w:val="19"/>
        </w:rPr>
      </w:pPr>
    </w:p>
    <w:p>
      <w:pPr>
        <w:spacing w:after="0"/>
        <w:rPr>
          <w:sz w:val="19"/>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5" w:after="0" w:line="194" w:lineRule="auto"/>
        <w:ind w:left="1391" w:right="0" w:firstLine="0"/>
        <w:jc w:val="left"/>
      </w:pPr>
      <w:r>
        <w:rPr>
          <w:spacing w:val="-2"/>
        </w:rPr>
        <w:t>全身性重症</w:t>
      </w:r>
      <w:r>
        <w:rPr>
          <w:spacing w:val="-4"/>
        </w:rPr>
        <w:t>肌无力</w:t>
      </w:r>
    </w:p>
    <w:p>
      <w:pPr>
        <w:pStyle w:val="4"/>
        <w:spacing w:before="71" w:line="278" w:lineRule="auto"/>
        <w:ind w:left="181" w:right="622"/>
        <w:jc w:val="both"/>
      </w:pPr>
      <w:r>
        <w:br w:type="column"/>
      </w:r>
      <w:r>
        <w:rPr>
          <w:spacing w:val="-2"/>
        </w:rPr>
        <w:t>重症肌无力是一种神经肌肉接头传递障碍所致的疾病，表现为局部或全身骨骼肌（特别是眼外肌）极易疲劳。疾病可以累及呼吸肌、上肢或下肢的近端肌群或全身肌肉，必须满足下列全部条件：</w:t>
      </w:r>
    </w:p>
    <w:p>
      <w:pPr>
        <w:pStyle w:val="8"/>
        <w:numPr>
          <w:ilvl w:val="0"/>
          <w:numId w:val="26"/>
        </w:numPr>
        <w:tabs>
          <w:tab w:val="left" w:pos="711"/>
        </w:tabs>
        <w:spacing w:before="0" w:after="0" w:line="240" w:lineRule="auto"/>
        <w:ind w:left="710" w:right="0" w:hanging="530"/>
        <w:jc w:val="left"/>
        <w:rPr>
          <w:sz w:val="21"/>
        </w:rPr>
      </w:pPr>
      <w:r>
        <w:rPr>
          <w:spacing w:val="-3"/>
          <w:sz w:val="21"/>
        </w:rPr>
        <w:t>经药物治疗和胸腺切除治疗一年以上仍无法控制病情；</w:t>
      </w:r>
    </w:p>
    <w:p>
      <w:pPr>
        <w:pStyle w:val="8"/>
        <w:numPr>
          <w:ilvl w:val="0"/>
          <w:numId w:val="26"/>
        </w:numPr>
        <w:tabs>
          <w:tab w:val="left" w:pos="711"/>
        </w:tabs>
        <w:spacing w:before="43" w:after="0" w:line="278" w:lineRule="auto"/>
        <w:ind w:left="181" w:right="617" w:firstLine="0"/>
        <w:jc w:val="left"/>
        <w:rPr>
          <w:sz w:val="21"/>
        </w:rPr>
      </w:pPr>
      <w:r>
        <w:rPr>
          <w:spacing w:val="-2"/>
          <w:sz w:val="21"/>
        </w:rPr>
        <w:t>自主生活能力完全丧失，无法独立完成六项基本日常生活活动中的三项或三项以上。</w:t>
      </w:r>
    </w:p>
    <w:p>
      <w:pPr>
        <w:spacing w:after="0" w:line="278" w:lineRule="auto"/>
        <w:jc w:val="left"/>
        <w:rPr>
          <w:sz w:val="21"/>
        </w:rPr>
        <w:sectPr>
          <w:type w:val="continuous"/>
          <w:pgSz w:w="11910" w:h="16840"/>
          <w:pgMar w:top="920" w:right="680" w:bottom="420" w:left="880" w:header="0" w:footer="230" w:gutter="0"/>
          <w:cols w:equalWidth="0" w:num="2">
            <w:col w:w="2765" w:space="40"/>
            <w:col w:w="7545"/>
          </w:cols>
        </w:sectPr>
      </w:pPr>
    </w:p>
    <w:p>
      <w:pPr>
        <w:pStyle w:val="4"/>
        <w:spacing w:before="12"/>
        <w:rPr>
          <w:sz w:val="19"/>
        </w:rPr>
      </w:pPr>
    </w:p>
    <w:p>
      <w:pPr>
        <w:pStyle w:val="8"/>
        <w:numPr>
          <w:ilvl w:val="2"/>
          <w:numId w:val="12"/>
        </w:numPr>
        <w:tabs>
          <w:tab w:val="left" w:pos="1710"/>
        </w:tabs>
        <w:spacing w:before="32" w:after="0" w:line="312" w:lineRule="exact"/>
        <w:ind w:left="2985" w:right="619" w:hanging="1594"/>
        <w:jc w:val="both"/>
        <w:rPr>
          <w:sz w:val="21"/>
        </w:rPr>
      </w:pPr>
      <w:r>
        <w:rPr>
          <w:rFonts w:ascii="Microsoft JhengHei" w:eastAsia="Microsoft JhengHei"/>
          <w:b/>
          <w:sz w:val="21"/>
        </w:rPr>
        <w:t xml:space="preserve">严重冠心病 </w:t>
      </w:r>
      <w:r>
        <w:rPr>
          <w:sz w:val="21"/>
        </w:rPr>
        <w:t>指经根据冠状动脉造影检查结果明确诊断为三支主要血管（左冠状动脉主</w:t>
      </w:r>
      <w:r>
        <w:rPr>
          <w:spacing w:val="-2"/>
          <w:sz w:val="21"/>
        </w:rPr>
        <w:t>干和右冠状动脉，或前降支、左旋支和右冠状动脉）严重狭窄性病变（至</w:t>
      </w:r>
      <w:r>
        <w:rPr>
          <w:spacing w:val="3"/>
          <w:sz w:val="21"/>
        </w:rPr>
        <w:t xml:space="preserve">少一支血管管腔直径减少 </w:t>
      </w:r>
      <w:r>
        <w:rPr>
          <w:sz w:val="21"/>
        </w:rPr>
        <w:t>75</w:t>
      </w:r>
      <w:r>
        <w:rPr>
          <w:spacing w:val="2"/>
          <w:sz w:val="21"/>
        </w:rPr>
        <w:t xml:space="preserve">%以上和其他两支血管管腔直径减少 </w:t>
      </w:r>
      <w:r>
        <w:rPr>
          <w:sz w:val="21"/>
        </w:rPr>
        <w:t>60%以</w:t>
      </w:r>
      <w:r>
        <w:rPr>
          <w:spacing w:val="-6"/>
          <w:sz w:val="21"/>
        </w:rPr>
        <w:t>上</w:t>
      </w:r>
      <w:r>
        <w:rPr>
          <w:spacing w:val="-106"/>
          <w:sz w:val="21"/>
        </w:rPr>
        <w:t>）</w:t>
      </w:r>
      <w:r>
        <w:rPr>
          <w:spacing w:val="-6"/>
          <w:sz w:val="21"/>
        </w:rPr>
        <w:t>。</w:t>
      </w:r>
    </w:p>
    <w:p>
      <w:pPr>
        <w:pStyle w:val="4"/>
        <w:spacing w:before="40"/>
        <w:ind w:left="2985"/>
      </w:pPr>
      <w:r>
        <w:rPr>
          <w:spacing w:val="-13"/>
        </w:rPr>
        <w:t>前降支、左旋支及右冠状动脉的分支血管的狭窄不作为本保障的衡量指标。</w:t>
      </w: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6" w:after="0" w:line="194" w:lineRule="auto"/>
        <w:ind w:left="1391" w:right="0" w:firstLine="0"/>
        <w:jc w:val="left"/>
      </w:pPr>
      <w:r>
        <w:rPr>
          <w:spacing w:val="-2"/>
        </w:rPr>
        <w:t>严重原发性</w:t>
      </w:r>
      <w:r>
        <w:rPr>
          <w:spacing w:val="-4"/>
        </w:rPr>
        <w:t>心肌病</w:t>
      </w:r>
    </w:p>
    <w:p>
      <w:pPr>
        <w:pStyle w:val="4"/>
        <w:spacing w:before="72" w:line="278" w:lineRule="auto"/>
        <w:ind w:left="181" w:right="621"/>
        <w:jc w:val="both"/>
      </w:pPr>
      <w:r>
        <w:br w:type="column"/>
      </w:r>
      <w:r>
        <w:rPr>
          <w:spacing w:val="-2"/>
        </w:rPr>
        <w:t>指被保险人因心肌病导致慢性心功能损害造成永久不可逆性的心功能衰竭</w:t>
      </w:r>
      <w:r>
        <w:rPr>
          <w:spacing w:val="-4"/>
        </w:rPr>
        <w:t xml:space="preserve">且有相关住院医疗记录显示 </w:t>
      </w:r>
      <w:r>
        <w:rPr>
          <w:spacing w:val="-2"/>
        </w:rPr>
        <w:t>IV</w:t>
      </w:r>
      <w:r>
        <w:rPr>
          <w:spacing w:val="-12"/>
        </w:rPr>
        <w:t xml:space="preserve"> 级心功能衰竭状态持续至少一百八十天。心</w:t>
      </w:r>
      <w:r>
        <w:rPr>
          <w:spacing w:val="-2"/>
        </w:rPr>
        <w:t>功能衰竭程度达到纽约心脏病学会的心功能分级标准之心功能Ⅳ级。被保险人永久不可逆性的体力活动能力受限，不能从事任何体力活动。严重原发性心肌病须经心内科专科医生做出明确诊断。</w:t>
      </w:r>
    </w:p>
    <w:p>
      <w:pPr>
        <w:pStyle w:val="4"/>
        <w:spacing w:line="278" w:lineRule="auto"/>
        <w:ind w:left="181" w:right="622"/>
      </w:pPr>
      <w:r>
        <w:rPr>
          <w:spacing w:val="-2"/>
        </w:rPr>
        <w:t>继发于全身性疾病或其它器官系统疾病以及由于酒精和药物滥用导致的心肌病不在保障范围内。</w:t>
      </w:r>
    </w:p>
    <w:p>
      <w:pPr>
        <w:spacing w:after="0" w:line="278" w:lineRule="auto"/>
        <w:sectPr>
          <w:type w:val="continuous"/>
          <w:pgSz w:w="11910" w:h="16840"/>
          <w:pgMar w:top="920" w:right="680" w:bottom="420" w:left="880" w:header="0" w:footer="230" w:gutter="0"/>
          <w:cols w:equalWidth="0" w:num="2">
            <w:col w:w="2765" w:space="40"/>
            <w:col w:w="7545"/>
          </w:cols>
        </w:sectPr>
      </w:pPr>
    </w:p>
    <w:p>
      <w:pPr>
        <w:pStyle w:val="4"/>
        <w:spacing w:before="11"/>
        <w:rPr>
          <w:sz w:val="19"/>
        </w:rPr>
      </w:pPr>
    </w:p>
    <w:p>
      <w:pPr>
        <w:spacing w:after="0"/>
        <w:rPr>
          <w:sz w:val="19"/>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5" w:after="0" w:line="194" w:lineRule="auto"/>
        <w:ind w:left="1391" w:right="0" w:firstLine="0"/>
        <w:jc w:val="left"/>
      </w:pPr>
      <w:r>
        <w:rPr>
          <w:spacing w:val="-2"/>
        </w:rPr>
        <w:t>系统性红斑狼疮——Ⅲ型或以上狼疮性</w:t>
      </w:r>
      <w:r>
        <w:rPr>
          <w:spacing w:val="-6"/>
        </w:rPr>
        <w:t>肾炎</w:t>
      </w:r>
    </w:p>
    <w:p>
      <w:pPr>
        <w:pStyle w:val="4"/>
        <w:spacing w:before="71" w:line="278" w:lineRule="auto"/>
        <w:ind w:left="181" w:right="622"/>
      </w:pPr>
      <w:r>
        <w:br w:type="column"/>
      </w:r>
      <w:r>
        <w:rPr>
          <w:spacing w:val="-2"/>
        </w:rPr>
        <w:t>系统性红斑狼疮是由多种因素引起，累及多系统的自身免疫性疾病。其特点是生成自身抗体对抗多种自身抗原。多见于育龄妇女。</w:t>
      </w:r>
    </w:p>
    <w:p>
      <w:pPr>
        <w:pStyle w:val="4"/>
        <w:spacing w:before="1" w:line="278" w:lineRule="auto"/>
        <w:ind w:left="181" w:right="622"/>
      </w:pPr>
      <w:r>
        <w:rPr>
          <w:spacing w:val="-2"/>
        </w:rPr>
        <w:t xml:space="preserve">本合同所指的系统性红斑狼疮仅限于累及肾脏（经肾脏活检确认的，符合 </w:t>
      </w:r>
      <w:r>
        <w:t>WHO</w:t>
      </w:r>
      <w:r>
        <w:rPr>
          <w:spacing w:val="-5"/>
        </w:rPr>
        <w:t xml:space="preserve"> 诊断标准定义Ⅲ型至 </w:t>
      </w:r>
      <w:r>
        <w:t>V</w:t>
      </w:r>
      <w:r>
        <w:rPr>
          <w:spacing w:val="-4"/>
        </w:rPr>
        <w:t xml:space="preserve"> 型狼疮性肾炎</w:t>
      </w:r>
      <w:r>
        <w:t>）的系统性红斑狼疮。</w:t>
      </w:r>
    </w:p>
    <w:p>
      <w:pPr>
        <w:pStyle w:val="4"/>
        <w:spacing w:line="278" w:lineRule="auto"/>
        <w:ind w:left="181" w:right="622"/>
      </w:pPr>
      <w:r>
        <w:rPr>
          <w:spacing w:val="-2"/>
        </w:rPr>
        <w:t>其他类型的红斑性狼疮，如盘状狼疮、仅累及血液及关节的狼疮不在保障</w:t>
      </w:r>
      <w:r>
        <w:rPr>
          <w:spacing w:val="-4"/>
        </w:rPr>
        <w:t>范围內。</w:t>
      </w:r>
    </w:p>
    <w:p>
      <w:pPr>
        <w:pStyle w:val="4"/>
        <w:ind w:left="181"/>
      </w:pPr>
      <w:r>
        <w:rPr>
          <w:spacing w:val="-2"/>
        </w:rPr>
        <w:t>世界卫生组织（WHO）</w:t>
      </w:r>
      <w:r>
        <w:rPr>
          <w:spacing w:val="-4"/>
        </w:rPr>
        <w:t>狼疮性肾炎分型：</w:t>
      </w:r>
    </w:p>
    <w:p>
      <w:pPr>
        <w:spacing w:after="0"/>
        <w:sectPr>
          <w:type w:val="continuous"/>
          <w:pgSz w:w="11910" w:h="16840"/>
          <w:pgMar w:top="920" w:right="680" w:bottom="420" w:left="880" w:header="0" w:footer="230" w:gutter="0"/>
          <w:cols w:equalWidth="0" w:num="2">
            <w:col w:w="2765" w:space="40"/>
            <w:col w:w="7545"/>
          </w:cols>
        </w:sectPr>
      </w:pPr>
    </w:p>
    <w:tbl>
      <w:tblPr>
        <w:tblStyle w:val="5"/>
        <w:tblW w:w="0" w:type="auto"/>
        <w:tblInd w:w="29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09"/>
        <w:gridCol w:w="28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809" w:type="dxa"/>
          </w:tcPr>
          <w:p>
            <w:pPr>
              <w:pStyle w:val="9"/>
              <w:spacing w:before="20"/>
              <w:ind w:left="-15"/>
              <w:rPr>
                <w:sz w:val="21"/>
              </w:rPr>
            </w:pPr>
            <w:r>
              <w:rPr>
                <w:spacing w:val="-2"/>
                <w:sz w:val="21"/>
              </w:rPr>
              <w:t>Ⅰ型（微小病变型</w:t>
            </w:r>
            <w:r>
              <w:rPr>
                <w:spacing w:val="-10"/>
                <w:sz w:val="21"/>
              </w:rPr>
              <w:t>）</w:t>
            </w:r>
          </w:p>
        </w:tc>
        <w:tc>
          <w:tcPr>
            <w:tcW w:w="2814" w:type="dxa"/>
          </w:tcPr>
          <w:p>
            <w:pPr>
              <w:pStyle w:val="9"/>
              <w:spacing w:before="20"/>
              <w:ind w:left="14"/>
              <w:rPr>
                <w:sz w:val="21"/>
              </w:rPr>
            </w:pPr>
            <w:r>
              <w:rPr>
                <w:spacing w:val="-3"/>
                <w:sz w:val="21"/>
              </w:rPr>
              <w:t>镜下阴性，尿液正常</w:t>
            </w:r>
          </w:p>
        </w:tc>
      </w:tr>
    </w:tbl>
    <w:p>
      <w:pPr>
        <w:spacing w:after="0"/>
        <w:rPr>
          <w:sz w:val="21"/>
        </w:rPr>
        <w:sectPr>
          <w:type w:val="continuous"/>
          <w:pgSz w:w="11910" w:h="16840"/>
          <w:pgMar w:top="920" w:right="680" w:bottom="420" w:left="880" w:header="0" w:footer="230" w:gutter="0"/>
          <w:cols w:space="720" w:num="1"/>
        </w:sectPr>
      </w:pPr>
    </w:p>
    <w:tbl>
      <w:tblPr>
        <w:tblStyle w:val="5"/>
        <w:tblW w:w="0" w:type="auto"/>
        <w:tblInd w:w="29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09"/>
        <w:gridCol w:w="28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809" w:type="dxa"/>
          </w:tcPr>
          <w:p>
            <w:pPr>
              <w:pStyle w:val="9"/>
              <w:spacing w:before="12"/>
              <w:ind w:left="-15"/>
              <w:rPr>
                <w:sz w:val="21"/>
              </w:rPr>
            </w:pPr>
            <w:r>
              <w:rPr>
                <w:spacing w:val="-2"/>
                <w:sz w:val="21"/>
              </w:rPr>
              <w:t>Ⅱ型（系膜病变型</w:t>
            </w:r>
            <w:r>
              <w:rPr>
                <w:spacing w:val="-10"/>
                <w:sz w:val="21"/>
              </w:rPr>
              <w:t>）</w:t>
            </w:r>
          </w:p>
        </w:tc>
        <w:tc>
          <w:tcPr>
            <w:tcW w:w="2814" w:type="dxa"/>
          </w:tcPr>
          <w:p>
            <w:pPr>
              <w:pStyle w:val="9"/>
              <w:spacing w:before="12"/>
              <w:ind w:left="14"/>
              <w:rPr>
                <w:sz w:val="21"/>
              </w:rPr>
            </w:pPr>
            <w:r>
              <w:rPr>
                <w:spacing w:val="-7"/>
                <w:sz w:val="21"/>
              </w:rPr>
              <w:t>中度蛋白尿，偶有尿沉渣改变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809" w:type="dxa"/>
          </w:tcPr>
          <w:p>
            <w:pPr>
              <w:pStyle w:val="9"/>
              <w:spacing w:before="12"/>
              <w:ind w:left="-15"/>
              <w:rPr>
                <w:sz w:val="21"/>
              </w:rPr>
            </w:pPr>
            <w:r>
              <w:rPr>
                <w:spacing w:val="-2"/>
                <w:sz w:val="21"/>
              </w:rPr>
              <w:t>Ⅲ型（局灶及节段增生型</w:t>
            </w:r>
            <w:r>
              <w:rPr>
                <w:spacing w:val="-10"/>
                <w:sz w:val="21"/>
              </w:rPr>
              <w:t>）</w:t>
            </w:r>
          </w:p>
        </w:tc>
        <w:tc>
          <w:tcPr>
            <w:tcW w:w="2814" w:type="dxa"/>
          </w:tcPr>
          <w:p>
            <w:pPr>
              <w:pStyle w:val="9"/>
              <w:spacing w:before="12"/>
              <w:ind w:left="14"/>
              <w:rPr>
                <w:sz w:val="21"/>
              </w:rPr>
            </w:pPr>
            <w:r>
              <w:rPr>
                <w:spacing w:val="-3"/>
                <w:sz w:val="21"/>
              </w:rPr>
              <w:t>蛋白尿，尿沉渣改变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809" w:type="dxa"/>
          </w:tcPr>
          <w:p>
            <w:pPr>
              <w:pStyle w:val="9"/>
              <w:spacing w:before="166"/>
              <w:ind w:left="-15"/>
              <w:rPr>
                <w:sz w:val="21"/>
              </w:rPr>
            </w:pPr>
            <w:r>
              <w:rPr>
                <w:spacing w:val="-2"/>
                <w:sz w:val="21"/>
              </w:rPr>
              <w:t>Ⅳ型（弥漫增生型</w:t>
            </w:r>
            <w:r>
              <w:rPr>
                <w:spacing w:val="-10"/>
                <w:sz w:val="21"/>
              </w:rPr>
              <w:t>）</w:t>
            </w:r>
          </w:p>
        </w:tc>
        <w:tc>
          <w:tcPr>
            <w:tcW w:w="2814" w:type="dxa"/>
          </w:tcPr>
          <w:p>
            <w:pPr>
              <w:pStyle w:val="9"/>
              <w:spacing w:before="12"/>
              <w:ind w:left="14"/>
              <w:rPr>
                <w:sz w:val="21"/>
              </w:rPr>
            </w:pPr>
            <w:r>
              <w:rPr>
                <w:spacing w:val="-1"/>
                <w:sz w:val="21"/>
              </w:rPr>
              <w:t>急性肾炎伴有尿沉渣改变及/</w:t>
            </w:r>
          </w:p>
          <w:p>
            <w:pPr>
              <w:pStyle w:val="9"/>
              <w:spacing w:before="43"/>
              <w:ind w:left="14"/>
              <w:rPr>
                <w:sz w:val="21"/>
              </w:rPr>
            </w:pPr>
            <w:r>
              <w:rPr>
                <w:spacing w:val="-4"/>
                <w:sz w:val="21"/>
              </w:rPr>
              <w:t>或肾病综合征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809" w:type="dxa"/>
          </w:tcPr>
          <w:p>
            <w:pPr>
              <w:pStyle w:val="9"/>
              <w:spacing w:before="12"/>
              <w:ind w:left="-15"/>
              <w:rPr>
                <w:sz w:val="21"/>
              </w:rPr>
            </w:pPr>
            <w:r>
              <w:rPr>
                <w:spacing w:val="-2"/>
                <w:sz w:val="21"/>
              </w:rPr>
              <w:t>Ⅴ型（膜型</w:t>
            </w:r>
            <w:r>
              <w:rPr>
                <w:spacing w:val="-10"/>
                <w:sz w:val="21"/>
              </w:rPr>
              <w:t>）</w:t>
            </w:r>
          </w:p>
        </w:tc>
        <w:tc>
          <w:tcPr>
            <w:tcW w:w="2814" w:type="dxa"/>
          </w:tcPr>
          <w:p>
            <w:pPr>
              <w:pStyle w:val="9"/>
              <w:spacing w:before="12"/>
              <w:ind w:left="14"/>
              <w:rPr>
                <w:sz w:val="21"/>
              </w:rPr>
            </w:pPr>
            <w:r>
              <w:rPr>
                <w:spacing w:val="-3"/>
                <w:sz w:val="21"/>
              </w:rPr>
              <w:t>肾病综合征或重度蛋白尿</w:t>
            </w:r>
          </w:p>
        </w:tc>
      </w:tr>
    </w:tbl>
    <w:p>
      <w:pPr>
        <w:pStyle w:val="4"/>
        <w:spacing w:before="6"/>
      </w:pPr>
    </w:p>
    <w:p>
      <w:pPr>
        <w:spacing w:after="0"/>
        <w:sectPr>
          <w:type w:val="continuous"/>
          <w:pgSz w:w="11910" w:h="16840"/>
          <w:pgMar w:top="70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因职业关系导致的人类免疫缺陷病毒</w:t>
      </w:r>
    </w:p>
    <w:p>
      <w:pPr>
        <w:spacing w:before="0" w:line="335" w:lineRule="exact"/>
        <w:ind w:left="1391" w:right="0" w:firstLine="0"/>
        <w:jc w:val="left"/>
        <w:rPr>
          <w:rFonts w:ascii="Microsoft JhengHei" w:eastAsia="Microsoft JhengHei"/>
          <w:b/>
          <w:sz w:val="21"/>
        </w:rPr>
      </w:pPr>
      <w:r>
        <w:rPr>
          <w:rFonts w:ascii="Microsoft JhengHei" w:eastAsia="Microsoft JhengHei"/>
          <w:b/>
          <w:w w:val="90"/>
          <w:sz w:val="21"/>
        </w:rPr>
        <w:t>（HIV）感</w:t>
      </w:r>
      <w:r>
        <w:rPr>
          <w:rFonts w:ascii="Microsoft JhengHei" w:eastAsia="Microsoft JhengHei"/>
          <w:b/>
          <w:spacing w:val="-10"/>
          <w:w w:val="90"/>
          <w:sz w:val="21"/>
        </w:rPr>
        <w:t>染</w:t>
      </w:r>
    </w:p>
    <w:p>
      <w:pPr>
        <w:pStyle w:val="4"/>
        <w:spacing w:before="71" w:line="273" w:lineRule="auto"/>
        <w:ind w:left="181" w:right="622"/>
      </w:pPr>
      <w:r>
        <w:br w:type="column"/>
      </w:r>
      <w:r>
        <w:rPr>
          <w:spacing w:val="-2"/>
        </w:rPr>
        <w:t>被保险人在其常规职业工作过程中遭遇外伤，或者职业需要处理血液或者其他体液时感染上人类免疫缺陷病毒</w:t>
      </w:r>
      <w:r>
        <w:rPr>
          <w:spacing w:val="21"/>
        </w:rPr>
        <w:t>（</w:t>
      </w:r>
      <w:r>
        <w:rPr>
          <w:spacing w:val="15"/>
        </w:rPr>
        <w:t>H</w:t>
      </w:r>
      <w:r>
        <w:rPr>
          <w:spacing w:val="20"/>
        </w:rPr>
        <w:t>IV</w:t>
      </w:r>
      <w:r>
        <w:rPr>
          <w:spacing w:val="-86"/>
        </w:rPr>
        <w:t>）</w:t>
      </w:r>
      <w:r>
        <w:rPr>
          <w:spacing w:val="-106"/>
        </w:rPr>
        <w:t>。</w:t>
      </w:r>
    </w:p>
    <w:p>
      <w:pPr>
        <w:pStyle w:val="4"/>
        <w:spacing w:before="6"/>
        <w:ind w:left="181"/>
      </w:pPr>
      <w:r>
        <w:rPr>
          <w:spacing w:val="-3"/>
        </w:rPr>
        <w:t>必须满足下列全部条件：</w:t>
      </w:r>
    </w:p>
    <w:p>
      <w:pPr>
        <w:pStyle w:val="8"/>
        <w:numPr>
          <w:ilvl w:val="0"/>
          <w:numId w:val="27"/>
        </w:numPr>
        <w:tabs>
          <w:tab w:val="left" w:pos="711"/>
        </w:tabs>
        <w:spacing w:before="43" w:after="0" w:line="278" w:lineRule="auto"/>
        <w:ind w:left="181" w:right="621" w:firstLine="0"/>
        <w:jc w:val="left"/>
        <w:rPr>
          <w:sz w:val="21"/>
        </w:rPr>
      </w:pPr>
      <w:r>
        <w:rPr>
          <w:spacing w:val="-2"/>
          <w:sz w:val="21"/>
        </w:rPr>
        <w:t>感染必须是在被保险人正在从事其职业工作中发生，该职业必须属于以下列表内的职业；</w:t>
      </w:r>
    </w:p>
    <w:p>
      <w:pPr>
        <w:pStyle w:val="8"/>
        <w:numPr>
          <w:ilvl w:val="0"/>
          <w:numId w:val="27"/>
        </w:numPr>
        <w:tabs>
          <w:tab w:val="left" w:pos="711"/>
        </w:tabs>
        <w:spacing w:before="0" w:after="0" w:line="240" w:lineRule="auto"/>
        <w:ind w:left="710" w:right="0" w:hanging="530"/>
        <w:jc w:val="left"/>
        <w:rPr>
          <w:sz w:val="21"/>
        </w:rPr>
      </w:pPr>
      <w:r>
        <w:rPr>
          <w:spacing w:val="-5"/>
          <w:sz w:val="21"/>
        </w:rPr>
        <w:t xml:space="preserve">血清转化必须出现在事故发生后的 </w:t>
      </w:r>
      <w:r>
        <w:rPr>
          <w:spacing w:val="-2"/>
          <w:sz w:val="21"/>
        </w:rPr>
        <w:t>6</w:t>
      </w:r>
      <w:r>
        <w:rPr>
          <w:spacing w:val="-12"/>
          <w:sz w:val="21"/>
        </w:rPr>
        <w:t xml:space="preserve"> 个月以内；</w:t>
      </w:r>
    </w:p>
    <w:p>
      <w:pPr>
        <w:pStyle w:val="8"/>
        <w:numPr>
          <w:ilvl w:val="0"/>
          <w:numId w:val="27"/>
        </w:numPr>
        <w:tabs>
          <w:tab w:val="left" w:pos="711"/>
        </w:tabs>
        <w:spacing w:before="43" w:after="0" w:line="278" w:lineRule="auto"/>
        <w:ind w:left="181" w:right="620" w:firstLine="0"/>
        <w:jc w:val="left"/>
        <w:rPr>
          <w:sz w:val="21"/>
        </w:rPr>
      </w:pPr>
      <w:r>
        <w:rPr>
          <w:spacing w:val="-1"/>
          <w:sz w:val="21"/>
        </w:rPr>
        <w:t xml:space="preserve">必须提供被保险人在所报事故发生后的 </w:t>
      </w:r>
      <w:r>
        <w:rPr>
          <w:sz w:val="21"/>
        </w:rPr>
        <w:t>5</w:t>
      </w:r>
      <w:r>
        <w:rPr>
          <w:spacing w:val="-5"/>
          <w:sz w:val="21"/>
        </w:rPr>
        <w:t xml:space="preserve"> 天以内进行的检查报告，</w:t>
      </w:r>
      <w:r>
        <w:rPr>
          <w:spacing w:val="-1"/>
          <w:sz w:val="21"/>
        </w:rPr>
        <w:t xml:space="preserve">该报告必须显示被保险人血液 </w:t>
      </w:r>
      <w:r>
        <w:rPr>
          <w:sz w:val="21"/>
        </w:rPr>
        <w:t>HIV</w:t>
      </w:r>
      <w:r>
        <w:rPr>
          <w:spacing w:val="-6"/>
          <w:sz w:val="21"/>
        </w:rPr>
        <w:t xml:space="preserve"> 病毒阴性和/或 </w:t>
      </w:r>
      <w:r>
        <w:rPr>
          <w:sz w:val="21"/>
        </w:rPr>
        <w:t>HIV</w:t>
      </w:r>
      <w:r>
        <w:rPr>
          <w:spacing w:val="-5"/>
          <w:sz w:val="21"/>
        </w:rPr>
        <w:t xml:space="preserve"> 抗体阴性；</w:t>
      </w:r>
    </w:p>
    <w:p>
      <w:pPr>
        <w:pStyle w:val="8"/>
        <w:numPr>
          <w:ilvl w:val="0"/>
          <w:numId w:val="27"/>
        </w:numPr>
        <w:tabs>
          <w:tab w:val="left" w:pos="711"/>
        </w:tabs>
        <w:spacing w:before="0" w:after="0" w:line="278" w:lineRule="auto"/>
        <w:ind w:left="181" w:right="619" w:firstLine="0"/>
        <w:jc w:val="left"/>
        <w:rPr>
          <w:sz w:val="21"/>
        </w:rPr>
      </w:pPr>
      <w:r>
        <w:rPr>
          <w:spacing w:val="-7"/>
          <w:sz w:val="21"/>
        </w:rPr>
        <w:t xml:space="preserve">必须在事故发生后的 </w:t>
      </w:r>
      <w:r>
        <w:rPr>
          <w:spacing w:val="-2"/>
          <w:sz w:val="21"/>
        </w:rPr>
        <w:t>12</w:t>
      </w:r>
      <w:r>
        <w:rPr>
          <w:spacing w:val="-12"/>
          <w:sz w:val="21"/>
        </w:rPr>
        <w:t xml:space="preserve"> 个月内证实被保险人体内存在 </w:t>
      </w:r>
      <w:r>
        <w:rPr>
          <w:spacing w:val="-2"/>
          <w:sz w:val="21"/>
        </w:rPr>
        <w:t>HIV</w:t>
      </w:r>
      <w:r>
        <w:rPr>
          <w:spacing w:val="-11"/>
          <w:sz w:val="21"/>
        </w:rPr>
        <w:t xml:space="preserve"> 病毒或者</w:t>
      </w:r>
      <w:r>
        <w:rPr>
          <w:spacing w:val="-2"/>
          <w:sz w:val="21"/>
        </w:rPr>
        <w:t xml:space="preserve"> </w:t>
      </w:r>
      <w:r>
        <w:rPr>
          <w:sz w:val="21"/>
        </w:rPr>
        <w:t>HIV</w:t>
      </w:r>
      <w:r>
        <w:rPr>
          <w:spacing w:val="-12"/>
          <w:sz w:val="21"/>
        </w:rPr>
        <w:t xml:space="preserve"> 抗体。</w:t>
      </w:r>
    </w:p>
    <w:p>
      <w:pPr>
        <w:pStyle w:val="4"/>
        <w:ind w:left="181"/>
      </w:pPr>
      <w:r>
        <w:rPr>
          <w:spacing w:val="-3"/>
        </w:rPr>
        <w:t>职业限制如下所示:</w:t>
      </w:r>
    </w:p>
    <w:tbl>
      <w:tblPr>
        <w:tblStyle w:val="5"/>
        <w:tblW w:w="0" w:type="auto"/>
        <w:tblInd w:w="19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809"/>
        <w:gridCol w:w="281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809" w:type="dxa"/>
          </w:tcPr>
          <w:p>
            <w:pPr>
              <w:pStyle w:val="9"/>
              <w:spacing w:before="20"/>
              <w:ind w:left="391" w:right="504"/>
              <w:jc w:val="center"/>
              <w:rPr>
                <w:sz w:val="21"/>
              </w:rPr>
            </w:pPr>
            <w:r>
              <w:rPr>
                <w:spacing w:val="-4"/>
                <w:sz w:val="21"/>
              </w:rPr>
              <w:t>医生和牙科医生</w:t>
            </w:r>
          </w:p>
        </w:tc>
        <w:tc>
          <w:tcPr>
            <w:tcW w:w="2814" w:type="dxa"/>
          </w:tcPr>
          <w:p>
            <w:pPr>
              <w:pStyle w:val="9"/>
              <w:spacing w:before="20"/>
              <w:ind w:left="621" w:right="696"/>
              <w:jc w:val="center"/>
              <w:rPr>
                <w:sz w:val="21"/>
              </w:rPr>
            </w:pPr>
            <w:r>
              <w:rPr>
                <w:spacing w:val="-5"/>
                <w:sz w:val="21"/>
              </w:rPr>
              <w:t>护士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809" w:type="dxa"/>
          </w:tcPr>
          <w:p>
            <w:pPr>
              <w:pStyle w:val="9"/>
              <w:spacing w:before="20"/>
              <w:ind w:left="391" w:right="505"/>
              <w:jc w:val="center"/>
              <w:rPr>
                <w:sz w:val="21"/>
              </w:rPr>
            </w:pPr>
            <w:r>
              <w:rPr>
                <w:spacing w:val="-3"/>
                <w:sz w:val="21"/>
              </w:rPr>
              <w:t>医院化验室工作人员</w:t>
            </w:r>
          </w:p>
        </w:tc>
        <w:tc>
          <w:tcPr>
            <w:tcW w:w="2814" w:type="dxa"/>
          </w:tcPr>
          <w:p>
            <w:pPr>
              <w:pStyle w:val="9"/>
              <w:spacing w:before="20"/>
              <w:ind w:left="621" w:right="696"/>
              <w:jc w:val="center"/>
              <w:rPr>
                <w:sz w:val="21"/>
              </w:rPr>
            </w:pPr>
            <w:r>
              <w:rPr>
                <w:spacing w:val="-3"/>
                <w:sz w:val="21"/>
              </w:rPr>
              <w:t>医院护工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809" w:type="dxa"/>
          </w:tcPr>
          <w:p>
            <w:pPr>
              <w:pStyle w:val="9"/>
              <w:spacing w:before="20"/>
              <w:ind w:left="391" w:right="505"/>
              <w:jc w:val="center"/>
              <w:rPr>
                <w:sz w:val="21"/>
              </w:rPr>
            </w:pPr>
            <w:r>
              <w:rPr>
                <w:spacing w:val="-3"/>
                <w:sz w:val="21"/>
              </w:rPr>
              <w:t>医生助理和牙医助理</w:t>
            </w:r>
          </w:p>
        </w:tc>
        <w:tc>
          <w:tcPr>
            <w:tcW w:w="2814" w:type="dxa"/>
          </w:tcPr>
          <w:p>
            <w:pPr>
              <w:pStyle w:val="9"/>
              <w:spacing w:before="20"/>
              <w:ind w:left="621" w:right="701"/>
              <w:jc w:val="center"/>
              <w:rPr>
                <w:sz w:val="21"/>
              </w:rPr>
            </w:pPr>
            <w:r>
              <w:rPr>
                <w:spacing w:val="-4"/>
                <w:sz w:val="21"/>
              </w:rPr>
              <w:t>救护车工作人员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trPr>
        <w:tc>
          <w:tcPr>
            <w:tcW w:w="2809" w:type="dxa"/>
          </w:tcPr>
          <w:p>
            <w:pPr>
              <w:pStyle w:val="9"/>
              <w:spacing w:before="20"/>
              <w:ind w:left="391" w:right="499"/>
              <w:jc w:val="center"/>
              <w:rPr>
                <w:sz w:val="21"/>
              </w:rPr>
            </w:pPr>
            <w:r>
              <w:rPr>
                <w:spacing w:val="-4"/>
                <w:sz w:val="21"/>
              </w:rPr>
              <w:t>助产士</w:t>
            </w:r>
          </w:p>
        </w:tc>
        <w:tc>
          <w:tcPr>
            <w:tcW w:w="2814" w:type="dxa"/>
          </w:tcPr>
          <w:p>
            <w:pPr>
              <w:pStyle w:val="9"/>
              <w:spacing w:before="20"/>
              <w:ind w:left="621" w:right="696"/>
              <w:jc w:val="center"/>
              <w:rPr>
                <w:sz w:val="21"/>
              </w:rPr>
            </w:pPr>
            <w:r>
              <w:rPr>
                <w:spacing w:val="-3"/>
                <w:sz w:val="21"/>
              </w:rPr>
              <w:t>消防队员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2809" w:type="dxa"/>
          </w:tcPr>
          <w:p>
            <w:pPr>
              <w:pStyle w:val="9"/>
              <w:spacing w:before="20"/>
              <w:ind w:left="391" w:right="499"/>
              <w:jc w:val="center"/>
              <w:rPr>
                <w:sz w:val="21"/>
              </w:rPr>
            </w:pPr>
            <w:r>
              <w:rPr>
                <w:spacing w:val="-5"/>
                <w:sz w:val="21"/>
              </w:rPr>
              <w:t>警察</w:t>
            </w:r>
          </w:p>
        </w:tc>
        <w:tc>
          <w:tcPr>
            <w:tcW w:w="2814" w:type="dxa"/>
          </w:tcPr>
          <w:p>
            <w:pPr>
              <w:pStyle w:val="9"/>
              <w:spacing w:before="20"/>
              <w:ind w:left="621" w:right="696"/>
              <w:jc w:val="center"/>
              <w:rPr>
                <w:sz w:val="21"/>
              </w:rPr>
            </w:pPr>
            <w:r>
              <w:rPr>
                <w:spacing w:val="-5"/>
                <w:sz w:val="21"/>
              </w:rPr>
              <w:t>狱警</w:t>
            </w:r>
          </w:p>
        </w:tc>
      </w:tr>
    </w:tbl>
    <w:p>
      <w:pPr>
        <w:pStyle w:val="4"/>
        <w:spacing w:before="46"/>
        <w:ind w:left="181"/>
      </w:pPr>
      <w:r>
        <w:rPr>
          <w:spacing w:val="-7"/>
        </w:rPr>
        <w:t>本合同责任免除中的“感染艾滋病病毒或患艾滋病”规定，不适用于本条。</w:t>
      </w:r>
    </w:p>
    <w:p>
      <w:pPr>
        <w:spacing w:after="0"/>
        <w:sectPr>
          <w:type w:val="continuous"/>
          <w:pgSz w:w="11910" w:h="16840"/>
          <w:pgMar w:top="920" w:right="680" w:bottom="420" w:left="880" w:header="0" w:footer="230" w:gutter="0"/>
          <w:cols w:equalWidth="0" w:num="2">
            <w:col w:w="2765" w:space="40"/>
            <w:col w:w="7545"/>
          </w:cols>
        </w:sectPr>
      </w:pP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经输血导致的人类免疫缺</w:t>
      </w:r>
      <w:r>
        <w:rPr>
          <w:spacing w:val="-2"/>
          <w:w w:val="95"/>
        </w:rPr>
        <w:t>陷病毒（HIV）</w:t>
      </w:r>
      <w:r>
        <w:rPr>
          <w:spacing w:val="-6"/>
        </w:rPr>
        <w:t>感染</w:t>
      </w:r>
    </w:p>
    <w:p>
      <w:pPr>
        <w:pStyle w:val="4"/>
        <w:spacing w:before="72"/>
        <w:ind w:left="180"/>
      </w:pPr>
      <w:r>
        <w:br w:type="column"/>
      </w:r>
      <w:r>
        <w:rPr>
          <w:spacing w:val="-2"/>
        </w:rPr>
        <w:t>被保险人感染上人类免疫缺陷病毒（HIV）</w:t>
      </w:r>
      <w:r>
        <w:rPr>
          <w:spacing w:val="-3"/>
        </w:rPr>
        <w:t>并且满足下列全部条件：</w:t>
      </w:r>
    </w:p>
    <w:p>
      <w:pPr>
        <w:pStyle w:val="8"/>
        <w:numPr>
          <w:ilvl w:val="0"/>
          <w:numId w:val="28"/>
        </w:numPr>
        <w:tabs>
          <w:tab w:val="left" w:pos="710"/>
        </w:tabs>
        <w:spacing w:before="38" w:after="0" w:line="240" w:lineRule="auto"/>
        <w:ind w:left="709" w:right="0" w:hanging="530"/>
        <w:jc w:val="left"/>
        <w:rPr>
          <w:sz w:val="21"/>
        </w:rPr>
      </w:pPr>
      <w:r>
        <w:rPr>
          <w:spacing w:val="-4"/>
          <w:sz w:val="21"/>
        </w:rPr>
        <w:t>在本合同生效日或复效日之后，被保险人因输血而感染 HIV；</w:t>
      </w:r>
    </w:p>
    <w:p>
      <w:pPr>
        <w:pStyle w:val="8"/>
        <w:numPr>
          <w:ilvl w:val="0"/>
          <w:numId w:val="28"/>
        </w:numPr>
        <w:tabs>
          <w:tab w:val="left" w:pos="710"/>
        </w:tabs>
        <w:spacing w:before="43" w:after="0" w:line="278" w:lineRule="auto"/>
        <w:ind w:left="180" w:right="615" w:firstLine="0"/>
        <w:jc w:val="left"/>
        <w:rPr>
          <w:sz w:val="21"/>
        </w:rPr>
      </w:pPr>
      <w:r>
        <w:rPr>
          <w:spacing w:val="-2"/>
          <w:sz w:val="21"/>
        </w:rPr>
        <w:t>提供输血治疗的输血中心或本公司认可的医院出具该项输血感染属医疗责任事故的报告，或者法院终审裁定为医疗责任并且不准上诉；</w:t>
      </w:r>
    </w:p>
    <w:p>
      <w:pPr>
        <w:pStyle w:val="8"/>
        <w:numPr>
          <w:ilvl w:val="0"/>
          <w:numId w:val="28"/>
        </w:numPr>
        <w:tabs>
          <w:tab w:val="left" w:pos="710"/>
        </w:tabs>
        <w:spacing w:before="0" w:after="0" w:line="269" w:lineRule="exact"/>
        <w:ind w:left="709" w:right="0" w:hanging="530"/>
        <w:jc w:val="left"/>
        <w:rPr>
          <w:sz w:val="21"/>
        </w:rPr>
      </w:pPr>
      <w:r>
        <w:rPr>
          <w:spacing w:val="-3"/>
          <w:sz w:val="21"/>
        </w:rPr>
        <w:t>受感染的被保险人不是血友病患者。</w:t>
      </w:r>
    </w:p>
    <w:p>
      <w:pPr>
        <w:pStyle w:val="4"/>
        <w:spacing w:before="43" w:line="278" w:lineRule="auto"/>
        <w:ind w:left="180" w:right="616"/>
        <w:jc w:val="both"/>
      </w:pPr>
      <w:r>
        <w:rPr>
          <w:spacing w:val="-2"/>
        </w:rPr>
        <w:t>在任何治愈艾滋病（AIDS）</w:t>
      </w:r>
      <w:r>
        <w:rPr>
          <w:spacing w:val="-8"/>
        </w:rPr>
        <w:t xml:space="preserve">或阻止 </w:t>
      </w:r>
      <w:r>
        <w:rPr>
          <w:spacing w:val="-2"/>
        </w:rPr>
        <w:t>HIV</w:t>
      </w:r>
      <w:r>
        <w:rPr>
          <w:spacing w:val="-7"/>
        </w:rPr>
        <w:t xml:space="preserve"> 病毒作用的疗法被发现以后，或能防止 </w:t>
      </w:r>
      <w:r>
        <w:t>AIDS</w:t>
      </w:r>
      <w:r>
        <w:rPr>
          <w:spacing w:val="-5"/>
        </w:rPr>
        <w:t xml:space="preserve"> 发生的医疗方法被研究出来以后，本保障将不再予以赔付。</w:t>
      </w:r>
    </w:p>
    <w:p>
      <w:pPr>
        <w:pStyle w:val="4"/>
        <w:spacing w:line="278" w:lineRule="auto"/>
        <w:ind w:left="180" w:right="619"/>
        <w:jc w:val="both"/>
      </w:pPr>
      <w:r>
        <w:rPr>
          <w:spacing w:val="-2"/>
        </w:rPr>
        <w:t>任何因其他传播方式（包括：性传播或静脉注射毒品）</w:t>
      </w:r>
      <w:r>
        <w:rPr>
          <w:spacing w:val="-8"/>
        </w:rPr>
        <w:t xml:space="preserve">导致的 </w:t>
      </w:r>
      <w:r>
        <w:rPr>
          <w:spacing w:val="-2"/>
        </w:rPr>
        <w:t>HIV</w:t>
      </w:r>
      <w:r>
        <w:rPr>
          <w:spacing w:val="-8"/>
        </w:rPr>
        <w:t xml:space="preserve"> 感染不</w:t>
      </w:r>
      <w:r>
        <w:rPr>
          <w:spacing w:val="-2"/>
        </w:rPr>
        <w:t>在保障范围内。我们必须拥有获得使用被保险人的所有血液样本的权利和能够对这些样本进行独立检验的权利。</w:t>
      </w:r>
    </w:p>
    <w:p>
      <w:pPr>
        <w:pStyle w:val="4"/>
        <w:spacing w:line="269" w:lineRule="exact"/>
        <w:ind w:left="180"/>
      </w:pPr>
      <w:r>
        <w:rPr>
          <w:spacing w:val="-7"/>
        </w:rPr>
        <w:t>本合同责任免除中的“感染艾滋病病毒或患艾滋病”规定，不适用于本条。</w:t>
      </w:r>
    </w:p>
    <w:p>
      <w:pPr>
        <w:spacing w:after="0" w:line="269" w:lineRule="exact"/>
        <w:sectPr>
          <w:type w:val="continuous"/>
          <w:pgSz w:w="11910" w:h="16840"/>
          <w:pgMar w:top="920" w:right="680" w:bottom="420" w:left="880" w:header="0" w:footer="230" w:gutter="0"/>
          <w:cols w:equalWidth="0" w:num="2">
            <w:col w:w="2765" w:space="40"/>
            <w:col w:w="7545"/>
          </w:cols>
        </w:sectPr>
      </w:pPr>
    </w:p>
    <w:p>
      <w:pPr>
        <w:pStyle w:val="4"/>
        <w:spacing w:before="9"/>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肺源性心脏</w:t>
      </w:r>
      <w:r>
        <w:rPr>
          <w:spacing w:val="-10"/>
        </w:rPr>
        <w:t>病</w:t>
      </w:r>
    </w:p>
    <w:p>
      <w:pPr>
        <w:pStyle w:val="4"/>
        <w:spacing w:before="71" w:line="273" w:lineRule="auto"/>
        <w:ind w:left="181" w:right="512"/>
      </w:pPr>
      <w:r>
        <w:br w:type="column"/>
      </w:r>
      <w:r>
        <w:rPr>
          <w:spacing w:val="-2"/>
        </w:rPr>
        <w:t>指由于各种胸肺及支气管病变而继发的肺动脉高压，最后导致以右室肥大</w:t>
      </w:r>
      <w:r>
        <w:rPr>
          <w:spacing w:val="-8"/>
        </w:rPr>
        <w:t>为特征的心脏病。须经呼吸专科医生确诊，且必须同时满足如下诊断标准：</w:t>
      </w:r>
    </w:p>
    <w:p>
      <w:pPr>
        <w:pStyle w:val="8"/>
        <w:numPr>
          <w:ilvl w:val="0"/>
          <w:numId w:val="29"/>
        </w:numPr>
        <w:tabs>
          <w:tab w:val="left" w:pos="711"/>
        </w:tabs>
        <w:spacing w:before="6" w:after="0" w:line="240" w:lineRule="auto"/>
        <w:ind w:left="710" w:right="0" w:hanging="530"/>
        <w:jc w:val="left"/>
        <w:rPr>
          <w:sz w:val="21"/>
        </w:rPr>
      </w:pPr>
      <w:r>
        <w:rPr>
          <w:spacing w:val="-2"/>
          <w:sz w:val="21"/>
        </w:rPr>
        <w:t>左心房压力增高（</w:t>
      </w:r>
      <w:r>
        <w:rPr>
          <w:spacing w:val="-14"/>
          <w:sz w:val="21"/>
        </w:rPr>
        <w:t xml:space="preserve">不低于 </w:t>
      </w:r>
      <w:r>
        <w:rPr>
          <w:spacing w:val="-2"/>
          <w:sz w:val="21"/>
        </w:rPr>
        <w:t>20</w:t>
      </w:r>
      <w:r>
        <w:rPr>
          <w:spacing w:val="-14"/>
          <w:sz w:val="21"/>
        </w:rPr>
        <w:t xml:space="preserve"> 个单位</w:t>
      </w:r>
      <w:r>
        <w:rPr>
          <w:spacing w:val="-111"/>
          <w:sz w:val="21"/>
        </w:rPr>
        <w:t>）</w:t>
      </w:r>
      <w:r>
        <w:rPr>
          <w:spacing w:val="-5"/>
          <w:sz w:val="21"/>
        </w:rPr>
        <w:t>；</w:t>
      </w:r>
    </w:p>
    <w:p>
      <w:pPr>
        <w:pStyle w:val="8"/>
        <w:numPr>
          <w:ilvl w:val="0"/>
          <w:numId w:val="29"/>
        </w:numPr>
        <w:tabs>
          <w:tab w:val="left" w:pos="711"/>
        </w:tabs>
        <w:spacing w:before="43" w:after="0" w:line="240" w:lineRule="auto"/>
        <w:ind w:left="710" w:right="0" w:hanging="530"/>
        <w:jc w:val="left"/>
        <w:rPr>
          <w:sz w:val="21"/>
        </w:rPr>
      </w:pPr>
      <w:r>
        <w:rPr>
          <w:spacing w:val="-5"/>
          <w:sz w:val="21"/>
        </w:rPr>
        <w:t xml:space="preserve">肺血管阻力高于正常值 </w:t>
      </w:r>
      <w:r>
        <w:rPr>
          <w:sz w:val="21"/>
        </w:rPr>
        <w:t>3</w:t>
      </w:r>
      <w:r>
        <w:rPr>
          <w:spacing w:val="-15"/>
          <w:sz w:val="21"/>
        </w:rPr>
        <w:t xml:space="preserve"> 个单位</w:t>
      </w:r>
      <w:r>
        <w:rPr>
          <w:sz w:val="21"/>
        </w:rPr>
        <w:t>（Pulmonary</w:t>
      </w:r>
      <w:r>
        <w:rPr>
          <w:spacing w:val="-20"/>
          <w:sz w:val="21"/>
        </w:rPr>
        <w:t xml:space="preserve"> </w:t>
      </w:r>
      <w:r>
        <w:rPr>
          <w:spacing w:val="11"/>
          <w:sz w:val="21"/>
        </w:rPr>
        <w:t>R</w:t>
      </w:r>
      <w:r>
        <w:rPr>
          <w:spacing w:val="16"/>
          <w:sz w:val="21"/>
        </w:rPr>
        <w:t>esistanc</w:t>
      </w:r>
      <w:r>
        <w:rPr>
          <w:spacing w:val="17"/>
          <w:sz w:val="21"/>
        </w:rPr>
        <w:t>e</w:t>
      </w:r>
      <w:r>
        <w:rPr>
          <w:spacing w:val="-95"/>
          <w:sz w:val="21"/>
        </w:rPr>
        <w:t>）；</w:t>
      </w:r>
    </w:p>
    <w:p>
      <w:pPr>
        <w:pStyle w:val="8"/>
        <w:numPr>
          <w:ilvl w:val="0"/>
          <w:numId w:val="29"/>
        </w:numPr>
        <w:tabs>
          <w:tab w:val="left" w:pos="711"/>
        </w:tabs>
        <w:spacing w:before="43" w:after="0" w:line="240" w:lineRule="auto"/>
        <w:ind w:left="710" w:right="0" w:hanging="530"/>
        <w:jc w:val="left"/>
        <w:rPr>
          <w:sz w:val="21"/>
        </w:rPr>
      </w:pPr>
      <w:r>
        <w:rPr>
          <w:spacing w:val="-8"/>
          <w:sz w:val="21"/>
        </w:rPr>
        <w:t xml:space="preserve">肺动脉血压不低于 </w:t>
      </w:r>
      <w:r>
        <w:rPr>
          <w:spacing w:val="-2"/>
          <w:sz w:val="21"/>
        </w:rPr>
        <w:t>40</w:t>
      </w:r>
      <w:r>
        <w:rPr>
          <w:spacing w:val="-12"/>
          <w:sz w:val="21"/>
        </w:rPr>
        <w:t xml:space="preserve"> 毫米汞柱；</w:t>
      </w:r>
    </w:p>
    <w:p>
      <w:pPr>
        <w:pStyle w:val="8"/>
        <w:numPr>
          <w:ilvl w:val="0"/>
          <w:numId w:val="29"/>
        </w:numPr>
        <w:tabs>
          <w:tab w:val="left" w:pos="711"/>
        </w:tabs>
        <w:spacing w:before="43" w:after="0" w:line="240" w:lineRule="auto"/>
        <w:ind w:left="710" w:right="0" w:hanging="530"/>
        <w:jc w:val="left"/>
        <w:rPr>
          <w:sz w:val="21"/>
        </w:rPr>
      </w:pPr>
      <w:r>
        <w:rPr>
          <w:spacing w:val="-8"/>
          <w:sz w:val="21"/>
        </w:rPr>
        <w:t xml:space="preserve">肺动脉楔压不低于 </w:t>
      </w:r>
      <w:r>
        <w:rPr>
          <w:spacing w:val="-2"/>
          <w:sz w:val="21"/>
        </w:rPr>
        <w:t>6</w:t>
      </w:r>
      <w:r>
        <w:rPr>
          <w:spacing w:val="-12"/>
          <w:sz w:val="21"/>
        </w:rPr>
        <w:t xml:space="preserve"> 毫米汞柱；</w:t>
      </w:r>
    </w:p>
    <w:p>
      <w:pPr>
        <w:pStyle w:val="8"/>
        <w:numPr>
          <w:ilvl w:val="0"/>
          <w:numId w:val="29"/>
        </w:numPr>
        <w:tabs>
          <w:tab w:val="left" w:pos="711"/>
        </w:tabs>
        <w:spacing w:before="43" w:after="0" w:line="240" w:lineRule="auto"/>
        <w:ind w:left="710" w:right="0" w:hanging="530"/>
        <w:jc w:val="left"/>
        <w:rPr>
          <w:sz w:val="21"/>
        </w:rPr>
      </w:pPr>
      <w:r>
        <w:rPr>
          <w:spacing w:val="-5"/>
          <w:sz w:val="21"/>
        </w:rPr>
        <w:t xml:space="preserve">右心室心脏舒张期末压力不低于 </w:t>
      </w:r>
      <w:r>
        <w:rPr>
          <w:spacing w:val="-2"/>
          <w:sz w:val="21"/>
        </w:rPr>
        <w:t>8</w:t>
      </w:r>
      <w:r>
        <w:rPr>
          <w:spacing w:val="-12"/>
          <w:sz w:val="21"/>
        </w:rPr>
        <w:t xml:space="preserve"> 毫米汞柱；</w:t>
      </w:r>
    </w:p>
    <w:p>
      <w:pPr>
        <w:pStyle w:val="8"/>
        <w:numPr>
          <w:ilvl w:val="0"/>
          <w:numId w:val="29"/>
        </w:numPr>
        <w:tabs>
          <w:tab w:val="left" w:pos="711"/>
        </w:tabs>
        <w:spacing w:before="43" w:after="0" w:line="240" w:lineRule="auto"/>
        <w:ind w:left="710" w:right="0" w:hanging="530"/>
        <w:jc w:val="left"/>
        <w:rPr>
          <w:sz w:val="21"/>
        </w:rPr>
      </w:pPr>
      <w:r>
        <w:rPr>
          <w:spacing w:val="-3"/>
          <w:sz w:val="21"/>
        </w:rPr>
        <w:t>右心室过度肥大、扩张，出现右心衰竭和呼吸困难。</w:t>
      </w:r>
    </w:p>
    <w:p>
      <w:pPr>
        <w:spacing w:after="0" w:line="240" w:lineRule="auto"/>
        <w:jc w:val="left"/>
        <w:rPr>
          <w:sz w:val="21"/>
        </w:rPr>
        <w:sectPr>
          <w:type w:val="continuous"/>
          <w:pgSz w:w="11910" w:h="16840"/>
          <w:pgMar w:top="920" w:right="680" w:bottom="420" w:left="880" w:header="0" w:footer="230" w:gutter="0"/>
          <w:cols w:equalWidth="0" w:num="2">
            <w:col w:w="2765" w:space="40"/>
            <w:col w:w="7545"/>
          </w:cols>
        </w:sectPr>
      </w:pPr>
    </w:p>
    <w:p>
      <w:pPr>
        <w:pStyle w:val="4"/>
        <w:spacing w:before="8"/>
        <w:rPr>
          <w:sz w:val="23"/>
        </w:rPr>
      </w:pPr>
    </w:p>
    <w:p>
      <w:pPr>
        <w:pStyle w:val="8"/>
        <w:numPr>
          <w:ilvl w:val="2"/>
          <w:numId w:val="12"/>
        </w:numPr>
        <w:tabs>
          <w:tab w:val="left" w:pos="1710"/>
        </w:tabs>
        <w:spacing w:before="2" w:after="0" w:line="256" w:lineRule="auto"/>
        <w:ind w:left="2985" w:right="620" w:hanging="1594"/>
        <w:jc w:val="both"/>
        <w:rPr>
          <w:sz w:val="21"/>
        </w:rPr>
      </w:pPr>
      <w:r>
        <w:rPr>
          <w:rFonts w:ascii="Microsoft JhengHei" w:eastAsia="Microsoft JhengHei"/>
          <w:b/>
          <w:sz w:val="21"/>
        </w:rPr>
        <w:t>植物人状态</w:t>
      </w:r>
      <w:r>
        <w:rPr>
          <w:rFonts w:ascii="Microsoft JhengHei" w:eastAsia="Microsoft JhengHei"/>
          <w:b/>
          <w:spacing w:val="80"/>
          <w:w w:val="150"/>
          <w:sz w:val="21"/>
        </w:rPr>
        <w:t xml:space="preserve"> </w:t>
      </w:r>
      <w:r>
        <w:rPr>
          <w:sz w:val="21"/>
        </w:rPr>
        <w:t>植物人状态系指由于严重颅脑外伤造成大脑和/或脑干严重损害导致完全</w:t>
      </w:r>
      <w:r>
        <w:rPr>
          <w:spacing w:val="-2"/>
          <w:sz w:val="21"/>
        </w:rPr>
        <w:t>永久性的对自身和环境的意识丧失和中枢神经系统功能丧失，仅残存植物神经功能的疾病状态。植物人状态必须明确诊断并且具有严重颅脑外伤和</w:t>
      </w:r>
    </w:p>
    <w:p>
      <w:pPr>
        <w:spacing w:after="0" w:line="256" w:lineRule="auto"/>
        <w:jc w:val="both"/>
        <w:rPr>
          <w:sz w:val="21"/>
        </w:rPr>
        <w:sectPr>
          <w:type w:val="continuous"/>
          <w:pgSz w:w="11910" w:h="16840"/>
          <w:pgMar w:top="920" w:right="680" w:bottom="420" w:left="880" w:header="0" w:footer="230" w:gutter="0"/>
          <w:cols w:space="720" w:num="1"/>
        </w:sectPr>
      </w:pPr>
    </w:p>
    <w:p>
      <w:pPr>
        <w:pStyle w:val="4"/>
        <w:spacing w:before="53"/>
        <w:ind w:left="2985"/>
      </w:pPr>
      <w:r>
        <w:rPr>
          <w:spacing w:val="-4"/>
        </w:rPr>
        <w:t xml:space="preserve">脑损害的证据。植物人状态必须持续 </w:t>
      </w:r>
      <w:r>
        <w:rPr>
          <w:spacing w:val="-2"/>
        </w:rPr>
        <w:t>30</w:t>
      </w:r>
      <w:r>
        <w:rPr>
          <w:spacing w:val="-10"/>
        </w:rPr>
        <w:t xml:space="preserve"> 天以上方可申请理赔。</w:t>
      </w:r>
    </w:p>
    <w:p>
      <w:pPr>
        <w:pStyle w:val="4"/>
        <w:spacing w:before="2"/>
        <w:rPr>
          <w:sz w:val="23"/>
        </w:rPr>
      </w:pPr>
    </w:p>
    <w:p>
      <w:pPr>
        <w:spacing w:after="0"/>
        <w:rPr>
          <w:sz w:val="23"/>
        </w:rPr>
        <w:sectPr>
          <w:pgSz w:w="11910" w:h="16840"/>
          <w:pgMar w:top="660" w:right="680" w:bottom="420" w:left="880" w:header="0" w:footer="230" w:gutter="0"/>
          <w:cols w:space="720" w:num="1"/>
        </w:sectPr>
      </w:pPr>
    </w:p>
    <w:p>
      <w:pPr>
        <w:pStyle w:val="3"/>
        <w:numPr>
          <w:ilvl w:val="2"/>
          <w:numId w:val="12"/>
        </w:numPr>
        <w:tabs>
          <w:tab w:val="left" w:pos="1710"/>
        </w:tabs>
        <w:spacing w:before="56" w:after="0" w:line="194" w:lineRule="auto"/>
        <w:ind w:left="1391" w:right="0" w:firstLine="0"/>
        <w:jc w:val="left"/>
      </w:pPr>
      <w:r>
        <w:rPr>
          <w:spacing w:val="-2"/>
        </w:rPr>
        <w:t>严重类风湿</w:t>
      </w:r>
      <w:r>
        <w:rPr>
          <w:spacing w:val="-4"/>
        </w:rPr>
        <w:t>性关节炎</w:t>
      </w:r>
    </w:p>
    <w:p>
      <w:pPr>
        <w:pStyle w:val="4"/>
        <w:spacing w:before="72" w:line="278" w:lineRule="auto"/>
        <w:ind w:left="181" w:right="512"/>
        <w:jc w:val="both"/>
      </w:pPr>
      <w:r>
        <w:br w:type="column"/>
      </w:r>
      <w:r>
        <w:rPr>
          <w:spacing w:val="-2"/>
        </w:rPr>
        <w:t>类风湿性关节炎为广泛分布的慢性进行性多关节病变，表现为关节严重变</w:t>
      </w:r>
      <w:r>
        <w:rPr>
          <w:spacing w:val="-4"/>
        </w:rPr>
        <w:t>形，侵犯至少三个主要关节或关节组【如：双手（多手指）关节、双足（多</w:t>
      </w:r>
      <w:r>
        <w:rPr>
          <w:spacing w:val="-2"/>
        </w:rPr>
        <w:t>足趾）</w:t>
      </w:r>
      <w:r>
        <w:rPr>
          <w:spacing w:val="-8"/>
        </w:rPr>
        <w:t>关节、双腕关节、双膝关节和双髋关节】。类风湿性关节炎必须明确</w:t>
      </w:r>
      <w:r>
        <w:rPr>
          <w:spacing w:val="-2"/>
        </w:rPr>
        <w:t>诊断并且已经达到类风湿性关节炎功能分级Ⅲ级以上的功能障碍（关节活</w:t>
      </w:r>
      <w:r>
        <w:rPr>
          <w:spacing w:val="-4"/>
        </w:rPr>
        <w:t>动严重限制，不能完成大部分的日常工作和活动）</w:t>
      </w:r>
      <w:r>
        <w:rPr>
          <w:spacing w:val="-5"/>
        </w:rPr>
        <w:t>并且满足下列全部条件：</w:t>
      </w:r>
    </w:p>
    <w:p>
      <w:pPr>
        <w:pStyle w:val="8"/>
        <w:numPr>
          <w:ilvl w:val="0"/>
          <w:numId w:val="30"/>
        </w:numPr>
        <w:tabs>
          <w:tab w:val="left" w:pos="711"/>
        </w:tabs>
        <w:spacing w:before="0" w:after="0" w:line="240" w:lineRule="auto"/>
        <w:ind w:left="710" w:right="0" w:hanging="530"/>
        <w:jc w:val="left"/>
        <w:rPr>
          <w:sz w:val="21"/>
        </w:rPr>
      </w:pPr>
      <w:r>
        <w:rPr>
          <w:spacing w:val="-4"/>
          <w:sz w:val="21"/>
        </w:rPr>
        <w:t>晨僵；</w:t>
      </w:r>
    </w:p>
    <w:p>
      <w:pPr>
        <w:pStyle w:val="8"/>
        <w:numPr>
          <w:ilvl w:val="0"/>
          <w:numId w:val="30"/>
        </w:numPr>
        <w:tabs>
          <w:tab w:val="left" w:pos="711"/>
        </w:tabs>
        <w:spacing w:before="43" w:after="0" w:line="240" w:lineRule="auto"/>
        <w:ind w:left="710" w:right="0" w:hanging="530"/>
        <w:jc w:val="left"/>
        <w:rPr>
          <w:sz w:val="21"/>
        </w:rPr>
      </w:pPr>
      <w:r>
        <w:rPr>
          <w:spacing w:val="-4"/>
          <w:sz w:val="21"/>
        </w:rPr>
        <w:t>对称性关节炎；</w:t>
      </w:r>
    </w:p>
    <w:p>
      <w:pPr>
        <w:pStyle w:val="8"/>
        <w:numPr>
          <w:ilvl w:val="0"/>
          <w:numId w:val="30"/>
        </w:numPr>
        <w:tabs>
          <w:tab w:val="left" w:pos="711"/>
        </w:tabs>
        <w:spacing w:before="43" w:after="0" w:line="240" w:lineRule="auto"/>
        <w:ind w:left="710" w:right="0" w:hanging="530"/>
        <w:jc w:val="left"/>
        <w:rPr>
          <w:sz w:val="21"/>
        </w:rPr>
      </w:pPr>
      <w:r>
        <w:rPr>
          <w:spacing w:val="-3"/>
          <w:sz w:val="21"/>
        </w:rPr>
        <w:t>类风湿性皮下结节；</w:t>
      </w:r>
    </w:p>
    <w:p>
      <w:pPr>
        <w:pStyle w:val="8"/>
        <w:numPr>
          <w:ilvl w:val="0"/>
          <w:numId w:val="30"/>
        </w:numPr>
        <w:tabs>
          <w:tab w:val="left" w:pos="711"/>
        </w:tabs>
        <w:spacing w:before="43" w:after="0" w:line="240" w:lineRule="auto"/>
        <w:ind w:left="710" w:right="0" w:hanging="530"/>
        <w:jc w:val="left"/>
        <w:rPr>
          <w:sz w:val="21"/>
        </w:rPr>
      </w:pPr>
      <w:r>
        <w:rPr>
          <w:spacing w:val="-3"/>
          <w:sz w:val="21"/>
        </w:rPr>
        <w:t>类风湿因子滴度升高；</w:t>
      </w:r>
    </w:p>
    <w:p>
      <w:pPr>
        <w:pStyle w:val="4"/>
        <w:spacing w:before="43"/>
        <w:ind w:left="181"/>
      </w:pPr>
      <w:r>
        <w:rPr>
          <w:spacing w:val="-2"/>
        </w:rPr>
        <w:t>（5）X</w:t>
      </w:r>
      <w:r>
        <w:rPr>
          <w:spacing w:val="-8"/>
        </w:rPr>
        <w:t xml:space="preserve"> 线显示严重的关节</w:t>
      </w:r>
      <w:r>
        <w:rPr>
          <w:spacing w:val="-2"/>
        </w:rPr>
        <w:t>（软骨和骨）</w:t>
      </w:r>
      <w:r>
        <w:rPr>
          <w:spacing w:val="-3"/>
        </w:rPr>
        <w:t>破坏和关节畸形。</w:t>
      </w:r>
    </w:p>
    <w:p>
      <w:pPr>
        <w:spacing w:after="0"/>
        <w:sectPr>
          <w:type w:val="continuous"/>
          <w:pgSz w:w="11910" w:h="16840"/>
          <w:pgMar w:top="920" w:right="680" w:bottom="420" w:left="880" w:header="0" w:footer="230" w:gutter="0"/>
          <w:cols w:equalWidth="0" w:num="2">
            <w:col w:w="2765" w:space="40"/>
            <w:col w:w="7545"/>
          </w:cols>
        </w:sectPr>
      </w:pP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6" w:after="0" w:line="194" w:lineRule="auto"/>
        <w:ind w:left="1391" w:right="0" w:firstLine="0"/>
        <w:jc w:val="left"/>
      </w:pPr>
      <w:r>
        <w:rPr>
          <w:spacing w:val="-2"/>
        </w:rPr>
        <w:t>非阿尔茨海默病所致严重</w:t>
      </w:r>
      <w:r>
        <w:rPr>
          <w:spacing w:val="-6"/>
        </w:rPr>
        <w:t>痴呆</w:t>
      </w:r>
    </w:p>
    <w:p>
      <w:pPr>
        <w:pStyle w:val="4"/>
        <w:spacing w:before="72" w:line="278" w:lineRule="auto"/>
        <w:ind w:left="181" w:right="622"/>
      </w:pPr>
      <w:r>
        <w:br w:type="column"/>
      </w:r>
      <w:r>
        <w:rPr>
          <w:spacing w:val="-2"/>
        </w:rPr>
        <w:t>指因阿尔茨海默病以外的脑的器质性疾病造成脑功能衰竭导致永久不可逆性的严重痴呆，临床表现为明显的认知能力障碍、行为异常和社交能力减退。被保险人自主生活能力完全丧失，无法独立完成六项基本日常生活活动中的三项或三项以上，日常生活必须持续受到他人监护。导致痴呆的疾病必须明确诊断，并且由完整的临床、实验室和影像学检查结果证实。</w:t>
      </w:r>
      <w:r>
        <w:rPr>
          <w:spacing w:val="40"/>
        </w:rPr>
        <w:t xml:space="preserve"> </w:t>
      </w:r>
      <w:r>
        <w:rPr>
          <w:spacing w:val="-2"/>
        </w:rPr>
        <w:t>神经官能症和精神疾病不在保障范围内。</w:t>
      </w:r>
    </w:p>
    <w:p>
      <w:pPr>
        <w:spacing w:after="0" w:line="278" w:lineRule="auto"/>
        <w:sectPr>
          <w:type w:val="continuous"/>
          <w:pgSz w:w="11910" w:h="16840"/>
          <w:pgMar w:top="920" w:right="680" w:bottom="420" w:left="880" w:header="0" w:footer="230" w:gutter="0"/>
          <w:cols w:equalWidth="0" w:num="2">
            <w:col w:w="2765" w:space="40"/>
            <w:col w:w="7545"/>
          </w:cols>
        </w:sectPr>
      </w:pPr>
    </w:p>
    <w:p>
      <w:pPr>
        <w:pStyle w:val="4"/>
        <w:spacing w:before="11"/>
        <w:rPr>
          <w:sz w:val="19"/>
        </w:rPr>
      </w:pPr>
    </w:p>
    <w:p>
      <w:pPr>
        <w:spacing w:after="0"/>
        <w:rPr>
          <w:sz w:val="19"/>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埃博拉病毒</w:t>
      </w:r>
      <w:r>
        <w:rPr>
          <w:spacing w:val="-6"/>
        </w:rPr>
        <w:t>感染</w:t>
      </w:r>
    </w:p>
    <w:p>
      <w:pPr>
        <w:pStyle w:val="4"/>
        <w:spacing w:before="72"/>
        <w:ind w:left="181"/>
      </w:pPr>
      <w:r>
        <w:br w:type="column"/>
      </w:r>
      <w:r>
        <w:rPr>
          <w:spacing w:val="-3"/>
        </w:rPr>
        <w:t>指埃博拉病毒感染导致的烈性传染病，并须满足下列全部条件：</w:t>
      </w:r>
    </w:p>
    <w:p>
      <w:pPr>
        <w:pStyle w:val="8"/>
        <w:numPr>
          <w:ilvl w:val="0"/>
          <w:numId w:val="31"/>
        </w:numPr>
        <w:tabs>
          <w:tab w:val="left" w:pos="711"/>
        </w:tabs>
        <w:spacing w:before="38" w:after="0" w:line="240" w:lineRule="auto"/>
        <w:ind w:left="710" w:right="0" w:hanging="530"/>
        <w:jc w:val="left"/>
        <w:rPr>
          <w:sz w:val="21"/>
        </w:rPr>
      </w:pPr>
      <w:r>
        <w:rPr>
          <w:spacing w:val="-3"/>
          <w:sz w:val="21"/>
        </w:rPr>
        <w:t>实验室检查证实埃博拉病毒的存在；</w:t>
      </w:r>
    </w:p>
    <w:p>
      <w:pPr>
        <w:pStyle w:val="8"/>
        <w:numPr>
          <w:ilvl w:val="0"/>
          <w:numId w:val="31"/>
        </w:numPr>
        <w:tabs>
          <w:tab w:val="left" w:pos="711"/>
        </w:tabs>
        <w:spacing w:before="43" w:after="0" w:line="240" w:lineRule="auto"/>
        <w:ind w:left="710" w:right="0" w:hanging="530"/>
        <w:jc w:val="left"/>
        <w:rPr>
          <w:sz w:val="21"/>
        </w:rPr>
      </w:pPr>
      <w:r>
        <w:rPr>
          <w:spacing w:val="-8"/>
          <w:sz w:val="21"/>
        </w:rPr>
        <w:t xml:space="preserve">从发病开始有超过 </w:t>
      </w:r>
      <w:r>
        <w:rPr>
          <w:spacing w:val="-2"/>
          <w:sz w:val="21"/>
        </w:rPr>
        <w:t>30</w:t>
      </w:r>
      <w:r>
        <w:rPr>
          <w:spacing w:val="-10"/>
          <w:sz w:val="21"/>
        </w:rPr>
        <w:t xml:space="preserve"> 天的进行性感染症状。</w:t>
      </w:r>
    </w:p>
    <w:p>
      <w:pPr>
        <w:pStyle w:val="8"/>
        <w:numPr>
          <w:ilvl w:val="0"/>
          <w:numId w:val="31"/>
        </w:numPr>
        <w:tabs>
          <w:tab w:val="left" w:pos="711"/>
        </w:tabs>
        <w:spacing w:before="43" w:after="0" w:line="240" w:lineRule="auto"/>
        <w:ind w:left="710" w:right="0" w:hanging="530"/>
        <w:jc w:val="left"/>
        <w:rPr>
          <w:sz w:val="21"/>
        </w:rPr>
      </w:pPr>
      <w:r>
        <w:rPr>
          <w:spacing w:val="-3"/>
          <w:sz w:val="21"/>
        </w:rPr>
        <w:t>存在皮肤粘膜出血，呕血，咯血，便血或血尿等临床表现；</w:t>
      </w:r>
    </w:p>
    <w:p>
      <w:pPr>
        <w:pStyle w:val="4"/>
        <w:spacing w:before="43"/>
        <w:ind w:left="181"/>
      </w:pPr>
      <w:r>
        <w:rPr>
          <w:spacing w:val="-3"/>
        </w:rPr>
        <w:t>单纯实验室诊断但没有临床出血表现的不在保障范围内。</w:t>
      </w:r>
    </w:p>
    <w:p>
      <w:pPr>
        <w:spacing w:after="0"/>
        <w:sectPr>
          <w:type w:val="continuous"/>
          <w:pgSz w:w="11910" w:h="16840"/>
          <w:pgMar w:top="920" w:right="680" w:bottom="420" w:left="880" w:header="0" w:footer="230" w:gutter="0"/>
          <w:cols w:equalWidth="0" w:num="2">
            <w:col w:w="2765" w:space="40"/>
            <w:col w:w="7545"/>
          </w:cols>
        </w:sectPr>
      </w:pPr>
    </w:p>
    <w:p>
      <w:pPr>
        <w:pStyle w:val="4"/>
        <w:spacing w:before="8"/>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9" w:after="0" w:line="192" w:lineRule="auto"/>
        <w:ind w:left="1391" w:right="0" w:firstLine="0"/>
        <w:jc w:val="left"/>
      </w:pPr>
      <w:r>
        <w:rPr>
          <w:spacing w:val="-2"/>
        </w:rPr>
        <w:t>严重的系统</w:t>
      </w:r>
      <w:r>
        <w:rPr>
          <w:spacing w:val="-4"/>
        </w:rPr>
        <w:t>性硬皮病</w:t>
      </w:r>
    </w:p>
    <w:p>
      <w:pPr>
        <w:pStyle w:val="4"/>
        <w:spacing w:before="72" w:line="276" w:lineRule="auto"/>
        <w:ind w:left="181" w:right="622"/>
        <w:jc w:val="both"/>
      </w:pPr>
      <w:r>
        <w:br w:type="column"/>
      </w:r>
      <w:r>
        <w:rPr>
          <w:spacing w:val="-2"/>
        </w:rPr>
        <w:t>指一种以局限性或弥漫性皮肤增厚和皮肤、血管、内脏器官异常纤维化为特征的结缔组织病。本病须经专科医生初次确诊，并须满足下列至少一项</w:t>
      </w:r>
      <w:r>
        <w:rPr>
          <w:spacing w:val="-4"/>
        </w:rPr>
        <w:t>条件：</w:t>
      </w:r>
    </w:p>
    <w:p>
      <w:pPr>
        <w:pStyle w:val="8"/>
        <w:numPr>
          <w:ilvl w:val="0"/>
          <w:numId w:val="32"/>
        </w:numPr>
        <w:tabs>
          <w:tab w:val="left" w:pos="711"/>
        </w:tabs>
        <w:spacing w:before="3" w:after="0" w:line="240" w:lineRule="auto"/>
        <w:ind w:left="710" w:right="0" w:hanging="530"/>
        <w:jc w:val="left"/>
        <w:rPr>
          <w:sz w:val="21"/>
        </w:rPr>
      </w:pPr>
      <w:r>
        <w:rPr>
          <w:spacing w:val="-3"/>
          <w:sz w:val="21"/>
        </w:rPr>
        <w:t>肺脏：肺部病变进而发展为肺间质纤维化和肺动脉高压；</w:t>
      </w:r>
    </w:p>
    <w:p>
      <w:pPr>
        <w:pStyle w:val="8"/>
        <w:numPr>
          <w:ilvl w:val="0"/>
          <w:numId w:val="32"/>
        </w:numPr>
        <w:tabs>
          <w:tab w:val="left" w:pos="711"/>
        </w:tabs>
        <w:spacing w:before="43" w:after="0" w:line="278" w:lineRule="auto"/>
        <w:ind w:left="181" w:right="617" w:firstLine="0"/>
        <w:jc w:val="left"/>
        <w:rPr>
          <w:sz w:val="21"/>
        </w:rPr>
      </w:pPr>
      <w:r>
        <w:rPr>
          <w:spacing w:val="-2"/>
          <w:sz w:val="21"/>
        </w:rPr>
        <w:t>心脏：心功能受损达到纽约心脏病学会的心功能分级标准之心功能</w:t>
      </w:r>
      <w:r>
        <w:rPr>
          <w:spacing w:val="-4"/>
          <w:sz w:val="21"/>
        </w:rPr>
        <w:t>Ⅳ级；</w:t>
      </w:r>
    </w:p>
    <w:p>
      <w:pPr>
        <w:pStyle w:val="8"/>
        <w:numPr>
          <w:ilvl w:val="0"/>
          <w:numId w:val="32"/>
        </w:numPr>
        <w:tabs>
          <w:tab w:val="left" w:pos="711"/>
        </w:tabs>
        <w:spacing w:before="0" w:after="0" w:line="240" w:lineRule="auto"/>
        <w:ind w:left="710" w:right="0" w:hanging="530"/>
        <w:jc w:val="left"/>
        <w:rPr>
          <w:sz w:val="21"/>
        </w:rPr>
      </w:pPr>
      <w:r>
        <w:rPr>
          <w:spacing w:val="-3"/>
          <w:sz w:val="21"/>
        </w:rPr>
        <w:t>肾脏：肾脏受损导致双肾功能慢性不可逆衰竭，达到尿毒症期。</w:t>
      </w:r>
    </w:p>
    <w:p>
      <w:pPr>
        <w:spacing w:after="0" w:line="240" w:lineRule="auto"/>
        <w:jc w:val="left"/>
        <w:rPr>
          <w:sz w:val="21"/>
        </w:rPr>
        <w:sectPr>
          <w:type w:val="continuous"/>
          <w:pgSz w:w="11910" w:h="16840"/>
          <w:pgMar w:top="920" w:right="680" w:bottom="420" w:left="880" w:header="0" w:footer="230" w:gutter="0"/>
          <w:cols w:equalWidth="0" w:num="2">
            <w:col w:w="2765" w:space="40"/>
            <w:col w:w="7545"/>
          </w:cols>
        </w:sectPr>
      </w:pPr>
    </w:p>
    <w:p>
      <w:pPr>
        <w:pStyle w:val="4"/>
        <w:spacing w:before="8"/>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丝虫病所致</w:t>
      </w:r>
      <w:r>
        <w:rPr>
          <w:spacing w:val="-4"/>
        </w:rPr>
        <w:t>象皮肿</w:t>
      </w:r>
    </w:p>
    <w:p>
      <w:pPr>
        <w:pStyle w:val="4"/>
        <w:spacing w:before="72" w:line="276" w:lineRule="auto"/>
        <w:ind w:left="181" w:right="512"/>
        <w:jc w:val="both"/>
      </w:pPr>
      <w:r>
        <w:br w:type="column"/>
      </w:r>
      <w:r>
        <w:rPr>
          <w:spacing w:val="-2"/>
        </w:rPr>
        <w:t>指因丝虫感染导致淋巴阻塞性出现严重淋巴水肿，达到国际淋巴学会淋巴</w:t>
      </w:r>
      <w:r>
        <w:rPr>
          <w:spacing w:val="-3"/>
        </w:rPr>
        <w:t xml:space="preserve">肿分期第Ⅲ期，临床表现为肢体象皮肿，患肢较键肢增粗 </w:t>
      </w:r>
      <w:r>
        <w:rPr>
          <w:spacing w:val="-2"/>
        </w:rPr>
        <w:t>30%以上，日常生</w:t>
      </w:r>
      <w:r>
        <w:rPr>
          <w:spacing w:val="-12"/>
        </w:rPr>
        <w:t>活不能自理。此病症须经专科医生根据临床表现和微丝蚴的化验结果确诊。</w:t>
      </w:r>
    </w:p>
    <w:p>
      <w:pPr>
        <w:spacing w:after="0" w:line="276" w:lineRule="auto"/>
        <w:jc w:val="both"/>
        <w:sectPr>
          <w:type w:val="continuous"/>
          <w:pgSz w:w="11910" w:h="16840"/>
          <w:pgMar w:top="920" w:right="680" w:bottom="420" w:left="880" w:header="0" w:footer="230" w:gutter="0"/>
          <w:cols w:equalWidth="0" w:num="2">
            <w:col w:w="2765" w:space="40"/>
            <w:col w:w="7545"/>
          </w:cols>
        </w:sectPr>
      </w:pPr>
    </w:p>
    <w:p>
      <w:pPr>
        <w:pStyle w:val="4"/>
        <w:spacing w:before="6"/>
        <w:rPr>
          <w:sz w:val="20"/>
        </w:rPr>
      </w:pPr>
    </w:p>
    <w:p>
      <w:pPr>
        <w:pStyle w:val="8"/>
        <w:numPr>
          <w:ilvl w:val="2"/>
          <w:numId w:val="12"/>
        </w:numPr>
        <w:tabs>
          <w:tab w:val="left" w:pos="1710"/>
          <w:tab w:val="left" w:pos="2985"/>
        </w:tabs>
        <w:spacing w:before="11" w:after="0" w:line="232" w:lineRule="auto"/>
        <w:ind w:left="2985" w:right="622" w:hanging="1594"/>
        <w:jc w:val="left"/>
        <w:rPr>
          <w:sz w:val="21"/>
        </w:rPr>
      </w:pPr>
      <w:r>
        <w:rPr>
          <w:rFonts w:ascii="Microsoft JhengHei" w:eastAsia="Microsoft JhengHei"/>
          <w:b/>
          <w:spacing w:val="-4"/>
          <w:sz w:val="21"/>
        </w:rPr>
        <w:t>胰腺移植</w:t>
      </w:r>
      <w:r>
        <w:rPr>
          <w:rFonts w:ascii="Microsoft JhengHei" w:eastAsia="Microsoft JhengHei"/>
          <w:b/>
          <w:sz w:val="21"/>
        </w:rPr>
        <w:tab/>
      </w:r>
      <w:r>
        <w:rPr>
          <w:spacing w:val="-2"/>
          <w:sz w:val="21"/>
        </w:rPr>
        <w:t>指因胰腺功能衰竭，已经实施了在全身麻醉下进行的胰腺的异体器官移植</w:t>
      </w:r>
      <w:r>
        <w:rPr>
          <w:spacing w:val="-4"/>
          <w:sz w:val="21"/>
        </w:rPr>
        <w:t>手术。</w:t>
      </w:r>
    </w:p>
    <w:p>
      <w:pPr>
        <w:pStyle w:val="4"/>
        <w:spacing w:before="45"/>
        <w:ind w:left="2985"/>
      </w:pPr>
      <w:r>
        <w:rPr>
          <w:spacing w:val="-3"/>
        </w:rPr>
        <w:t>单纯胰岛移植、部分胰腺组织或细胞的移植不在保障范围之内。</w:t>
      </w:r>
    </w:p>
    <w:p>
      <w:pPr>
        <w:pStyle w:val="4"/>
        <w:spacing w:before="8"/>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急性坏死胰腺炎开腹手术</w:t>
      </w:r>
    </w:p>
    <w:p>
      <w:pPr>
        <w:pStyle w:val="4"/>
        <w:spacing w:before="72" w:line="273" w:lineRule="auto"/>
        <w:ind w:left="181" w:right="622"/>
      </w:pPr>
      <w:r>
        <w:br w:type="column"/>
      </w:r>
      <w:r>
        <w:rPr>
          <w:spacing w:val="-2"/>
        </w:rPr>
        <w:t>指为治疗急性坏死性胰腺炎，实际实施了开腹进行的坏死组织清除术、病灶切除术或胰腺部分切除术。</w:t>
      </w:r>
    </w:p>
    <w:p>
      <w:pPr>
        <w:pStyle w:val="4"/>
        <w:spacing w:before="5"/>
        <w:ind w:left="181"/>
      </w:pPr>
      <w:r>
        <w:rPr>
          <w:spacing w:val="-3"/>
        </w:rPr>
        <w:t>因酒精作用所致的急性胰腺炎不在保障范围内。</w:t>
      </w:r>
    </w:p>
    <w:p>
      <w:pPr>
        <w:spacing w:after="0"/>
        <w:sectPr>
          <w:type w:val="continuous"/>
          <w:pgSz w:w="11910" w:h="16840"/>
          <w:pgMar w:top="920" w:right="680" w:bottom="420" w:left="880" w:header="0" w:footer="230" w:gutter="0"/>
          <w:cols w:equalWidth="0" w:num="2">
            <w:col w:w="2765" w:space="40"/>
            <w:col w:w="7545"/>
          </w:cols>
        </w:sectPr>
      </w:pPr>
    </w:p>
    <w:p>
      <w:pPr>
        <w:pStyle w:val="4"/>
        <w:spacing w:before="9"/>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慢性复发性</w:t>
      </w:r>
      <w:r>
        <w:rPr>
          <w:spacing w:val="-4"/>
        </w:rPr>
        <w:t>胰腺炎</w:t>
      </w:r>
    </w:p>
    <w:p>
      <w:pPr>
        <w:pStyle w:val="4"/>
        <w:spacing w:before="71" w:line="276" w:lineRule="auto"/>
        <w:ind w:left="181" w:right="622"/>
        <w:jc w:val="both"/>
      </w:pPr>
      <w:r>
        <w:br w:type="column"/>
      </w:r>
      <w:r>
        <w:rPr>
          <w:spacing w:val="-2"/>
        </w:rPr>
        <w:t>指慢性反复发作的胰腺炎症导致胰腺的广泛纤维化、坏死、弥漫性钙化及假性囊肿形成，造成胰腺功能障碍出现严重糖尿病和营养不良。必须满足以下所有条件：</w:t>
      </w:r>
    </w:p>
    <w:p>
      <w:pPr>
        <w:spacing w:after="0" w:line="276" w:lineRule="auto"/>
        <w:jc w:val="both"/>
        <w:sectPr>
          <w:type w:val="continuous"/>
          <w:pgSz w:w="11910" w:h="16840"/>
          <w:pgMar w:top="920" w:right="680" w:bottom="420" w:left="880" w:header="0" w:footer="230" w:gutter="0"/>
          <w:cols w:equalWidth="0" w:num="2">
            <w:col w:w="2765" w:space="40"/>
            <w:col w:w="7545"/>
          </w:cols>
        </w:sectPr>
      </w:pPr>
    </w:p>
    <w:p>
      <w:pPr>
        <w:pStyle w:val="8"/>
        <w:numPr>
          <w:ilvl w:val="0"/>
          <w:numId w:val="33"/>
        </w:numPr>
        <w:tabs>
          <w:tab w:val="left" w:pos="3515"/>
        </w:tabs>
        <w:spacing w:before="53" w:after="0" w:line="278" w:lineRule="auto"/>
        <w:ind w:left="2985" w:right="620" w:firstLine="0"/>
        <w:jc w:val="left"/>
        <w:rPr>
          <w:sz w:val="21"/>
        </w:rPr>
      </w:pPr>
      <w:r>
        <w:rPr>
          <w:sz w:val="21"/>
        </w:rPr>
        <w:t>CT</w:t>
      </w:r>
      <w:r>
        <w:rPr>
          <w:spacing w:val="-7"/>
          <w:sz w:val="21"/>
        </w:rPr>
        <w:t xml:space="preserve"> 显示胰腺广泛钙化或逆行胰胆管造影</w:t>
      </w:r>
      <w:r>
        <w:rPr>
          <w:sz w:val="21"/>
        </w:rPr>
        <w:t>（ERCP）显示胰管扭曲、扩</w:t>
      </w:r>
      <w:r>
        <w:rPr>
          <w:spacing w:val="-2"/>
          <w:sz w:val="21"/>
        </w:rPr>
        <w:t>张和狭窄；</w:t>
      </w:r>
    </w:p>
    <w:p>
      <w:pPr>
        <w:pStyle w:val="8"/>
        <w:numPr>
          <w:ilvl w:val="0"/>
          <w:numId w:val="33"/>
        </w:numPr>
        <w:tabs>
          <w:tab w:val="left" w:pos="3515"/>
        </w:tabs>
        <w:spacing w:before="0" w:after="0" w:line="269" w:lineRule="exact"/>
        <w:ind w:left="3514" w:right="0" w:hanging="530"/>
        <w:jc w:val="left"/>
        <w:rPr>
          <w:sz w:val="21"/>
        </w:rPr>
      </w:pPr>
      <w:r>
        <w:rPr>
          <w:spacing w:val="-5"/>
          <w:sz w:val="21"/>
        </w:rPr>
        <w:t xml:space="preserve">接受胰岛素替代治疗和酶替代治疗 </w:t>
      </w:r>
      <w:r>
        <w:rPr>
          <w:spacing w:val="-2"/>
          <w:sz w:val="21"/>
        </w:rPr>
        <w:t>180</w:t>
      </w:r>
      <w:r>
        <w:rPr>
          <w:spacing w:val="-14"/>
          <w:sz w:val="21"/>
        </w:rPr>
        <w:t xml:space="preserve"> 天以上。</w:t>
      </w:r>
    </w:p>
    <w:p>
      <w:pPr>
        <w:pStyle w:val="4"/>
        <w:spacing w:before="42"/>
        <w:ind w:left="2985"/>
      </w:pPr>
      <w:r>
        <w:rPr>
          <w:spacing w:val="-3"/>
        </w:rPr>
        <w:t>酒精导致的慢性复发性胰腺炎不在保障范围内。</w:t>
      </w:r>
    </w:p>
    <w:p>
      <w:pPr>
        <w:pStyle w:val="4"/>
        <w:spacing w:before="10"/>
        <w:rPr>
          <w:sz w:val="25"/>
        </w:rPr>
      </w:pPr>
    </w:p>
    <w:p>
      <w:pPr>
        <w:pStyle w:val="8"/>
        <w:numPr>
          <w:ilvl w:val="2"/>
          <w:numId w:val="12"/>
        </w:numPr>
        <w:tabs>
          <w:tab w:val="left" w:pos="1710"/>
          <w:tab w:val="left" w:pos="2985"/>
        </w:tabs>
        <w:spacing w:before="0" w:after="0" w:line="312" w:lineRule="exact"/>
        <w:ind w:left="2985" w:right="615" w:hanging="1594"/>
        <w:jc w:val="both"/>
        <w:rPr>
          <w:sz w:val="21"/>
        </w:rPr>
      </w:pPr>
      <w:r>
        <w:rPr>
          <w:rFonts w:ascii="Microsoft JhengHei" w:eastAsia="Microsoft JhengHei"/>
          <w:b/>
          <w:spacing w:val="-4"/>
          <w:sz w:val="21"/>
        </w:rPr>
        <w:t>疯牛病</w:t>
      </w:r>
      <w:r>
        <w:rPr>
          <w:rFonts w:ascii="Microsoft JhengHei" w:eastAsia="Microsoft JhengHei"/>
          <w:b/>
          <w:sz w:val="21"/>
        </w:rPr>
        <w:tab/>
      </w:r>
      <w:r>
        <w:rPr>
          <w:spacing w:val="-2"/>
          <w:sz w:val="21"/>
        </w:rPr>
        <w:t>是一种传染性海绵状脑病，临床表现为快速进行性痴呆、肌阵挛和特征性脑电图变化。本病须经三级医院的专科医生根据</w:t>
      </w:r>
      <w:r>
        <w:rPr>
          <w:spacing w:val="-25"/>
          <w:sz w:val="21"/>
        </w:rPr>
        <w:t xml:space="preserve"> </w:t>
      </w:r>
      <w:r>
        <w:rPr>
          <w:spacing w:val="-2"/>
          <w:sz w:val="21"/>
        </w:rPr>
        <w:t>WHO</w:t>
      </w:r>
      <w:r>
        <w:rPr>
          <w:spacing w:val="-24"/>
          <w:sz w:val="21"/>
        </w:rPr>
        <w:t xml:space="preserve"> </w:t>
      </w:r>
      <w:r>
        <w:rPr>
          <w:spacing w:val="-2"/>
          <w:sz w:val="21"/>
        </w:rPr>
        <w:t>诊断标准明确诊断，并且被保险人自主生活能力完全丧失，无法独立完成六项基本日常生活活动中的三项或三项以上。</w:t>
      </w:r>
    </w:p>
    <w:p>
      <w:pPr>
        <w:pStyle w:val="4"/>
        <w:spacing w:before="40"/>
        <w:ind w:left="2985"/>
      </w:pPr>
      <w:r>
        <w:rPr>
          <w:spacing w:val="-3"/>
        </w:rPr>
        <w:t>疑似病例不在保障范围内。</w:t>
      </w:r>
    </w:p>
    <w:p>
      <w:pPr>
        <w:pStyle w:val="4"/>
        <w:spacing w:before="3"/>
        <w:rPr>
          <w:sz w:val="23"/>
        </w:rPr>
      </w:pPr>
    </w:p>
    <w:p>
      <w:pPr>
        <w:spacing w:after="0"/>
        <w:rPr>
          <w:sz w:val="23"/>
        </w:rPr>
        <w:sectPr>
          <w:pgSz w:w="11910" w:h="16840"/>
          <w:pgMar w:top="660" w:right="680" w:bottom="420" w:left="880" w:header="0" w:footer="230" w:gutter="0"/>
          <w:cols w:space="720" w:num="1"/>
        </w:sectPr>
      </w:pPr>
    </w:p>
    <w:p>
      <w:pPr>
        <w:pStyle w:val="3"/>
        <w:numPr>
          <w:ilvl w:val="2"/>
          <w:numId w:val="12"/>
        </w:numPr>
        <w:tabs>
          <w:tab w:val="left" w:pos="1710"/>
        </w:tabs>
        <w:spacing w:before="56" w:after="0" w:line="194" w:lineRule="auto"/>
        <w:ind w:left="1391" w:right="0" w:firstLine="0"/>
        <w:jc w:val="left"/>
      </w:pPr>
      <w:r>
        <w:rPr>
          <w:spacing w:val="-2"/>
        </w:rPr>
        <w:t>肾髓质囊性</w:t>
      </w:r>
      <w:r>
        <w:rPr>
          <w:spacing w:val="-10"/>
        </w:rPr>
        <w:t>病</w:t>
      </w:r>
    </w:p>
    <w:p>
      <w:pPr>
        <w:pStyle w:val="4"/>
        <w:spacing w:before="72"/>
        <w:ind w:left="181"/>
      </w:pPr>
      <w:r>
        <w:br w:type="column"/>
      </w:r>
      <w:r>
        <w:rPr>
          <w:spacing w:val="-3"/>
        </w:rPr>
        <w:t>肾髓质囊性病的诊断须同时符合下列要求：</w:t>
      </w:r>
    </w:p>
    <w:p>
      <w:pPr>
        <w:pStyle w:val="8"/>
        <w:numPr>
          <w:ilvl w:val="0"/>
          <w:numId w:val="34"/>
        </w:numPr>
        <w:tabs>
          <w:tab w:val="left" w:pos="711"/>
        </w:tabs>
        <w:spacing w:before="43" w:after="0" w:line="240" w:lineRule="auto"/>
        <w:ind w:left="710" w:right="0" w:hanging="530"/>
        <w:jc w:val="left"/>
        <w:rPr>
          <w:sz w:val="21"/>
        </w:rPr>
      </w:pPr>
      <w:r>
        <w:rPr>
          <w:spacing w:val="-3"/>
          <w:sz w:val="21"/>
        </w:rPr>
        <w:t>肾髓质有囊肿、肾小管萎缩及间质纤维化等病理改变；</w:t>
      </w:r>
    </w:p>
    <w:p>
      <w:pPr>
        <w:pStyle w:val="8"/>
        <w:numPr>
          <w:ilvl w:val="0"/>
          <w:numId w:val="34"/>
        </w:numPr>
        <w:tabs>
          <w:tab w:val="left" w:pos="711"/>
        </w:tabs>
        <w:spacing w:before="43" w:after="0" w:line="240" w:lineRule="auto"/>
        <w:ind w:left="710" w:right="0" w:hanging="530"/>
        <w:jc w:val="left"/>
        <w:rPr>
          <w:sz w:val="21"/>
        </w:rPr>
      </w:pPr>
      <w:r>
        <w:rPr>
          <w:spacing w:val="-4"/>
          <w:sz w:val="21"/>
        </w:rPr>
        <w:t>肾功能衰竭；</w:t>
      </w:r>
    </w:p>
    <w:p>
      <w:pPr>
        <w:pStyle w:val="8"/>
        <w:numPr>
          <w:ilvl w:val="0"/>
          <w:numId w:val="34"/>
        </w:numPr>
        <w:tabs>
          <w:tab w:val="left" w:pos="711"/>
        </w:tabs>
        <w:spacing w:before="43" w:after="0" w:line="240" w:lineRule="auto"/>
        <w:ind w:left="710" w:right="0" w:hanging="530"/>
        <w:jc w:val="left"/>
        <w:rPr>
          <w:sz w:val="21"/>
        </w:rPr>
      </w:pPr>
      <w:r>
        <w:rPr>
          <w:spacing w:val="-3"/>
          <w:sz w:val="21"/>
        </w:rPr>
        <w:t>诊断须由肾组织活检确定。</w:t>
      </w:r>
    </w:p>
    <w:p>
      <w:pPr>
        <w:spacing w:after="0" w:line="240" w:lineRule="auto"/>
        <w:jc w:val="left"/>
        <w:rPr>
          <w:sz w:val="21"/>
        </w:rPr>
        <w:sectPr>
          <w:type w:val="continuous"/>
          <w:pgSz w:w="11910" w:h="16840"/>
          <w:pgMar w:top="920" w:right="680" w:bottom="420" w:left="880" w:header="0" w:footer="230" w:gutter="0"/>
          <w:cols w:equalWidth="0" w:num="2">
            <w:col w:w="2765" w:space="40"/>
            <w:col w:w="7545"/>
          </w:cols>
        </w:sectPr>
      </w:pP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9" w:after="0" w:line="192" w:lineRule="auto"/>
        <w:ind w:left="1391" w:right="0" w:firstLine="0"/>
        <w:jc w:val="left"/>
      </w:pPr>
      <w:r>
        <w:rPr>
          <w:spacing w:val="-2"/>
        </w:rPr>
        <w:t>严重的原发性硬化性胆管</w:t>
      </w:r>
      <w:r>
        <w:rPr>
          <w:spacing w:val="-10"/>
        </w:rPr>
        <w:t>炎</w:t>
      </w:r>
    </w:p>
    <w:p>
      <w:pPr>
        <w:pStyle w:val="4"/>
        <w:spacing w:before="72" w:line="276" w:lineRule="auto"/>
        <w:ind w:left="181" w:right="622"/>
        <w:jc w:val="both"/>
      </w:pPr>
      <w:r>
        <w:br w:type="column"/>
      </w:r>
      <w:r>
        <w:rPr>
          <w:spacing w:val="-2"/>
        </w:rPr>
        <w:t>原发性硬化性胆管炎指一种胆汁淤积综合征，其特征是肝内、肝外胆道因非细菌性炎症、慢性纤维化逐渐狭窄，并最终导致完全阻塞而发展为胆汁於积性肝硬化。须满足下列全部条件：</w:t>
      </w:r>
    </w:p>
    <w:p>
      <w:pPr>
        <w:pStyle w:val="8"/>
        <w:numPr>
          <w:ilvl w:val="0"/>
          <w:numId w:val="35"/>
        </w:numPr>
        <w:tabs>
          <w:tab w:val="left" w:pos="711"/>
        </w:tabs>
        <w:spacing w:before="3" w:after="0" w:line="240" w:lineRule="auto"/>
        <w:ind w:left="710" w:right="0" w:hanging="530"/>
        <w:jc w:val="left"/>
        <w:rPr>
          <w:sz w:val="21"/>
        </w:rPr>
      </w:pPr>
      <w:r>
        <w:rPr>
          <w:spacing w:val="-4"/>
          <w:sz w:val="21"/>
        </w:rPr>
        <w:t>持续性黄疸病史；</w:t>
      </w:r>
    </w:p>
    <w:p>
      <w:pPr>
        <w:pStyle w:val="8"/>
        <w:numPr>
          <w:ilvl w:val="0"/>
          <w:numId w:val="35"/>
        </w:numPr>
        <w:tabs>
          <w:tab w:val="left" w:pos="711"/>
        </w:tabs>
        <w:spacing w:before="43" w:after="0" w:line="240" w:lineRule="auto"/>
        <w:ind w:left="710" w:right="0" w:hanging="530"/>
        <w:jc w:val="left"/>
        <w:rPr>
          <w:sz w:val="21"/>
        </w:rPr>
      </w:pPr>
      <w:r>
        <w:rPr>
          <w:spacing w:val="-1"/>
          <w:sz w:val="21"/>
        </w:rPr>
        <w:t xml:space="preserve">总胆红素和直接胆红素同时升高，血清 </w:t>
      </w:r>
      <w:r>
        <w:rPr>
          <w:spacing w:val="-2"/>
          <w:sz w:val="21"/>
        </w:rPr>
        <w:t>ALP&gt;200U/L；</w:t>
      </w:r>
    </w:p>
    <w:p>
      <w:pPr>
        <w:pStyle w:val="8"/>
        <w:numPr>
          <w:ilvl w:val="0"/>
          <w:numId w:val="35"/>
        </w:numPr>
        <w:tabs>
          <w:tab w:val="left" w:pos="711"/>
        </w:tabs>
        <w:spacing w:before="43" w:after="0" w:line="240" w:lineRule="auto"/>
        <w:ind w:left="710" w:right="0" w:hanging="530"/>
        <w:jc w:val="left"/>
        <w:rPr>
          <w:sz w:val="21"/>
        </w:rPr>
      </w:pPr>
      <w:r>
        <w:rPr>
          <w:spacing w:val="-2"/>
          <w:sz w:val="21"/>
        </w:rPr>
        <w:t>经内镜逆行胰胆管造影（ERCP）</w:t>
      </w:r>
      <w:r>
        <w:rPr>
          <w:spacing w:val="-4"/>
          <w:sz w:val="21"/>
        </w:rPr>
        <w:t>影像学检查确诊；</w:t>
      </w:r>
    </w:p>
    <w:p>
      <w:pPr>
        <w:pStyle w:val="8"/>
        <w:numPr>
          <w:ilvl w:val="0"/>
          <w:numId w:val="35"/>
        </w:numPr>
        <w:tabs>
          <w:tab w:val="left" w:pos="711"/>
        </w:tabs>
        <w:spacing w:before="43" w:after="0" w:line="240" w:lineRule="auto"/>
        <w:ind w:left="710" w:right="0" w:hanging="530"/>
        <w:jc w:val="left"/>
        <w:rPr>
          <w:sz w:val="21"/>
        </w:rPr>
      </w:pPr>
      <w:r>
        <w:rPr>
          <w:spacing w:val="-3"/>
          <w:sz w:val="21"/>
        </w:rPr>
        <w:t>出现胆汁於积性肝硬化或门脉高压。</w:t>
      </w:r>
    </w:p>
    <w:p>
      <w:pPr>
        <w:pStyle w:val="4"/>
        <w:spacing w:before="43"/>
        <w:ind w:left="181"/>
      </w:pPr>
      <w:r>
        <w:rPr>
          <w:spacing w:val="-3"/>
        </w:rPr>
        <w:t>因肿瘤或胆管损伤等继发性的硬化性胆管炎不在保障范围内。</w:t>
      </w:r>
    </w:p>
    <w:p>
      <w:pPr>
        <w:spacing w:after="0"/>
        <w:sectPr>
          <w:type w:val="continuous"/>
          <w:pgSz w:w="11910" w:h="16840"/>
          <w:pgMar w:top="920" w:right="680" w:bottom="420" w:left="880" w:header="0" w:footer="230" w:gutter="0"/>
          <w:cols w:equalWidth="0" w:num="2">
            <w:col w:w="2765" w:space="40"/>
            <w:col w:w="7545"/>
          </w:cols>
        </w:sectPr>
      </w:pPr>
    </w:p>
    <w:p>
      <w:pPr>
        <w:pStyle w:val="4"/>
        <w:spacing w:before="8"/>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特发性慢性肾上腺皮质功</w:t>
      </w:r>
      <w:r>
        <w:rPr>
          <w:spacing w:val="-4"/>
        </w:rPr>
        <w:t>能减退</w:t>
      </w:r>
    </w:p>
    <w:p>
      <w:pPr>
        <w:pStyle w:val="4"/>
        <w:spacing w:before="72" w:line="273" w:lineRule="auto"/>
        <w:ind w:left="181" w:right="622"/>
      </w:pPr>
      <w:r>
        <w:br w:type="column"/>
      </w:r>
      <w:r>
        <w:rPr>
          <w:spacing w:val="-2"/>
        </w:rPr>
        <w:t>指自身免疫性肾上腺炎（既往称：特发性肾上腺皮质萎缩）导致肾上腺萎缩和慢性肾上腺皮质功能减退。必须满足所有以下条件：</w:t>
      </w:r>
    </w:p>
    <w:p>
      <w:pPr>
        <w:pStyle w:val="8"/>
        <w:numPr>
          <w:ilvl w:val="0"/>
          <w:numId w:val="36"/>
        </w:numPr>
        <w:tabs>
          <w:tab w:val="left" w:pos="711"/>
        </w:tabs>
        <w:spacing w:before="6" w:after="0" w:line="240" w:lineRule="auto"/>
        <w:ind w:left="710" w:right="0" w:hanging="530"/>
        <w:jc w:val="left"/>
        <w:rPr>
          <w:sz w:val="21"/>
        </w:rPr>
      </w:pPr>
      <w:r>
        <w:rPr>
          <w:spacing w:val="-3"/>
          <w:sz w:val="21"/>
        </w:rPr>
        <w:t>必须由专科医生明确诊断，符合所有以下诊断标准：</w:t>
      </w:r>
    </w:p>
    <w:p>
      <w:pPr>
        <w:pStyle w:val="4"/>
        <w:spacing w:before="43"/>
        <w:ind w:left="449"/>
      </w:pPr>
      <w:r>
        <w:rPr>
          <w:spacing w:val="-2"/>
        </w:rPr>
        <w:t>①血浆促肾上腺皮质激素（ACTH）水平测定，&gt;100pg/ml；</w:t>
      </w:r>
    </w:p>
    <w:p>
      <w:pPr>
        <w:pStyle w:val="4"/>
        <w:spacing w:before="43" w:line="278" w:lineRule="auto"/>
        <w:ind w:left="449" w:right="617"/>
      </w:pPr>
      <w:r>
        <w:rPr>
          <w:spacing w:val="-2"/>
        </w:rPr>
        <w:t>②血浆肾素活性、血管紧张素Ⅱ和醛固酮测定，显示为原发性肾上腺皮质功能减退症；</w:t>
      </w:r>
    </w:p>
    <w:p>
      <w:pPr>
        <w:pStyle w:val="4"/>
        <w:spacing w:line="278" w:lineRule="auto"/>
        <w:ind w:left="449" w:right="616"/>
      </w:pPr>
      <w:r>
        <w:rPr>
          <w:spacing w:val="-2"/>
        </w:rPr>
        <w:t>③促肾上腺皮质激素（ACTH）刺激试验显示为原发性肾上腺皮质功能减</w:t>
      </w:r>
      <w:r>
        <w:rPr>
          <w:spacing w:val="-4"/>
        </w:rPr>
        <w:t>退症。</w:t>
      </w:r>
    </w:p>
    <w:p>
      <w:pPr>
        <w:pStyle w:val="8"/>
        <w:numPr>
          <w:ilvl w:val="0"/>
          <w:numId w:val="36"/>
        </w:numPr>
        <w:tabs>
          <w:tab w:val="left" w:pos="711"/>
        </w:tabs>
        <w:spacing w:before="0" w:after="0" w:line="269" w:lineRule="exact"/>
        <w:ind w:left="710" w:right="0" w:hanging="530"/>
        <w:jc w:val="left"/>
        <w:rPr>
          <w:sz w:val="21"/>
        </w:rPr>
      </w:pPr>
      <w:r>
        <w:rPr>
          <w:spacing w:val="-5"/>
          <w:sz w:val="21"/>
        </w:rPr>
        <w:t xml:space="preserve">已经采用皮质类固醇替代治疗 </w:t>
      </w:r>
      <w:r>
        <w:rPr>
          <w:spacing w:val="-2"/>
          <w:sz w:val="21"/>
        </w:rPr>
        <w:t>180</w:t>
      </w:r>
      <w:r>
        <w:rPr>
          <w:spacing w:val="-14"/>
          <w:sz w:val="21"/>
        </w:rPr>
        <w:t xml:space="preserve"> 天以上。</w:t>
      </w:r>
    </w:p>
    <w:p>
      <w:pPr>
        <w:pStyle w:val="4"/>
        <w:spacing w:before="43" w:line="278" w:lineRule="auto"/>
        <w:ind w:left="181" w:right="617"/>
      </w:pPr>
      <w:r>
        <w:rPr>
          <w:spacing w:val="-6"/>
        </w:rPr>
        <w:t>肾上腺结核、HIV</w:t>
      </w:r>
      <w:r>
        <w:rPr>
          <w:spacing w:val="-12"/>
        </w:rPr>
        <w:t xml:space="preserve"> 感染或艾滋病、感染、肿瘤所致的原发性肾上腺皮质功能</w:t>
      </w:r>
      <w:r>
        <w:rPr>
          <w:spacing w:val="-2"/>
        </w:rPr>
        <w:t>减退和继发性肾上腺皮质功能减退不在保障范围内。</w:t>
      </w:r>
    </w:p>
    <w:p>
      <w:pPr>
        <w:spacing w:after="0" w:line="278" w:lineRule="auto"/>
        <w:sectPr>
          <w:type w:val="continuous"/>
          <w:pgSz w:w="11910" w:h="16840"/>
          <w:pgMar w:top="920" w:right="680" w:bottom="420" w:left="880" w:header="0" w:footer="230" w:gutter="0"/>
          <w:cols w:equalWidth="0" w:num="2">
            <w:col w:w="2765" w:space="40"/>
            <w:col w:w="7545"/>
          </w:cols>
        </w:sectPr>
      </w:pPr>
    </w:p>
    <w:p>
      <w:pPr>
        <w:pStyle w:val="4"/>
        <w:spacing w:before="3"/>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9" w:after="0" w:line="192" w:lineRule="auto"/>
        <w:ind w:left="1391" w:right="0" w:firstLine="0"/>
        <w:jc w:val="left"/>
      </w:pPr>
      <w:r>
        <w:rPr>
          <w:spacing w:val="-2"/>
        </w:rPr>
        <w:t>溶血性链球菌引起的坏疽</w:t>
      </w:r>
    </w:p>
    <w:p>
      <w:pPr>
        <w:pStyle w:val="4"/>
        <w:spacing w:before="72" w:line="276" w:lineRule="auto"/>
        <w:ind w:left="181" w:right="621"/>
        <w:jc w:val="both"/>
      </w:pPr>
      <w:r>
        <w:br w:type="column"/>
      </w:r>
      <w:r>
        <w:rPr>
          <w:spacing w:val="-6"/>
        </w:rPr>
        <w:t>包围肢体或躯干的浅筋膜和/或深筋膜受到溶血性链球菌的感染，病情在短</w:t>
      </w:r>
      <w:r>
        <w:rPr>
          <w:spacing w:val="-2"/>
        </w:rPr>
        <w:t>时间内急剧恶化，必须立刻进行手术及清创术。最后的诊断必须由微生物或病理学专家进行相关检查后证实。</w:t>
      </w:r>
    </w:p>
    <w:p>
      <w:pPr>
        <w:spacing w:after="0" w:line="276" w:lineRule="auto"/>
        <w:jc w:val="both"/>
        <w:sectPr>
          <w:type w:val="continuous"/>
          <w:pgSz w:w="11910" w:h="16840"/>
          <w:pgMar w:top="920" w:right="680" w:bottom="420" w:left="880" w:header="0" w:footer="230" w:gutter="0"/>
          <w:cols w:equalWidth="0" w:num="2">
            <w:col w:w="2765" w:space="40"/>
            <w:col w:w="7545"/>
          </w:cols>
        </w:sectPr>
      </w:pPr>
    </w:p>
    <w:p>
      <w:pPr>
        <w:pStyle w:val="4"/>
        <w:spacing w:before="7"/>
        <w:rPr>
          <w:sz w:val="20"/>
        </w:rPr>
      </w:pPr>
    </w:p>
    <w:p>
      <w:pPr>
        <w:pStyle w:val="8"/>
        <w:numPr>
          <w:ilvl w:val="2"/>
          <w:numId w:val="12"/>
        </w:numPr>
        <w:tabs>
          <w:tab w:val="left" w:pos="1710"/>
          <w:tab w:val="left" w:pos="2985"/>
        </w:tabs>
        <w:spacing w:before="11" w:after="0" w:line="232" w:lineRule="auto"/>
        <w:ind w:left="2985" w:right="622" w:hanging="1594"/>
        <w:jc w:val="left"/>
        <w:rPr>
          <w:sz w:val="21"/>
        </w:rPr>
      </w:pPr>
      <w:r>
        <w:rPr>
          <w:rFonts w:ascii="Microsoft JhengHei" w:eastAsia="Microsoft JhengHei"/>
          <w:b/>
          <w:spacing w:val="-4"/>
          <w:sz w:val="21"/>
        </w:rPr>
        <w:t>颅脑手术</w:t>
      </w:r>
      <w:r>
        <w:rPr>
          <w:rFonts w:ascii="Microsoft JhengHei" w:eastAsia="Microsoft JhengHei"/>
          <w:b/>
          <w:sz w:val="21"/>
        </w:rPr>
        <w:tab/>
      </w:r>
      <w:r>
        <w:rPr>
          <w:spacing w:val="-2"/>
          <w:sz w:val="21"/>
        </w:rPr>
        <w:t>被保险人确已实施全麻下的开颅手术（不包括颅骨钻孔手术和经鼻蝶窦入</w:t>
      </w:r>
      <w:r>
        <w:rPr>
          <w:spacing w:val="-4"/>
          <w:sz w:val="21"/>
        </w:rPr>
        <w:t>颅手术</w:t>
      </w:r>
      <w:r>
        <w:rPr>
          <w:spacing w:val="-106"/>
          <w:sz w:val="21"/>
        </w:rPr>
        <w:t>）</w:t>
      </w:r>
      <w:r>
        <w:rPr>
          <w:spacing w:val="-4"/>
          <w:sz w:val="21"/>
        </w:rPr>
        <w:t>。</w:t>
      </w:r>
    </w:p>
    <w:p>
      <w:pPr>
        <w:pStyle w:val="4"/>
        <w:spacing w:before="44"/>
        <w:ind w:left="2985"/>
      </w:pPr>
      <w:r>
        <w:rPr>
          <w:spacing w:val="-3"/>
        </w:rPr>
        <w:t>因外伤而实施的脑外科手术不在保障范围之内。</w:t>
      </w:r>
    </w:p>
    <w:p>
      <w:pPr>
        <w:pStyle w:val="4"/>
        <w:spacing w:before="43"/>
        <w:ind w:left="2985"/>
      </w:pPr>
      <w:r>
        <w:rPr>
          <w:spacing w:val="-3"/>
        </w:rPr>
        <w:t>理赔时必须提供由神经外科医生出具的诊断书及手术报告。</w:t>
      </w:r>
    </w:p>
    <w:p>
      <w:pPr>
        <w:pStyle w:val="4"/>
        <w:spacing w:before="8"/>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9" w:after="0" w:line="192" w:lineRule="auto"/>
        <w:ind w:left="1391" w:right="0" w:firstLine="0"/>
        <w:jc w:val="left"/>
      </w:pPr>
      <w:r>
        <w:rPr>
          <w:spacing w:val="-2"/>
        </w:rPr>
        <w:t>严重肌营养</w:t>
      </w:r>
      <w:r>
        <w:rPr>
          <w:spacing w:val="-4"/>
        </w:rPr>
        <w:t>不良症</w:t>
      </w:r>
    </w:p>
    <w:p>
      <w:pPr>
        <w:pStyle w:val="4"/>
        <w:spacing w:before="72" w:line="273" w:lineRule="auto"/>
        <w:ind w:left="181" w:right="622"/>
      </w:pPr>
      <w:r>
        <w:br w:type="column"/>
      </w:r>
      <w:r>
        <w:rPr>
          <w:spacing w:val="-2"/>
        </w:rPr>
        <w:t>指一组遗传性肌肉变性病变，临床特征为与神经系统无关的骨骼肌肉对称地进行性无力和萎缩。其诊断需满足下列全部条件：</w:t>
      </w:r>
    </w:p>
    <w:p>
      <w:pPr>
        <w:pStyle w:val="8"/>
        <w:numPr>
          <w:ilvl w:val="0"/>
          <w:numId w:val="37"/>
        </w:numPr>
        <w:tabs>
          <w:tab w:val="left" w:pos="711"/>
        </w:tabs>
        <w:spacing w:before="6" w:after="0" w:line="240" w:lineRule="auto"/>
        <w:ind w:left="710" w:right="0" w:hanging="530"/>
        <w:jc w:val="left"/>
        <w:rPr>
          <w:sz w:val="21"/>
        </w:rPr>
      </w:pPr>
      <w:r>
        <w:rPr>
          <w:spacing w:val="-3"/>
          <w:sz w:val="21"/>
        </w:rPr>
        <w:t>肌电图显示典型肌营养不良症的阳性改变；</w:t>
      </w:r>
    </w:p>
    <w:p>
      <w:pPr>
        <w:spacing w:after="0" w:line="240" w:lineRule="auto"/>
        <w:jc w:val="left"/>
        <w:rPr>
          <w:sz w:val="21"/>
        </w:rPr>
        <w:sectPr>
          <w:type w:val="continuous"/>
          <w:pgSz w:w="11910" w:h="16840"/>
          <w:pgMar w:top="920" w:right="680" w:bottom="420" w:left="880" w:header="0" w:footer="230" w:gutter="0"/>
          <w:cols w:equalWidth="0" w:num="2">
            <w:col w:w="2765" w:space="40"/>
            <w:col w:w="7545"/>
          </w:cols>
        </w:sectPr>
      </w:pPr>
    </w:p>
    <w:p>
      <w:pPr>
        <w:pStyle w:val="8"/>
        <w:numPr>
          <w:ilvl w:val="1"/>
          <w:numId w:val="37"/>
        </w:numPr>
        <w:tabs>
          <w:tab w:val="left" w:pos="3515"/>
        </w:tabs>
        <w:spacing w:before="53" w:after="0" w:line="278" w:lineRule="auto"/>
        <w:ind w:left="2985" w:right="621" w:firstLine="0"/>
        <w:jc w:val="left"/>
        <w:rPr>
          <w:sz w:val="21"/>
        </w:rPr>
      </w:pPr>
      <w:r>
        <w:rPr>
          <w:spacing w:val="-2"/>
          <w:sz w:val="21"/>
        </w:rPr>
        <w:t>肌肉活检的病理学诊断符合肌营养不良症的肌肉细胞变性、坏死等阳性改变；</w:t>
      </w:r>
    </w:p>
    <w:p>
      <w:pPr>
        <w:pStyle w:val="8"/>
        <w:numPr>
          <w:ilvl w:val="1"/>
          <w:numId w:val="37"/>
        </w:numPr>
        <w:tabs>
          <w:tab w:val="left" w:pos="3515"/>
        </w:tabs>
        <w:spacing w:before="0" w:after="0" w:line="278" w:lineRule="auto"/>
        <w:ind w:left="2985" w:right="617" w:firstLine="0"/>
        <w:jc w:val="left"/>
        <w:rPr>
          <w:sz w:val="21"/>
        </w:rPr>
      </w:pPr>
      <w:r>
        <w:rPr>
          <w:spacing w:val="-2"/>
          <w:sz w:val="21"/>
        </w:rPr>
        <w:t>已导致被保险人持续超过三个月无法独立完成六项基本日常生活活动中的三项或三项以上。</w:t>
      </w:r>
    </w:p>
    <w:p>
      <w:pPr>
        <w:pStyle w:val="4"/>
        <w:spacing w:before="6"/>
        <w:rPr>
          <w:sz w:val="20"/>
        </w:rPr>
      </w:pPr>
    </w:p>
    <w:p>
      <w:pPr>
        <w:pStyle w:val="8"/>
        <w:numPr>
          <w:ilvl w:val="2"/>
          <w:numId w:val="12"/>
        </w:numPr>
        <w:tabs>
          <w:tab w:val="left" w:pos="1710"/>
          <w:tab w:val="left" w:pos="2985"/>
        </w:tabs>
        <w:spacing w:before="0" w:after="0" w:line="235" w:lineRule="auto"/>
        <w:ind w:left="2985" w:right="622" w:hanging="1594"/>
        <w:jc w:val="left"/>
        <w:rPr>
          <w:sz w:val="21"/>
        </w:rPr>
      </w:pPr>
      <w:r>
        <w:rPr>
          <w:rFonts w:ascii="Microsoft JhengHei" w:eastAsia="Microsoft JhengHei"/>
          <w:b/>
          <w:spacing w:val="-2"/>
          <w:sz w:val="21"/>
        </w:rPr>
        <w:t>严重心肌炎</w:t>
      </w:r>
      <w:r>
        <w:rPr>
          <w:rFonts w:ascii="Microsoft JhengHei" w:eastAsia="Microsoft JhengHei"/>
          <w:b/>
          <w:sz w:val="21"/>
        </w:rPr>
        <w:tab/>
      </w:r>
      <w:r>
        <w:rPr>
          <w:spacing w:val="-2"/>
          <w:sz w:val="21"/>
        </w:rPr>
        <w:t>指被保险人因严重心肌炎性病变导致心功能损害造成持续的永久不可逆性的心功能衰竭。必须满足所有以下条件：</w:t>
      </w:r>
    </w:p>
    <w:p>
      <w:pPr>
        <w:pStyle w:val="8"/>
        <w:numPr>
          <w:ilvl w:val="0"/>
          <w:numId w:val="38"/>
        </w:numPr>
        <w:tabs>
          <w:tab w:val="left" w:pos="3524"/>
        </w:tabs>
        <w:spacing w:before="46" w:after="0" w:line="278" w:lineRule="auto"/>
        <w:ind w:left="2985" w:right="623" w:firstLine="0"/>
        <w:jc w:val="left"/>
        <w:rPr>
          <w:sz w:val="21"/>
        </w:rPr>
      </w:pPr>
      <w:r>
        <w:rPr>
          <w:spacing w:val="-2"/>
          <w:sz w:val="21"/>
        </w:rPr>
        <w:t>心功能衰竭程度达到纽约心脏病学会的心功能分级标准之心功能Ⅳ</w:t>
      </w:r>
      <w:r>
        <w:rPr>
          <w:spacing w:val="-4"/>
          <w:sz w:val="21"/>
        </w:rPr>
        <w:t xml:space="preserve">级，或左室射血分数低于 </w:t>
      </w:r>
      <w:r>
        <w:rPr>
          <w:sz w:val="21"/>
        </w:rPr>
        <w:t>30%；</w:t>
      </w:r>
    </w:p>
    <w:p>
      <w:pPr>
        <w:pStyle w:val="8"/>
        <w:numPr>
          <w:ilvl w:val="0"/>
          <w:numId w:val="38"/>
        </w:numPr>
        <w:tabs>
          <w:tab w:val="left" w:pos="3515"/>
        </w:tabs>
        <w:spacing w:before="0" w:after="0" w:line="269" w:lineRule="exact"/>
        <w:ind w:left="3514" w:right="0" w:hanging="530"/>
        <w:jc w:val="left"/>
        <w:rPr>
          <w:sz w:val="21"/>
        </w:rPr>
      </w:pPr>
      <w:r>
        <w:rPr>
          <w:spacing w:val="-10"/>
          <w:sz w:val="21"/>
        </w:rPr>
        <w:t xml:space="preserve">持续不间断 </w:t>
      </w:r>
      <w:r>
        <w:rPr>
          <w:spacing w:val="-2"/>
          <w:sz w:val="21"/>
        </w:rPr>
        <w:t>180</w:t>
      </w:r>
      <w:r>
        <w:rPr>
          <w:spacing w:val="-14"/>
          <w:sz w:val="21"/>
        </w:rPr>
        <w:t xml:space="preserve"> 天以上；</w:t>
      </w:r>
    </w:p>
    <w:p>
      <w:pPr>
        <w:pStyle w:val="8"/>
        <w:numPr>
          <w:ilvl w:val="0"/>
          <w:numId w:val="38"/>
        </w:numPr>
        <w:tabs>
          <w:tab w:val="left" w:pos="3515"/>
        </w:tabs>
        <w:spacing w:before="43" w:after="0" w:line="240" w:lineRule="auto"/>
        <w:ind w:left="3514" w:right="0" w:hanging="530"/>
        <w:jc w:val="left"/>
        <w:rPr>
          <w:sz w:val="21"/>
        </w:rPr>
      </w:pPr>
      <w:r>
        <w:rPr>
          <w:spacing w:val="-8"/>
          <w:sz w:val="21"/>
        </w:rPr>
        <w:t>被保险人永久不可逆性的体力活动能力受限，不能从事任何体力活动。</w:t>
      </w:r>
    </w:p>
    <w:p>
      <w:pPr>
        <w:pStyle w:val="4"/>
        <w:spacing w:before="3"/>
        <w:rPr>
          <w:sz w:val="23"/>
        </w:rPr>
      </w:pPr>
    </w:p>
    <w:p>
      <w:pPr>
        <w:spacing w:after="0"/>
        <w:rPr>
          <w:sz w:val="23"/>
        </w:rPr>
        <w:sectPr>
          <w:pgSz w:w="11910" w:h="16840"/>
          <w:pgMar w:top="660" w:right="680" w:bottom="420" w:left="880" w:header="0" w:footer="230" w:gutter="0"/>
          <w:cols w:space="720" w:num="1"/>
        </w:sectPr>
      </w:pPr>
    </w:p>
    <w:p>
      <w:pPr>
        <w:pStyle w:val="3"/>
        <w:numPr>
          <w:ilvl w:val="2"/>
          <w:numId w:val="12"/>
        </w:numPr>
        <w:tabs>
          <w:tab w:val="left" w:pos="1710"/>
        </w:tabs>
        <w:spacing w:before="55" w:after="0" w:line="194" w:lineRule="auto"/>
        <w:ind w:left="1391" w:right="0" w:firstLine="0"/>
        <w:jc w:val="left"/>
      </w:pPr>
      <w:r>
        <w:rPr>
          <w:spacing w:val="-2"/>
        </w:rPr>
        <w:t>肝豆状核变</w:t>
      </w:r>
      <w:r>
        <w:rPr>
          <w:spacing w:val="-4"/>
        </w:rPr>
        <w:t>性</w:t>
      </w:r>
      <w:r>
        <w:rPr>
          <w:spacing w:val="-4"/>
          <w:w w:val="115"/>
        </w:rPr>
        <w:t>(</w:t>
      </w:r>
      <w:r>
        <w:rPr>
          <w:spacing w:val="-4"/>
        </w:rPr>
        <w:t xml:space="preserve">或称 </w:t>
      </w:r>
      <w:r>
        <w:t>Wilson 病</w:t>
      </w:r>
      <w:r>
        <w:rPr>
          <w:w w:val="115"/>
        </w:rPr>
        <w:t>)</w:t>
      </w:r>
    </w:p>
    <w:p>
      <w:pPr>
        <w:pStyle w:val="4"/>
        <w:spacing w:before="72" w:line="278" w:lineRule="auto"/>
        <w:ind w:left="181" w:right="622"/>
        <w:jc w:val="both"/>
      </w:pPr>
      <w:r>
        <w:br w:type="column"/>
      </w:r>
      <w:r>
        <w:rPr>
          <w:spacing w:val="-2"/>
        </w:rPr>
        <w:t>指一种常染色体隐性遗传的铜代谢缺陷病，以不同程度的肝细胞损害、脑退行性病变和角膜边缘有铜盐沉着环为其临床特征，并须满足下列全部条</w:t>
      </w:r>
      <w:r>
        <w:rPr>
          <w:spacing w:val="-6"/>
        </w:rPr>
        <w:t>件：</w:t>
      </w:r>
    </w:p>
    <w:p>
      <w:pPr>
        <w:pStyle w:val="8"/>
        <w:numPr>
          <w:ilvl w:val="0"/>
          <w:numId w:val="39"/>
        </w:numPr>
        <w:tabs>
          <w:tab w:val="left" w:pos="711"/>
        </w:tabs>
        <w:spacing w:before="0" w:after="0" w:line="240" w:lineRule="auto"/>
        <w:ind w:left="710" w:right="0" w:hanging="530"/>
        <w:jc w:val="left"/>
        <w:rPr>
          <w:sz w:val="21"/>
        </w:rPr>
      </w:pPr>
      <w:r>
        <w:rPr>
          <w:spacing w:val="-4"/>
          <w:sz w:val="21"/>
        </w:rPr>
        <w:t>典型症状；</w:t>
      </w:r>
    </w:p>
    <w:p>
      <w:pPr>
        <w:pStyle w:val="8"/>
        <w:numPr>
          <w:ilvl w:val="0"/>
          <w:numId w:val="39"/>
        </w:numPr>
        <w:tabs>
          <w:tab w:val="left" w:pos="711"/>
        </w:tabs>
        <w:spacing w:before="43" w:after="0" w:line="240" w:lineRule="auto"/>
        <w:ind w:left="710" w:right="0" w:hanging="530"/>
        <w:jc w:val="left"/>
        <w:rPr>
          <w:sz w:val="21"/>
        </w:rPr>
      </w:pPr>
      <w:r>
        <w:rPr>
          <w:sz w:val="21"/>
        </w:rPr>
        <w:t>角膜色素环（K-F</w:t>
      </w:r>
      <w:r>
        <w:rPr>
          <w:spacing w:val="-5"/>
          <w:sz w:val="21"/>
        </w:rPr>
        <w:t xml:space="preserve"> 环</w:t>
      </w:r>
      <w:r>
        <w:rPr>
          <w:spacing w:val="-111"/>
          <w:sz w:val="21"/>
        </w:rPr>
        <w:t>）</w:t>
      </w:r>
      <w:r>
        <w:rPr>
          <w:spacing w:val="-5"/>
          <w:sz w:val="21"/>
        </w:rPr>
        <w:t>；</w:t>
      </w:r>
    </w:p>
    <w:p>
      <w:pPr>
        <w:pStyle w:val="8"/>
        <w:numPr>
          <w:ilvl w:val="0"/>
          <w:numId w:val="39"/>
        </w:numPr>
        <w:tabs>
          <w:tab w:val="left" w:pos="711"/>
        </w:tabs>
        <w:spacing w:before="43" w:after="0" w:line="240" w:lineRule="auto"/>
        <w:ind w:left="710" w:right="0" w:hanging="530"/>
        <w:jc w:val="left"/>
        <w:rPr>
          <w:sz w:val="21"/>
        </w:rPr>
      </w:pPr>
      <w:r>
        <w:rPr>
          <w:spacing w:val="-3"/>
          <w:sz w:val="21"/>
        </w:rPr>
        <w:t>血清铜和血清铜蓝蛋白降低，尿铜增加；</w:t>
      </w:r>
    </w:p>
    <w:p>
      <w:pPr>
        <w:pStyle w:val="8"/>
        <w:numPr>
          <w:ilvl w:val="0"/>
          <w:numId w:val="39"/>
        </w:numPr>
        <w:tabs>
          <w:tab w:val="left" w:pos="711"/>
        </w:tabs>
        <w:spacing w:before="43" w:after="0" w:line="240" w:lineRule="auto"/>
        <w:ind w:left="710" w:right="0" w:hanging="530"/>
        <w:jc w:val="left"/>
        <w:rPr>
          <w:sz w:val="21"/>
        </w:rPr>
      </w:pPr>
      <w:r>
        <w:rPr>
          <w:spacing w:val="-4"/>
          <w:sz w:val="21"/>
        </w:rPr>
        <w:t>经肝脏活检确诊。</w:t>
      </w:r>
    </w:p>
    <w:p>
      <w:pPr>
        <w:spacing w:after="0" w:line="240" w:lineRule="auto"/>
        <w:jc w:val="left"/>
        <w:rPr>
          <w:sz w:val="21"/>
        </w:rPr>
        <w:sectPr>
          <w:type w:val="continuous"/>
          <w:pgSz w:w="11910" w:h="16840"/>
          <w:pgMar w:top="920" w:right="680" w:bottom="420" w:left="880" w:header="0" w:footer="230" w:gutter="0"/>
          <w:cols w:equalWidth="0" w:num="2">
            <w:col w:w="2765" w:space="40"/>
            <w:col w:w="7545"/>
          </w:cols>
        </w:sectPr>
      </w:pP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both"/>
      </w:pPr>
      <w:r>
        <w:rPr>
          <w:spacing w:val="-2"/>
        </w:rPr>
        <w:t>侵蚀性葡萄胎(或称恶性葡</w:t>
      </w:r>
      <w:r>
        <w:rPr>
          <w:spacing w:val="-4"/>
          <w:w w:val="105"/>
        </w:rPr>
        <w:t>萄胎</w:t>
      </w:r>
      <w:r>
        <w:rPr>
          <w:spacing w:val="-4"/>
          <w:w w:val="125"/>
        </w:rPr>
        <w:t>)</w:t>
      </w:r>
    </w:p>
    <w:p>
      <w:pPr>
        <w:pStyle w:val="4"/>
        <w:spacing w:before="71" w:line="273" w:lineRule="auto"/>
        <w:ind w:left="181" w:right="622"/>
      </w:pPr>
      <w:r>
        <w:br w:type="column"/>
      </w:r>
      <w:r>
        <w:rPr>
          <w:spacing w:val="-2"/>
        </w:rPr>
        <w:t>该类疾病是指异常增生的绒毛组织浸润性生长侵入子宫肌层或转移至其他器官或组织的葡萄胎，并已经进行化疗或手术治疗的。</w:t>
      </w:r>
    </w:p>
    <w:p>
      <w:pPr>
        <w:spacing w:after="0" w:line="273" w:lineRule="auto"/>
        <w:sectPr>
          <w:type w:val="continuous"/>
          <w:pgSz w:w="11910" w:h="16840"/>
          <w:pgMar w:top="920" w:right="680" w:bottom="420" w:left="880" w:header="0" w:footer="230" w:gutter="0"/>
          <w:cols w:equalWidth="0" w:num="2">
            <w:col w:w="2765" w:space="40"/>
            <w:col w:w="7545"/>
          </w:cols>
        </w:sectPr>
      </w:pPr>
    </w:p>
    <w:p>
      <w:pPr>
        <w:pStyle w:val="4"/>
        <w:spacing w:before="9"/>
      </w:pPr>
    </w:p>
    <w:p>
      <w:pPr>
        <w:spacing w:after="0"/>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破裂脑动脉瘤夹闭手术</w:t>
      </w:r>
    </w:p>
    <w:p>
      <w:pPr>
        <w:pStyle w:val="4"/>
        <w:spacing w:before="71" w:line="273" w:lineRule="auto"/>
        <w:ind w:left="181" w:right="622"/>
      </w:pPr>
      <w:r>
        <w:br w:type="column"/>
      </w:r>
      <w:r>
        <w:rPr>
          <w:spacing w:val="-2"/>
        </w:rPr>
        <w:t>指因脑动脉瘤破裂造成蛛网膜下腔出血，被保险人实际接受了在全麻下进行的开颅动脉瘤夹闭手术。</w:t>
      </w:r>
    </w:p>
    <w:p>
      <w:pPr>
        <w:pStyle w:val="4"/>
        <w:spacing w:before="6" w:line="278" w:lineRule="auto"/>
        <w:ind w:left="181" w:right="622"/>
      </w:pPr>
      <w:r>
        <w:rPr>
          <w:spacing w:val="-2"/>
        </w:rPr>
        <w:t>脑动脉瘤（未破裂）预防性手术、颅骨打孔手术、动脉瘤栓塞手术、血管内手术及其他颅脑手术不在保障范围内。</w:t>
      </w:r>
    </w:p>
    <w:p>
      <w:pPr>
        <w:spacing w:after="0" w:line="278" w:lineRule="auto"/>
        <w:sectPr>
          <w:type w:val="continuous"/>
          <w:pgSz w:w="11910" w:h="16840"/>
          <w:pgMar w:top="920" w:right="680" w:bottom="420" w:left="880" w:header="0" w:footer="230" w:gutter="0"/>
          <w:cols w:equalWidth="0" w:num="2">
            <w:col w:w="2765" w:space="40"/>
            <w:col w:w="7545"/>
          </w:cols>
        </w:sectPr>
      </w:pPr>
    </w:p>
    <w:p>
      <w:pPr>
        <w:pStyle w:val="4"/>
        <w:spacing w:before="4"/>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需手术切除的嗜铬细胞瘤</w:t>
      </w:r>
    </w:p>
    <w:p>
      <w:pPr>
        <w:pStyle w:val="4"/>
        <w:spacing w:before="71" w:line="276" w:lineRule="auto"/>
        <w:ind w:left="181" w:right="512"/>
      </w:pPr>
      <w:r>
        <w:br w:type="column"/>
      </w:r>
      <w:r>
        <w:rPr>
          <w:spacing w:val="-7"/>
        </w:rPr>
        <w:t>是指肾上腺或嗜铬外组织出现神经内分泌肿瘤，并分泌过多的儿茶酚胺类，</w:t>
      </w:r>
      <w:r>
        <w:rPr>
          <w:spacing w:val="-2"/>
        </w:rPr>
        <w:t>需要并实际进行了手术切除肿瘤。嗜铬细胞瘤的诊断必须由内分泌专科医</w:t>
      </w:r>
      <w:r>
        <w:rPr>
          <w:spacing w:val="-4"/>
        </w:rPr>
        <w:t>生确定。</w:t>
      </w:r>
    </w:p>
    <w:p>
      <w:pPr>
        <w:spacing w:after="0" w:line="276" w:lineRule="auto"/>
        <w:sectPr>
          <w:type w:val="continuous"/>
          <w:pgSz w:w="11910" w:h="16840"/>
          <w:pgMar w:top="920" w:right="680" w:bottom="420" w:left="880" w:header="0" w:footer="230" w:gutter="0"/>
          <w:cols w:equalWidth="0" w:num="2">
            <w:col w:w="2765" w:space="40"/>
            <w:col w:w="7545"/>
          </w:cols>
        </w:sectPr>
      </w:pPr>
    </w:p>
    <w:p>
      <w:pPr>
        <w:pStyle w:val="4"/>
        <w:spacing w:before="7"/>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5" w:after="0" w:line="194" w:lineRule="auto"/>
        <w:ind w:left="1391" w:right="0" w:firstLine="0"/>
        <w:jc w:val="left"/>
      </w:pPr>
      <w:r>
        <w:rPr>
          <w:spacing w:val="-2"/>
        </w:rPr>
        <w:t>进行性核上</w:t>
      </w:r>
      <w:r>
        <w:rPr>
          <w:spacing w:val="-4"/>
        </w:rPr>
        <w:t xml:space="preserve">性麻痹 </w:t>
      </w:r>
      <w:r>
        <w:rPr>
          <w:spacing w:val="-2"/>
        </w:rPr>
        <w:t xml:space="preserve">(Steele- Rchardson— </w:t>
      </w:r>
      <w:r>
        <w:t>Olszewski 综</w:t>
      </w:r>
      <w:r>
        <w:rPr>
          <w:spacing w:val="-4"/>
        </w:rPr>
        <w:t>合征</w:t>
      </w:r>
      <w:r>
        <w:rPr>
          <w:spacing w:val="-4"/>
          <w:w w:val="115"/>
        </w:rPr>
        <w:t>)</w:t>
      </w:r>
    </w:p>
    <w:p>
      <w:pPr>
        <w:pStyle w:val="4"/>
        <w:spacing w:before="72" w:line="278" w:lineRule="auto"/>
        <w:ind w:left="181" w:right="619"/>
        <w:jc w:val="both"/>
      </w:pPr>
      <w:r>
        <w:br w:type="column"/>
      </w:r>
      <w:r>
        <w:rPr>
          <w:spacing w:val="-4"/>
        </w:rPr>
        <w:t>进行性核上性麻痹（PSP）</w:t>
      </w:r>
      <w:r>
        <w:rPr>
          <w:spacing w:val="-11"/>
        </w:rPr>
        <w:t xml:space="preserve">又称 </w:t>
      </w:r>
      <w:r>
        <w:rPr>
          <w:spacing w:val="-4"/>
        </w:rPr>
        <w:t>Steele-Rchardson—Olszewski</w:t>
      </w:r>
      <w:r>
        <w:rPr>
          <w:spacing w:val="-8"/>
        </w:rPr>
        <w:t xml:space="preserve"> 综合征，是</w:t>
      </w:r>
      <w:r>
        <w:rPr>
          <w:spacing w:val="-2"/>
        </w:rPr>
        <w:t>一种少见的神经系统变性疾病，以假球麻痹、垂直性核上性眼肌麻痹、锥</w:t>
      </w:r>
      <w:r>
        <w:t>体外系肌僵直、步态共济失调和轻度痴呆为主要临床特征。PSP</w:t>
      </w:r>
      <w:r>
        <w:rPr>
          <w:spacing w:val="-4"/>
        </w:rPr>
        <w:t xml:space="preserve"> 必须由三</w:t>
      </w:r>
      <w:r>
        <w:rPr>
          <w:spacing w:val="-2"/>
        </w:rPr>
        <w:t>级甲等医院的神经内科专科医生确诊，并且被保险人自主生活能力完全丧失，无法独立完成六项基本日常生活活动中的三项或三项以上。</w:t>
      </w:r>
    </w:p>
    <w:p>
      <w:pPr>
        <w:spacing w:after="0" w:line="278" w:lineRule="auto"/>
        <w:jc w:val="both"/>
        <w:sectPr>
          <w:type w:val="continuous"/>
          <w:pgSz w:w="11910" w:h="16840"/>
          <w:pgMar w:top="920" w:right="680" w:bottom="420" w:left="880" w:header="0" w:footer="230" w:gutter="0"/>
          <w:cols w:equalWidth="0" w:num="2">
            <w:col w:w="2765" w:space="40"/>
            <w:col w:w="7545"/>
          </w:cols>
        </w:sectPr>
      </w:pPr>
    </w:p>
    <w:p>
      <w:pPr>
        <w:pStyle w:val="4"/>
        <w:spacing w:before="11"/>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5" w:after="0" w:line="194" w:lineRule="auto"/>
        <w:ind w:left="1391" w:right="0" w:firstLine="0"/>
        <w:jc w:val="left"/>
      </w:pPr>
      <w:r>
        <w:rPr>
          <w:spacing w:val="-2"/>
        </w:rPr>
        <w:t>严重瑞氏综合症（Reye</w:t>
      </w:r>
      <w:r>
        <w:rPr>
          <w:spacing w:val="-7"/>
        </w:rPr>
        <w:t xml:space="preserve"> 综</w:t>
      </w:r>
      <w:r>
        <w:rPr>
          <w:spacing w:val="-2"/>
        </w:rPr>
        <w:t>合征，也称赖氏综合征、雷氏综合征）</w:t>
      </w:r>
    </w:p>
    <w:p>
      <w:pPr>
        <w:pStyle w:val="4"/>
        <w:spacing w:before="71" w:line="276" w:lineRule="auto"/>
        <w:ind w:left="181" w:right="512"/>
      </w:pPr>
      <w:r>
        <w:br w:type="column"/>
      </w:r>
      <w:r>
        <w:rPr>
          <w:spacing w:val="-7"/>
        </w:rPr>
        <w:t>指急性脑病合并肝脂肪变性和线粒体功能障碍，可有上呼吸道感染和水痘，</w:t>
      </w:r>
      <w:r>
        <w:rPr>
          <w:spacing w:val="-4"/>
        </w:rPr>
        <w:t>而后出现持续性呕吐，谵妄，木僵，癫痫，昏迷；肝脏肿大，肝功能异常，</w:t>
      </w:r>
      <w:r>
        <w:rPr>
          <w:spacing w:val="-2"/>
        </w:rPr>
        <w:t>肝脂肪变性。此诊断需由本公司认可的医院的专科医生确诊，并且肝脏活检结果显示脂肪变性，电子显微镜下显示独特的线粒体形态学改变。</w:t>
      </w:r>
    </w:p>
    <w:p>
      <w:pPr>
        <w:spacing w:after="0" w:line="276" w:lineRule="auto"/>
        <w:sectPr>
          <w:type w:val="continuous"/>
          <w:pgSz w:w="11910" w:h="16840"/>
          <w:pgMar w:top="920" w:right="680" w:bottom="420" w:left="880" w:header="0" w:footer="230" w:gutter="0"/>
          <w:cols w:equalWidth="0" w:num="2">
            <w:col w:w="2765" w:space="40"/>
            <w:col w:w="7545"/>
          </w:cols>
        </w:sectPr>
      </w:pPr>
    </w:p>
    <w:p>
      <w:pPr>
        <w:pStyle w:val="4"/>
        <w:spacing w:before="12"/>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严重自身免</w:t>
      </w:r>
      <w:r>
        <w:rPr>
          <w:spacing w:val="-4"/>
        </w:rPr>
        <w:t>疫性肝炎</w:t>
      </w:r>
    </w:p>
    <w:p>
      <w:pPr>
        <w:pStyle w:val="4"/>
        <w:spacing w:before="72" w:line="276" w:lineRule="auto"/>
        <w:ind w:left="181" w:right="622"/>
        <w:jc w:val="both"/>
      </w:pPr>
      <w:r>
        <w:br w:type="column"/>
      </w:r>
      <w:r>
        <w:rPr>
          <w:spacing w:val="-2"/>
        </w:rPr>
        <w:t>自身免疫性肝炎是一种原因不明的慢性肝脏的坏死性炎性疾病，机体免疫机制被破坏，产生针对肝脏自身抗原的抗体导致自身免疫反应，从而破坏</w:t>
      </w:r>
      <w:r>
        <w:rPr>
          <w:spacing w:val="-3"/>
        </w:rPr>
        <w:t>肝细胞造成肝脏炎症坏死，进而发展为肝硬化。必须满足所有以下条件：</w:t>
      </w:r>
    </w:p>
    <w:p>
      <w:pPr>
        <w:spacing w:after="0" w:line="276" w:lineRule="auto"/>
        <w:jc w:val="both"/>
        <w:sectPr>
          <w:type w:val="continuous"/>
          <w:pgSz w:w="11910" w:h="16840"/>
          <w:pgMar w:top="920" w:right="680" w:bottom="420" w:left="880" w:header="0" w:footer="230" w:gutter="0"/>
          <w:cols w:equalWidth="0" w:num="2">
            <w:col w:w="2765" w:space="40"/>
            <w:col w:w="7545"/>
          </w:cols>
        </w:sectPr>
      </w:pPr>
    </w:p>
    <w:p>
      <w:pPr>
        <w:pStyle w:val="8"/>
        <w:numPr>
          <w:ilvl w:val="0"/>
          <w:numId w:val="40"/>
        </w:numPr>
        <w:tabs>
          <w:tab w:val="left" w:pos="3515"/>
        </w:tabs>
        <w:spacing w:before="53" w:after="0" w:line="240" w:lineRule="auto"/>
        <w:ind w:left="3514" w:right="0" w:hanging="530"/>
        <w:jc w:val="left"/>
        <w:rPr>
          <w:sz w:val="21"/>
        </w:rPr>
      </w:pPr>
      <w:r>
        <w:rPr>
          <w:spacing w:val="-2"/>
          <w:sz w:val="21"/>
        </w:rPr>
        <w:t>高γ</w:t>
      </w:r>
      <w:r>
        <w:rPr>
          <w:spacing w:val="-4"/>
          <w:sz w:val="21"/>
        </w:rPr>
        <w:t>球蛋白血症；</w:t>
      </w:r>
    </w:p>
    <w:p>
      <w:pPr>
        <w:pStyle w:val="8"/>
        <w:numPr>
          <w:ilvl w:val="0"/>
          <w:numId w:val="40"/>
        </w:numPr>
        <w:tabs>
          <w:tab w:val="left" w:pos="3515"/>
        </w:tabs>
        <w:spacing w:before="42" w:after="0" w:line="278" w:lineRule="auto"/>
        <w:ind w:left="2985" w:right="619" w:firstLine="0"/>
        <w:jc w:val="left"/>
        <w:rPr>
          <w:sz w:val="21"/>
        </w:rPr>
      </w:pPr>
      <w:r>
        <w:rPr>
          <w:spacing w:val="-5"/>
          <w:sz w:val="21"/>
        </w:rPr>
        <w:t xml:space="preserve">血液中存在高水平的自身免疫抗体，如 </w:t>
      </w:r>
      <w:r>
        <w:rPr>
          <w:spacing w:val="-2"/>
          <w:sz w:val="21"/>
        </w:rPr>
        <w:t>ANA（抗核抗体</w:t>
      </w:r>
      <w:r>
        <w:rPr>
          <w:spacing w:val="-106"/>
          <w:sz w:val="21"/>
        </w:rPr>
        <w:t>）</w:t>
      </w:r>
      <w:r>
        <w:rPr>
          <w:spacing w:val="-2"/>
          <w:sz w:val="21"/>
        </w:rPr>
        <w:t>、SMA（抗平</w:t>
      </w:r>
      <w:r>
        <w:rPr>
          <w:sz w:val="21"/>
        </w:rPr>
        <w:t>滑肌抗体</w:t>
      </w:r>
      <w:r>
        <w:rPr>
          <w:spacing w:val="-106"/>
          <w:sz w:val="21"/>
        </w:rPr>
        <w:t>）</w:t>
      </w:r>
      <w:r>
        <w:rPr>
          <w:spacing w:val="-5"/>
          <w:sz w:val="21"/>
        </w:rPr>
        <w:t xml:space="preserve">、抗 </w:t>
      </w:r>
      <w:r>
        <w:rPr>
          <w:sz w:val="21"/>
        </w:rPr>
        <w:t>LKM1</w:t>
      </w:r>
      <w:r>
        <w:rPr>
          <w:spacing w:val="-5"/>
          <w:sz w:val="21"/>
        </w:rPr>
        <w:t xml:space="preserve"> 抗体或抗-</w:t>
      </w:r>
      <w:r>
        <w:rPr>
          <w:sz w:val="21"/>
        </w:rPr>
        <w:t>SLA/LP</w:t>
      </w:r>
      <w:r>
        <w:rPr>
          <w:spacing w:val="-6"/>
          <w:sz w:val="21"/>
        </w:rPr>
        <w:t xml:space="preserve"> 抗体；</w:t>
      </w:r>
    </w:p>
    <w:p>
      <w:pPr>
        <w:pStyle w:val="8"/>
        <w:numPr>
          <w:ilvl w:val="0"/>
          <w:numId w:val="40"/>
        </w:numPr>
        <w:tabs>
          <w:tab w:val="left" w:pos="3515"/>
        </w:tabs>
        <w:spacing w:before="0" w:after="0" w:line="269" w:lineRule="exact"/>
        <w:ind w:left="3514" w:right="0" w:hanging="530"/>
        <w:jc w:val="left"/>
        <w:rPr>
          <w:sz w:val="21"/>
        </w:rPr>
      </w:pPr>
      <w:r>
        <w:rPr>
          <w:spacing w:val="-3"/>
          <w:sz w:val="21"/>
        </w:rPr>
        <w:t>肝脏活检证实免疫性肝炎；</w:t>
      </w:r>
    </w:p>
    <w:p>
      <w:pPr>
        <w:pStyle w:val="8"/>
        <w:numPr>
          <w:ilvl w:val="0"/>
          <w:numId w:val="40"/>
        </w:numPr>
        <w:tabs>
          <w:tab w:val="left" w:pos="3515"/>
        </w:tabs>
        <w:spacing w:before="43" w:after="0" w:line="240" w:lineRule="auto"/>
        <w:ind w:left="3514" w:right="0" w:hanging="530"/>
        <w:jc w:val="left"/>
        <w:rPr>
          <w:sz w:val="21"/>
        </w:rPr>
      </w:pPr>
      <w:r>
        <w:rPr>
          <w:spacing w:val="-3"/>
          <w:sz w:val="21"/>
        </w:rPr>
        <w:t>临床已经出现腹水、食道静脉曲张和脾肿大等肝硬化表现。</w:t>
      </w:r>
    </w:p>
    <w:p>
      <w:pPr>
        <w:pStyle w:val="4"/>
        <w:spacing w:before="4"/>
        <w:rPr>
          <w:sz w:val="23"/>
        </w:rPr>
      </w:pPr>
    </w:p>
    <w:p>
      <w:pPr>
        <w:spacing w:after="0"/>
        <w:rPr>
          <w:sz w:val="23"/>
        </w:rPr>
        <w:sectPr>
          <w:pgSz w:w="11910" w:h="16840"/>
          <w:pgMar w:top="660" w:right="680" w:bottom="420" w:left="880" w:header="0" w:footer="230" w:gutter="0"/>
          <w:cols w:space="720" w:num="1"/>
        </w:sectPr>
      </w:pPr>
    </w:p>
    <w:p>
      <w:pPr>
        <w:pStyle w:val="3"/>
        <w:numPr>
          <w:ilvl w:val="2"/>
          <w:numId w:val="12"/>
        </w:numPr>
        <w:tabs>
          <w:tab w:val="left" w:pos="1710"/>
        </w:tabs>
        <w:spacing w:before="55" w:after="0" w:line="194" w:lineRule="auto"/>
        <w:ind w:left="1391" w:right="0" w:firstLine="0"/>
        <w:jc w:val="left"/>
      </w:pPr>
      <w:r>
        <w:rPr>
          <w:spacing w:val="-2"/>
        </w:rPr>
        <w:t>严重慢性缩窄型心包炎</w:t>
      </w:r>
    </w:p>
    <w:p>
      <w:pPr>
        <w:pStyle w:val="4"/>
        <w:spacing w:before="72" w:line="278" w:lineRule="auto"/>
        <w:ind w:left="181" w:right="622"/>
        <w:jc w:val="both"/>
      </w:pPr>
      <w:r>
        <w:br w:type="column"/>
      </w:r>
      <w:r>
        <w:rPr>
          <w:spacing w:val="-2"/>
        </w:rPr>
        <w:t>由于慢性心包炎症导致心包脏层和壁层广泛瘢痕粘连、增厚和钙化，心包腔闭塞，形成一个纤维瘢痕外壳，使心脏和大血管根部受压，阻碍心脏的</w:t>
      </w:r>
      <w:r>
        <w:rPr>
          <w:spacing w:val="-4"/>
        </w:rPr>
        <w:t>舒张。</w:t>
      </w:r>
    </w:p>
    <w:p>
      <w:pPr>
        <w:pStyle w:val="4"/>
        <w:spacing w:line="269" w:lineRule="exact"/>
        <w:ind w:left="181"/>
      </w:pPr>
      <w:r>
        <w:rPr>
          <w:spacing w:val="-3"/>
        </w:rPr>
        <w:t>被保险人被初次确认为慢性缩窄性心包炎且必须满足以下所有条件：</w:t>
      </w:r>
    </w:p>
    <w:p>
      <w:pPr>
        <w:pStyle w:val="8"/>
        <w:numPr>
          <w:ilvl w:val="0"/>
          <w:numId w:val="41"/>
        </w:numPr>
        <w:tabs>
          <w:tab w:val="left" w:pos="711"/>
        </w:tabs>
        <w:spacing w:before="43" w:after="0" w:line="278" w:lineRule="auto"/>
        <w:ind w:left="181" w:right="619" w:firstLine="0"/>
        <w:jc w:val="left"/>
        <w:rPr>
          <w:sz w:val="21"/>
        </w:rPr>
      </w:pPr>
      <w:r>
        <w:rPr>
          <w:spacing w:val="-4"/>
          <w:sz w:val="21"/>
        </w:rPr>
        <w:t xml:space="preserve">心功能衰竭达到美国纽约心脏病学会心功能状态分级 </w:t>
      </w:r>
      <w:r>
        <w:rPr>
          <w:spacing w:val="-2"/>
          <w:sz w:val="21"/>
        </w:rPr>
        <w:t>IV</w:t>
      </w:r>
      <w:r>
        <w:rPr>
          <w:spacing w:val="-9"/>
          <w:sz w:val="21"/>
        </w:rPr>
        <w:t xml:space="preserve"> 级，并持续</w:t>
      </w:r>
      <w:r>
        <w:rPr>
          <w:spacing w:val="-2"/>
          <w:sz w:val="21"/>
        </w:rPr>
        <w:t xml:space="preserve"> </w:t>
      </w:r>
      <w:r>
        <w:rPr>
          <w:sz w:val="21"/>
        </w:rPr>
        <w:t>180</w:t>
      </w:r>
      <w:r>
        <w:rPr>
          <w:spacing w:val="-10"/>
          <w:sz w:val="21"/>
        </w:rPr>
        <w:t xml:space="preserve"> 天以上；</w:t>
      </w:r>
    </w:p>
    <w:p>
      <w:pPr>
        <w:pStyle w:val="8"/>
        <w:numPr>
          <w:ilvl w:val="0"/>
          <w:numId w:val="41"/>
        </w:numPr>
        <w:tabs>
          <w:tab w:val="left" w:pos="711"/>
        </w:tabs>
        <w:spacing w:before="0" w:after="0" w:line="269" w:lineRule="exact"/>
        <w:ind w:left="710" w:right="0" w:hanging="530"/>
        <w:jc w:val="left"/>
        <w:rPr>
          <w:sz w:val="21"/>
        </w:rPr>
      </w:pPr>
      <w:r>
        <w:rPr>
          <w:spacing w:val="-3"/>
          <w:sz w:val="21"/>
        </w:rPr>
        <w:t>实际接受了以下任何一种手术路径的心包剥脱或心包切除手术：</w:t>
      </w:r>
    </w:p>
    <w:p>
      <w:pPr>
        <w:pStyle w:val="4"/>
        <w:spacing w:before="43"/>
        <w:ind w:left="690"/>
      </w:pPr>
      <w:r>
        <w:rPr>
          <w:spacing w:val="-4"/>
        </w:rPr>
        <w:t>①胸骨正中切口；</w:t>
      </w:r>
    </w:p>
    <w:p>
      <w:pPr>
        <w:pStyle w:val="4"/>
        <w:spacing w:before="43"/>
        <w:ind w:left="690"/>
      </w:pPr>
      <w:r>
        <w:rPr>
          <w:spacing w:val="-4"/>
        </w:rPr>
        <w:t>②双侧前胸切口；</w:t>
      </w:r>
    </w:p>
    <w:p>
      <w:pPr>
        <w:pStyle w:val="4"/>
        <w:spacing w:before="43"/>
        <w:ind w:left="690"/>
      </w:pPr>
      <w:r>
        <w:rPr>
          <w:spacing w:val="-3"/>
        </w:rPr>
        <w:t>③左前胸肋间切口。</w:t>
      </w:r>
    </w:p>
    <w:p>
      <w:pPr>
        <w:pStyle w:val="4"/>
        <w:spacing w:before="43"/>
        <w:ind w:left="181"/>
      </w:pPr>
      <w:r>
        <w:rPr>
          <w:spacing w:val="-3"/>
        </w:rPr>
        <w:t>经胸腔镜、胸壁打孔进行的手术、心包粘连松解手术不在保障范围内。</w:t>
      </w:r>
    </w:p>
    <w:p>
      <w:pPr>
        <w:spacing w:after="0"/>
        <w:sectPr>
          <w:type w:val="continuous"/>
          <w:pgSz w:w="11910" w:h="16840"/>
          <w:pgMar w:top="920" w:right="680" w:bottom="420" w:left="880" w:header="0" w:footer="230" w:gutter="0"/>
          <w:cols w:equalWidth="0" w:num="2">
            <w:col w:w="2765" w:space="40"/>
            <w:col w:w="7545"/>
          </w:cols>
        </w:sectPr>
      </w:pP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6" w:after="0" w:line="194" w:lineRule="auto"/>
        <w:ind w:left="1391" w:right="0" w:firstLine="0"/>
        <w:jc w:val="left"/>
      </w:pPr>
      <w:r>
        <w:rPr>
          <w:spacing w:val="-2"/>
        </w:rPr>
        <w:t>坏死性筋膜</w:t>
      </w:r>
      <w:r>
        <w:rPr>
          <w:spacing w:val="-10"/>
        </w:rPr>
        <w:t>炎</w:t>
      </w:r>
    </w:p>
    <w:p>
      <w:pPr>
        <w:pStyle w:val="4"/>
        <w:spacing w:before="72" w:line="278" w:lineRule="auto"/>
        <w:ind w:left="181" w:right="622"/>
        <w:jc w:val="both"/>
      </w:pPr>
      <w:r>
        <w:br w:type="column"/>
      </w:r>
      <w:r>
        <w:rPr>
          <w:spacing w:val="-2"/>
        </w:rPr>
        <w:t>是一种由细菌侵入皮下组织和筋膜引起的急性坏死性软组织感染，可伴有毒血症、败血症、中毒性休克、弥漫性血管内凝血及多器官衰竭。必须满足以下所有条件：</w:t>
      </w:r>
    </w:p>
    <w:p>
      <w:pPr>
        <w:pStyle w:val="8"/>
        <w:numPr>
          <w:ilvl w:val="0"/>
          <w:numId w:val="42"/>
        </w:numPr>
        <w:tabs>
          <w:tab w:val="left" w:pos="711"/>
        </w:tabs>
        <w:spacing w:before="0" w:after="0" w:line="240" w:lineRule="auto"/>
        <w:ind w:left="710" w:right="0" w:hanging="530"/>
        <w:jc w:val="left"/>
        <w:rPr>
          <w:sz w:val="21"/>
        </w:rPr>
      </w:pPr>
      <w:r>
        <w:rPr>
          <w:spacing w:val="-3"/>
          <w:sz w:val="21"/>
        </w:rPr>
        <w:t>细菌培养和临床表现符合坏死性筋膜炎诊断标准；</w:t>
      </w:r>
    </w:p>
    <w:p>
      <w:pPr>
        <w:pStyle w:val="8"/>
        <w:numPr>
          <w:ilvl w:val="0"/>
          <w:numId w:val="42"/>
        </w:numPr>
        <w:tabs>
          <w:tab w:val="left" w:pos="711"/>
        </w:tabs>
        <w:spacing w:before="43" w:after="0" w:line="240" w:lineRule="auto"/>
        <w:ind w:left="710" w:right="0" w:hanging="530"/>
        <w:jc w:val="left"/>
        <w:rPr>
          <w:sz w:val="21"/>
        </w:rPr>
      </w:pPr>
      <w:r>
        <w:rPr>
          <w:spacing w:val="-3"/>
          <w:sz w:val="21"/>
        </w:rPr>
        <w:t>病情迅速恶化，有脓毒血症表现；</w:t>
      </w:r>
    </w:p>
    <w:p>
      <w:pPr>
        <w:pStyle w:val="8"/>
        <w:numPr>
          <w:ilvl w:val="0"/>
          <w:numId w:val="42"/>
        </w:numPr>
        <w:tabs>
          <w:tab w:val="left" w:pos="711"/>
        </w:tabs>
        <w:spacing w:before="43" w:after="0" w:line="240" w:lineRule="auto"/>
        <w:ind w:left="710" w:right="0" w:hanging="530"/>
        <w:jc w:val="left"/>
        <w:rPr>
          <w:sz w:val="21"/>
        </w:rPr>
      </w:pPr>
      <w:r>
        <w:rPr>
          <w:spacing w:val="-2"/>
          <w:sz w:val="21"/>
        </w:rPr>
        <w:t>受感染肢体被截肢（自腕关节或踝关节近端</w:t>
      </w:r>
      <w:r>
        <w:rPr>
          <w:spacing w:val="-106"/>
          <w:sz w:val="21"/>
        </w:rPr>
        <w:t>）</w:t>
      </w:r>
      <w:r>
        <w:rPr>
          <w:spacing w:val="-10"/>
          <w:sz w:val="21"/>
        </w:rPr>
        <w:t>。</w:t>
      </w:r>
    </w:p>
    <w:p>
      <w:pPr>
        <w:spacing w:after="0" w:line="240" w:lineRule="auto"/>
        <w:jc w:val="left"/>
        <w:rPr>
          <w:sz w:val="21"/>
        </w:rPr>
        <w:sectPr>
          <w:type w:val="continuous"/>
          <w:pgSz w:w="11910" w:h="16840"/>
          <w:pgMar w:top="920" w:right="680" w:bottom="420" w:left="880" w:header="0" w:footer="230" w:gutter="0"/>
          <w:cols w:equalWidth="0" w:num="2">
            <w:col w:w="2765" w:space="40"/>
            <w:col w:w="7545"/>
          </w:cols>
        </w:sectPr>
      </w:pP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严重感染性</w:t>
      </w:r>
      <w:r>
        <w:rPr>
          <w:spacing w:val="-4"/>
        </w:rPr>
        <w:t>心内膜炎</w:t>
      </w:r>
    </w:p>
    <w:p>
      <w:pPr>
        <w:pStyle w:val="4"/>
        <w:spacing w:before="72"/>
        <w:ind w:left="181"/>
      </w:pPr>
      <w:r>
        <w:br w:type="column"/>
      </w:r>
      <w:r>
        <w:rPr>
          <w:spacing w:val="-3"/>
        </w:rPr>
        <w:t>因感染性病原体造成心脏内膜发炎，并符合下列所有条件：</w:t>
      </w:r>
    </w:p>
    <w:p>
      <w:pPr>
        <w:pStyle w:val="8"/>
        <w:numPr>
          <w:ilvl w:val="0"/>
          <w:numId w:val="43"/>
        </w:numPr>
        <w:tabs>
          <w:tab w:val="left" w:pos="711"/>
        </w:tabs>
        <w:spacing w:before="38" w:after="0" w:line="240" w:lineRule="auto"/>
        <w:ind w:left="710" w:right="0" w:hanging="530"/>
        <w:jc w:val="left"/>
        <w:rPr>
          <w:sz w:val="21"/>
        </w:rPr>
      </w:pPr>
      <w:r>
        <w:rPr>
          <w:spacing w:val="-3"/>
          <w:sz w:val="21"/>
        </w:rPr>
        <w:t>血液培养测试结果为阳性，证实存在感染病原体：</w:t>
      </w:r>
    </w:p>
    <w:p>
      <w:pPr>
        <w:pStyle w:val="4"/>
        <w:spacing w:before="43" w:line="278" w:lineRule="auto"/>
        <w:ind w:left="589" w:right="622"/>
      </w:pPr>
      <w:r>
        <w:rPr>
          <w:spacing w:val="-2"/>
        </w:rPr>
        <w:t>①微生物：在赘生物、栓塞的赘生物或心脏内脓疡经培养或组织检查证实有微生物；或</w:t>
      </w:r>
    </w:p>
    <w:p>
      <w:pPr>
        <w:pStyle w:val="4"/>
        <w:spacing w:line="278" w:lineRule="auto"/>
        <w:ind w:left="589" w:right="622"/>
      </w:pPr>
      <w:r>
        <w:rPr>
          <w:spacing w:val="-2"/>
        </w:rPr>
        <w:t>②病理性病灶：组织病理学检查证实赘生物或心脏内脓疡有活动性心内膜炎；或</w:t>
      </w:r>
    </w:p>
    <w:p>
      <w:pPr>
        <w:pStyle w:val="4"/>
        <w:ind w:left="589"/>
      </w:pPr>
      <w:r>
        <w:rPr>
          <w:spacing w:val="-3"/>
        </w:rPr>
        <w:t>③分别两次血液培养证实有典型的病原体且与心内膜炎吻合；或</w:t>
      </w:r>
    </w:p>
    <w:p>
      <w:pPr>
        <w:pStyle w:val="4"/>
        <w:spacing w:before="43"/>
        <w:ind w:left="589"/>
      </w:pPr>
      <w:r>
        <w:rPr>
          <w:spacing w:val="-3"/>
        </w:rPr>
        <w:t>④持续血液培养证实有病原体阳性反应，且与心内膜炎吻合。</w:t>
      </w:r>
    </w:p>
    <w:p>
      <w:pPr>
        <w:pStyle w:val="8"/>
        <w:numPr>
          <w:ilvl w:val="0"/>
          <w:numId w:val="43"/>
        </w:numPr>
        <w:tabs>
          <w:tab w:val="left" w:pos="711"/>
        </w:tabs>
        <w:spacing w:before="43" w:after="0" w:line="278" w:lineRule="auto"/>
        <w:ind w:left="181" w:right="615" w:firstLine="0"/>
        <w:jc w:val="left"/>
        <w:rPr>
          <w:sz w:val="21"/>
        </w:rPr>
      </w:pPr>
      <w:r>
        <w:rPr>
          <w:spacing w:val="-2"/>
          <w:sz w:val="21"/>
        </w:rPr>
        <w:t>心内膜炎引起中度心瓣膜闭锁不全（</w:t>
      </w:r>
      <w:r>
        <w:rPr>
          <w:spacing w:val="-11"/>
          <w:sz w:val="21"/>
        </w:rPr>
        <w:t xml:space="preserve">指返流分数 </w:t>
      </w:r>
      <w:r>
        <w:rPr>
          <w:spacing w:val="-2"/>
          <w:sz w:val="21"/>
        </w:rPr>
        <w:t>20%或以上）或中度</w:t>
      </w:r>
      <w:r>
        <w:rPr>
          <w:sz w:val="21"/>
        </w:rPr>
        <w:t>心瓣膜狭窄（</w:t>
      </w:r>
      <w:r>
        <w:rPr>
          <w:spacing w:val="-3"/>
          <w:sz w:val="21"/>
        </w:rPr>
        <w:t xml:space="preserve">指心瓣膜开口范围小于或等于正常的 </w:t>
      </w:r>
      <w:r>
        <w:rPr>
          <w:spacing w:val="22"/>
          <w:sz w:val="21"/>
        </w:rPr>
        <w:t>3</w:t>
      </w:r>
      <w:r>
        <w:rPr>
          <w:spacing w:val="17"/>
          <w:sz w:val="21"/>
        </w:rPr>
        <w:t>0</w:t>
      </w:r>
      <w:r>
        <w:rPr>
          <w:spacing w:val="22"/>
          <w:sz w:val="21"/>
        </w:rPr>
        <w:t>%</w:t>
      </w:r>
      <w:r>
        <w:rPr>
          <w:spacing w:val="-84"/>
          <w:sz w:val="21"/>
        </w:rPr>
        <w:t>）</w:t>
      </w:r>
      <w:r>
        <w:rPr>
          <w:spacing w:val="11"/>
          <w:sz w:val="21"/>
        </w:rPr>
        <w:t>；及</w:t>
      </w:r>
    </w:p>
    <w:p>
      <w:pPr>
        <w:pStyle w:val="8"/>
        <w:numPr>
          <w:ilvl w:val="0"/>
          <w:numId w:val="43"/>
        </w:numPr>
        <w:tabs>
          <w:tab w:val="left" w:pos="711"/>
        </w:tabs>
        <w:spacing w:before="0" w:after="0" w:line="269" w:lineRule="exact"/>
        <w:ind w:left="710" w:right="0" w:hanging="530"/>
        <w:jc w:val="left"/>
        <w:rPr>
          <w:sz w:val="21"/>
        </w:rPr>
      </w:pPr>
      <w:r>
        <w:rPr>
          <w:spacing w:val="-3"/>
          <w:sz w:val="21"/>
        </w:rPr>
        <w:t>心内膜炎及心瓣膜病损须经心脏专科医生确诊。</w:t>
      </w:r>
    </w:p>
    <w:p>
      <w:pPr>
        <w:spacing w:after="0" w:line="269" w:lineRule="exact"/>
        <w:jc w:val="left"/>
        <w:rPr>
          <w:sz w:val="21"/>
        </w:rPr>
        <w:sectPr>
          <w:type w:val="continuous"/>
          <w:pgSz w:w="11910" w:h="16840"/>
          <w:pgMar w:top="920" w:right="680" w:bottom="420" w:left="880" w:header="0" w:footer="230" w:gutter="0"/>
          <w:cols w:equalWidth="0" w:num="2">
            <w:col w:w="2765" w:space="40"/>
            <w:col w:w="7545"/>
          </w:cols>
        </w:sectPr>
      </w:pPr>
    </w:p>
    <w:p>
      <w:pPr>
        <w:pStyle w:val="4"/>
        <w:spacing w:before="8"/>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严重的骨髓增生异常综合</w:t>
      </w:r>
      <w:r>
        <w:rPr>
          <w:spacing w:val="-10"/>
        </w:rPr>
        <w:t>征</w:t>
      </w:r>
    </w:p>
    <w:p>
      <w:pPr>
        <w:pStyle w:val="4"/>
        <w:spacing w:before="72" w:line="276" w:lineRule="auto"/>
        <w:ind w:left="181" w:right="615"/>
        <w:jc w:val="both"/>
      </w:pPr>
      <w:r>
        <w:br w:type="column"/>
      </w:r>
      <w:r>
        <w:t>骨髓增生异常综合征（myelodysplastic</w:t>
      </w:r>
      <w:r>
        <w:rPr>
          <w:spacing w:val="-12"/>
        </w:rPr>
        <w:t xml:space="preserve"> </w:t>
      </w:r>
      <w:r>
        <w:t>syndromes，MDS）是起源于造血</w:t>
      </w:r>
      <w:r>
        <w:rPr>
          <w:spacing w:val="-2"/>
        </w:rPr>
        <w:t>干细胞的一组异质性髓系克隆性疾病，特点是髓系细胞发育异常，表现为无效造血、难治性血细胞减少，本合同所指的严重的骨髓异常增生综合征需满足下列所有条件：</w:t>
      </w:r>
    </w:p>
    <w:p>
      <w:pPr>
        <w:pStyle w:val="8"/>
        <w:numPr>
          <w:ilvl w:val="0"/>
          <w:numId w:val="44"/>
        </w:numPr>
        <w:tabs>
          <w:tab w:val="left" w:pos="711"/>
        </w:tabs>
        <w:spacing w:before="6" w:after="0" w:line="278" w:lineRule="auto"/>
        <w:ind w:left="181" w:right="617" w:firstLine="0"/>
        <w:jc w:val="left"/>
        <w:rPr>
          <w:sz w:val="21"/>
        </w:rPr>
      </w:pPr>
      <w:r>
        <w:rPr>
          <w:spacing w:val="-2"/>
          <w:sz w:val="21"/>
        </w:rPr>
        <w:t>由设有专门血液病专科的公立三级甲等医院血液病专科的主治级别以上的专科医生确诊；</w:t>
      </w:r>
    </w:p>
    <w:p>
      <w:pPr>
        <w:pStyle w:val="8"/>
        <w:numPr>
          <w:ilvl w:val="0"/>
          <w:numId w:val="44"/>
        </w:numPr>
        <w:tabs>
          <w:tab w:val="left" w:pos="711"/>
        </w:tabs>
        <w:spacing w:before="0" w:after="0" w:line="269" w:lineRule="exact"/>
        <w:ind w:left="710" w:right="0" w:hanging="530"/>
        <w:jc w:val="left"/>
        <w:rPr>
          <w:sz w:val="21"/>
        </w:rPr>
      </w:pPr>
      <w:r>
        <w:rPr>
          <w:spacing w:val="-2"/>
          <w:sz w:val="21"/>
        </w:rPr>
        <w:t>骨髓涂片检查同时符合发育异常细胞比例&gt;10%、原始细胞比例&gt;15%；</w:t>
      </w:r>
    </w:p>
    <w:p>
      <w:pPr>
        <w:pStyle w:val="8"/>
        <w:numPr>
          <w:ilvl w:val="0"/>
          <w:numId w:val="44"/>
        </w:numPr>
        <w:tabs>
          <w:tab w:val="left" w:pos="711"/>
        </w:tabs>
        <w:spacing w:before="43" w:after="0" w:line="240" w:lineRule="auto"/>
        <w:ind w:left="710" w:right="0" w:hanging="530"/>
        <w:jc w:val="left"/>
        <w:rPr>
          <w:sz w:val="21"/>
        </w:rPr>
      </w:pPr>
      <w:r>
        <w:rPr>
          <w:spacing w:val="-3"/>
          <w:sz w:val="21"/>
        </w:rPr>
        <w:t>已接受至少累计三十日的化疗或已接受骨髓移植治疗。</w:t>
      </w:r>
    </w:p>
    <w:p>
      <w:pPr>
        <w:pStyle w:val="4"/>
        <w:spacing w:before="43"/>
        <w:ind w:left="181"/>
      </w:pPr>
      <w:r>
        <w:rPr>
          <w:spacing w:val="-3"/>
        </w:rPr>
        <w:t>化疗日数的计算以被保险人实际服用、注射化疗药物的天数为准。</w:t>
      </w:r>
    </w:p>
    <w:p>
      <w:pPr>
        <w:pStyle w:val="4"/>
        <w:spacing w:before="43"/>
        <w:ind w:left="181"/>
      </w:pPr>
      <w:r>
        <w:rPr>
          <w:spacing w:val="-3"/>
        </w:rPr>
        <w:t>疑似病例不在保障范围之内。</w:t>
      </w:r>
    </w:p>
    <w:p>
      <w:pPr>
        <w:spacing w:after="0"/>
        <w:sectPr>
          <w:type w:val="continuous"/>
          <w:pgSz w:w="11910" w:h="16840"/>
          <w:pgMar w:top="920" w:right="680" w:bottom="420" w:left="880" w:header="0" w:footer="230" w:gutter="0"/>
          <w:cols w:equalWidth="0" w:num="2">
            <w:col w:w="2765" w:space="40"/>
            <w:col w:w="7545"/>
          </w:cols>
        </w:sectPr>
      </w:pPr>
    </w:p>
    <w:p>
      <w:pPr>
        <w:pStyle w:val="4"/>
        <w:spacing w:before="8"/>
        <w:rPr>
          <w:sz w:val="23"/>
        </w:rPr>
      </w:pPr>
    </w:p>
    <w:p>
      <w:pPr>
        <w:pStyle w:val="8"/>
        <w:numPr>
          <w:ilvl w:val="2"/>
          <w:numId w:val="12"/>
        </w:numPr>
        <w:tabs>
          <w:tab w:val="left" w:pos="1710"/>
          <w:tab w:val="left" w:pos="2985"/>
        </w:tabs>
        <w:spacing w:before="2" w:after="0" w:line="240" w:lineRule="auto"/>
        <w:ind w:left="1709" w:right="0" w:hanging="319"/>
        <w:jc w:val="left"/>
        <w:rPr>
          <w:sz w:val="21"/>
        </w:rPr>
      </w:pPr>
      <w:r>
        <w:rPr>
          <w:rFonts w:ascii="Microsoft JhengHei" w:eastAsia="Microsoft JhengHei"/>
          <w:b/>
          <w:sz w:val="21"/>
        </w:rPr>
        <w:t>严重癫</w:t>
      </w:r>
      <w:r>
        <w:rPr>
          <w:rFonts w:ascii="Microsoft JhengHei" w:eastAsia="Microsoft JhengHei"/>
          <w:b/>
          <w:spacing w:val="-10"/>
          <w:sz w:val="21"/>
        </w:rPr>
        <w:t>痫</w:t>
      </w:r>
      <w:r>
        <w:rPr>
          <w:rFonts w:ascii="Microsoft JhengHei" w:eastAsia="Microsoft JhengHei"/>
          <w:b/>
          <w:sz w:val="21"/>
        </w:rPr>
        <w:tab/>
      </w:r>
      <w:r>
        <w:rPr>
          <w:spacing w:val="14"/>
          <w:sz w:val="21"/>
        </w:rPr>
        <w:t>本病的诊断须由神</w:t>
      </w:r>
      <w:r>
        <w:rPr>
          <w:sz w:val="21"/>
        </w:rPr>
        <w:t>经</w:t>
      </w:r>
      <w:r>
        <w:rPr>
          <w:spacing w:val="14"/>
          <w:sz w:val="21"/>
        </w:rPr>
        <w:t>科或儿科专科</w:t>
      </w:r>
      <w:r>
        <w:rPr>
          <w:sz w:val="21"/>
        </w:rPr>
        <w:t>医</w:t>
      </w:r>
      <w:r>
        <w:rPr>
          <w:spacing w:val="14"/>
          <w:sz w:val="21"/>
        </w:rPr>
        <w:t>生根据典</w:t>
      </w:r>
      <w:r>
        <w:rPr>
          <w:sz w:val="21"/>
        </w:rPr>
        <w:t>型</w:t>
      </w:r>
      <w:r>
        <w:rPr>
          <w:spacing w:val="14"/>
          <w:sz w:val="21"/>
        </w:rPr>
        <w:t>临床症状和脑电图</w:t>
      </w:r>
      <w:r>
        <w:rPr>
          <w:spacing w:val="4"/>
          <w:sz w:val="21"/>
        </w:rPr>
        <w:t>及</w:t>
      </w:r>
    </w:p>
    <w:p>
      <w:pPr>
        <w:spacing w:after="0" w:line="240" w:lineRule="auto"/>
        <w:jc w:val="left"/>
        <w:rPr>
          <w:sz w:val="21"/>
        </w:rPr>
        <w:sectPr>
          <w:type w:val="continuous"/>
          <w:pgSz w:w="11910" w:h="16840"/>
          <w:pgMar w:top="920" w:right="680" w:bottom="420" w:left="880" w:header="0" w:footer="230" w:gutter="0"/>
          <w:cols w:space="720" w:num="1"/>
        </w:sectPr>
      </w:pPr>
    </w:p>
    <w:p>
      <w:pPr>
        <w:pStyle w:val="4"/>
        <w:spacing w:before="53" w:line="278" w:lineRule="auto"/>
        <w:ind w:left="2985" w:right="615"/>
        <w:jc w:val="both"/>
      </w:pPr>
      <w:r>
        <w:rPr>
          <w:w w:val="95"/>
        </w:rPr>
        <w:t>MRI、PET、CT 等影相学检查做出。理赔时必须提供 6 个月以上的相关病历</w:t>
      </w:r>
      <w:r>
        <w:rPr>
          <w:spacing w:val="-2"/>
        </w:rPr>
        <w:t>记录证明被保险人存在经抗癫痫药物治疗无效而反复发作的强直阵挛性发作或癫痫大发作，且已行神经外科手术以治疗反复发作的癫痫。</w:t>
      </w:r>
    </w:p>
    <w:p>
      <w:pPr>
        <w:pStyle w:val="4"/>
        <w:spacing w:line="278" w:lineRule="auto"/>
        <w:ind w:left="2985" w:right="622"/>
      </w:pPr>
      <w:r>
        <w:rPr>
          <w:spacing w:val="-2"/>
        </w:rPr>
        <w:t>发热性惊厥以及没有全身性发作的失神发作（癫痫小发作）不在保障范围</w:t>
      </w:r>
      <w:r>
        <w:rPr>
          <w:spacing w:val="-6"/>
        </w:rPr>
        <w:t>内。</w:t>
      </w:r>
    </w:p>
    <w:p>
      <w:pPr>
        <w:pStyle w:val="4"/>
        <w:spacing w:before="11"/>
        <w:rPr>
          <w:sz w:val="19"/>
        </w:rPr>
      </w:pPr>
    </w:p>
    <w:p>
      <w:pPr>
        <w:spacing w:after="0"/>
        <w:rPr>
          <w:sz w:val="19"/>
        </w:rPr>
        <w:sectPr>
          <w:pgSz w:w="11910" w:h="16840"/>
          <w:pgMar w:top="660" w:right="680" w:bottom="420" w:left="880" w:header="0" w:footer="230" w:gutter="0"/>
          <w:cols w:space="720" w:num="1"/>
        </w:sectPr>
      </w:pPr>
    </w:p>
    <w:p>
      <w:pPr>
        <w:pStyle w:val="3"/>
        <w:numPr>
          <w:ilvl w:val="2"/>
          <w:numId w:val="12"/>
        </w:numPr>
        <w:tabs>
          <w:tab w:val="left" w:pos="1710"/>
        </w:tabs>
        <w:spacing w:before="55" w:after="0" w:line="194" w:lineRule="auto"/>
        <w:ind w:left="1391" w:right="0" w:firstLine="0"/>
        <w:jc w:val="left"/>
      </w:pPr>
      <w:r>
        <w:rPr>
          <w:spacing w:val="-2"/>
        </w:rPr>
        <w:t>自体造血干</w:t>
      </w:r>
      <w:r>
        <w:rPr>
          <w:spacing w:val="-4"/>
        </w:rPr>
        <w:t>细胞移植</w:t>
      </w:r>
    </w:p>
    <w:p>
      <w:pPr>
        <w:pStyle w:val="4"/>
        <w:spacing w:before="71" w:line="278" w:lineRule="auto"/>
        <w:ind w:left="181" w:right="622"/>
        <w:jc w:val="both"/>
      </w:pPr>
      <w:r>
        <w:br w:type="column"/>
      </w:r>
      <w:r>
        <w:rPr>
          <w:spacing w:val="-2"/>
        </w:rPr>
        <w:t>指由于被保险人自身骨髓造血功能异常或为了达到治疗肿瘤的目的，采集被保险人自己的一部分造血干细胞，分离并深低温保存，再回输给被保险人使被保险人的造血功能和免疫功能重新恢复的一种治疗方法。</w:t>
      </w:r>
    </w:p>
    <w:p>
      <w:pPr>
        <w:pStyle w:val="4"/>
        <w:spacing w:line="269" w:lineRule="exact"/>
        <w:ind w:left="181"/>
      </w:pPr>
      <w:r>
        <w:rPr>
          <w:spacing w:val="-3"/>
        </w:rPr>
        <w:t>该治疗须由专科医生认为在临床上是必需的。</w:t>
      </w:r>
    </w:p>
    <w:p>
      <w:pPr>
        <w:spacing w:after="0" w:line="269" w:lineRule="exact"/>
        <w:sectPr>
          <w:type w:val="continuous"/>
          <w:pgSz w:w="11910" w:h="16840"/>
          <w:pgMar w:top="920" w:right="680" w:bottom="420" w:left="880" w:header="0" w:footer="230" w:gutter="0"/>
          <w:cols w:equalWidth="0" w:num="2">
            <w:col w:w="2765" w:space="40"/>
            <w:col w:w="7545"/>
          </w:cols>
        </w:sectPr>
      </w:pPr>
    </w:p>
    <w:p>
      <w:pPr>
        <w:pStyle w:val="4"/>
        <w:spacing w:before="4"/>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5" w:after="0" w:line="194" w:lineRule="auto"/>
        <w:ind w:left="1391" w:right="0" w:firstLine="0"/>
        <w:jc w:val="left"/>
      </w:pPr>
      <w:r>
        <w:rPr>
          <w:spacing w:val="-2"/>
        </w:rPr>
        <w:t>肺淋巴管肌</w:t>
      </w:r>
      <w:r>
        <w:rPr>
          <w:spacing w:val="-6"/>
        </w:rPr>
        <w:t>瘤病</w:t>
      </w:r>
    </w:p>
    <w:p>
      <w:pPr>
        <w:pStyle w:val="4"/>
        <w:spacing w:before="72" w:line="278" w:lineRule="auto"/>
        <w:ind w:left="181" w:right="516"/>
      </w:pPr>
      <w:r>
        <w:br w:type="column"/>
      </w:r>
      <w:r>
        <w:rPr>
          <w:spacing w:val="-5"/>
        </w:rPr>
        <w:t>肺淋巴管肌瘤病是一种弥漫性肺部疾病，主要病理改变为肺间质、支气管、</w:t>
      </w:r>
      <w:r>
        <w:rPr>
          <w:spacing w:val="-2"/>
        </w:rPr>
        <w:t>血管和淋巴管内出现未成熟的平滑肌异常增生，同时需满足下列条件：</w:t>
      </w:r>
    </w:p>
    <w:p>
      <w:pPr>
        <w:pStyle w:val="8"/>
        <w:numPr>
          <w:ilvl w:val="0"/>
          <w:numId w:val="45"/>
        </w:numPr>
        <w:tabs>
          <w:tab w:val="left" w:pos="711"/>
        </w:tabs>
        <w:spacing w:before="0" w:after="0" w:line="269" w:lineRule="exact"/>
        <w:ind w:left="710" w:right="0" w:hanging="530"/>
        <w:jc w:val="left"/>
        <w:rPr>
          <w:sz w:val="21"/>
        </w:rPr>
      </w:pPr>
      <w:r>
        <w:rPr>
          <w:spacing w:val="-3"/>
          <w:sz w:val="21"/>
        </w:rPr>
        <w:t>经组织病理学诊断；</w:t>
      </w:r>
    </w:p>
    <w:p>
      <w:pPr>
        <w:pStyle w:val="8"/>
        <w:numPr>
          <w:ilvl w:val="0"/>
          <w:numId w:val="45"/>
        </w:numPr>
        <w:tabs>
          <w:tab w:val="left" w:pos="711"/>
        </w:tabs>
        <w:spacing w:before="42" w:after="0" w:line="240" w:lineRule="auto"/>
        <w:ind w:left="710" w:right="0" w:hanging="530"/>
        <w:jc w:val="left"/>
        <w:rPr>
          <w:sz w:val="21"/>
        </w:rPr>
      </w:pPr>
      <w:r>
        <w:rPr>
          <w:spacing w:val="-2"/>
          <w:sz w:val="21"/>
        </w:rPr>
        <w:t>CT</w:t>
      </w:r>
      <w:r>
        <w:rPr>
          <w:spacing w:val="-10"/>
          <w:sz w:val="21"/>
        </w:rPr>
        <w:t xml:space="preserve"> 显示双肺弥漫性囊性改变；</w:t>
      </w:r>
    </w:p>
    <w:p>
      <w:pPr>
        <w:pStyle w:val="8"/>
        <w:numPr>
          <w:ilvl w:val="0"/>
          <w:numId w:val="45"/>
        </w:numPr>
        <w:tabs>
          <w:tab w:val="left" w:pos="711"/>
        </w:tabs>
        <w:spacing w:before="44" w:after="0" w:line="240" w:lineRule="auto"/>
        <w:ind w:left="710" w:right="0" w:hanging="530"/>
        <w:jc w:val="left"/>
        <w:rPr>
          <w:sz w:val="21"/>
        </w:rPr>
      </w:pPr>
      <w:r>
        <w:rPr>
          <w:spacing w:val="-2"/>
          <w:position w:val="1"/>
          <w:sz w:val="21"/>
        </w:rPr>
        <w:t>血气提示低氧血症，动脉血氧分压（PaO</w:t>
      </w:r>
      <w:r>
        <w:rPr>
          <w:spacing w:val="-2"/>
          <w:sz w:val="11"/>
        </w:rPr>
        <w:t>2</w:t>
      </w:r>
      <w:r>
        <w:rPr>
          <w:spacing w:val="-2"/>
          <w:position w:val="1"/>
          <w:sz w:val="21"/>
        </w:rPr>
        <w:t>）持续&lt;50mmHg</w:t>
      </w:r>
      <w:r>
        <w:rPr>
          <w:spacing w:val="-10"/>
          <w:position w:val="1"/>
          <w:sz w:val="21"/>
        </w:rPr>
        <w:t>。</w:t>
      </w:r>
    </w:p>
    <w:p>
      <w:pPr>
        <w:spacing w:after="0" w:line="240" w:lineRule="auto"/>
        <w:jc w:val="left"/>
        <w:rPr>
          <w:sz w:val="21"/>
        </w:rPr>
        <w:sectPr>
          <w:type w:val="continuous"/>
          <w:pgSz w:w="11910" w:h="16840"/>
          <w:pgMar w:top="920" w:right="680" w:bottom="420" w:left="880" w:header="0" w:footer="230" w:gutter="0"/>
          <w:cols w:equalWidth="0" w:num="2">
            <w:col w:w="2765" w:space="40"/>
            <w:col w:w="7545"/>
          </w:cols>
        </w:sectPr>
      </w:pP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肺泡蛋白质</w:t>
      </w:r>
      <w:r>
        <w:rPr>
          <w:spacing w:val="-4"/>
        </w:rPr>
        <w:t>沉积症</w:t>
      </w:r>
    </w:p>
    <w:p>
      <w:pPr>
        <w:pStyle w:val="4"/>
        <w:spacing w:before="72" w:line="276" w:lineRule="auto"/>
        <w:ind w:left="181" w:right="614"/>
        <w:jc w:val="both"/>
      </w:pPr>
      <w:r>
        <w:br w:type="column"/>
      </w:r>
      <w:r>
        <w:rPr>
          <w:spacing w:val="-3"/>
        </w:rPr>
        <w:t xml:space="preserve">指肺泡和细支气管腔内充满不可溶性富磷脂蛋白的疾病，胸部 </w:t>
      </w:r>
      <w:r>
        <w:rPr>
          <w:spacing w:val="-2"/>
        </w:rPr>
        <w:t>X</w:t>
      </w:r>
      <w:r>
        <w:rPr>
          <w:spacing w:val="-7"/>
        </w:rPr>
        <w:t xml:space="preserve"> 线呈双肺</w:t>
      </w:r>
      <w:r>
        <w:rPr>
          <w:spacing w:val="-4"/>
        </w:rPr>
        <w:t>弥漫性肺部磨玻璃影，病理学检查肺泡内充满有过碘酸雪夫（PAS）染色阳</w:t>
      </w:r>
      <w:r>
        <w:rPr>
          <w:spacing w:val="-2"/>
        </w:rPr>
        <w:t>性的蛋白样物质，并且接受了肺灌洗治疗。</w:t>
      </w:r>
    </w:p>
    <w:p>
      <w:pPr>
        <w:spacing w:after="0" w:line="276" w:lineRule="auto"/>
        <w:jc w:val="both"/>
        <w:sectPr>
          <w:type w:val="continuous"/>
          <w:pgSz w:w="11910" w:h="16840"/>
          <w:pgMar w:top="920" w:right="680" w:bottom="420" w:left="880" w:header="0" w:footer="230" w:gutter="0"/>
          <w:cols w:equalWidth="0" w:num="2">
            <w:col w:w="2765" w:space="40"/>
            <w:col w:w="7545"/>
          </w:cols>
        </w:sectPr>
      </w:pPr>
    </w:p>
    <w:p>
      <w:pPr>
        <w:pStyle w:val="4"/>
        <w:spacing w:before="6"/>
        <w:rPr>
          <w:sz w:val="20"/>
        </w:rPr>
      </w:pPr>
    </w:p>
    <w:p>
      <w:pPr>
        <w:pStyle w:val="8"/>
        <w:numPr>
          <w:ilvl w:val="2"/>
          <w:numId w:val="12"/>
        </w:numPr>
        <w:tabs>
          <w:tab w:val="left" w:pos="1710"/>
          <w:tab w:val="left" w:pos="2985"/>
        </w:tabs>
        <w:spacing w:before="11" w:after="0" w:line="232" w:lineRule="auto"/>
        <w:ind w:left="2985" w:right="622" w:hanging="1594"/>
        <w:jc w:val="left"/>
        <w:rPr>
          <w:sz w:val="21"/>
        </w:rPr>
      </w:pPr>
      <w:r>
        <w:rPr>
          <w:rFonts w:ascii="Microsoft JhengHei" w:eastAsia="Microsoft JhengHei"/>
          <w:b/>
          <w:spacing w:val="-4"/>
          <w:sz w:val="21"/>
        </w:rPr>
        <w:t>小肠移植</w:t>
      </w:r>
      <w:r>
        <w:rPr>
          <w:rFonts w:ascii="Microsoft JhengHei" w:eastAsia="Microsoft JhengHei"/>
          <w:b/>
          <w:sz w:val="21"/>
        </w:rPr>
        <w:tab/>
      </w:r>
      <w:r>
        <w:rPr>
          <w:spacing w:val="-2"/>
          <w:sz w:val="21"/>
        </w:rPr>
        <w:t>指因肠道疾病或外伤，已经实施了在全身麻醉下进行的小肠的异体器官移</w:t>
      </w:r>
      <w:r>
        <w:rPr>
          <w:spacing w:val="-4"/>
          <w:sz w:val="21"/>
        </w:rPr>
        <w:t>植手术。</w:t>
      </w:r>
    </w:p>
    <w:p>
      <w:pPr>
        <w:pStyle w:val="4"/>
        <w:spacing w:before="45"/>
        <w:ind w:left="2985"/>
      </w:pPr>
      <w:r>
        <w:rPr>
          <w:spacing w:val="-3"/>
        </w:rPr>
        <w:t>此手术必须由专科医生认为是医学上必需的情况下进行。</w:t>
      </w:r>
    </w:p>
    <w:p>
      <w:pPr>
        <w:pStyle w:val="4"/>
        <w:spacing w:before="7"/>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9" w:after="0" w:line="192" w:lineRule="auto"/>
        <w:ind w:left="1391" w:right="0" w:firstLine="0"/>
        <w:jc w:val="left"/>
      </w:pPr>
      <w:r>
        <w:rPr>
          <w:spacing w:val="-2"/>
        </w:rPr>
        <w:t>疾病或外伤所致智力障碍</w:t>
      </w:r>
    </w:p>
    <w:p>
      <w:pPr>
        <w:pStyle w:val="4"/>
        <w:spacing w:before="72"/>
        <w:ind w:left="180"/>
      </w:pPr>
      <w:r>
        <w:br w:type="column"/>
      </w:r>
      <w:r>
        <w:rPr>
          <w:spacing w:val="-6"/>
        </w:rPr>
        <w:t>因严重头部创伤或疾病造成被保险人智力低常（智力低于常态</w:t>
      </w:r>
      <w:r>
        <w:rPr>
          <w:spacing w:val="-106"/>
        </w:rPr>
        <w:t>）</w:t>
      </w:r>
      <w:r>
        <w:rPr>
          <w:spacing w:val="-7"/>
        </w:rPr>
        <w:t>。根据智商</w:t>
      </w:r>
    </w:p>
    <w:p>
      <w:pPr>
        <w:pStyle w:val="4"/>
        <w:spacing w:before="39" w:line="278" w:lineRule="auto"/>
        <w:ind w:left="180" w:right="513"/>
      </w:pPr>
      <w:r>
        <w:rPr>
          <w:spacing w:val="14"/>
        </w:rPr>
        <w:t>（IQ</w:t>
      </w:r>
      <w:r>
        <w:rPr>
          <w:spacing w:val="-92"/>
        </w:rPr>
        <w:t>）</w:t>
      </w:r>
      <w:r>
        <w:rPr>
          <w:spacing w:val="-10"/>
        </w:rPr>
        <w:t>，智力低常分为轻度（IQ50-</w:t>
      </w:r>
      <w:r>
        <w:rPr>
          <w:spacing w:val="16"/>
        </w:rPr>
        <w:t>7</w:t>
      </w:r>
      <w:r>
        <w:rPr>
          <w:spacing w:val="21"/>
        </w:rPr>
        <w:t>0</w:t>
      </w:r>
      <w:r>
        <w:rPr>
          <w:spacing w:val="-85"/>
        </w:rPr>
        <w:t>）</w:t>
      </w:r>
      <w:r>
        <w:rPr>
          <w:spacing w:val="-5"/>
        </w:rPr>
        <w:t>；中度</w:t>
      </w:r>
      <w:r>
        <w:rPr>
          <w:spacing w:val="-10"/>
        </w:rPr>
        <w:t>（IQ35-</w:t>
      </w:r>
      <w:r>
        <w:rPr>
          <w:spacing w:val="16"/>
        </w:rPr>
        <w:t>5</w:t>
      </w:r>
      <w:r>
        <w:rPr>
          <w:spacing w:val="21"/>
        </w:rPr>
        <w:t>0</w:t>
      </w:r>
      <w:r>
        <w:rPr>
          <w:spacing w:val="-85"/>
        </w:rPr>
        <w:t>）</w:t>
      </w:r>
      <w:r>
        <w:rPr>
          <w:spacing w:val="-5"/>
        </w:rPr>
        <w:t>；重度</w:t>
      </w:r>
      <w:r>
        <w:rPr>
          <w:spacing w:val="-10"/>
        </w:rPr>
        <w:t>（IQ20-35）</w:t>
      </w:r>
      <w:r>
        <w:rPr>
          <w:spacing w:val="-2"/>
        </w:rPr>
        <w:t>和极重度</w:t>
      </w:r>
      <w:r>
        <w:rPr>
          <w:spacing w:val="13"/>
        </w:rPr>
        <w:t>（IQ&lt;20</w:t>
      </w:r>
      <w:r>
        <w:rPr>
          <w:spacing w:val="-98"/>
        </w:rPr>
        <w:t>）</w:t>
      </w:r>
      <w:r>
        <w:rPr>
          <w:spacing w:val="-2"/>
        </w:rPr>
        <w:t>。智商的检测必须由我们认可的专职心理测验工作者进行，心理测验工作者必须持有由心理测量专业委员会资格认定书。根据被保险人年龄采用对应的智力量表如韦克斯勒智力量表（儿童智力量表或成人智力量表</w:t>
      </w:r>
      <w:r>
        <w:rPr>
          <w:spacing w:val="-111"/>
        </w:rPr>
        <w:t>）</w:t>
      </w:r>
      <w:r>
        <w:rPr>
          <w:spacing w:val="-2"/>
        </w:rPr>
        <w:t>。</w:t>
      </w:r>
    </w:p>
    <w:p>
      <w:pPr>
        <w:pStyle w:val="4"/>
        <w:ind w:left="180"/>
      </w:pPr>
      <w:r>
        <w:rPr>
          <w:spacing w:val="-3"/>
        </w:rPr>
        <w:t>理赔时必须满足下列全部条件：</w:t>
      </w:r>
    </w:p>
    <w:p>
      <w:pPr>
        <w:pStyle w:val="8"/>
        <w:numPr>
          <w:ilvl w:val="0"/>
          <w:numId w:val="46"/>
        </w:numPr>
        <w:tabs>
          <w:tab w:val="left" w:pos="710"/>
        </w:tabs>
        <w:spacing w:before="43" w:after="0" w:line="278" w:lineRule="auto"/>
        <w:ind w:left="180" w:right="622" w:firstLine="0"/>
        <w:jc w:val="left"/>
        <w:rPr>
          <w:sz w:val="21"/>
        </w:rPr>
      </w:pPr>
      <w:r>
        <w:rPr>
          <w:spacing w:val="-2"/>
          <w:sz w:val="21"/>
        </w:rPr>
        <w:t>造成被保险人智力低常（智力低于常态）的严重头部创伤或疾病（</w:t>
      </w:r>
      <w:r>
        <w:rPr>
          <w:sz w:val="21"/>
        </w:rPr>
        <w:t>以入院日期为准）</w:t>
      </w:r>
      <w:r>
        <w:rPr>
          <w:spacing w:val="-3"/>
          <w:sz w:val="21"/>
        </w:rPr>
        <w:t xml:space="preserve">发生在被保险人 </w:t>
      </w:r>
      <w:r>
        <w:rPr>
          <w:sz w:val="21"/>
        </w:rPr>
        <w:t>6</w:t>
      </w:r>
      <w:r>
        <w:rPr>
          <w:spacing w:val="-5"/>
          <w:sz w:val="21"/>
        </w:rPr>
        <w:t xml:space="preserve"> 周岁以后；</w:t>
      </w:r>
    </w:p>
    <w:p>
      <w:pPr>
        <w:pStyle w:val="8"/>
        <w:numPr>
          <w:ilvl w:val="0"/>
          <w:numId w:val="46"/>
        </w:numPr>
        <w:tabs>
          <w:tab w:val="left" w:pos="710"/>
        </w:tabs>
        <w:spacing w:before="0" w:after="0" w:line="269" w:lineRule="exact"/>
        <w:ind w:left="709" w:right="0" w:hanging="530"/>
        <w:jc w:val="left"/>
        <w:rPr>
          <w:sz w:val="21"/>
        </w:rPr>
      </w:pPr>
      <w:r>
        <w:rPr>
          <w:spacing w:val="-3"/>
          <w:sz w:val="21"/>
        </w:rPr>
        <w:t>儿科主任医师确诊被保险人由于严重头部创伤或疾病造成智力低常；</w:t>
      </w:r>
    </w:p>
    <w:p>
      <w:pPr>
        <w:pStyle w:val="8"/>
        <w:numPr>
          <w:ilvl w:val="0"/>
          <w:numId w:val="46"/>
        </w:numPr>
        <w:tabs>
          <w:tab w:val="left" w:pos="720"/>
        </w:tabs>
        <w:spacing w:before="42" w:after="0" w:line="240" w:lineRule="auto"/>
        <w:ind w:left="719" w:right="0" w:hanging="540"/>
        <w:jc w:val="left"/>
        <w:rPr>
          <w:sz w:val="21"/>
        </w:rPr>
      </w:pPr>
      <w:r>
        <w:rPr>
          <w:spacing w:val="-1"/>
          <w:sz w:val="21"/>
        </w:rPr>
        <w:t>专职合格心理检测工作者适时做的心理检测证实被保险人智力低常</w:t>
      </w:r>
    </w:p>
    <w:p>
      <w:pPr>
        <w:pStyle w:val="4"/>
        <w:spacing w:before="44"/>
        <w:ind w:left="180"/>
      </w:pPr>
      <w:r>
        <w:rPr>
          <w:spacing w:val="-2"/>
        </w:rPr>
        <w:t>（轻度、中度、重度或极重度</w:t>
      </w:r>
      <w:r>
        <w:rPr>
          <w:spacing w:val="-116"/>
        </w:rPr>
        <w:t>）</w:t>
      </w:r>
      <w:r>
        <w:rPr>
          <w:spacing w:val="-5"/>
        </w:rPr>
        <w:t>；</w:t>
      </w:r>
    </w:p>
    <w:p>
      <w:pPr>
        <w:pStyle w:val="8"/>
        <w:numPr>
          <w:ilvl w:val="0"/>
          <w:numId w:val="46"/>
        </w:numPr>
        <w:tabs>
          <w:tab w:val="left" w:pos="710"/>
        </w:tabs>
        <w:spacing w:before="43" w:after="0" w:line="240" w:lineRule="auto"/>
        <w:ind w:left="709" w:right="0" w:hanging="530"/>
        <w:jc w:val="left"/>
        <w:rPr>
          <w:sz w:val="21"/>
        </w:rPr>
      </w:pPr>
      <w:r>
        <w:rPr>
          <w:spacing w:val="-5"/>
          <w:sz w:val="21"/>
        </w:rPr>
        <w:t xml:space="preserve">被保险人的智力低常自确认日起持续 </w:t>
      </w:r>
      <w:r>
        <w:rPr>
          <w:spacing w:val="-2"/>
          <w:sz w:val="21"/>
        </w:rPr>
        <w:t>180 天以上。</w:t>
      </w:r>
    </w:p>
    <w:p>
      <w:pPr>
        <w:spacing w:after="0" w:line="240" w:lineRule="auto"/>
        <w:jc w:val="left"/>
        <w:rPr>
          <w:sz w:val="21"/>
        </w:rPr>
        <w:sectPr>
          <w:type w:val="continuous"/>
          <w:pgSz w:w="11910" w:h="16840"/>
          <w:pgMar w:top="920" w:right="680" w:bottom="420" w:left="880" w:header="0" w:footer="230" w:gutter="0"/>
          <w:cols w:equalWidth="0" w:num="2">
            <w:col w:w="2765" w:space="40"/>
            <w:col w:w="7545"/>
          </w:cols>
        </w:sectPr>
      </w:pPr>
    </w:p>
    <w:p>
      <w:pPr>
        <w:pStyle w:val="4"/>
        <w:spacing w:before="8"/>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骨生长不全</w:t>
      </w:r>
      <w:r>
        <w:rPr>
          <w:spacing w:val="-10"/>
        </w:rPr>
        <w:t>症</w:t>
      </w:r>
    </w:p>
    <w:p>
      <w:pPr>
        <w:pStyle w:val="4"/>
        <w:spacing w:before="71" w:line="276" w:lineRule="auto"/>
        <w:ind w:left="181" w:right="512"/>
      </w:pPr>
      <w:r>
        <w:br w:type="column"/>
      </w:r>
      <w:r>
        <w:rPr>
          <w:spacing w:val="-1"/>
        </w:rPr>
        <w:t xml:space="preserve">指一种胶原病，特征为骨易碎，骨质疏松和易骨折。该病有 </w:t>
      </w:r>
      <w:r>
        <w:t>4</w:t>
      </w:r>
      <w:r>
        <w:rPr>
          <w:spacing w:val="-2"/>
        </w:rPr>
        <w:t xml:space="preserve"> 种类型：Ⅰ</w:t>
      </w:r>
      <w:r>
        <w:rPr>
          <w:spacing w:val="-4"/>
        </w:rPr>
        <w:t>型、Ⅱ型、Ⅲ型、Ⅳ型。只保障Ⅲ型成骨不全的情形。其主要临床特点有：</w:t>
      </w:r>
      <w:r>
        <w:rPr>
          <w:spacing w:val="-2"/>
        </w:rPr>
        <w:t>发展迟缓、多发性骨折、进行性脊柱后侧凸及听力损害。Ⅲ型成骨不全的</w:t>
      </w:r>
      <w:r>
        <w:t>诊断必须根据身体检查，家族史，X</w:t>
      </w:r>
      <w:r>
        <w:rPr>
          <w:spacing w:val="-7"/>
        </w:rPr>
        <w:t xml:space="preserve"> 线检查和皮肤活检报告资料确诊。</w:t>
      </w:r>
    </w:p>
    <w:p>
      <w:pPr>
        <w:spacing w:after="0" w:line="276" w:lineRule="auto"/>
        <w:sectPr>
          <w:type w:val="continuous"/>
          <w:pgSz w:w="11910" w:h="16840"/>
          <w:pgMar w:top="920" w:right="680" w:bottom="420" w:left="880" w:header="0" w:footer="230" w:gutter="0"/>
          <w:cols w:equalWidth="0" w:num="2">
            <w:col w:w="2765" w:space="40"/>
            <w:col w:w="7545"/>
          </w:cols>
        </w:sectPr>
      </w:pPr>
    </w:p>
    <w:p>
      <w:pPr>
        <w:pStyle w:val="4"/>
        <w:spacing w:before="10"/>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814"/>
        </w:tabs>
        <w:spacing w:before="58" w:after="0" w:line="192" w:lineRule="auto"/>
        <w:ind w:left="1391" w:right="0" w:firstLine="0"/>
        <w:jc w:val="left"/>
      </w:pPr>
      <w:r>
        <w:rPr>
          <w:spacing w:val="-4"/>
        </w:rPr>
        <w:t>原发性骨髓纤维化</w:t>
      </w:r>
    </w:p>
    <w:p>
      <w:pPr>
        <w:pStyle w:val="4"/>
        <w:spacing w:before="71" w:line="278" w:lineRule="auto"/>
        <w:ind w:left="286" w:right="615"/>
        <w:jc w:val="both"/>
      </w:pPr>
      <w:r>
        <w:br w:type="column"/>
      </w:r>
      <w:r>
        <w:rPr>
          <w:spacing w:val="-2"/>
        </w:rPr>
        <w:t>原发性骨髓纤维化为原因不明的骨髓中成纤维细胞增殖，伴有髓外造血，表现为进行性贫血、脾肿大等症状。本疾病须根据骨髓的活组织检查和周围血象检查由本公司认可的医院血液科专科医生明确诊断，并至少符合下</w:t>
      </w:r>
      <w:r>
        <w:rPr>
          <w:spacing w:val="-4"/>
        </w:rPr>
        <w:t xml:space="preserve">列条件中的三项，且符合条件的状态持续 </w:t>
      </w:r>
      <w:r>
        <w:rPr>
          <w:spacing w:val="-2"/>
        </w:rPr>
        <w:t>180</w:t>
      </w:r>
      <w:r>
        <w:rPr>
          <w:spacing w:val="-7"/>
        </w:rPr>
        <w:t xml:space="preserve"> 天及以上，并已经实际实施</w:t>
      </w:r>
      <w:r>
        <w:rPr>
          <w:spacing w:val="-2"/>
        </w:rPr>
        <w:t>了针对此症的治疗：</w:t>
      </w:r>
    </w:p>
    <w:p>
      <w:pPr>
        <w:spacing w:after="0" w:line="278" w:lineRule="auto"/>
        <w:jc w:val="both"/>
        <w:sectPr>
          <w:type w:val="continuous"/>
          <w:pgSz w:w="11910" w:h="16840"/>
          <w:pgMar w:top="920" w:right="680" w:bottom="420" w:left="880" w:header="0" w:footer="230" w:gutter="0"/>
          <w:cols w:equalWidth="0" w:num="2">
            <w:col w:w="2659" w:space="40"/>
            <w:col w:w="7651"/>
          </w:cols>
        </w:sectPr>
      </w:pPr>
    </w:p>
    <w:p>
      <w:pPr>
        <w:pStyle w:val="4"/>
        <w:spacing w:before="53"/>
        <w:ind w:left="2985"/>
      </w:pPr>
      <w:r>
        <w:rPr>
          <w:spacing w:val="-2"/>
        </w:rPr>
        <w:t>（1）血红蛋白&lt;100g/L；</w:t>
      </w:r>
    </w:p>
    <w:p>
      <w:pPr>
        <w:pStyle w:val="4"/>
        <w:spacing w:before="32"/>
        <w:ind w:left="2985"/>
      </w:pPr>
      <w:r>
        <w:rPr>
          <w:spacing w:val="-2"/>
        </w:rPr>
        <w:t>（2）白细胞计数&gt;25×10</w:t>
      </w:r>
      <w:r>
        <w:rPr>
          <w:spacing w:val="-2"/>
          <w:position w:val="11"/>
          <w:sz w:val="11"/>
        </w:rPr>
        <w:t>9</w:t>
      </w:r>
      <w:r>
        <w:rPr>
          <w:spacing w:val="-2"/>
        </w:rPr>
        <w:t>/L；</w:t>
      </w:r>
    </w:p>
    <w:p>
      <w:pPr>
        <w:pStyle w:val="4"/>
        <w:spacing w:before="43"/>
        <w:ind w:left="2985"/>
      </w:pPr>
      <w:r>
        <w:t>（3）</w:t>
      </w:r>
      <w:r>
        <w:rPr>
          <w:spacing w:val="-1"/>
        </w:rPr>
        <w:t xml:space="preserve">外周血原始细胞≥ </w:t>
      </w:r>
      <w:r>
        <w:rPr>
          <w:spacing w:val="-5"/>
        </w:rPr>
        <w:t>1%；</w:t>
      </w:r>
    </w:p>
    <w:p>
      <w:pPr>
        <w:pStyle w:val="4"/>
        <w:spacing w:before="33"/>
        <w:ind w:left="2985"/>
      </w:pPr>
      <w:r>
        <w:rPr>
          <w:spacing w:val="-2"/>
        </w:rPr>
        <w:t>（4）血小板计数&lt;100×10</w:t>
      </w:r>
      <w:r>
        <w:rPr>
          <w:spacing w:val="-2"/>
          <w:position w:val="11"/>
          <w:sz w:val="11"/>
        </w:rPr>
        <w:t>9</w:t>
      </w:r>
      <w:r>
        <w:rPr>
          <w:spacing w:val="-2"/>
        </w:rPr>
        <w:t>/L</w:t>
      </w:r>
      <w:r>
        <w:rPr>
          <w:spacing w:val="-10"/>
        </w:rPr>
        <w:t>。</w:t>
      </w:r>
    </w:p>
    <w:p>
      <w:pPr>
        <w:pStyle w:val="4"/>
        <w:spacing w:before="43"/>
        <w:ind w:left="2985"/>
      </w:pPr>
      <w:r>
        <w:rPr>
          <w:spacing w:val="-3"/>
        </w:rPr>
        <w:t>任何其它病因导致的继发性骨髓纤维化不在保障范围内。</w:t>
      </w:r>
    </w:p>
    <w:p>
      <w:pPr>
        <w:pStyle w:val="4"/>
        <w:spacing w:before="44" w:line="278" w:lineRule="auto"/>
        <w:ind w:left="2985" w:right="621"/>
      </w:pPr>
      <w:r>
        <w:rPr>
          <w:spacing w:val="-2"/>
        </w:rPr>
        <w:t>申请理赔时，被保险人须已经接受输血治疗至少六个月，并且每个月至少</w:t>
      </w:r>
      <w:r>
        <w:rPr>
          <w:spacing w:val="-4"/>
        </w:rPr>
        <w:t>一次。</w:t>
      </w:r>
    </w:p>
    <w:p>
      <w:pPr>
        <w:pStyle w:val="4"/>
        <w:spacing w:before="11"/>
        <w:rPr>
          <w:sz w:val="19"/>
        </w:rPr>
      </w:pPr>
    </w:p>
    <w:p>
      <w:pPr>
        <w:spacing w:after="0"/>
        <w:rPr>
          <w:sz w:val="19"/>
        </w:rPr>
        <w:sectPr>
          <w:pgSz w:w="11910" w:h="16840"/>
          <w:pgMar w:top="660" w:right="680" w:bottom="420" w:left="880" w:header="0" w:footer="230" w:gutter="0"/>
          <w:cols w:space="720" w:num="1"/>
        </w:sectPr>
      </w:pPr>
    </w:p>
    <w:p>
      <w:pPr>
        <w:pStyle w:val="3"/>
        <w:numPr>
          <w:ilvl w:val="2"/>
          <w:numId w:val="12"/>
        </w:numPr>
        <w:tabs>
          <w:tab w:val="left" w:pos="1710"/>
        </w:tabs>
        <w:spacing w:before="55" w:after="0" w:line="194" w:lineRule="auto"/>
        <w:ind w:left="1391" w:right="0" w:firstLine="0"/>
        <w:jc w:val="left"/>
      </w:pPr>
      <w:r>
        <w:rPr>
          <w:spacing w:val="-2"/>
        </w:rPr>
        <w:t>Ⅲ度房室传</w:t>
      </w:r>
      <w:r>
        <w:rPr>
          <w:spacing w:val="-4"/>
        </w:rPr>
        <w:t>导阻滞</w:t>
      </w:r>
    </w:p>
    <w:p>
      <w:pPr>
        <w:pStyle w:val="4"/>
        <w:spacing w:before="72" w:line="278" w:lineRule="auto"/>
        <w:ind w:left="181" w:right="622"/>
      </w:pPr>
      <w:r>
        <w:br w:type="column"/>
      </w:r>
      <w:r>
        <w:rPr>
          <w:spacing w:val="-2"/>
        </w:rPr>
        <w:t>指心房激动在房室交界区、房室束及其分支内发生阻滞，不能正常地传到心室的心脏传导性疾病须满足下列所有条件：</w:t>
      </w:r>
    </w:p>
    <w:p>
      <w:pPr>
        <w:pStyle w:val="8"/>
        <w:numPr>
          <w:ilvl w:val="0"/>
          <w:numId w:val="47"/>
        </w:numPr>
        <w:tabs>
          <w:tab w:val="left" w:pos="711"/>
        </w:tabs>
        <w:spacing w:before="0" w:after="0" w:line="240" w:lineRule="auto"/>
        <w:ind w:left="710" w:right="0" w:hanging="530"/>
        <w:jc w:val="left"/>
        <w:rPr>
          <w:sz w:val="21"/>
        </w:rPr>
      </w:pPr>
      <w:r>
        <w:rPr>
          <w:spacing w:val="-2"/>
          <w:sz w:val="21"/>
        </w:rPr>
        <w:t>心电图显示房室搏动彼此独立，心室率&lt;50</w:t>
      </w:r>
      <w:r>
        <w:rPr>
          <w:spacing w:val="-10"/>
          <w:sz w:val="21"/>
        </w:rPr>
        <w:t xml:space="preserve"> 次/分钟；</w:t>
      </w:r>
    </w:p>
    <w:p>
      <w:pPr>
        <w:pStyle w:val="8"/>
        <w:numPr>
          <w:ilvl w:val="0"/>
          <w:numId w:val="47"/>
        </w:numPr>
        <w:tabs>
          <w:tab w:val="left" w:pos="711"/>
        </w:tabs>
        <w:spacing w:before="43" w:after="0" w:line="240" w:lineRule="auto"/>
        <w:ind w:left="710" w:right="0" w:hanging="530"/>
        <w:jc w:val="left"/>
        <w:rPr>
          <w:sz w:val="21"/>
        </w:rPr>
      </w:pPr>
      <w:r>
        <w:rPr>
          <w:spacing w:val="-3"/>
          <w:sz w:val="21"/>
        </w:rPr>
        <w:t>出现阿-斯综合征或心力衰竭的表现；</w:t>
      </w:r>
    </w:p>
    <w:p>
      <w:pPr>
        <w:pStyle w:val="8"/>
        <w:numPr>
          <w:ilvl w:val="0"/>
          <w:numId w:val="47"/>
        </w:numPr>
        <w:tabs>
          <w:tab w:val="left" w:pos="711"/>
        </w:tabs>
        <w:spacing w:before="43" w:after="0" w:line="278" w:lineRule="auto"/>
        <w:ind w:left="181" w:right="617" w:firstLine="0"/>
        <w:jc w:val="left"/>
        <w:rPr>
          <w:sz w:val="21"/>
        </w:rPr>
      </w:pPr>
      <w:r>
        <w:rPr>
          <w:spacing w:val="-8"/>
          <w:w w:val="100"/>
          <w:sz w:val="21"/>
        </w:rPr>
        <w:t>必须持续性依赖心脏起搏器维持心脏正常功能，且已经放置心脏起</w:t>
      </w:r>
      <w:r>
        <w:rPr>
          <w:spacing w:val="-6"/>
          <w:w w:val="100"/>
          <w:sz w:val="21"/>
        </w:rPr>
        <w:t>搏器。</w:t>
      </w:r>
    </w:p>
    <w:p>
      <w:pPr>
        <w:spacing w:after="0" w:line="278" w:lineRule="auto"/>
        <w:jc w:val="left"/>
        <w:rPr>
          <w:sz w:val="21"/>
        </w:rPr>
        <w:sectPr>
          <w:type w:val="continuous"/>
          <w:pgSz w:w="11910" w:h="16840"/>
          <w:pgMar w:top="920" w:right="680" w:bottom="420" w:left="880" w:header="0" w:footer="230" w:gutter="0"/>
          <w:cols w:equalWidth="0" w:num="2">
            <w:col w:w="2765" w:space="40"/>
            <w:col w:w="7545"/>
          </w:cols>
        </w:sectPr>
      </w:pPr>
    </w:p>
    <w:p>
      <w:pPr>
        <w:pStyle w:val="4"/>
        <w:spacing w:before="11"/>
        <w:rPr>
          <w:sz w:val="19"/>
        </w:rPr>
      </w:pPr>
    </w:p>
    <w:p>
      <w:pPr>
        <w:spacing w:after="0"/>
        <w:rPr>
          <w:sz w:val="19"/>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6" w:after="0" w:line="194" w:lineRule="auto"/>
        <w:ind w:left="1391" w:right="0" w:firstLine="0"/>
        <w:jc w:val="left"/>
      </w:pPr>
      <w:r>
        <w:rPr>
          <w:spacing w:val="-2"/>
        </w:rPr>
        <w:t>器官移植导</w:t>
      </w:r>
      <w:r>
        <w:t>致的 HIV 感染</w:t>
      </w:r>
    </w:p>
    <w:p>
      <w:pPr>
        <w:pStyle w:val="4"/>
        <w:spacing w:before="72" w:line="278" w:lineRule="auto"/>
        <w:ind w:left="181" w:right="620"/>
      </w:pPr>
      <w:r>
        <w:br w:type="column"/>
      </w:r>
      <w:r>
        <w:rPr>
          <w:spacing w:val="-4"/>
        </w:rPr>
        <w:t>指因进行器官移植而感染上人类免疫缺陷病毒</w:t>
      </w:r>
      <w:r>
        <w:rPr>
          <w:spacing w:val="16"/>
        </w:rPr>
        <w:t>（</w:t>
      </w:r>
      <w:r>
        <w:rPr>
          <w:spacing w:val="14"/>
        </w:rPr>
        <w:t>HIV</w:t>
      </w:r>
      <w:r>
        <w:rPr>
          <w:spacing w:val="-97"/>
        </w:rPr>
        <w:t>）</w:t>
      </w:r>
      <w:r>
        <w:rPr>
          <w:spacing w:val="-4"/>
        </w:rPr>
        <w:t>，且须满足下列全部条件：</w:t>
      </w:r>
    </w:p>
    <w:p>
      <w:pPr>
        <w:pStyle w:val="8"/>
        <w:numPr>
          <w:ilvl w:val="0"/>
          <w:numId w:val="48"/>
        </w:numPr>
        <w:tabs>
          <w:tab w:val="left" w:pos="711"/>
        </w:tabs>
        <w:spacing w:before="0" w:after="0" w:line="278" w:lineRule="auto"/>
        <w:ind w:left="181" w:right="617" w:firstLine="0"/>
        <w:jc w:val="left"/>
        <w:rPr>
          <w:sz w:val="21"/>
        </w:rPr>
      </w:pPr>
      <w:r>
        <w:rPr>
          <w:spacing w:val="-7"/>
          <w:w w:val="100"/>
          <w:sz w:val="21"/>
        </w:rPr>
        <w:t>被保险人因治疗必需而实施器官移植，并且因器官移植而感染人类</w:t>
      </w:r>
      <w:r>
        <w:rPr>
          <w:spacing w:val="-5"/>
          <w:w w:val="100"/>
          <w:sz w:val="21"/>
        </w:rPr>
        <w:t>免疫缺陷病毒</w:t>
      </w:r>
      <w:r>
        <w:rPr>
          <w:w w:val="100"/>
          <w:sz w:val="21"/>
        </w:rPr>
        <w:t>（HIV</w:t>
      </w:r>
      <w:r>
        <w:rPr>
          <w:spacing w:val="-106"/>
          <w:w w:val="100"/>
          <w:sz w:val="21"/>
        </w:rPr>
        <w:t>）；</w:t>
      </w:r>
    </w:p>
    <w:p>
      <w:pPr>
        <w:pStyle w:val="8"/>
        <w:numPr>
          <w:ilvl w:val="0"/>
          <w:numId w:val="48"/>
        </w:numPr>
        <w:tabs>
          <w:tab w:val="left" w:pos="711"/>
        </w:tabs>
        <w:spacing w:before="0" w:after="0" w:line="278" w:lineRule="auto"/>
        <w:ind w:left="181" w:right="621" w:firstLine="0"/>
        <w:jc w:val="left"/>
        <w:rPr>
          <w:sz w:val="21"/>
        </w:rPr>
      </w:pPr>
      <w:r>
        <w:rPr>
          <w:spacing w:val="-2"/>
          <w:sz w:val="21"/>
        </w:rPr>
        <w:t>提供器官移植治疗的器官移植中心或医院出具该项器官移植感染，属于医疗责任事故的报告，或者法院终审裁定为医疗责任并且不准上诉；</w:t>
      </w:r>
    </w:p>
    <w:p>
      <w:pPr>
        <w:pStyle w:val="8"/>
        <w:numPr>
          <w:ilvl w:val="0"/>
          <w:numId w:val="48"/>
        </w:numPr>
        <w:tabs>
          <w:tab w:val="left" w:pos="711"/>
        </w:tabs>
        <w:spacing w:before="0" w:after="0" w:line="278" w:lineRule="auto"/>
        <w:ind w:left="181" w:right="615" w:firstLine="0"/>
        <w:jc w:val="left"/>
        <w:rPr>
          <w:sz w:val="21"/>
        </w:rPr>
      </w:pPr>
      <w:r>
        <w:rPr>
          <w:spacing w:val="-2"/>
          <w:sz w:val="21"/>
        </w:rPr>
        <w:t>提供器官移植治疗的器官移植中心或医院必须拥有合法经营执照。</w:t>
      </w:r>
      <w:r>
        <w:rPr>
          <w:spacing w:val="-4"/>
          <w:sz w:val="21"/>
        </w:rPr>
        <w:t>在任何治愈艾滋病或阻止人类免疫缺陷病毒（HIV）病毒作用的疗法被发现</w:t>
      </w:r>
      <w:r>
        <w:rPr>
          <w:spacing w:val="-2"/>
          <w:sz w:val="21"/>
        </w:rPr>
        <w:t>以后，或能防止艾滋病发生的医疗方法被研究出来以后，本保障将不再予</w:t>
      </w:r>
      <w:r>
        <w:rPr>
          <w:spacing w:val="-4"/>
          <w:sz w:val="21"/>
        </w:rPr>
        <w:t>以赔付。</w:t>
      </w:r>
    </w:p>
    <w:p>
      <w:pPr>
        <w:pStyle w:val="4"/>
        <w:spacing w:line="269" w:lineRule="exact"/>
        <w:ind w:left="181"/>
      </w:pPr>
      <w:r>
        <w:rPr>
          <w:spacing w:val="-7"/>
        </w:rPr>
        <w:t>本合同责任免除中的“感染艾滋病病毒或患艾滋病”规定，不适用于本条。</w:t>
      </w:r>
    </w:p>
    <w:p>
      <w:pPr>
        <w:spacing w:after="0" w:line="269" w:lineRule="exact"/>
        <w:sectPr>
          <w:type w:val="continuous"/>
          <w:pgSz w:w="11910" w:h="16840"/>
          <w:pgMar w:top="920" w:right="680" w:bottom="420" w:left="880" w:header="0" w:footer="230" w:gutter="0"/>
          <w:cols w:equalWidth="0" w:num="2">
            <w:col w:w="2765" w:space="40"/>
            <w:col w:w="7545"/>
          </w:cols>
        </w:sectPr>
      </w:pP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风湿热导致的心脏瓣膜疾</w:t>
      </w:r>
      <w:r>
        <w:rPr>
          <w:spacing w:val="-10"/>
        </w:rPr>
        <w:t>病</w:t>
      </w:r>
    </w:p>
    <w:p>
      <w:pPr>
        <w:pStyle w:val="4"/>
        <w:spacing w:before="72"/>
        <w:ind w:left="181"/>
      </w:pPr>
      <w:r>
        <w:br w:type="column"/>
      </w:r>
      <w:r>
        <w:rPr>
          <w:spacing w:val="-3"/>
        </w:rPr>
        <w:t>本保障须满足下列所有条件：</w:t>
      </w:r>
    </w:p>
    <w:p>
      <w:pPr>
        <w:pStyle w:val="8"/>
        <w:numPr>
          <w:ilvl w:val="0"/>
          <w:numId w:val="49"/>
        </w:numPr>
        <w:tabs>
          <w:tab w:val="left" w:pos="711"/>
        </w:tabs>
        <w:spacing w:before="38" w:after="0" w:line="278" w:lineRule="auto"/>
        <w:ind w:left="181" w:right="615" w:firstLine="0"/>
        <w:jc w:val="left"/>
        <w:rPr>
          <w:sz w:val="21"/>
        </w:rPr>
      </w:pPr>
      <w:r>
        <w:rPr>
          <w:spacing w:val="-1"/>
          <w:sz w:val="21"/>
        </w:rPr>
        <w:t xml:space="preserve">经由本公司认可的儿科专科医生根据已修订的 </w:t>
      </w:r>
      <w:r>
        <w:rPr>
          <w:sz w:val="21"/>
        </w:rPr>
        <w:t>Jones</w:t>
      </w:r>
      <w:r>
        <w:rPr>
          <w:spacing w:val="-5"/>
          <w:sz w:val="21"/>
        </w:rPr>
        <w:t xml:space="preserve"> 标准诊断证实</w:t>
      </w:r>
      <w:r>
        <w:rPr>
          <w:spacing w:val="-2"/>
          <w:sz w:val="21"/>
        </w:rPr>
        <w:t>罹患急性风湿热。</w:t>
      </w:r>
    </w:p>
    <w:p>
      <w:pPr>
        <w:pStyle w:val="8"/>
        <w:numPr>
          <w:ilvl w:val="0"/>
          <w:numId w:val="49"/>
        </w:numPr>
        <w:tabs>
          <w:tab w:val="left" w:pos="711"/>
        </w:tabs>
        <w:spacing w:before="0" w:after="0" w:line="278" w:lineRule="auto"/>
        <w:ind w:left="181" w:right="509" w:firstLine="0"/>
        <w:jc w:val="left"/>
        <w:rPr>
          <w:sz w:val="21"/>
        </w:rPr>
      </w:pPr>
      <w:r>
        <w:rPr>
          <w:spacing w:val="-2"/>
          <w:sz w:val="21"/>
        </w:rPr>
        <w:t>因风湿热所导致一个或以上最少轻度心脏瓣膜关闭不全（即返流部份</w:t>
      </w:r>
      <w:r>
        <w:rPr>
          <w:spacing w:val="-27"/>
          <w:sz w:val="21"/>
        </w:rPr>
        <w:t xml:space="preserve">达 </w:t>
      </w:r>
      <w:r>
        <w:rPr>
          <w:spacing w:val="-2"/>
          <w:sz w:val="21"/>
        </w:rPr>
        <w:t>20%或以上</w:t>
      </w:r>
      <w:r>
        <w:rPr>
          <w:spacing w:val="-53"/>
          <w:sz w:val="21"/>
        </w:rPr>
        <w:t>）</w:t>
      </w:r>
      <w:r>
        <w:rPr>
          <w:spacing w:val="-2"/>
          <w:sz w:val="21"/>
        </w:rPr>
        <w:t>或狭窄的心瓣损伤（</w:t>
      </w:r>
      <w:r>
        <w:rPr>
          <w:spacing w:val="-6"/>
          <w:sz w:val="21"/>
        </w:rPr>
        <w:t xml:space="preserve">即心脏瓣面积为正常值的 </w:t>
      </w:r>
      <w:r>
        <w:rPr>
          <w:spacing w:val="-2"/>
          <w:sz w:val="21"/>
        </w:rPr>
        <w:t>30%或以下</w:t>
      </w:r>
      <w:r>
        <w:rPr>
          <w:spacing w:val="-106"/>
          <w:sz w:val="21"/>
        </w:rPr>
        <w:t>）</w:t>
      </w:r>
      <w:r>
        <w:rPr>
          <w:spacing w:val="-2"/>
          <w:sz w:val="21"/>
        </w:rPr>
        <w:t>。有关诊断必须由本公司认可的医院的的心脏专科医生根据心瓣功能的定量检查证实。</w:t>
      </w:r>
    </w:p>
    <w:p>
      <w:pPr>
        <w:spacing w:after="0" w:line="278" w:lineRule="auto"/>
        <w:jc w:val="left"/>
        <w:rPr>
          <w:sz w:val="21"/>
        </w:rPr>
        <w:sectPr>
          <w:type w:val="continuous"/>
          <w:pgSz w:w="11910" w:h="16840"/>
          <w:pgMar w:top="920" w:right="680" w:bottom="420" w:left="880" w:header="0" w:footer="230" w:gutter="0"/>
          <w:cols w:equalWidth="0" w:num="2">
            <w:col w:w="2765" w:space="40"/>
            <w:col w:w="7545"/>
          </w:cols>
        </w:sectPr>
      </w:pPr>
    </w:p>
    <w:p>
      <w:pPr>
        <w:pStyle w:val="4"/>
        <w:spacing w:before="3"/>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弥漫性血管</w:t>
      </w:r>
      <w:r>
        <w:rPr>
          <w:spacing w:val="-4"/>
        </w:rPr>
        <w:t>内凝血</w:t>
      </w:r>
    </w:p>
    <w:p>
      <w:pPr>
        <w:pStyle w:val="4"/>
        <w:spacing w:before="72" w:line="273" w:lineRule="auto"/>
        <w:ind w:left="181" w:right="622"/>
      </w:pPr>
      <w:r>
        <w:br w:type="column"/>
      </w:r>
      <w:r>
        <w:rPr>
          <w:spacing w:val="-2"/>
        </w:rPr>
        <w:t>指血液凝固系统和纤溶系统的过度活动导致微血管血栓形成、血小板及凝血因子耗竭和严重出血，需要输注血浆和浓缩血小板进行治疗。</w:t>
      </w:r>
    </w:p>
    <w:p>
      <w:pPr>
        <w:pStyle w:val="4"/>
        <w:spacing w:before="6" w:line="278" w:lineRule="auto"/>
        <w:ind w:left="181" w:right="619"/>
      </w:pPr>
      <w:r>
        <w:rPr>
          <w:spacing w:val="-2"/>
        </w:rPr>
        <w:t xml:space="preserve">诊断必须由专科医生的确诊，且被保人申请理赔时已经接受 </w:t>
      </w:r>
      <w:r>
        <w:t>ICU</w:t>
      </w:r>
      <w:r>
        <w:rPr>
          <w:spacing w:val="-10"/>
        </w:rPr>
        <w:t xml:space="preserve"> 重症监护</w:t>
      </w:r>
      <w:r>
        <w:rPr>
          <w:spacing w:val="-2"/>
        </w:rPr>
        <w:t>病房的治疗。</w:t>
      </w:r>
    </w:p>
    <w:p>
      <w:pPr>
        <w:spacing w:after="0" w:line="278" w:lineRule="auto"/>
        <w:sectPr>
          <w:type w:val="continuous"/>
          <w:pgSz w:w="11910" w:h="16840"/>
          <w:pgMar w:top="920" w:right="680" w:bottom="420" w:left="880" w:header="0" w:footer="230" w:gutter="0"/>
          <w:cols w:equalWidth="0" w:num="2">
            <w:col w:w="2765" w:space="40"/>
            <w:col w:w="7545"/>
          </w:cols>
        </w:sectPr>
      </w:pPr>
    </w:p>
    <w:p>
      <w:pPr>
        <w:pStyle w:val="4"/>
        <w:spacing w:before="3"/>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主动脉夹层</w:t>
      </w:r>
      <w:r>
        <w:rPr>
          <w:spacing w:val="-6"/>
        </w:rPr>
        <w:t>血肿</w:t>
      </w:r>
    </w:p>
    <w:p>
      <w:pPr>
        <w:pStyle w:val="4"/>
        <w:spacing w:before="72" w:line="278" w:lineRule="auto"/>
        <w:ind w:left="181" w:right="616"/>
        <w:jc w:val="both"/>
      </w:pPr>
      <w:r>
        <w:br w:type="column"/>
      </w:r>
      <w:r>
        <w:rPr>
          <w:spacing w:val="-2"/>
        </w:rPr>
        <w:t>是指主动脉壁在受到某些病理因素的破坏后，高速、高压的主动脉血流将其内膜撕裂，以致主动脉腔内的血流通过主动脉内膜的破裂口进入主动脉</w:t>
      </w:r>
      <w:r>
        <w:rPr>
          <w:spacing w:val="-18"/>
        </w:rPr>
        <w:t xml:space="preserve">内壁而形成血肿。被保险人需通过 </w:t>
      </w:r>
      <w:r>
        <w:rPr>
          <w:spacing w:val="-14"/>
        </w:rPr>
        <w:t>X 线断层扫描</w:t>
      </w:r>
      <w:r>
        <w:rPr>
          <w:spacing w:val="15"/>
        </w:rPr>
        <w:t>（</w:t>
      </w:r>
      <w:r>
        <w:rPr>
          <w:spacing w:val="10"/>
        </w:rPr>
        <w:t>C</w:t>
      </w:r>
      <w:r>
        <w:rPr>
          <w:spacing w:val="15"/>
        </w:rPr>
        <w:t>T</w:t>
      </w:r>
      <w:r>
        <w:rPr>
          <w:spacing w:val="-96"/>
        </w:rPr>
        <w:t>）</w:t>
      </w:r>
      <w:r>
        <w:rPr>
          <w:spacing w:val="-14"/>
        </w:rPr>
        <w:t>、磁共振扫描</w:t>
      </w:r>
      <w:r>
        <w:rPr>
          <w:spacing w:val="3"/>
        </w:rPr>
        <w:t>（</w:t>
      </w:r>
      <w:r>
        <w:rPr>
          <w:spacing w:val="8"/>
        </w:rPr>
        <w:t>MRI</w:t>
      </w:r>
      <w:r>
        <w:rPr>
          <w:spacing w:val="-98"/>
        </w:rPr>
        <w:t>）</w:t>
      </w:r>
      <w:r>
        <w:rPr>
          <w:spacing w:val="-106"/>
        </w:rPr>
        <w:t>、</w:t>
      </w:r>
      <w:r>
        <w:rPr>
          <w:spacing w:val="-4"/>
        </w:rPr>
        <w:t>磁共振血管检验法（MRA）或血管扫描等检查，并且实施了胸腹切开的主动</w:t>
      </w:r>
      <w:r>
        <w:rPr>
          <w:spacing w:val="-2"/>
        </w:rPr>
        <w:t>脉内血管成形术。</w:t>
      </w:r>
    </w:p>
    <w:p>
      <w:pPr>
        <w:spacing w:after="0" w:line="278" w:lineRule="auto"/>
        <w:jc w:val="both"/>
        <w:sectPr>
          <w:type w:val="continuous"/>
          <w:pgSz w:w="11910" w:h="16840"/>
          <w:pgMar w:top="920" w:right="680" w:bottom="420" w:left="880" w:header="0" w:footer="230" w:gutter="0"/>
          <w:cols w:equalWidth="0" w:num="2">
            <w:col w:w="2765" w:space="40"/>
            <w:col w:w="7545"/>
          </w:cols>
        </w:sectPr>
      </w:pPr>
    </w:p>
    <w:p>
      <w:pPr>
        <w:pStyle w:val="4"/>
        <w:spacing w:before="11"/>
        <w:rPr>
          <w:sz w:val="19"/>
        </w:rPr>
      </w:pPr>
    </w:p>
    <w:p>
      <w:pPr>
        <w:spacing w:after="0"/>
        <w:rPr>
          <w:sz w:val="19"/>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9" w:after="0" w:line="192" w:lineRule="auto"/>
        <w:ind w:left="1391" w:right="0" w:firstLine="0"/>
        <w:jc w:val="left"/>
      </w:pPr>
      <w:r>
        <w:rPr>
          <w:spacing w:val="-2"/>
        </w:rPr>
        <w:t>多处臂丛神经根性撕脱</w:t>
      </w:r>
    </w:p>
    <w:p>
      <w:pPr>
        <w:pStyle w:val="4"/>
        <w:spacing w:before="72" w:line="276" w:lineRule="auto"/>
        <w:ind w:left="181" w:right="622"/>
        <w:jc w:val="both"/>
      </w:pPr>
      <w:r>
        <w:br w:type="column"/>
      </w:r>
      <w:r>
        <w:rPr>
          <w:spacing w:val="-2"/>
        </w:rPr>
        <w:t>由于疾病或意外导致至少两根臂丛神经根性撕脱，所造成的手臂感觉功能与运动功能完全永久性丧失。该病必须由本公司认可的医院的专科医生确诊，并且有完整的电生理检查结果证实。</w:t>
      </w:r>
    </w:p>
    <w:p>
      <w:pPr>
        <w:spacing w:after="0" w:line="276" w:lineRule="auto"/>
        <w:jc w:val="both"/>
        <w:sectPr>
          <w:type w:val="continuous"/>
          <w:pgSz w:w="11910" w:h="16840"/>
          <w:pgMar w:top="920" w:right="680" w:bottom="420" w:left="880" w:header="0" w:footer="230" w:gutter="0"/>
          <w:cols w:equalWidth="0" w:num="2">
            <w:col w:w="2765" w:space="40"/>
            <w:col w:w="7545"/>
          </w:cols>
        </w:sectPr>
      </w:pPr>
    </w:p>
    <w:p>
      <w:pPr>
        <w:pStyle w:val="3"/>
        <w:numPr>
          <w:ilvl w:val="2"/>
          <w:numId w:val="12"/>
        </w:numPr>
        <w:tabs>
          <w:tab w:val="left" w:pos="1710"/>
        </w:tabs>
        <w:spacing w:before="43" w:after="0" w:line="194" w:lineRule="auto"/>
        <w:ind w:left="1391" w:right="0" w:firstLine="0"/>
        <w:jc w:val="left"/>
      </w:pPr>
      <w:r>
        <w:rPr>
          <w:spacing w:val="-2"/>
        </w:rPr>
        <w:t>严重结核性</w:t>
      </w:r>
      <w:r>
        <w:rPr>
          <w:spacing w:val="-4"/>
        </w:rPr>
        <w:t>脑膜炎</w:t>
      </w:r>
    </w:p>
    <w:p>
      <w:pPr>
        <w:pStyle w:val="4"/>
        <w:spacing w:before="59" w:line="278" w:lineRule="auto"/>
        <w:ind w:left="181" w:right="620"/>
      </w:pPr>
      <w:r>
        <w:br w:type="column"/>
      </w:r>
      <w:r>
        <w:t>由结核杆菌引起的脑膜和脊膜的非化脓性炎症性疾病。需满足以下全部条</w:t>
      </w:r>
      <w:r>
        <w:rPr>
          <w:spacing w:val="-6"/>
        </w:rPr>
        <w:t>件：</w:t>
      </w:r>
    </w:p>
    <w:p>
      <w:pPr>
        <w:pStyle w:val="8"/>
        <w:numPr>
          <w:ilvl w:val="0"/>
          <w:numId w:val="50"/>
        </w:numPr>
        <w:tabs>
          <w:tab w:val="left" w:pos="711"/>
        </w:tabs>
        <w:spacing w:before="0" w:after="0" w:line="269" w:lineRule="exact"/>
        <w:ind w:left="710" w:right="0" w:hanging="530"/>
        <w:jc w:val="left"/>
        <w:rPr>
          <w:sz w:val="21"/>
        </w:rPr>
      </w:pPr>
      <w:r>
        <w:rPr>
          <w:spacing w:val="-3"/>
          <w:sz w:val="21"/>
        </w:rPr>
        <w:t>出现颅内压明显增高，表现头痛、呕吐和视乳头水肿；</w:t>
      </w:r>
    </w:p>
    <w:p>
      <w:pPr>
        <w:pStyle w:val="8"/>
        <w:numPr>
          <w:ilvl w:val="0"/>
          <w:numId w:val="50"/>
        </w:numPr>
        <w:tabs>
          <w:tab w:val="left" w:pos="711"/>
        </w:tabs>
        <w:spacing w:before="43" w:after="0" w:line="240" w:lineRule="auto"/>
        <w:ind w:left="710" w:right="0" w:hanging="530"/>
        <w:jc w:val="left"/>
        <w:rPr>
          <w:sz w:val="21"/>
        </w:rPr>
      </w:pPr>
      <w:r>
        <w:rPr>
          <w:spacing w:val="-3"/>
          <w:sz w:val="21"/>
        </w:rPr>
        <w:t>出现部分性、全身性癫痫发作或癫痫持续状态；</w:t>
      </w:r>
    </w:p>
    <w:p>
      <w:pPr>
        <w:pStyle w:val="8"/>
        <w:numPr>
          <w:ilvl w:val="0"/>
          <w:numId w:val="50"/>
        </w:numPr>
        <w:tabs>
          <w:tab w:val="left" w:pos="711"/>
        </w:tabs>
        <w:spacing w:before="43" w:after="0" w:line="240" w:lineRule="auto"/>
        <w:ind w:left="710" w:right="0" w:hanging="530"/>
        <w:jc w:val="left"/>
        <w:rPr>
          <w:sz w:val="21"/>
        </w:rPr>
      </w:pPr>
      <w:r>
        <w:rPr>
          <w:spacing w:val="-3"/>
          <w:sz w:val="21"/>
        </w:rPr>
        <w:t>视力减退、复视和面神经麻痹；</w:t>
      </w:r>
    </w:p>
    <w:p>
      <w:pPr>
        <w:pStyle w:val="8"/>
        <w:numPr>
          <w:ilvl w:val="0"/>
          <w:numId w:val="50"/>
        </w:numPr>
        <w:tabs>
          <w:tab w:val="left" w:pos="711"/>
        </w:tabs>
        <w:spacing w:before="43" w:after="0" w:line="240" w:lineRule="auto"/>
        <w:ind w:left="710" w:right="0" w:hanging="530"/>
        <w:jc w:val="left"/>
        <w:rPr>
          <w:sz w:val="21"/>
        </w:rPr>
      </w:pPr>
      <w:r>
        <w:rPr>
          <w:spacing w:val="-4"/>
          <w:sz w:val="21"/>
        </w:rPr>
        <w:t>昏睡或意识模糊。</w:t>
      </w:r>
    </w:p>
    <w:p>
      <w:pPr>
        <w:spacing w:after="0" w:line="240" w:lineRule="auto"/>
        <w:jc w:val="left"/>
        <w:rPr>
          <w:sz w:val="21"/>
        </w:rPr>
        <w:sectPr>
          <w:pgSz w:w="11910" w:h="16840"/>
          <w:pgMar w:top="980" w:right="680" w:bottom="420" w:left="880" w:header="0" w:footer="230" w:gutter="0"/>
          <w:cols w:equalWidth="0" w:num="2">
            <w:col w:w="2765" w:space="40"/>
            <w:col w:w="7545"/>
          </w:cols>
        </w:sectPr>
      </w:pP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6" w:after="0" w:line="194" w:lineRule="auto"/>
        <w:ind w:left="1391" w:right="0" w:firstLine="0"/>
        <w:jc w:val="left"/>
      </w:pPr>
      <w:r>
        <w:rPr>
          <w:spacing w:val="-2"/>
        </w:rPr>
        <w:t>脊髓小脑变</w:t>
      </w:r>
      <w:r>
        <w:rPr>
          <w:spacing w:val="-6"/>
        </w:rPr>
        <w:t>性症</w:t>
      </w:r>
    </w:p>
    <w:p>
      <w:pPr>
        <w:pStyle w:val="4"/>
        <w:spacing w:before="72" w:line="278" w:lineRule="auto"/>
        <w:ind w:left="181" w:right="622"/>
      </w:pPr>
      <w:r>
        <w:br w:type="column"/>
      </w:r>
      <w:r>
        <w:rPr>
          <w:spacing w:val="-2"/>
        </w:rPr>
        <w:t>脊髓小脑变性症为一组以小脑萎缩和共济失调为主要临床特点的疾病。必须符合所有以下条件：</w:t>
      </w:r>
    </w:p>
    <w:p>
      <w:pPr>
        <w:pStyle w:val="8"/>
        <w:numPr>
          <w:ilvl w:val="0"/>
          <w:numId w:val="51"/>
        </w:numPr>
        <w:tabs>
          <w:tab w:val="left" w:pos="711"/>
        </w:tabs>
        <w:spacing w:before="0" w:after="0" w:line="278" w:lineRule="auto"/>
        <w:ind w:left="181" w:right="620" w:firstLine="0"/>
        <w:jc w:val="left"/>
        <w:rPr>
          <w:sz w:val="21"/>
        </w:rPr>
      </w:pPr>
      <w:r>
        <w:rPr>
          <w:spacing w:val="-2"/>
          <w:sz w:val="21"/>
        </w:rPr>
        <w:t>脊髓小脑变性症必须由本公司认可的医院的神经专科医生诊断，并有以下证据支持：</w:t>
      </w:r>
    </w:p>
    <w:p>
      <w:pPr>
        <w:pStyle w:val="4"/>
        <w:spacing w:line="269" w:lineRule="exact"/>
        <w:ind w:left="604"/>
      </w:pPr>
      <w:r>
        <w:rPr>
          <w:spacing w:val="-3"/>
        </w:rPr>
        <w:t>①影像学检查证实存在小脑萎缩；</w:t>
      </w:r>
    </w:p>
    <w:p>
      <w:pPr>
        <w:pStyle w:val="4"/>
        <w:spacing w:before="43"/>
        <w:ind w:left="604"/>
      </w:pPr>
      <w:r>
        <w:rPr>
          <w:spacing w:val="-3"/>
        </w:rPr>
        <w:t>②临床表现存在共济失调、语言障碍和肌张力异常；</w:t>
      </w:r>
    </w:p>
    <w:p>
      <w:pPr>
        <w:pStyle w:val="8"/>
        <w:numPr>
          <w:ilvl w:val="0"/>
          <w:numId w:val="51"/>
        </w:numPr>
        <w:tabs>
          <w:tab w:val="left" w:pos="711"/>
        </w:tabs>
        <w:spacing w:before="43" w:after="0" w:line="278" w:lineRule="auto"/>
        <w:ind w:left="181" w:right="621" w:firstLine="0"/>
        <w:jc w:val="left"/>
        <w:rPr>
          <w:sz w:val="21"/>
        </w:rPr>
      </w:pPr>
      <w:r>
        <w:rPr>
          <w:spacing w:val="-2"/>
          <w:sz w:val="21"/>
        </w:rPr>
        <w:t>被保险人运动功能严重障碍，自主生活能力完全丧失，无法独立完成六项基本日常生活活动中的三项或三项以上。</w:t>
      </w:r>
    </w:p>
    <w:p>
      <w:pPr>
        <w:spacing w:after="0" w:line="278" w:lineRule="auto"/>
        <w:jc w:val="left"/>
        <w:rPr>
          <w:sz w:val="21"/>
        </w:rPr>
        <w:sectPr>
          <w:type w:val="continuous"/>
          <w:pgSz w:w="11910" w:h="16840"/>
          <w:pgMar w:top="920" w:right="680" w:bottom="420" w:left="880" w:header="0" w:footer="230" w:gutter="0"/>
          <w:cols w:equalWidth="0" w:num="2">
            <w:col w:w="2765" w:space="40"/>
            <w:col w:w="7545"/>
          </w:cols>
        </w:sectPr>
      </w:pPr>
    </w:p>
    <w:p>
      <w:pPr>
        <w:pStyle w:val="4"/>
        <w:spacing w:before="12"/>
        <w:rPr>
          <w:sz w:val="19"/>
        </w:rPr>
      </w:pPr>
    </w:p>
    <w:p>
      <w:pPr>
        <w:spacing w:after="0"/>
        <w:rPr>
          <w:sz w:val="19"/>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严重继发性肺动脉高压</w:t>
      </w:r>
    </w:p>
    <w:p>
      <w:pPr>
        <w:pStyle w:val="4"/>
        <w:spacing w:before="71" w:line="276" w:lineRule="auto"/>
        <w:ind w:left="181" w:right="622"/>
        <w:jc w:val="both"/>
      </w:pPr>
      <w:r>
        <w:br w:type="column"/>
      </w:r>
      <w:r>
        <w:rPr>
          <w:spacing w:val="-2"/>
        </w:rPr>
        <w:t>继发性肺动脉压力持续增高，导致右心室肥厚，已经造成永久不可逆性的体力活动能力受限，达到美国纽约心脏病学会心功能状态分级Ⅳ级。诊断需要由心脏科专家确诊，并且心导管检查报告显示静息状态下肺动脉平均</w:t>
      </w:r>
      <w:r>
        <w:rPr>
          <w:spacing w:val="-10"/>
        </w:rPr>
        <w:t xml:space="preserve">压超过 </w:t>
      </w:r>
      <w:r>
        <w:t>40mmHg。</w:t>
      </w:r>
    </w:p>
    <w:p>
      <w:pPr>
        <w:pStyle w:val="4"/>
        <w:spacing w:before="6"/>
        <w:ind w:left="181"/>
      </w:pPr>
      <w:r>
        <w:rPr>
          <w:spacing w:val="-3"/>
        </w:rPr>
        <w:t>所有先天性心脏疾病直接或间接引起的肺动脉高压也不在保障范围内。</w:t>
      </w:r>
    </w:p>
    <w:p>
      <w:pPr>
        <w:spacing w:after="0"/>
        <w:sectPr>
          <w:type w:val="continuous"/>
          <w:pgSz w:w="11910" w:h="16840"/>
          <w:pgMar w:top="920" w:right="680" w:bottom="420" w:left="880" w:header="0" w:footer="230" w:gutter="0"/>
          <w:cols w:equalWidth="0" w:num="2">
            <w:col w:w="2765" w:space="40"/>
            <w:col w:w="7545"/>
          </w:cols>
        </w:sectPr>
      </w:pPr>
    </w:p>
    <w:p>
      <w:pPr>
        <w:pStyle w:val="4"/>
        <w:spacing w:before="8"/>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独立能力丧</w:t>
      </w:r>
      <w:r>
        <w:rPr>
          <w:spacing w:val="-10"/>
        </w:rPr>
        <w:t>失</w:t>
      </w:r>
    </w:p>
    <w:p>
      <w:pPr>
        <w:pStyle w:val="4"/>
        <w:spacing w:before="72" w:line="276" w:lineRule="auto"/>
        <w:ind w:left="181" w:right="616"/>
        <w:jc w:val="both"/>
      </w:pPr>
      <w:r>
        <w:br w:type="column"/>
      </w:r>
      <w:r>
        <w:rPr>
          <w:spacing w:val="-4"/>
        </w:rPr>
        <w:t xml:space="preserve">指疾病或外伤造成被保险人至少持续 </w:t>
      </w:r>
      <w:r>
        <w:rPr>
          <w:spacing w:val="-2"/>
        </w:rPr>
        <w:t>6</w:t>
      </w:r>
      <w:r>
        <w:rPr>
          <w:spacing w:val="-7"/>
        </w:rPr>
        <w:t xml:space="preserve"> 个月以上完全无法独立完成六项基</w:t>
      </w:r>
      <w:r>
        <w:rPr>
          <w:spacing w:val="-2"/>
        </w:rPr>
        <w:t>本日常生活活动中的五项或五项以上。被保险人的日常生活活动能力丧失必须是永久性的。</w:t>
      </w:r>
    </w:p>
    <w:p>
      <w:pPr>
        <w:spacing w:after="0" w:line="276" w:lineRule="auto"/>
        <w:jc w:val="both"/>
        <w:sectPr>
          <w:type w:val="continuous"/>
          <w:pgSz w:w="11910" w:h="16840"/>
          <w:pgMar w:top="920" w:right="680" w:bottom="420" w:left="880" w:header="0" w:footer="230" w:gutter="0"/>
          <w:cols w:equalWidth="0" w:num="2">
            <w:col w:w="2765" w:space="40"/>
            <w:col w:w="7545"/>
          </w:cols>
        </w:sectPr>
      </w:pPr>
    </w:p>
    <w:p>
      <w:pPr>
        <w:pStyle w:val="4"/>
        <w:spacing w:before="6"/>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9" w:after="0" w:line="192" w:lineRule="auto"/>
        <w:ind w:left="1391" w:right="0" w:firstLine="0"/>
        <w:jc w:val="left"/>
      </w:pPr>
      <w:r>
        <w:rPr>
          <w:spacing w:val="-2"/>
        </w:rPr>
        <w:t>严重甲型及乙型血友病</w:t>
      </w:r>
    </w:p>
    <w:p>
      <w:pPr>
        <w:pStyle w:val="4"/>
        <w:spacing w:before="72" w:line="276" w:lineRule="auto"/>
        <w:ind w:left="181" w:right="619"/>
        <w:jc w:val="both"/>
      </w:pPr>
      <w:r>
        <w:br w:type="column"/>
      </w:r>
      <w:r>
        <w:rPr>
          <w:spacing w:val="-7"/>
        </w:rPr>
        <w:t>必须是严重甲型血友病</w:t>
      </w:r>
      <w:r>
        <w:t>（缺乏Ⅷ凝血因子</w:t>
      </w:r>
      <w:r>
        <w:rPr>
          <w:spacing w:val="-73"/>
        </w:rPr>
        <w:t>）</w:t>
      </w:r>
      <w:r>
        <w:rPr>
          <w:spacing w:val="-9"/>
        </w:rPr>
        <w:t>或严重乙型血友病</w:t>
      </w:r>
      <w:r>
        <w:t>（</w:t>
      </w:r>
      <w:r>
        <w:rPr>
          <w:spacing w:val="-4"/>
        </w:rPr>
        <w:t xml:space="preserve">缺乏 </w:t>
      </w:r>
      <w:r>
        <w:t>IX</w:t>
      </w:r>
      <w:r>
        <w:rPr>
          <w:spacing w:val="-4"/>
        </w:rPr>
        <w:t xml:space="preserve"> 凝</w:t>
      </w:r>
      <w:r>
        <w:t>血因子</w:t>
      </w:r>
      <w:r>
        <w:rPr>
          <w:spacing w:val="-77"/>
        </w:rPr>
        <w:t>）</w:t>
      </w:r>
      <w:r>
        <w:rPr>
          <w:spacing w:val="-11"/>
        </w:rPr>
        <w:t xml:space="preserve">，而凝血因子Ⅷ或凝血因子 </w:t>
      </w:r>
      <w:r>
        <w:t>IX</w:t>
      </w:r>
      <w:r>
        <w:rPr>
          <w:spacing w:val="-5"/>
        </w:rPr>
        <w:t xml:space="preserve"> 的活性水平少于百分之一。诊断必</w:t>
      </w:r>
      <w:r>
        <w:rPr>
          <w:spacing w:val="-2"/>
        </w:rPr>
        <w:t>须由本公司认可的医院的的血液病专科医生确认。</w:t>
      </w:r>
    </w:p>
    <w:p>
      <w:pPr>
        <w:spacing w:after="0" w:line="276" w:lineRule="auto"/>
        <w:jc w:val="both"/>
        <w:sectPr>
          <w:type w:val="continuous"/>
          <w:pgSz w:w="11910" w:h="16840"/>
          <w:pgMar w:top="920" w:right="680" w:bottom="420" w:left="880" w:header="0" w:footer="230" w:gutter="0"/>
          <w:cols w:equalWidth="0" w:num="2">
            <w:col w:w="2765" w:space="40"/>
            <w:col w:w="7545"/>
          </w:cols>
        </w:sectPr>
      </w:pPr>
    </w:p>
    <w:p>
      <w:pPr>
        <w:pStyle w:val="4"/>
        <w:spacing w:before="7"/>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艾森门格综</w:t>
      </w:r>
      <w:r>
        <w:rPr>
          <w:spacing w:val="-6"/>
        </w:rPr>
        <w:t>合症</w:t>
      </w:r>
    </w:p>
    <w:p>
      <w:pPr>
        <w:pStyle w:val="4"/>
        <w:spacing w:before="71" w:line="273" w:lineRule="auto"/>
        <w:ind w:left="181" w:right="622"/>
      </w:pPr>
      <w:r>
        <w:br w:type="column"/>
      </w:r>
      <w:r>
        <w:rPr>
          <w:spacing w:val="-2"/>
        </w:rPr>
        <w:t>因心脏病导致的严重肺动脉高压及右向左分流。诊断必须由心脏专科医生经超声心动图和心导管检查证实及需符合以下所有标准：</w:t>
      </w:r>
    </w:p>
    <w:p>
      <w:pPr>
        <w:pStyle w:val="8"/>
        <w:numPr>
          <w:ilvl w:val="0"/>
          <w:numId w:val="52"/>
        </w:numPr>
        <w:tabs>
          <w:tab w:val="left" w:pos="711"/>
        </w:tabs>
        <w:spacing w:before="6" w:after="0" w:line="240" w:lineRule="auto"/>
        <w:ind w:left="710" w:right="0" w:hanging="530"/>
        <w:jc w:val="left"/>
        <w:rPr>
          <w:sz w:val="21"/>
        </w:rPr>
      </w:pPr>
      <w:r>
        <w:rPr>
          <w:spacing w:val="-1"/>
          <w:sz w:val="21"/>
        </w:rPr>
        <w:t xml:space="preserve">平均肺动脉压高于 </w:t>
      </w:r>
      <w:r>
        <w:rPr>
          <w:spacing w:val="-2"/>
          <w:sz w:val="21"/>
        </w:rPr>
        <w:t>40mmHg；</w:t>
      </w:r>
    </w:p>
    <w:p>
      <w:pPr>
        <w:pStyle w:val="8"/>
        <w:numPr>
          <w:ilvl w:val="0"/>
          <w:numId w:val="52"/>
        </w:numPr>
        <w:tabs>
          <w:tab w:val="left" w:pos="711"/>
        </w:tabs>
        <w:spacing w:before="43" w:after="0" w:line="240" w:lineRule="auto"/>
        <w:ind w:left="710" w:right="0" w:hanging="530"/>
        <w:jc w:val="left"/>
        <w:rPr>
          <w:sz w:val="21"/>
        </w:rPr>
      </w:pPr>
      <w:r>
        <w:rPr>
          <w:spacing w:val="-2"/>
          <w:sz w:val="21"/>
        </w:rPr>
        <w:t xml:space="preserve">肺血管阻力高于 </w:t>
      </w:r>
      <w:r>
        <w:rPr>
          <w:sz w:val="21"/>
        </w:rPr>
        <w:t>3mm/L/min（Wood</w:t>
      </w:r>
      <w:r>
        <w:rPr>
          <w:spacing w:val="-4"/>
          <w:sz w:val="21"/>
        </w:rPr>
        <w:t xml:space="preserve"> 单位</w:t>
      </w:r>
      <w:r>
        <w:rPr>
          <w:spacing w:val="-116"/>
          <w:sz w:val="21"/>
        </w:rPr>
        <w:t>）</w:t>
      </w:r>
      <w:r>
        <w:rPr>
          <w:spacing w:val="-5"/>
          <w:sz w:val="21"/>
        </w:rPr>
        <w:t>；</w:t>
      </w:r>
    </w:p>
    <w:p>
      <w:pPr>
        <w:pStyle w:val="8"/>
        <w:numPr>
          <w:ilvl w:val="0"/>
          <w:numId w:val="52"/>
        </w:numPr>
        <w:tabs>
          <w:tab w:val="left" w:pos="711"/>
        </w:tabs>
        <w:spacing w:before="43" w:after="0" w:line="240" w:lineRule="auto"/>
        <w:ind w:left="710" w:right="0" w:hanging="530"/>
        <w:jc w:val="left"/>
        <w:rPr>
          <w:sz w:val="21"/>
        </w:rPr>
      </w:pPr>
      <w:r>
        <w:rPr>
          <w:spacing w:val="-2"/>
          <w:sz w:val="21"/>
        </w:rPr>
        <w:t xml:space="preserve">正常肺微血管楔压低于 </w:t>
      </w:r>
      <w:r>
        <w:rPr>
          <w:sz w:val="21"/>
        </w:rPr>
        <w:t>15mmHg</w:t>
      </w:r>
      <w:r>
        <w:rPr>
          <w:spacing w:val="-10"/>
          <w:sz w:val="21"/>
        </w:rPr>
        <w:t>。</w:t>
      </w:r>
    </w:p>
    <w:p>
      <w:pPr>
        <w:spacing w:after="0" w:line="240" w:lineRule="auto"/>
        <w:jc w:val="left"/>
        <w:rPr>
          <w:sz w:val="21"/>
        </w:rPr>
        <w:sectPr>
          <w:type w:val="continuous"/>
          <w:pgSz w:w="11910" w:h="16840"/>
          <w:pgMar w:top="920" w:right="680" w:bottom="420" w:left="880" w:header="0" w:footer="230" w:gutter="0"/>
          <w:cols w:equalWidth="0" w:num="2">
            <w:col w:w="2765" w:space="40"/>
            <w:col w:w="7545"/>
          </w:cols>
        </w:sectPr>
      </w:pPr>
    </w:p>
    <w:p>
      <w:pPr>
        <w:pStyle w:val="4"/>
        <w:spacing w:before="8"/>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细菌性脑脊</w:t>
      </w:r>
      <w:r>
        <w:rPr>
          <w:spacing w:val="-4"/>
        </w:rPr>
        <w:t>髓膜炎</w:t>
      </w:r>
    </w:p>
    <w:p>
      <w:pPr>
        <w:pStyle w:val="4"/>
        <w:spacing w:before="72" w:line="273" w:lineRule="auto"/>
        <w:ind w:left="181" w:right="512"/>
        <w:jc w:val="both"/>
      </w:pPr>
      <w:r>
        <w:br w:type="column"/>
      </w:r>
      <w:r>
        <w:rPr>
          <w:spacing w:val="-7"/>
        </w:rPr>
        <w:t>指因脑膜炎双球菌感染引起脑脊髓膜化脓性病变，且导致永久性神经损害，</w:t>
      </w:r>
      <w:r>
        <w:rPr>
          <w:spacing w:val="-5"/>
        </w:rPr>
        <w:t xml:space="preserve">持续 </w:t>
      </w:r>
      <w:r>
        <w:t>180 天以上，并且脑脊液检查显示脑膜炎双球菌阳性。</w:t>
      </w:r>
    </w:p>
    <w:p>
      <w:pPr>
        <w:pStyle w:val="4"/>
        <w:spacing w:before="6" w:line="278" w:lineRule="auto"/>
        <w:ind w:left="181" w:right="615"/>
        <w:jc w:val="both"/>
      </w:pPr>
      <w:r>
        <w:rPr>
          <w:spacing w:val="-2"/>
        </w:rPr>
        <w:t>永久性神经损害是指由细菌性脑脊髓膜炎引起的耳聋、失明、动眼神经麻</w:t>
      </w:r>
      <w:r>
        <w:rPr>
          <w:spacing w:val="-3"/>
        </w:rPr>
        <w:t xml:space="preserve">痹、瘫痪、脑积水、智力或性情中度以上的损害，且上述症状持续 </w:t>
      </w:r>
      <w:r>
        <w:rPr>
          <w:spacing w:val="-2"/>
        </w:rPr>
        <w:t>180</w:t>
      </w:r>
      <w:r>
        <w:rPr>
          <w:spacing w:val="-13"/>
        </w:rPr>
        <w:t xml:space="preserve"> 天</w:t>
      </w:r>
      <w:r>
        <w:rPr>
          <w:spacing w:val="-2"/>
        </w:rPr>
        <w:t>以上仍无改善迹象。</w:t>
      </w:r>
    </w:p>
    <w:p>
      <w:pPr>
        <w:spacing w:after="0" w:line="278" w:lineRule="auto"/>
        <w:jc w:val="both"/>
        <w:sectPr>
          <w:type w:val="continuous"/>
          <w:pgSz w:w="11910" w:h="16840"/>
          <w:pgMar w:top="920" w:right="680" w:bottom="420" w:left="880" w:header="0" w:footer="230" w:gutter="0"/>
          <w:cols w:equalWidth="0" w:num="2">
            <w:col w:w="2765" w:space="40"/>
            <w:col w:w="7545"/>
          </w:cols>
        </w:sectPr>
      </w:pPr>
    </w:p>
    <w:p>
      <w:pPr>
        <w:pStyle w:val="4"/>
        <w:spacing w:before="3"/>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进行性多灶性白质脑病</w:t>
      </w:r>
    </w:p>
    <w:p>
      <w:pPr>
        <w:pStyle w:val="4"/>
        <w:spacing w:before="72" w:line="273" w:lineRule="auto"/>
        <w:ind w:left="181" w:right="622"/>
      </w:pPr>
      <w:r>
        <w:br w:type="column"/>
      </w:r>
      <w:r>
        <w:rPr>
          <w:spacing w:val="-2"/>
        </w:rPr>
        <w:t>是一种亚急性脱髓鞘性脑病，常常发现于免疫缺陷的病人。必须根据脑组织活检以及本公司认可的的神经专科医生的确诊。</w:t>
      </w:r>
    </w:p>
    <w:p>
      <w:pPr>
        <w:spacing w:after="0" w:line="273" w:lineRule="auto"/>
        <w:sectPr>
          <w:type w:val="continuous"/>
          <w:pgSz w:w="11910" w:h="16840"/>
          <w:pgMar w:top="920" w:right="680" w:bottom="420" w:left="880" w:header="0" w:footer="230" w:gutter="0"/>
          <w:cols w:equalWidth="0" w:num="2">
            <w:col w:w="2765" w:space="40"/>
            <w:col w:w="7545"/>
          </w:cols>
        </w:sectPr>
      </w:pPr>
    </w:p>
    <w:p>
      <w:pPr>
        <w:pStyle w:val="4"/>
        <w:spacing w:before="4"/>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6" w:after="0" w:line="194" w:lineRule="auto"/>
        <w:ind w:left="1391" w:right="0" w:firstLine="0"/>
        <w:jc w:val="left"/>
      </w:pPr>
      <w:r>
        <w:rPr>
          <w:spacing w:val="-2"/>
        </w:rPr>
        <w:t>原发性脊柱侧弯矫正手术</w:t>
      </w:r>
    </w:p>
    <w:p>
      <w:pPr>
        <w:pStyle w:val="4"/>
        <w:spacing w:before="72" w:line="278" w:lineRule="auto"/>
        <w:ind w:left="181" w:right="620"/>
        <w:jc w:val="both"/>
      </w:pPr>
      <w:r>
        <w:br w:type="column"/>
      </w:r>
      <w:r>
        <w:rPr>
          <w:spacing w:val="-2"/>
        </w:rPr>
        <w:t>指被保险人因原发性脊柱侧弯，在本公司认可的医院实际实施了对该病的矫正外科手术。但由于先天性脊柱侧弯以及其他疾病或意外导致的继发性脊柱侧弯而进行的手术治疗不在保障范围内。</w:t>
      </w:r>
    </w:p>
    <w:p>
      <w:pPr>
        <w:spacing w:after="0" w:line="278" w:lineRule="auto"/>
        <w:jc w:val="both"/>
        <w:sectPr>
          <w:type w:val="continuous"/>
          <w:pgSz w:w="11910" w:h="16840"/>
          <w:pgMar w:top="920" w:right="680" w:bottom="420" w:left="880" w:header="0" w:footer="230" w:gutter="0"/>
          <w:cols w:equalWidth="0" w:num="2">
            <w:col w:w="2765" w:space="40"/>
            <w:col w:w="7545"/>
          </w:cols>
        </w:sectPr>
      </w:pPr>
    </w:p>
    <w:p>
      <w:pPr>
        <w:pStyle w:val="3"/>
        <w:numPr>
          <w:ilvl w:val="2"/>
          <w:numId w:val="12"/>
        </w:numPr>
        <w:tabs>
          <w:tab w:val="left" w:pos="1710"/>
        </w:tabs>
        <w:spacing w:before="43" w:after="0" w:line="194" w:lineRule="auto"/>
        <w:ind w:left="1391" w:right="0" w:firstLine="0"/>
        <w:jc w:val="left"/>
      </w:pPr>
      <w:r>
        <w:rPr>
          <w:spacing w:val="-2"/>
        </w:rPr>
        <w:t>失去一肢及</w:t>
      </w:r>
      <w:r>
        <w:rPr>
          <w:spacing w:val="-6"/>
        </w:rPr>
        <w:t>一眼</w:t>
      </w:r>
    </w:p>
    <w:p>
      <w:pPr>
        <w:pStyle w:val="4"/>
        <w:spacing w:before="59"/>
        <w:ind w:left="181"/>
      </w:pPr>
      <w:r>
        <w:br w:type="column"/>
      </w:r>
      <w:r>
        <w:rPr>
          <w:spacing w:val="-1"/>
        </w:rPr>
        <w:t>因疾病或意外伤害导致单眼视力丧失及任何一肢自腕关节或踝关节近端</w:t>
      </w:r>
    </w:p>
    <w:p>
      <w:pPr>
        <w:pStyle w:val="4"/>
        <w:spacing w:before="43"/>
        <w:ind w:left="181"/>
      </w:pPr>
      <w:r>
        <w:rPr>
          <w:spacing w:val="-2"/>
        </w:rPr>
        <w:t>（靠近躯干端）</w:t>
      </w:r>
      <w:r>
        <w:rPr>
          <w:spacing w:val="-4"/>
        </w:rPr>
        <w:t>以上完全性断离。</w:t>
      </w:r>
    </w:p>
    <w:p>
      <w:pPr>
        <w:pStyle w:val="4"/>
        <w:spacing w:before="43" w:line="278" w:lineRule="auto"/>
        <w:ind w:left="181" w:right="622"/>
      </w:pPr>
      <w:r>
        <w:rPr>
          <w:spacing w:val="-2"/>
        </w:rPr>
        <w:t>单眼视力丧失指单眼视力永久不可逆性丧失，患眼须满足下列至少一项条</w:t>
      </w:r>
      <w:r>
        <w:rPr>
          <w:spacing w:val="-6"/>
        </w:rPr>
        <w:t>件：</w:t>
      </w:r>
    </w:p>
    <w:p>
      <w:pPr>
        <w:pStyle w:val="8"/>
        <w:numPr>
          <w:ilvl w:val="0"/>
          <w:numId w:val="53"/>
        </w:numPr>
        <w:tabs>
          <w:tab w:val="left" w:pos="711"/>
        </w:tabs>
        <w:spacing w:before="0" w:after="0" w:line="240" w:lineRule="auto"/>
        <w:ind w:left="710" w:right="0" w:hanging="530"/>
        <w:jc w:val="left"/>
        <w:rPr>
          <w:sz w:val="21"/>
        </w:rPr>
      </w:pPr>
      <w:r>
        <w:rPr>
          <w:spacing w:val="-4"/>
          <w:sz w:val="21"/>
        </w:rPr>
        <w:t>眼球缺失或摘除；</w:t>
      </w:r>
    </w:p>
    <w:p>
      <w:pPr>
        <w:pStyle w:val="8"/>
        <w:numPr>
          <w:ilvl w:val="0"/>
          <w:numId w:val="53"/>
        </w:numPr>
        <w:tabs>
          <w:tab w:val="left" w:pos="711"/>
        </w:tabs>
        <w:spacing w:before="43" w:after="0" w:line="278" w:lineRule="auto"/>
        <w:ind w:left="181" w:right="616" w:firstLine="0"/>
        <w:jc w:val="left"/>
        <w:rPr>
          <w:sz w:val="21"/>
        </w:rPr>
      </w:pPr>
      <w:r>
        <w:rPr>
          <w:spacing w:val="-6"/>
          <w:sz w:val="21"/>
        </w:rPr>
        <w:t xml:space="preserve">矫正视力低于 </w:t>
      </w:r>
      <w:r>
        <w:rPr>
          <w:sz w:val="21"/>
        </w:rPr>
        <w:t>0.02（采用国际标准视力表，如果使用其它视力表应</w:t>
      </w:r>
      <w:r>
        <w:rPr>
          <w:spacing w:val="-4"/>
          <w:sz w:val="21"/>
        </w:rPr>
        <w:t>进行换算</w:t>
      </w:r>
      <w:r>
        <w:rPr>
          <w:spacing w:val="-106"/>
          <w:sz w:val="21"/>
        </w:rPr>
        <w:t>）</w:t>
      </w:r>
      <w:r>
        <w:rPr>
          <w:sz w:val="21"/>
        </w:rPr>
        <w:t>；</w:t>
      </w:r>
    </w:p>
    <w:p>
      <w:pPr>
        <w:pStyle w:val="8"/>
        <w:numPr>
          <w:ilvl w:val="0"/>
          <w:numId w:val="53"/>
        </w:numPr>
        <w:tabs>
          <w:tab w:val="left" w:pos="711"/>
        </w:tabs>
        <w:spacing w:before="0" w:after="0" w:line="269" w:lineRule="exact"/>
        <w:ind w:left="710" w:right="0" w:hanging="530"/>
        <w:jc w:val="left"/>
        <w:rPr>
          <w:sz w:val="21"/>
        </w:rPr>
      </w:pPr>
      <w:r>
        <w:rPr>
          <w:spacing w:val="-8"/>
          <w:sz w:val="21"/>
        </w:rPr>
        <w:t xml:space="preserve">视野半径小于 </w:t>
      </w:r>
      <w:r>
        <w:rPr>
          <w:sz w:val="21"/>
        </w:rPr>
        <w:t>5</w:t>
      </w:r>
      <w:r>
        <w:rPr>
          <w:spacing w:val="-7"/>
          <w:sz w:val="21"/>
        </w:rPr>
        <w:t xml:space="preserve"> 度。</w:t>
      </w:r>
    </w:p>
    <w:p>
      <w:pPr>
        <w:pStyle w:val="4"/>
        <w:spacing w:before="43"/>
        <w:ind w:left="181"/>
      </w:pPr>
      <w:r>
        <w:rPr>
          <w:spacing w:val="-10"/>
        </w:rPr>
        <w:t xml:space="preserve">被保险人在 </w:t>
      </w:r>
      <w:r>
        <w:rPr>
          <w:spacing w:val="-2"/>
        </w:rPr>
        <w:t>3</w:t>
      </w:r>
      <w:r>
        <w:rPr>
          <w:spacing w:val="-9"/>
        </w:rPr>
        <w:t xml:space="preserve"> 周岁之前因疾病导致单眼视力丧失不在保障范围内。</w:t>
      </w:r>
    </w:p>
    <w:p>
      <w:pPr>
        <w:spacing w:after="0"/>
        <w:sectPr>
          <w:pgSz w:w="11910" w:h="16840"/>
          <w:pgMar w:top="980" w:right="680" w:bottom="420" w:left="880" w:header="0" w:footer="230" w:gutter="0"/>
          <w:cols w:equalWidth="0" w:num="2">
            <w:col w:w="2765" w:space="40"/>
            <w:col w:w="7545"/>
          </w:cols>
        </w:sectPr>
      </w:pPr>
    </w:p>
    <w:p>
      <w:pPr>
        <w:pStyle w:val="4"/>
        <w:spacing w:before="3"/>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6" w:after="0" w:line="194" w:lineRule="auto"/>
        <w:ind w:left="1391" w:right="0" w:firstLine="0"/>
        <w:jc w:val="left"/>
      </w:pPr>
      <w:r>
        <w:rPr>
          <w:spacing w:val="-2"/>
        </w:rPr>
        <w:t>胆道重建手</w:t>
      </w:r>
      <w:r>
        <w:rPr>
          <w:spacing w:val="-10"/>
        </w:rPr>
        <w:t>术</w:t>
      </w:r>
    </w:p>
    <w:p>
      <w:pPr>
        <w:pStyle w:val="4"/>
        <w:spacing w:before="72" w:line="266" w:lineRule="auto"/>
        <w:ind w:left="181" w:right="622"/>
      </w:pPr>
      <w:r>
        <w:br w:type="column"/>
      </w:r>
      <w:r>
        <w:rPr>
          <w:spacing w:val="-2"/>
        </w:rPr>
        <w:t>指因疾病或胆道创伤导致接受涉及胆总管小肠吻合术的胆道重建手术。手术必须在本公司认可的医院的专科医生认为是医疗所需的情况下进行。</w:t>
      </w:r>
      <w:r>
        <w:rPr>
          <w:spacing w:val="40"/>
        </w:rPr>
        <w:t xml:space="preserve"> </w:t>
      </w:r>
      <w:r>
        <w:rPr>
          <w:spacing w:val="-2"/>
        </w:rPr>
        <w:t>胆道闭锁不在保障范围内。</w:t>
      </w:r>
    </w:p>
    <w:p>
      <w:pPr>
        <w:spacing w:after="0" w:line="266" w:lineRule="auto"/>
        <w:sectPr>
          <w:type w:val="continuous"/>
          <w:pgSz w:w="11910" w:h="16840"/>
          <w:pgMar w:top="920" w:right="680" w:bottom="420" w:left="880" w:header="0" w:footer="230" w:gutter="0"/>
          <w:cols w:equalWidth="0" w:num="2">
            <w:col w:w="2765" w:space="40"/>
            <w:col w:w="7545"/>
          </w:cols>
        </w:sectPr>
      </w:pPr>
    </w:p>
    <w:p>
      <w:pPr>
        <w:pStyle w:val="4"/>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冠状动脉血管成形术（冠状动脉粥样斑块切除术）</w:t>
      </w:r>
    </w:p>
    <w:p>
      <w:pPr>
        <w:pStyle w:val="4"/>
        <w:spacing w:before="72"/>
        <w:ind w:left="181"/>
      </w:pPr>
      <w:r>
        <w:br w:type="column"/>
      </w:r>
      <w:r>
        <w:rPr>
          <w:spacing w:val="-3"/>
        </w:rPr>
        <w:t>是指有心绞痛等心脏不适症状，经过血管造影技术检查证实同时存在两支</w:t>
      </w:r>
    </w:p>
    <w:p>
      <w:pPr>
        <w:pStyle w:val="4"/>
        <w:spacing w:before="39" w:line="278" w:lineRule="auto"/>
        <w:ind w:left="181" w:right="620"/>
        <w:jc w:val="both"/>
      </w:pPr>
      <w:r>
        <w:rPr>
          <w:spacing w:val="-2"/>
        </w:rPr>
        <w:t>（其中一支为左冠状动脉主干、左前降支或左回旋支）或更多支的冠状动</w:t>
      </w:r>
      <w:r>
        <w:t>脉血管发生严重的狭窄（</w:t>
      </w:r>
      <w:r>
        <w:rPr>
          <w:spacing w:val="-3"/>
        </w:rPr>
        <w:t xml:space="preserve">狭窄程度在 </w:t>
      </w:r>
      <w:r>
        <w:t>70％以上</w:t>
      </w:r>
      <w:r>
        <w:rPr>
          <w:spacing w:val="-106"/>
        </w:rPr>
        <w:t>）</w:t>
      </w:r>
      <w:r>
        <w:t>，需要并且已实施冠状动</w:t>
      </w:r>
      <w:r>
        <w:rPr>
          <w:spacing w:val="-2"/>
        </w:rPr>
        <w:t>脉粥样斑块切除术以改善血管的血流状况。索赔时必须提供血管造影的影像资料、报告、手术记录和病历。</w:t>
      </w:r>
    </w:p>
    <w:p>
      <w:pPr>
        <w:spacing w:after="0" w:line="278" w:lineRule="auto"/>
        <w:jc w:val="both"/>
        <w:sectPr>
          <w:type w:val="continuous"/>
          <w:pgSz w:w="11910" w:h="16840"/>
          <w:pgMar w:top="920" w:right="680" w:bottom="420" w:left="880" w:header="0" w:footer="230" w:gutter="0"/>
          <w:cols w:equalWidth="0" w:num="2">
            <w:col w:w="2765" w:space="40"/>
            <w:col w:w="7545"/>
          </w:cols>
        </w:sectPr>
      </w:pPr>
    </w:p>
    <w:p>
      <w:pPr>
        <w:pStyle w:val="4"/>
        <w:spacing w:before="3"/>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710"/>
        </w:tabs>
        <w:spacing w:before="58" w:after="0" w:line="192" w:lineRule="auto"/>
        <w:ind w:left="1391" w:right="0" w:firstLine="0"/>
        <w:jc w:val="left"/>
      </w:pPr>
      <w:r>
        <w:rPr>
          <w:spacing w:val="-2"/>
        </w:rPr>
        <w:t>亚急性硬化</w:t>
      </w:r>
      <w:r>
        <w:rPr>
          <w:spacing w:val="-4"/>
        </w:rPr>
        <w:t>性全脑炎</w:t>
      </w:r>
    </w:p>
    <w:p>
      <w:pPr>
        <w:pStyle w:val="4"/>
        <w:spacing w:before="71" w:line="276" w:lineRule="auto"/>
        <w:ind w:left="181" w:right="622"/>
        <w:jc w:val="both"/>
      </w:pPr>
      <w:r>
        <w:br w:type="column"/>
      </w:r>
      <w:r>
        <w:rPr>
          <w:spacing w:val="-2"/>
        </w:rPr>
        <w:t>是麻疹或麻疹样病毒所致的一种中枢神经系统慢性感染。中枢神经系统呈现灰质和白质破坏为特征的慢性和急性混合存在的炎症。必须满足以下所</w:t>
      </w:r>
      <w:r>
        <w:rPr>
          <w:spacing w:val="-4"/>
        </w:rPr>
        <w:t>有条件：</w:t>
      </w:r>
    </w:p>
    <w:p>
      <w:pPr>
        <w:pStyle w:val="8"/>
        <w:numPr>
          <w:ilvl w:val="0"/>
          <w:numId w:val="54"/>
        </w:numPr>
        <w:tabs>
          <w:tab w:val="left" w:pos="711"/>
        </w:tabs>
        <w:spacing w:before="3" w:after="0" w:line="278" w:lineRule="auto"/>
        <w:ind w:left="181" w:right="616" w:firstLine="0"/>
        <w:jc w:val="both"/>
        <w:rPr>
          <w:sz w:val="21"/>
        </w:rPr>
      </w:pPr>
      <w:r>
        <w:rPr>
          <w:spacing w:val="-2"/>
          <w:sz w:val="21"/>
        </w:rPr>
        <w:t xml:space="preserve">脑电图存在周期性复合波、脑脊液 </w:t>
      </w:r>
      <w:r>
        <w:rPr>
          <w:sz w:val="21"/>
        </w:rPr>
        <w:t>r-球蛋白升高、脑脊液和血清中</w:t>
      </w:r>
      <w:r>
        <w:rPr>
          <w:spacing w:val="-2"/>
          <w:sz w:val="21"/>
        </w:rPr>
        <w:t>麻疹抗体滴定度升高；</w:t>
      </w:r>
    </w:p>
    <w:p>
      <w:pPr>
        <w:pStyle w:val="8"/>
        <w:numPr>
          <w:ilvl w:val="0"/>
          <w:numId w:val="54"/>
        </w:numPr>
        <w:tabs>
          <w:tab w:val="left" w:pos="711"/>
        </w:tabs>
        <w:spacing w:before="1" w:after="0" w:line="278" w:lineRule="auto"/>
        <w:ind w:left="181" w:right="621" w:firstLine="0"/>
        <w:jc w:val="left"/>
        <w:rPr>
          <w:sz w:val="21"/>
        </w:rPr>
      </w:pPr>
      <w:r>
        <w:rPr>
          <w:spacing w:val="-2"/>
          <w:sz w:val="21"/>
        </w:rPr>
        <w:t>被保险人出现运动障碍，自主生活能力完全丧失，无法独立完成六项基本日常生活活动中的三项或三项以上。</w:t>
      </w:r>
    </w:p>
    <w:p>
      <w:pPr>
        <w:spacing w:after="0" w:line="278" w:lineRule="auto"/>
        <w:jc w:val="left"/>
        <w:rPr>
          <w:sz w:val="21"/>
        </w:rPr>
        <w:sectPr>
          <w:type w:val="continuous"/>
          <w:pgSz w:w="11910" w:h="16840"/>
          <w:pgMar w:top="920" w:right="680" w:bottom="420" w:left="880" w:header="0" w:footer="230" w:gutter="0"/>
          <w:cols w:equalWidth="0" w:num="2">
            <w:col w:w="2765" w:space="40"/>
            <w:col w:w="7545"/>
          </w:cols>
        </w:sectPr>
      </w:pPr>
    </w:p>
    <w:p>
      <w:pPr>
        <w:pStyle w:val="4"/>
        <w:spacing w:before="3"/>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814"/>
        </w:tabs>
        <w:spacing w:before="2" w:after="0" w:line="347" w:lineRule="exact"/>
        <w:ind w:left="1813" w:right="0" w:hanging="423"/>
        <w:jc w:val="left"/>
      </w:pPr>
      <w:r>
        <w:rPr>
          <w:spacing w:val="-3"/>
        </w:rPr>
        <w:t>肌萎缩性</w:t>
      </w:r>
    </w:p>
    <w:p>
      <w:pPr>
        <w:spacing w:before="14" w:line="194" w:lineRule="auto"/>
        <w:ind w:left="1391" w:right="0" w:firstLine="0"/>
        <w:jc w:val="left"/>
        <w:rPr>
          <w:rFonts w:ascii="Microsoft JhengHei" w:eastAsia="Microsoft JhengHei"/>
          <w:b/>
          <w:sz w:val="21"/>
        </w:rPr>
      </w:pPr>
      <w:r>
        <w:rPr>
          <w:rFonts w:ascii="Microsoft JhengHei" w:eastAsia="Microsoft JhengHei"/>
          <w:b/>
          <w:spacing w:val="-2"/>
          <w:sz w:val="21"/>
        </w:rPr>
        <w:t>（脊髓）侧索</w:t>
      </w:r>
      <w:r>
        <w:rPr>
          <w:rFonts w:ascii="Microsoft JhengHei" w:eastAsia="Microsoft JhengHei"/>
          <w:b/>
          <w:spacing w:val="-4"/>
          <w:sz w:val="21"/>
        </w:rPr>
        <w:t>硬化症</w:t>
      </w:r>
    </w:p>
    <w:p>
      <w:pPr>
        <w:pStyle w:val="4"/>
        <w:spacing w:before="71" w:line="276" w:lineRule="auto"/>
        <w:ind w:left="286" w:right="622"/>
        <w:jc w:val="both"/>
      </w:pPr>
      <w:r>
        <w:br w:type="column"/>
      </w:r>
      <w:r>
        <w:rPr>
          <w:spacing w:val="-2"/>
        </w:rPr>
        <w:t>是指持续的神经变性累及脊髓神经及脑干运动神经元，出现肌肉无力、挛缩、肌束颤动及萎缩症状和体征。须经神经专科医师做出明确诊断，且疾病进行性发展已导致不可逆转的永久性神经系统功能障碍。永久性神经系统功能障碍是指以下六项条件中的一项或一项以上：</w:t>
      </w:r>
    </w:p>
    <w:p>
      <w:pPr>
        <w:pStyle w:val="8"/>
        <w:numPr>
          <w:ilvl w:val="1"/>
          <w:numId w:val="54"/>
        </w:numPr>
        <w:tabs>
          <w:tab w:val="left" w:pos="816"/>
        </w:tabs>
        <w:spacing w:before="6" w:after="0" w:line="240" w:lineRule="auto"/>
        <w:ind w:left="815" w:right="0" w:hanging="530"/>
        <w:jc w:val="left"/>
        <w:rPr>
          <w:sz w:val="21"/>
        </w:rPr>
      </w:pPr>
      <w:r>
        <w:rPr>
          <w:spacing w:val="-3"/>
          <w:sz w:val="21"/>
        </w:rPr>
        <w:t>一上肢或双上肢手腕以上部分的完全及永久瘫痪；</w:t>
      </w:r>
    </w:p>
    <w:p>
      <w:pPr>
        <w:pStyle w:val="8"/>
        <w:numPr>
          <w:ilvl w:val="1"/>
          <w:numId w:val="54"/>
        </w:numPr>
        <w:tabs>
          <w:tab w:val="left" w:pos="816"/>
        </w:tabs>
        <w:spacing w:before="43" w:after="0" w:line="240" w:lineRule="auto"/>
        <w:ind w:left="815" w:right="0" w:hanging="530"/>
        <w:jc w:val="left"/>
        <w:rPr>
          <w:sz w:val="21"/>
        </w:rPr>
      </w:pPr>
      <w:r>
        <w:rPr>
          <w:spacing w:val="-3"/>
          <w:sz w:val="21"/>
        </w:rPr>
        <w:t>一下肢或双下肢足踝以上部分的完全及永久瘫痪；</w:t>
      </w:r>
    </w:p>
    <w:p>
      <w:pPr>
        <w:pStyle w:val="8"/>
        <w:numPr>
          <w:ilvl w:val="1"/>
          <w:numId w:val="54"/>
        </w:numPr>
        <w:tabs>
          <w:tab w:val="left" w:pos="816"/>
        </w:tabs>
        <w:spacing w:before="43" w:after="0" w:line="240" w:lineRule="auto"/>
        <w:ind w:left="815" w:right="0" w:hanging="530"/>
        <w:jc w:val="left"/>
        <w:rPr>
          <w:sz w:val="21"/>
        </w:rPr>
      </w:pPr>
      <w:r>
        <w:rPr>
          <w:spacing w:val="-3"/>
          <w:sz w:val="21"/>
        </w:rPr>
        <w:t>四肢机能完全及永久丧失；</w:t>
      </w:r>
    </w:p>
    <w:p>
      <w:pPr>
        <w:pStyle w:val="8"/>
        <w:numPr>
          <w:ilvl w:val="1"/>
          <w:numId w:val="54"/>
        </w:numPr>
        <w:tabs>
          <w:tab w:val="left" w:pos="816"/>
        </w:tabs>
        <w:spacing w:before="44" w:after="0" w:line="240" w:lineRule="auto"/>
        <w:ind w:left="815" w:right="0" w:hanging="530"/>
        <w:jc w:val="left"/>
        <w:rPr>
          <w:sz w:val="21"/>
        </w:rPr>
      </w:pPr>
      <w:r>
        <w:rPr>
          <w:spacing w:val="-3"/>
          <w:sz w:val="21"/>
        </w:rPr>
        <w:t>完全及永久丧失语言能力；</w:t>
      </w:r>
    </w:p>
    <w:p>
      <w:pPr>
        <w:pStyle w:val="8"/>
        <w:numPr>
          <w:ilvl w:val="1"/>
          <w:numId w:val="54"/>
        </w:numPr>
        <w:tabs>
          <w:tab w:val="left" w:pos="816"/>
        </w:tabs>
        <w:spacing w:before="43" w:after="0" w:line="240" w:lineRule="auto"/>
        <w:ind w:left="815" w:right="0" w:hanging="530"/>
        <w:jc w:val="left"/>
        <w:rPr>
          <w:sz w:val="21"/>
        </w:rPr>
      </w:pPr>
      <w:r>
        <w:rPr>
          <w:spacing w:val="-2"/>
          <w:sz w:val="21"/>
        </w:rPr>
        <w:t>完全及永久丧失吞咽能力（吞咽困难</w:t>
      </w:r>
      <w:r>
        <w:rPr>
          <w:spacing w:val="-106"/>
          <w:sz w:val="21"/>
        </w:rPr>
        <w:t>）</w:t>
      </w:r>
      <w:r>
        <w:rPr>
          <w:spacing w:val="-3"/>
          <w:sz w:val="21"/>
        </w:rPr>
        <w:t>，必须永久使用喂饲管；</w:t>
      </w:r>
    </w:p>
    <w:p>
      <w:pPr>
        <w:pStyle w:val="8"/>
        <w:numPr>
          <w:ilvl w:val="1"/>
          <w:numId w:val="54"/>
        </w:numPr>
        <w:tabs>
          <w:tab w:val="left" w:pos="816"/>
        </w:tabs>
        <w:spacing w:before="43" w:after="0" w:line="278" w:lineRule="auto"/>
        <w:ind w:left="286" w:right="530" w:firstLine="0"/>
        <w:jc w:val="left"/>
        <w:rPr>
          <w:sz w:val="21"/>
        </w:rPr>
      </w:pPr>
      <w:r>
        <w:rPr>
          <w:spacing w:val="-2"/>
          <w:sz w:val="21"/>
        </w:rPr>
        <w:t>无法独立进行六项日常生活活动即穿衣、移动、行动、卫生、进食、洗澡中三项或三项以上，且上述日常生活活动经过三个月的持续治疗后仍无法完成。</w:t>
      </w:r>
    </w:p>
    <w:p>
      <w:pPr>
        <w:spacing w:after="0" w:line="278" w:lineRule="auto"/>
        <w:jc w:val="left"/>
        <w:rPr>
          <w:sz w:val="21"/>
        </w:rPr>
        <w:sectPr>
          <w:type w:val="continuous"/>
          <w:pgSz w:w="11910" w:h="16840"/>
          <w:pgMar w:top="920" w:right="680" w:bottom="420" w:left="880" w:header="0" w:footer="230" w:gutter="0"/>
          <w:cols w:equalWidth="0" w:num="2">
            <w:col w:w="2659" w:space="40"/>
            <w:col w:w="7651"/>
          </w:cols>
        </w:sectPr>
      </w:pPr>
    </w:p>
    <w:p>
      <w:pPr>
        <w:pStyle w:val="4"/>
        <w:spacing w:before="11"/>
        <w:rPr>
          <w:sz w:val="19"/>
        </w:rPr>
      </w:pPr>
    </w:p>
    <w:p>
      <w:pPr>
        <w:spacing w:after="0"/>
        <w:rPr>
          <w:sz w:val="19"/>
        </w:rPr>
        <w:sectPr>
          <w:type w:val="continuous"/>
          <w:pgSz w:w="11910" w:h="16840"/>
          <w:pgMar w:top="920" w:right="680" w:bottom="420" w:left="880" w:header="0" w:footer="230" w:gutter="0"/>
          <w:cols w:space="720" w:num="1"/>
        </w:sectPr>
      </w:pPr>
    </w:p>
    <w:p>
      <w:pPr>
        <w:pStyle w:val="3"/>
        <w:numPr>
          <w:ilvl w:val="2"/>
          <w:numId w:val="12"/>
        </w:numPr>
        <w:tabs>
          <w:tab w:val="left" w:pos="1814"/>
        </w:tabs>
        <w:spacing w:before="55" w:after="0" w:line="194" w:lineRule="auto"/>
        <w:ind w:left="1391" w:right="0" w:firstLine="0"/>
        <w:jc w:val="left"/>
      </w:pPr>
      <w:r>
        <w:rPr>
          <w:spacing w:val="-4"/>
        </w:rPr>
        <w:t>单侧肺脏</w:t>
      </w:r>
      <w:r>
        <w:rPr>
          <w:spacing w:val="-6"/>
        </w:rPr>
        <w:t>切除</w:t>
      </w:r>
    </w:p>
    <w:p>
      <w:pPr>
        <w:pStyle w:val="4"/>
        <w:spacing w:before="72"/>
        <w:ind w:left="286"/>
      </w:pPr>
      <w:r>
        <w:br w:type="column"/>
      </w:r>
      <w:r>
        <w:rPr>
          <w:spacing w:val="-3"/>
        </w:rPr>
        <w:t>指因疾病或意外事故实际实施的一侧肺脏切除术。</w:t>
      </w:r>
    </w:p>
    <w:p>
      <w:pPr>
        <w:pStyle w:val="4"/>
        <w:spacing w:before="43"/>
        <w:ind w:left="286"/>
      </w:pPr>
      <w:r>
        <w:rPr>
          <w:spacing w:val="-3"/>
        </w:rPr>
        <w:t>肺脏部分切除手术和肺脏捐献引起的手术不在保障范围内。</w:t>
      </w:r>
    </w:p>
    <w:p>
      <w:pPr>
        <w:spacing w:after="0"/>
        <w:sectPr>
          <w:type w:val="continuous"/>
          <w:pgSz w:w="11910" w:h="16840"/>
          <w:pgMar w:top="920" w:right="680" w:bottom="420" w:left="880" w:header="0" w:footer="230" w:gutter="0"/>
          <w:cols w:equalWidth="0" w:num="2">
            <w:col w:w="2659" w:space="40"/>
            <w:col w:w="7651"/>
          </w:cols>
        </w:sectPr>
      </w:pPr>
    </w:p>
    <w:p>
      <w:pPr>
        <w:pStyle w:val="4"/>
        <w:spacing w:before="1"/>
      </w:pPr>
    </w:p>
    <w:p>
      <w:pPr>
        <w:spacing w:after="0"/>
        <w:sectPr>
          <w:type w:val="continuous"/>
          <w:pgSz w:w="11910" w:h="16840"/>
          <w:pgMar w:top="920" w:right="680" w:bottom="420" w:left="880" w:header="0" w:footer="230" w:gutter="0"/>
          <w:cols w:space="720" w:num="1"/>
        </w:sectPr>
      </w:pPr>
    </w:p>
    <w:p>
      <w:pPr>
        <w:pStyle w:val="3"/>
        <w:numPr>
          <w:ilvl w:val="2"/>
          <w:numId w:val="12"/>
        </w:numPr>
        <w:tabs>
          <w:tab w:val="left" w:pos="1814"/>
        </w:tabs>
        <w:spacing w:before="55" w:after="0" w:line="194" w:lineRule="auto"/>
        <w:ind w:left="1391" w:right="0" w:firstLine="0"/>
        <w:jc w:val="left"/>
      </w:pPr>
      <w:r>
        <w:rPr>
          <w:spacing w:val="-4"/>
        </w:rPr>
        <w:t>出血性登</w:t>
      </w:r>
      <w:r>
        <w:rPr>
          <w:spacing w:val="-6"/>
        </w:rPr>
        <w:t>革热</w:t>
      </w:r>
    </w:p>
    <w:p>
      <w:pPr>
        <w:pStyle w:val="4"/>
        <w:spacing w:before="71" w:line="278" w:lineRule="auto"/>
        <w:ind w:left="286" w:right="622"/>
        <w:jc w:val="both"/>
      </w:pPr>
      <w:r>
        <w:br w:type="column"/>
      </w:r>
      <w:r>
        <w:rPr>
          <w:spacing w:val="-2"/>
        </w:rPr>
        <w:t>登革热是由登革热病毒引起的急性传染病，为一种自限性疾病，通常预后良好。须经专科医生明确诊断，并须出现下列一种或多种严重登革热的临</w:t>
      </w:r>
      <w:r>
        <w:rPr>
          <w:spacing w:val="-4"/>
        </w:rPr>
        <w:t>床表现：</w:t>
      </w:r>
    </w:p>
    <w:p>
      <w:pPr>
        <w:pStyle w:val="8"/>
        <w:numPr>
          <w:ilvl w:val="0"/>
          <w:numId w:val="55"/>
        </w:numPr>
        <w:tabs>
          <w:tab w:val="left" w:pos="816"/>
        </w:tabs>
        <w:spacing w:before="1" w:after="0" w:line="240" w:lineRule="auto"/>
        <w:ind w:left="815" w:right="0" w:hanging="530"/>
        <w:jc w:val="left"/>
        <w:rPr>
          <w:sz w:val="21"/>
        </w:rPr>
      </w:pPr>
      <w:r>
        <w:rPr>
          <w:spacing w:val="-3"/>
          <w:sz w:val="21"/>
        </w:rPr>
        <w:t>血浆渗漏致休克或胸腔积液伴呼吸困难；</w:t>
      </w:r>
    </w:p>
    <w:p>
      <w:pPr>
        <w:spacing w:after="0" w:line="240" w:lineRule="auto"/>
        <w:jc w:val="left"/>
        <w:rPr>
          <w:sz w:val="21"/>
        </w:rPr>
        <w:sectPr>
          <w:type w:val="continuous"/>
          <w:pgSz w:w="11910" w:h="16840"/>
          <w:pgMar w:top="920" w:right="680" w:bottom="420" w:left="880" w:header="0" w:footer="230" w:gutter="0"/>
          <w:cols w:equalWidth="0" w:num="2">
            <w:col w:w="2659" w:space="40"/>
            <w:col w:w="7651"/>
          </w:cols>
        </w:sectPr>
      </w:pPr>
    </w:p>
    <w:p>
      <w:pPr>
        <w:pStyle w:val="8"/>
        <w:numPr>
          <w:ilvl w:val="1"/>
          <w:numId w:val="55"/>
        </w:numPr>
        <w:tabs>
          <w:tab w:val="left" w:pos="3515"/>
        </w:tabs>
        <w:spacing w:before="53" w:after="0" w:line="278" w:lineRule="auto"/>
        <w:ind w:left="2985" w:right="622" w:firstLine="0"/>
        <w:jc w:val="left"/>
        <w:rPr>
          <w:sz w:val="21"/>
        </w:rPr>
      </w:pPr>
      <w:r>
        <w:rPr>
          <w:spacing w:val="-4"/>
          <w:sz w:val="21"/>
        </w:rPr>
        <w:t>严重出血：消化道出血、阴道大出血、颅内出血、肉眼血尿或皮下血</w:t>
      </w:r>
      <w:r>
        <w:rPr>
          <w:spacing w:val="-2"/>
          <w:sz w:val="21"/>
        </w:rPr>
        <w:t>肿（不包括皮下出血点</w:t>
      </w:r>
      <w:r>
        <w:rPr>
          <w:spacing w:val="-106"/>
          <w:sz w:val="21"/>
        </w:rPr>
        <w:t>）</w:t>
      </w:r>
      <w:r>
        <w:rPr>
          <w:sz w:val="21"/>
        </w:rPr>
        <w:t>；</w:t>
      </w:r>
    </w:p>
    <w:p>
      <w:pPr>
        <w:pStyle w:val="8"/>
        <w:numPr>
          <w:ilvl w:val="1"/>
          <w:numId w:val="55"/>
        </w:numPr>
        <w:tabs>
          <w:tab w:val="left" w:pos="3515"/>
        </w:tabs>
        <w:spacing w:before="0" w:after="0" w:line="278" w:lineRule="auto"/>
        <w:ind w:left="2985" w:right="624" w:firstLine="0"/>
        <w:jc w:val="left"/>
        <w:rPr>
          <w:sz w:val="21"/>
        </w:rPr>
      </w:pPr>
      <w:r>
        <w:rPr>
          <w:spacing w:val="-4"/>
          <w:sz w:val="21"/>
        </w:rPr>
        <w:t>严重器官损害或衰竭：肝脏损伤（ALT</w:t>
      </w:r>
      <w:r>
        <w:rPr>
          <w:spacing w:val="-26"/>
          <w:sz w:val="21"/>
        </w:rPr>
        <w:t xml:space="preserve"> 或 </w:t>
      </w:r>
      <w:r>
        <w:rPr>
          <w:spacing w:val="4"/>
          <w:sz w:val="21"/>
        </w:rPr>
        <w:t>AST&gt;</w:t>
      </w:r>
      <w:r>
        <w:rPr>
          <w:spacing w:val="-1"/>
          <w:sz w:val="21"/>
        </w:rPr>
        <w:t>1</w:t>
      </w:r>
      <w:r>
        <w:rPr>
          <w:spacing w:val="4"/>
          <w:sz w:val="21"/>
        </w:rPr>
        <w:t>000IU/L</w:t>
      </w:r>
      <w:r>
        <w:rPr>
          <w:spacing w:val="-102"/>
          <w:sz w:val="21"/>
        </w:rPr>
        <w:t>）</w:t>
      </w:r>
      <w:r>
        <w:rPr>
          <w:spacing w:val="-4"/>
          <w:sz w:val="21"/>
        </w:rPr>
        <w:t>、ARDS（急</w:t>
      </w:r>
      <w:r>
        <w:rPr>
          <w:spacing w:val="-2"/>
          <w:sz w:val="21"/>
        </w:rPr>
        <w:t>性呼吸窘迫综合征</w:t>
      </w:r>
      <w:r>
        <w:rPr>
          <w:spacing w:val="-106"/>
          <w:sz w:val="21"/>
        </w:rPr>
        <w:t>）</w:t>
      </w:r>
      <w:r>
        <w:rPr>
          <w:spacing w:val="-2"/>
          <w:sz w:val="21"/>
        </w:rPr>
        <w:t>、急性心功能衰竭、急性肾功能衰竭、脑病。</w:t>
      </w:r>
    </w:p>
    <w:p>
      <w:pPr>
        <w:pStyle w:val="4"/>
        <w:spacing w:before="11"/>
        <w:rPr>
          <w:sz w:val="19"/>
        </w:rPr>
      </w:pPr>
    </w:p>
    <w:p>
      <w:pPr>
        <w:spacing w:after="0"/>
        <w:rPr>
          <w:sz w:val="19"/>
        </w:rPr>
        <w:sectPr>
          <w:pgSz w:w="11910" w:h="16840"/>
          <w:pgMar w:top="660" w:right="680" w:bottom="420" w:left="880" w:header="0" w:footer="230" w:gutter="0"/>
          <w:cols w:space="720" w:num="1"/>
        </w:sectPr>
      </w:pPr>
    </w:p>
    <w:p>
      <w:pPr>
        <w:pStyle w:val="3"/>
        <w:numPr>
          <w:ilvl w:val="2"/>
          <w:numId w:val="12"/>
        </w:numPr>
        <w:tabs>
          <w:tab w:val="left" w:pos="1814"/>
        </w:tabs>
        <w:spacing w:before="55" w:after="0" w:line="194" w:lineRule="auto"/>
        <w:ind w:left="1391" w:right="0" w:firstLine="0"/>
        <w:jc w:val="left"/>
      </w:pPr>
      <w:r>
        <w:rPr>
          <w:spacing w:val="-4"/>
        </w:rPr>
        <w:t>严重面部</w:t>
      </w:r>
      <w:r>
        <w:rPr>
          <w:spacing w:val="-6"/>
        </w:rPr>
        <w:t>烧伤</w:t>
      </w:r>
    </w:p>
    <w:p>
      <w:pPr>
        <w:pStyle w:val="4"/>
        <w:spacing w:before="72" w:line="278" w:lineRule="auto"/>
        <w:ind w:left="286" w:right="615"/>
      </w:pPr>
      <w:r>
        <w:br w:type="column"/>
      </w:r>
      <w:r>
        <w:rPr>
          <w:spacing w:val="1"/>
        </w:rPr>
        <w:t xml:space="preserve">指面部烧伤程度为Ⅲ度，且Ⅲ度烧伤的面积达到面部表面积的 </w:t>
      </w:r>
      <w:r>
        <w:t xml:space="preserve">80%或者 </w:t>
      </w:r>
      <w:r>
        <w:rPr>
          <w:spacing w:val="-2"/>
        </w:rPr>
        <w:t>80%以上，体表面积根据《中国新九分法》计算。</w:t>
      </w:r>
    </w:p>
    <w:p>
      <w:pPr>
        <w:spacing w:after="0" w:line="278" w:lineRule="auto"/>
        <w:sectPr>
          <w:type w:val="continuous"/>
          <w:pgSz w:w="11910" w:h="16840"/>
          <w:pgMar w:top="920" w:right="680" w:bottom="420" w:left="880" w:header="0" w:footer="230" w:gutter="0"/>
          <w:cols w:equalWidth="0" w:num="2">
            <w:col w:w="2659" w:space="40"/>
            <w:col w:w="7651"/>
          </w:cols>
        </w:sectPr>
      </w:pPr>
    </w:p>
    <w:p>
      <w:pPr>
        <w:pStyle w:val="4"/>
        <w:spacing w:before="11"/>
        <w:rPr>
          <w:sz w:val="19"/>
        </w:rPr>
      </w:pPr>
    </w:p>
    <w:p>
      <w:pPr>
        <w:spacing w:after="0"/>
        <w:rPr>
          <w:sz w:val="19"/>
        </w:rPr>
        <w:sectPr>
          <w:type w:val="continuous"/>
          <w:pgSz w:w="11910" w:h="16840"/>
          <w:pgMar w:top="920" w:right="680" w:bottom="420" w:left="880" w:header="0" w:footer="230" w:gutter="0"/>
          <w:cols w:space="720" w:num="1"/>
        </w:sectPr>
      </w:pPr>
    </w:p>
    <w:p>
      <w:pPr>
        <w:pStyle w:val="3"/>
        <w:numPr>
          <w:ilvl w:val="2"/>
          <w:numId w:val="12"/>
        </w:numPr>
        <w:tabs>
          <w:tab w:val="left" w:pos="1814"/>
        </w:tabs>
        <w:spacing w:before="55" w:after="0" w:line="194" w:lineRule="auto"/>
        <w:ind w:left="1391" w:right="0" w:firstLine="0"/>
        <w:jc w:val="left"/>
      </w:pPr>
      <w:r>
        <w:rPr>
          <w:spacing w:val="-2"/>
          <w:w w:val="85"/>
        </w:rPr>
        <w:t>Brugada</w:t>
      </w:r>
      <w:r>
        <w:rPr>
          <w:spacing w:val="-4"/>
        </w:rPr>
        <w:t>综合征</w:t>
      </w:r>
    </w:p>
    <w:p>
      <w:pPr>
        <w:pStyle w:val="4"/>
        <w:spacing w:before="71" w:line="278" w:lineRule="auto"/>
        <w:ind w:left="392" w:right="626"/>
      </w:pPr>
      <w:r>
        <w:br w:type="column"/>
      </w:r>
      <w:r>
        <w:rPr>
          <w:spacing w:val="12"/>
        </w:rPr>
        <w:t>指由心脏科专科医生根据临床症状和典型心电图表现， 明确诊断为</w:t>
      </w:r>
      <w:r>
        <w:t xml:space="preserve"> Brugada 综合征。</w:t>
      </w:r>
    </w:p>
    <w:p>
      <w:pPr>
        <w:pStyle w:val="4"/>
        <w:spacing w:before="1"/>
        <w:ind w:left="392"/>
      </w:pPr>
      <w:r>
        <w:rPr>
          <w:spacing w:val="-3"/>
        </w:rPr>
        <w:t>需经专科医生判断认为医疗必须安装且实际已安装永久性心脏除颤器。</w:t>
      </w:r>
    </w:p>
    <w:p>
      <w:pPr>
        <w:spacing w:after="0"/>
        <w:sectPr>
          <w:type w:val="continuous"/>
          <w:pgSz w:w="11910" w:h="16840"/>
          <w:pgMar w:top="920" w:right="680" w:bottom="420" w:left="880" w:header="0" w:footer="230" w:gutter="0"/>
          <w:cols w:equalWidth="0" w:num="2">
            <w:col w:w="2554" w:space="40"/>
            <w:col w:w="7756"/>
          </w:cols>
        </w:sectPr>
      </w:pPr>
    </w:p>
    <w:p>
      <w:pPr>
        <w:pStyle w:val="4"/>
        <w:spacing w:before="2"/>
        <w:rPr>
          <w:sz w:val="23"/>
        </w:rPr>
      </w:pPr>
    </w:p>
    <w:p>
      <w:pPr>
        <w:spacing w:after="0"/>
        <w:rPr>
          <w:sz w:val="23"/>
        </w:rPr>
        <w:sectPr>
          <w:type w:val="continuous"/>
          <w:pgSz w:w="11910" w:h="16840"/>
          <w:pgMar w:top="920" w:right="680" w:bottom="420" w:left="880" w:header="0" w:footer="230" w:gutter="0"/>
          <w:cols w:space="720" w:num="1"/>
        </w:sectPr>
      </w:pPr>
    </w:p>
    <w:p>
      <w:pPr>
        <w:pStyle w:val="3"/>
        <w:numPr>
          <w:ilvl w:val="2"/>
          <w:numId w:val="12"/>
        </w:numPr>
        <w:tabs>
          <w:tab w:val="left" w:pos="1814"/>
        </w:tabs>
        <w:spacing w:before="59" w:after="0" w:line="192" w:lineRule="auto"/>
        <w:ind w:left="1391" w:right="0" w:firstLine="0"/>
        <w:jc w:val="left"/>
      </w:pPr>
      <w:r>
        <w:rPr>
          <w:spacing w:val="-4"/>
        </w:rPr>
        <w:t>严重大动</w:t>
      </w:r>
      <w:r>
        <w:rPr>
          <w:spacing w:val="-6"/>
        </w:rPr>
        <w:t>脉炎</w:t>
      </w:r>
    </w:p>
    <w:p>
      <w:pPr>
        <w:pStyle w:val="4"/>
        <w:spacing w:before="72" w:line="273" w:lineRule="auto"/>
        <w:ind w:left="286" w:right="621"/>
      </w:pPr>
      <w:r>
        <w:br w:type="column"/>
      </w:r>
      <w:r>
        <w:rPr>
          <w:spacing w:val="-2"/>
        </w:rPr>
        <w:t>指经本公司认可的医院的心脏或血管外科专科医生确诊的大动脉炎，须满足下列全部条件：</w:t>
      </w:r>
    </w:p>
    <w:p>
      <w:pPr>
        <w:pStyle w:val="8"/>
        <w:numPr>
          <w:ilvl w:val="0"/>
          <w:numId w:val="56"/>
        </w:numPr>
        <w:tabs>
          <w:tab w:val="left" w:pos="816"/>
        </w:tabs>
        <w:spacing w:before="6" w:after="0" w:line="240" w:lineRule="auto"/>
        <w:ind w:left="815" w:right="0" w:hanging="530"/>
        <w:jc w:val="left"/>
        <w:rPr>
          <w:sz w:val="21"/>
        </w:rPr>
      </w:pPr>
      <w:r>
        <w:rPr>
          <w:spacing w:val="-2"/>
          <w:sz w:val="21"/>
        </w:rPr>
        <w:t xml:space="preserve">红细胞沉降率及 </w:t>
      </w:r>
      <w:r>
        <w:rPr>
          <w:sz w:val="21"/>
        </w:rPr>
        <w:t>C</w:t>
      </w:r>
      <w:r>
        <w:rPr>
          <w:spacing w:val="-4"/>
          <w:sz w:val="21"/>
        </w:rPr>
        <w:t xml:space="preserve"> 反应蛋白高于正常值；</w:t>
      </w:r>
    </w:p>
    <w:p>
      <w:pPr>
        <w:pStyle w:val="8"/>
        <w:numPr>
          <w:ilvl w:val="0"/>
          <w:numId w:val="56"/>
        </w:numPr>
        <w:tabs>
          <w:tab w:val="left" w:pos="816"/>
        </w:tabs>
        <w:spacing w:before="43" w:after="0" w:line="278" w:lineRule="auto"/>
        <w:ind w:left="286" w:right="616" w:firstLine="0"/>
        <w:jc w:val="left"/>
        <w:rPr>
          <w:sz w:val="21"/>
        </w:rPr>
      </w:pPr>
      <w:r>
        <w:rPr>
          <w:sz w:val="21"/>
        </w:rPr>
        <w:t>超声检查、CTA 检查或血管造影检查证实主动脉及其主要分支存在</w:t>
      </w:r>
      <w:r>
        <w:rPr>
          <w:spacing w:val="-4"/>
          <w:sz w:val="21"/>
        </w:rPr>
        <w:t>狭窄。</w:t>
      </w:r>
    </w:p>
    <w:p>
      <w:pPr>
        <w:spacing w:after="0" w:line="278" w:lineRule="auto"/>
        <w:jc w:val="left"/>
        <w:rPr>
          <w:sz w:val="21"/>
        </w:rPr>
        <w:sectPr>
          <w:type w:val="continuous"/>
          <w:pgSz w:w="11910" w:h="16840"/>
          <w:pgMar w:top="920" w:right="680" w:bottom="420" w:left="880" w:header="0" w:footer="230" w:gutter="0"/>
          <w:cols w:equalWidth="0" w:num="2">
            <w:col w:w="2660" w:space="40"/>
            <w:col w:w="7650"/>
          </w:cols>
        </w:sectPr>
      </w:pPr>
    </w:p>
    <w:p>
      <w:pPr>
        <w:pStyle w:val="4"/>
        <w:spacing w:before="3"/>
        <w:rPr>
          <w:sz w:val="20"/>
        </w:rPr>
      </w:pPr>
    </w:p>
    <w:p>
      <w:pPr>
        <w:spacing w:after="0"/>
        <w:rPr>
          <w:sz w:val="20"/>
        </w:rPr>
        <w:sectPr>
          <w:type w:val="continuous"/>
          <w:pgSz w:w="11910" w:h="16840"/>
          <w:pgMar w:top="920" w:right="680" w:bottom="420" w:left="880" w:header="0" w:footer="230" w:gutter="0"/>
          <w:cols w:space="720" w:num="1"/>
        </w:sectPr>
      </w:pPr>
    </w:p>
    <w:p>
      <w:pPr>
        <w:pStyle w:val="3"/>
        <w:numPr>
          <w:ilvl w:val="2"/>
          <w:numId w:val="12"/>
        </w:numPr>
        <w:tabs>
          <w:tab w:val="left" w:pos="1814"/>
        </w:tabs>
        <w:spacing w:before="59" w:after="0" w:line="192" w:lineRule="auto"/>
        <w:ind w:left="1391" w:right="0" w:firstLine="0"/>
        <w:jc w:val="left"/>
      </w:pPr>
      <w:r>
        <w:rPr>
          <w:spacing w:val="-4"/>
        </w:rPr>
        <w:t>严重巨细胞动脉炎</w:t>
      </w:r>
    </w:p>
    <w:p>
      <w:pPr>
        <w:pStyle w:val="4"/>
        <w:spacing w:before="72" w:line="276" w:lineRule="auto"/>
        <w:ind w:left="286" w:right="619"/>
        <w:jc w:val="both"/>
      </w:pPr>
      <w:r>
        <w:br w:type="column"/>
      </w:r>
      <w:r>
        <w:rPr>
          <w:spacing w:val="-2"/>
        </w:rPr>
        <w:t>巨细胞动脉炎又称颅动脉炎、颞动脉炎、肉芽肿性动脉炎，须经本公司认可的医院的专科医师明确诊断，并造成永久不可逆性的单个肢体功能障碍或单眼失明。单眼失明指单眼视力永久不可逆性丧失，患眼须满足下列至少一项条件：</w:t>
      </w:r>
    </w:p>
    <w:p>
      <w:pPr>
        <w:pStyle w:val="8"/>
        <w:numPr>
          <w:ilvl w:val="0"/>
          <w:numId w:val="57"/>
        </w:numPr>
        <w:tabs>
          <w:tab w:val="left" w:pos="816"/>
        </w:tabs>
        <w:spacing w:before="6" w:after="0" w:line="240" w:lineRule="auto"/>
        <w:ind w:left="815" w:right="0" w:hanging="530"/>
        <w:jc w:val="left"/>
        <w:rPr>
          <w:sz w:val="21"/>
        </w:rPr>
      </w:pPr>
      <w:r>
        <w:rPr>
          <w:spacing w:val="-3"/>
          <w:sz w:val="21"/>
        </w:rPr>
        <w:t>眼球缺失或者摘除；</w:t>
      </w:r>
    </w:p>
    <w:p>
      <w:pPr>
        <w:pStyle w:val="8"/>
        <w:numPr>
          <w:ilvl w:val="0"/>
          <w:numId w:val="57"/>
        </w:numPr>
        <w:tabs>
          <w:tab w:val="left" w:pos="816"/>
        </w:tabs>
        <w:spacing w:before="43" w:after="0" w:line="278" w:lineRule="auto"/>
        <w:ind w:left="286" w:right="616" w:firstLine="0"/>
        <w:jc w:val="left"/>
        <w:rPr>
          <w:sz w:val="21"/>
        </w:rPr>
      </w:pPr>
      <w:r>
        <w:rPr>
          <w:spacing w:val="-6"/>
          <w:sz w:val="21"/>
        </w:rPr>
        <w:t xml:space="preserve">矫正视力低于 </w:t>
      </w:r>
      <w:r>
        <w:rPr>
          <w:sz w:val="21"/>
        </w:rPr>
        <w:t>0.02（采用国际标准视力表，如果使用其它视力表应</w:t>
      </w:r>
      <w:r>
        <w:rPr>
          <w:spacing w:val="-4"/>
          <w:sz w:val="21"/>
        </w:rPr>
        <w:t>进行换算</w:t>
      </w:r>
      <w:r>
        <w:rPr>
          <w:spacing w:val="-106"/>
          <w:sz w:val="21"/>
        </w:rPr>
        <w:t>）</w:t>
      </w:r>
      <w:r>
        <w:rPr>
          <w:sz w:val="21"/>
        </w:rPr>
        <w:t>；</w:t>
      </w:r>
    </w:p>
    <w:p>
      <w:pPr>
        <w:pStyle w:val="8"/>
        <w:numPr>
          <w:ilvl w:val="0"/>
          <w:numId w:val="57"/>
        </w:numPr>
        <w:tabs>
          <w:tab w:val="left" w:pos="816"/>
        </w:tabs>
        <w:spacing w:before="0" w:after="0" w:line="269" w:lineRule="exact"/>
        <w:ind w:left="815" w:right="0" w:hanging="530"/>
        <w:jc w:val="left"/>
        <w:rPr>
          <w:sz w:val="21"/>
        </w:rPr>
      </w:pPr>
      <w:r>
        <w:rPr>
          <w:spacing w:val="-9"/>
          <w:sz w:val="21"/>
        </w:rPr>
        <w:t xml:space="preserve">视野半径小于 </w:t>
      </w:r>
      <w:r>
        <w:rPr>
          <w:spacing w:val="-2"/>
          <w:sz w:val="21"/>
        </w:rPr>
        <w:t>5</w:t>
      </w:r>
      <w:r>
        <w:rPr>
          <w:spacing w:val="-22"/>
          <w:sz w:val="21"/>
        </w:rPr>
        <w:t xml:space="preserve"> 度。</w:t>
      </w:r>
    </w:p>
    <w:p>
      <w:pPr>
        <w:spacing w:after="0" w:line="269" w:lineRule="exact"/>
        <w:jc w:val="left"/>
        <w:rPr>
          <w:sz w:val="21"/>
        </w:rPr>
        <w:sectPr>
          <w:type w:val="continuous"/>
          <w:pgSz w:w="11910" w:h="16840"/>
          <w:pgMar w:top="920" w:right="680" w:bottom="420" w:left="880" w:header="0" w:footer="230" w:gutter="0"/>
          <w:cols w:equalWidth="0" w:num="2">
            <w:col w:w="2660" w:space="40"/>
            <w:col w:w="7650"/>
          </w:cols>
        </w:sectPr>
      </w:pPr>
    </w:p>
    <w:p>
      <w:pPr>
        <w:pStyle w:val="4"/>
        <w:spacing w:before="8"/>
        <w:rPr>
          <w:sz w:val="23"/>
        </w:rPr>
      </w:pPr>
    </w:p>
    <w:p>
      <w:pPr>
        <w:pStyle w:val="8"/>
        <w:numPr>
          <w:ilvl w:val="2"/>
          <w:numId w:val="12"/>
        </w:numPr>
        <w:tabs>
          <w:tab w:val="left" w:pos="1920"/>
          <w:tab w:val="left" w:pos="2985"/>
        </w:tabs>
        <w:spacing w:before="11" w:after="0" w:line="232" w:lineRule="auto"/>
        <w:ind w:left="2985" w:right="622" w:hanging="1594"/>
        <w:jc w:val="left"/>
        <w:rPr>
          <w:sz w:val="21"/>
        </w:rPr>
      </w:pPr>
      <w:r>
        <w:rPr>
          <w:rFonts w:ascii="Microsoft JhengHei" w:eastAsia="Microsoft JhengHei"/>
          <w:b/>
          <w:spacing w:val="-4"/>
          <w:sz w:val="21"/>
        </w:rPr>
        <w:t>脑型疟疾</w:t>
      </w:r>
      <w:r>
        <w:rPr>
          <w:rFonts w:ascii="Microsoft JhengHei" w:eastAsia="Microsoft JhengHei"/>
          <w:b/>
          <w:sz w:val="21"/>
        </w:rPr>
        <w:tab/>
      </w:r>
      <w:r>
        <w:rPr>
          <w:spacing w:val="-2"/>
          <w:sz w:val="21"/>
        </w:rPr>
        <w:t>恶性疟原虫严重感染导致的脑型疟疾，以昏迷为主要特征。须经专科医生明确诊断，且外周血涂片存在恶性疟原虫。</w:t>
      </w:r>
    </w:p>
    <w:p>
      <w:pPr>
        <w:pStyle w:val="4"/>
        <w:spacing w:before="9"/>
        <w:rPr>
          <w:sz w:val="23"/>
        </w:rPr>
      </w:pPr>
    </w:p>
    <w:p>
      <w:pPr>
        <w:spacing w:after="0"/>
        <w:rPr>
          <w:sz w:val="23"/>
        </w:rPr>
        <w:sectPr>
          <w:type w:val="continuous"/>
          <w:pgSz w:w="11910" w:h="16840"/>
          <w:pgMar w:top="920" w:right="680" w:bottom="420" w:left="880" w:header="0" w:footer="230" w:gutter="0"/>
          <w:cols w:space="720" w:num="1"/>
        </w:sectPr>
      </w:pPr>
    </w:p>
    <w:p>
      <w:pPr>
        <w:pStyle w:val="3"/>
        <w:numPr>
          <w:ilvl w:val="1"/>
          <w:numId w:val="12"/>
        </w:numPr>
        <w:tabs>
          <w:tab w:val="left" w:pos="1391"/>
          <w:tab w:val="left" w:pos="1392"/>
        </w:tabs>
        <w:spacing w:before="59" w:after="0" w:line="192" w:lineRule="auto"/>
        <w:ind w:left="1391" w:right="0" w:hanging="961"/>
        <w:jc w:val="left"/>
      </w:pPr>
      <w:r>
        <w:rPr>
          <w:spacing w:val="-2"/>
        </w:rPr>
        <w:t>少儿特定重大</w:t>
      </w:r>
      <w:r>
        <w:rPr>
          <w:spacing w:val="-6"/>
        </w:rPr>
        <w:t>疾病</w:t>
      </w:r>
    </w:p>
    <w:p>
      <w:pPr>
        <w:pStyle w:val="4"/>
        <w:spacing w:before="72" w:line="273" w:lineRule="auto"/>
        <w:ind w:left="286" w:right="620"/>
      </w:pPr>
      <w:r>
        <w:br w:type="column"/>
      </w:r>
      <w:r>
        <w:rPr>
          <w:spacing w:val="-2"/>
        </w:rPr>
        <w:t>指被保险人发生符合以下疾病定义所述条件的疾病（</w:t>
      </w:r>
      <w:r>
        <w:rPr>
          <w:spacing w:val="-26"/>
        </w:rPr>
        <w:t xml:space="preserve">共 </w:t>
      </w:r>
      <w:r>
        <w:rPr>
          <w:spacing w:val="-2"/>
        </w:rPr>
        <w:t>8</w:t>
      </w:r>
      <w:r>
        <w:rPr>
          <w:spacing w:val="-28"/>
        </w:rPr>
        <w:t xml:space="preserve"> 种</w:t>
      </w:r>
      <w:r>
        <w:rPr>
          <w:spacing w:val="-77"/>
        </w:rPr>
        <w:t>）</w:t>
      </w:r>
      <w:r>
        <w:rPr>
          <w:spacing w:val="-16"/>
        </w:rPr>
        <w:t>，应当由专科</w:t>
      </w:r>
      <w:r>
        <w:rPr>
          <w:spacing w:val="-2"/>
        </w:rPr>
        <w:t>医生明确诊断。</w:t>
      </w:r>
    </w:p>
    <w:p>
      <w:pPr>
        <w:pStyle w:val="4"/>
        <w:spacing w:before="165" w:line="278" w:lineRule="auto"/>
        <w:ind w:left="286" w:right="615"/>
      </w:pPr>
      <w:r>
        <w:rPr>
          <w:spacing w:val="-4"/>
        </w:rPr>
        <w:t xml:space="preserve">如被保险人在当前保险期间开始时已满 </w:t>
      </w:r>
      <w:r>
        <w:t>16</w:t>
      </w:r>
      <w:r>
        <w:rPr>
          <w:spacing w:val="-13"/>
        </w:rPr>
        <w:t xml:space="preserve"> 周岁，则以下少儿特定重大疾病</w:t>
      </w:r>
      <w:r>
        <w:rPr>
          <w:spacing w:val="-2"/>
        </w:rPr>
        <w:t>不在保障范围内。</w:t>
      </w:r>
    </w:p>
    <w:p>
      <w:pPr>
        <w:spacing w:after="0" w:line="278" w:lineRule="auto"/>
        <w:sectPr>
          <w:type w:val="continuous"/>
          <w:pgSz w:w="11910" w:h="16840"/>
          <w:pgMar w:top="920" w:right="680" w:bottom="420" w:left="880" w:header="0" w:footer="230" w:gutter="0"/>
          <w:cols w:equalWidth="0" w:num="2">
            <w:col w:w="2659" w:space="40"/>
            <w:col w:w="7651"/>
          </w:cols>
        </w:sectPr>
      </w:pPr>
    </w:p>
    <w:p>
      <w:pPr>
        <w:pStyle w:val="4"/>
        <w:spacing w:before="11"/>
        <w:rPr>
          <w:sz w:val="19"/>
        </w:rPr>
      </w:pPr>
    </w:p>
    <w:p>
      <w:pPr>
        <w:pStyle w:val="8"/>
        <w:numPr>
          <w:ilvl w:val="2"/>
          <w:numId w:val="12"/>
        </w:numPr>
        <w:tabs>
          <w:tab w:val="left" w:pos="1604"/>
        </w:tabs>
        <w:spacing w:before="32" w:after="0" w:line="312" w:lineRule="exact"/>
        <w:ind w:left="2985" w:right="619" w:hanging="1594"/>
        <w:jc w:val="both"/>
        <w:rPr>
          <w:sz w:val="21"/>
        </w:rPr>
      </w:pPr>
      <w:r>
        <w:rPr>
          <w:rFonts w:ascii="Microsoft JhengHei" w:hAnsi="Microsoft JhengHei" w:eastAsia="Microsoft JhengHei"/>
          <w:b/>
          <w:sz w:val="21"/>
        </w:rPr>
        <w:t>Ⅰ型糖尿病</w:t>
      </w:r>
      <w:r>
        <w:rPr>
          <w:rFonts w:ascii="Microsoft JhengHei" w:hAnsi="Microsoft JhengHei" w:eastAsia="Microsoft JhengHei"/>
          <w:b/>
          <w:spacing w:val="80"/>
          <w:w w:val="150"/>
          <w:sz w:val="21"/>
        </w:rPr>
        <w:t xml:space="preserve"> </w:t>
      </w:r>
      <w:r>
        <w:rPr>
          <w:sz w:val="21"/>
        </w:rPr>
        <w:t>Ⅰ型糖尿病的特征为由于胰岛素分泌绝对不足引起严重胰岛素缺乏导致慢</w:t>
      </w:r>
      <w:r>
        <w:rPr>
          <w:spacing w:val="-2"/>
          <w:sz w:val="21"/>
        </w:rPr>
        <w:t>性血糖升高，需要依赖外源性胰岛素进行机体的葡萄糖代谢和维持生命。</w:t>
      </w:r>
      <w:r>
        <w:rPr>
          <w:spacing w:val="-3"/>
          <w:sz w:val="21"/>
        </w:rPr>
        <w:t xml:space="preserve">被保险人的Ⅰ型糖尿病必须明确诊断，而且有血胰岛素测定及血 </w:t>
      </w:r>
      <w:r>
        <w:rPr>
          <w:spacing w:val="-2"/>
          <w:sz w:val="21"/>
        </w:rPr>
        <w:t>C</w:t>
      </w:r>
      <w:r>
        <w:rPr>
          <w:spacing w:val="-8"/>
          <w:sz w:val="21"/>
        </w:rPr>
        <w:t xml:space="preserve"> 肽或尿</w:t>
      </w:r>
      <w:r>
        <w:rPr>
          <w:spacing w:val="-2"/>
          <w:sz w:val="21"/>
        </w:rPr>
        <w:t xml:space="preserve"> </w:t>
      </w:r>
      <w:r>
        <w:rPr>
          <w:sz w:val="21"/>
        </w:rPr>
        <w:t>C</w:t>
      </w:r>
      <w:r>
        <w:rPr>
          <w:spacing w:val="-7"/>
          <w:sz w:val="21"/>
        </w:rPr>
        <w:t xml:space="preserve"> 肽测定结果支持诊断，并且满足下列全部条件：</w:t>
      </w:r>
    </w:p>
    <w:p>
      <w:pPr>
        <w:pStyle w:val="8"/>
        <w:numPr>
          <w:ilvl w:val="0"/>
          <w:numId w:val="58"/>
        </w:numPr>
        <w:tabs>
          <w:tab w:val="left" w:pos="3515"/>
        </w:tabs>
        <w:spacing w:before="40" w:after="0" w:line="240" w:lineRule="auto"/>
        <w:ind w:left="3514" w:right="0" w:hanging="530"/>
        <w:jc w:val="left"/>
        <w:rPr>
          <w:sz w:val="21"/>
        </w:rPr>
      </w:pPr>
      <w:r>
        <w:rPr>
          <w:spacing w:val="-4"/>
          <w:sz w:val="21"/>
        </w:rPr>
        <w:t xml:space="preserve">已经持续性地接受外源性胰岛素注射治疗连续 </w:t>
      </w:r>
      <w:r>
        <w:rPr>
          <w:spacing w:val="-2"/>
          <w:sz w:val="21"/>
        </w:rPr>
        <w:t>180</w:t>
      </w:r>
      <w:r>
        <w:rPr>
          <w:spacing w:val="-13"/>
          <w:sz w:val="21"/>
        </w:rPr>
        <w:t xml:space="preserve"> 天以上；</w:t>
      </w:r>
    </w:p>
    <w:p>
      <w:pPr>
        <w:pStyle w:val="8"/>
        <w:numPr>
          <w:ilvl w:val="0"/>
          <w:numId w:val="58"/>
        </w:numPr>
        <w:tabs>
          <w:tab w:val="left" w:pos="3515"/>
        </w:tabs>
        <w:spacing w:before="43" w:after="0" w:line="240" w:lineRule="auto"/>
        <w:ind w:left="3514" w:right="0" w:hanging="530"/>
        <w:jc w:val="left"/>
        <w:rPr>
          <w:sz w:val="21"/>
        </w:rPr>
      </w:pPr>
      <w:r>
        <w:rPr>
          <w:spacing w:val="-3"/>
          <w:sz w:val="21"/>
        </w:rPr>
        <w:t>因需要已经接受了下列治疗：</w:t>
      </w:r>
    </w:p>
    <w:p>
      <w:pPr>
        <w:pStyle w:val="4"/>
        <w:spacing w:before="43"/>
        <w:ind w:left="3254"/>
      </w:pPr>
      <w:r>
        <w:rPr>
          <w:spacing w:val="-3"/>
        </w:rPr>
        <w:t>①因严重心律失常植入了心脏起搏器；或</w:t>
      </w:r>
    </w:p>
    <w:p>
      <w:pPr>
        <w:pStyle w:val="4"/>
        <w:spacing w:before="43"/>
        <w:ind w:left="3254"/>
      </w:pPr>
      <w:r>
        <w:rPr>
          <w:spacing w:val="-3"/>
        </w:rPr>
        <w:t>②因坏疽自跖趾关节或以上切除了一趾或多趾。</w:t>
      </w:r>
    </w:p>
    <w:p>
      <w:pPr>
        <w:pStyle w:val="4"/>
        <w:spacing w:before="11"/>
        <w:rPr>
          <w:sz w:val="23"/>
        </w:rPr>
      </w:pPr>
    </w:p>
    <w:p>
      <w:pPr>
        <w:pStyle w:val="8"/>
        <w:numPr>
          <w:ilvl w:val="2"/>
          <w:numId w:val="12"/>
        </w:numPr>
        <w:tabs>
          <w:tab w:val="left" w:pos="1604"/>
          <w:tab w:val="left" w:pos="2985"/>
        </w:tabs>
        <w:spacing w:before="0" w:after="0" w:line="235" w:lineRule="auto"/>
        <w:ind w:left="2985" w:right="622" w:hanging="1594"/>
        <w:jc w:val="left"/>
        <w:rPr>
          <w:sz w:val="21"/>
        </w:rPr>
      </w:pPr>
      <w:r>
        <w:rPr>
          <w:rFonts w:ascii="Microsoft JhengHei" w:eastAsia="Microsoft JhengHei"/>
          <w:b/>
          <w:spacing w:val="-4"/>
          <w:sz w:val="21"/>
        </w:rPr>
        <w:t>严重哮喘</w:t>
      </w:r>
      <w:r>
        <w:rPr>
          <w:rFonts w:ascii="Microsoft JhengHei" w:eastAsia="Microsoft JhengHei"/>
          <w:b/>
          <w:sz w:val="21"/>
        </w:rPr>
        <w:tab/>
      </w:r>
      <w:r>
        <w:rPr>
          <w:spacing w:val="-2"/>
          <w:sz w:val="21"/>
        </w:rPr>
        <w:t>指一种反复发作的严重支气管阻塞性疾病，经专科医生确诊，且必须同时符合下列标准：</w:t>
      </w:r>
    </w:p>
    <w:p>
      <w:pPr>
        <w:pStyle w:val="8"/>
        <w:numPr>
          <w:ilvl w:val="0"/>
          <w:numId w:val="59"/>
        </w:numPr>
        <w:tabs>
          <w:tab w:val="left" w:pos="3515"/>
        </w:tabs>
        <w:spacing w:before="46" w:after="0" w:line="240" w:lineRule="auto"/>
        <w:ind w:left="3514" w:right="0" w:hanging="530"/>
        <w:jc w:val="left"/>
        <w:rPr>
          <w:sz w:val="21"/>
        </w:rPr>
      </w:pPr>
      <w:r>
        <w:rPr>
          <w:spacing w:val="-3"/>
          <w:sz w:val="21"/>
        </w:rPr>
        <w:t>过去两年中曾因哮喘持续状态住院治疗，并提供完整住院记录；</w:t>
      </w:r>
    </w:p>
    <w:p>
      <w:pPr>
        <w:pStyle w:val="8"/>
        <w:numPr>
          <w:ilvl w:val="0"/>
          <w:numId w:val="59"/>
        </w:numPr>
        <w:tabs>
          <w:tab w:val="left" w:pos="3515"/>
        </w:tabs>
        <w:spacing w:before="43" w:after="0" w:line="240" w:lineRule="auto"/>
        <w:ind w:left="3514" w:right="0" w:hanging="530"/>
        <w:jc w:val="left"/>
        <w:rPr>
          <w:sz w:val="21"/>
        </w:rPr>
      </w:pPr>
      <w:r>
        <w:rPr>
          <w:spacing w:val="-3"/>
          <w:sz w:val="21"/>
        </w:rPr>
        <w:t>因慢性过度换气导致胸廓畸形；</w:t>
      </w:r>
    </w:p>
    <w:p>
      <w:pPr>
        <w:spacing w:after="0" w:line="240" w:lineRule="auto"/>
        <w:jc w:val="left"/>
        <w:rPr>
          <w:sz w:val="21"/>
        </w:rPr>
        <w:sectPr>
          <w:type w:val="continuous"/>
          <w:pgSz w:w="11910" w:h="16840"/>
          <w:pgMar w:top="920" w:right="680" w:bottom="420" w:left="880" w:header="0" w:footer="230" w:gutter="0"/>
          <w:cols w:space="720" w:num="1"/>
        </w:sectPr>
      </w:pPr>
    </w:p>
    <w:tbl>
      <w:tblPr>
        <w:tblStyle w:val="5"/>
        <w:tblW w:w="0" w:type="auto"/>
        <w:tblInd w:w="332"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4"/>
        <w:gridCol w:w="1805"/>
        <w:gridCol w:w="69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36" w:hRule="atLeast"/>
        </w:trPr>
        <w:tc>
          <w:tcPr>
            <w:tcW w:w="744" w:type="dxa"/>
            <w:vMerge w:val="restart"/>
          </w:tcPr>
          <w:p>
            <w:pPr>
              <w:pStyle w:val="9"/>
              <w:rPr>
                <w:rFonts w:ascii="Times New Roman"/>
                <w:sz w:val="20"/>
              </w:rPr>
            </w:pPr>
          </w:p>
        </w:tc>
        <w:tc>
          <w:tcPr>
            <w:tcW w:w="1805" w:type="dxa"/>
          </w:tcPr>
          <w:p>
            <w:pPr>
              <w:pStyle w:val="9"/>
              <w:rPr>
                <w:rFonts w:ascii="Times New Roman"/>
                <w:sz w:val="20"/>
              </w:rPr>
            </w:pPr>
          </w:p>
        </w:tc>
        <w:tc>
          <w:tcPr>
            <w:tcW w:w="6953" w:type="dxa"/>
          </w:tcPr>
          <w:p>
            <w:pPr>
              <w:pStyle w:val="9"/>
              <w:numPr>
                <w:ilvl w:val="0"/>
                <w:numId w:val="60"/>
              </w:numPr>
              <w:tabs>
                <w:tab w:val="left" w:pos="641"/>
              </w:tabs>
              <w:spacing w:before="0" w:after="0" w:line="241" w:lineRule="exact"/>
              <w:ind w:left="640" w:right="0" w:hanging="530"/>
              <w:jc w:val="left"/>
              <w:rPr>
                <w:sz w:val="21"/>
              </w:rPr>
            </w:pPr>
            <w:r>
              <w:rPr>
                <w:spacing w:val="-3"/>
                <w:sz w:val="21"/>
              </w:rPr>
              <w:t>在家中需要医生处方的氧气治疗法；</w:t>
            </w:r>
          </w:p>
          <w:p>
            <w:pPr>
              <w:pStyle w:val="9"/>
              <w:numPr>
                <w:ilvl w:val="0"/>
                <w:numId w:val="60"/>
              </w:numPr>
              <w:tabs>
                <w:tab w:val="left" w:pos="641"/>
              </w:tabs>
              <w:spacing w:before="43" w:after="0" w:line="240" w:lineRule="auto"/>
              <w:ind w:left="640" w:right="0" w:hanging="530"/>
              <w:jc w:val="left"/>
              <w:rPr>
                <w:sz w:val="21"/>
              </w:rPr>
            </w:pPr>
            <w:r>
              <w:rPr>
                <w:spacing w:val="-3"/>
                <w:sz w:val="21"/>
              </w:rPr>
              <w:t>持续日常服用口服类固醇激素治疗持续至少六个月。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87" w:hRule="atLeast"/>
        </w:trPr>
        <w:tc>
          <w:tcPr>
            <w:tcW w:w="744" w:type="dxa"/>
            <w:vMerge w:val="continue"/>
            <w:tcBorders>
              <w:top w:val="nil"/>
            </w:tcBorders>
          </w:tcPr>
          <w:p>
            <w:pPr>
              <w:rPr>
                <w:sz w:val="2"/>
                <w:szCs w:val="2"/>
              </w:rPr>
            </w:pPr>
          </w:p>
        </w:tc>
        <w:tc>
          <w:tcPr>
            <w:tcW w:w="1805" w:type="dxa"/>
          </w:tcPr>
          <w:p>
            <w:pPr>
              <w:pStyle w:val="9"/>
              <w:spacing w:before="115"/>
              <w:ind w:left="322"/>
              <w:rPr>
                <w:rFonts w:ascii="Microsoft JhengHei" w:eastAsia="Microsoft JhengHei"/>
                <w:b/>
                <w:sz w:val="21"/>
              </w:rPr>
            </w:pPr>
            <w:r>
              <w:rPr>
                <w:rFonts w:ascii="Microsoft JhengHei" w:eastAsia="Microsoft JhengHei"/>
                <w:b/>
                <w:sz w:val="21"/>
              </w:rPr>
              <w:t>3.</w:t>
            </w:r>
            <w:r>
              <w:rPr>
                <w:rFonts w:ascii="Microsoft JhengHei" w:eastAsia="Microsoft JhengHei"/>
                <w:b/>
                <w:spacing w:val="-2"/>
                <w:sz w:val="21"/>
              </w:rPr>
              <w:t>严重川崎病</w:t>
            </w:r>
          </w:p>
        </w:tc>
        <w:tc>
          <w:tcPr>
            <w:tcW w:w="6953" w:type="dxa"/>
          </w:tcPr>
          <w:p>
            <w:pPr>
              <w:pStyle w:val="9"/>
              <w:spacing w:before="5"/>
              <w:rPr>
                <w:sz w:val="14"/>
              </w:rPr>
            </w:pPr>
          </w:p>
          <w:p>
            <w:pPr>
              <w:pStyle w:val="9"/>
              <w:spacing w:line="278" w:lineRule="auto"/>
              <w:ind w:left="111" w:right="105"/>
              <w:rPr>
                <w:sz w:val="21"/>
              </w:rPr>
            </w:pPr>
            <w:r>
              <w:rPr>
                <w:spacing w:val="-2"/>
                <w:sz w:val="21"/>
              </w:rPr>
              <w:t>是指原因不明的系统性血管炎，本病须经专科医生初次确诊，并须满足下列全部条件：</w:t>
            </w:r>
          </w:p>
          <w:p>
            <w:pPr>
              <w:pStyle w:val="9"/>
              <w:numPr>
                <w:ilvl w:val="0"/>
                <w:numId w:val="61"/>
              </w:numPr>
              <w:tabs>
                <w:tab w:val="left" w:pos="641"/>
              </w:tabs>
              <w:spacing w:before="1" w:after="0" w:line="240" w:lineRule="auto"/>
              <w:ind w:left="640" w:right="0" w:hanging="530"/>
              <w:jc w:val="left"/>
              <w:rPr>
                <w:sz w:val="21"/>
              </w:rPr>
            </w:pPr>
            <w:r>
              <w:rPr>
                <w:spacing w:val="-3"/>
                <w:sz w:val="21"/>
              </w:rPr>
              <w:t>超声心动图显示川崎病并发冠状动脉瘤或其他心血管异常；</w:t>
            </w:r>
          </w:p>
          <w:p>
            <w:pPr>
              <w:pStyle w:val="9"/>
              <w:numPr>
                <w:ilvl w:val="0"/>
                <w:numId w:val="61"/>
              </w:numPr>
              <w:tabs>
                <w:tab w:val="left" w:pos="641"/>
              </w:tabs>
              <w:spacing w:before="43" w:after="0" w:line="278" w:lineRule="auto"/>
              <w:ind w:left="111" w:right="100" w:firstLine="0"/>
              <w:jc w:val="left"/>
              <w:rPr>
                <w:sz w:val="21"/>
              </w:rPr>
            </w:pPr>
            <w:r>
              <w:rPr>
                <w:spacing w:val="-2"/>
                <w:sz w:val="21"/>
              </w:rPr>
              <w:t>已接受了针对川崎病并发冠状动脉瘤或其他心血管异常所进行的手</w:t>
            </w:r>
            <w:r>
              <w:rPr>
                <w:spacing w:val="-4"/>
                <w:sz w:val="21"/>
              </w:rPr>
              <w:t>术治疗。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74" w:hRule="atLeast"/>
        </w:trPr>
        <w:tc>
          <w:tcPr>
            <w:tcW w:w="744" w:type="dxa"/>
            <w:vMerge w:val="continue"/>
            <w:tcBorders>
              <w:top w:val="nil"/>
            </w:tcBorders>
          </w:tcPr>
          <w:p>
            <w:pPr>
              <w:rPr>
                <w:sz w:val="2"/>
                <w:szCs w:val="2"/>
              </w:rPr>
            </w:pPr>
          </w:p>
        </w:tc>
        <w:tc>
          <w:tcPr>
            <w:tcW w:w="1805" w:type="dxa"/>
          </w:tcPr>
          <w:p>
            <w:pPr>
              <w:pStyle w:val="9"/>
              <w:spacing w:before="169" w:line="194" w:lineRule="auto"/>
              <w:ind w:left="322" w:right="213"/>
              <w:jc w:val="both"/>
              <w:rPr>
                <w:rFonts w:ascii="Microsoft JhengHei" w:eastAsia="Microsoft JhengHei"/>
                <w:b/>
                <w:sz w:val="21"/>
              </w:rPr>
            </w:pPr>
            <w:r>
              <w:rPr>
                <w:rFonts w:ascii="Microsoft JhengHei" w:eastAsia="Microsoft JhengHei"/>
                <w:b/>
                <w:spacing w:val="-2"/>
                <w:sz w:val="21"/>
              </w:rPr>
              <w:t>4.严重幼年型类风湿性关节</w:t>
            </w:r>
            <w:r>
              <w:rPr>
                <w:rFonts w:ascii="Microsoft JhengHei" w:eastAsia="Microsoft JhengHei"/>
                <w:b/>
                <w:spacing w:val="-10"/>
                <w:sz w:val="21"/>
              </w:rPr>
              <w:t>炎</w:t>
            </w:r>
          </w:p>
        </w:tc>
        <w:tc>
          <w:tcPr>
            <w:tcW w:w="6953" w:type="dxa"/>
          </w:tcPr>
          <w:p>
            <w:pPr>
              <w:pStyle w:val="9"/>
              <w:spacing w:before="5"/>
              <w:rPr>
                <w:sz w:val="14"/>
              </w:rPr>
            </w:pPr>
          </w:p>
          <w:p>
            <w:pPr>
              <w:pStyle w:val="9"/>
              <w:spacing w:line="278" w:lineRule="auto"/>
              <w:ind w:left="111" w:right="105"/>
              <w:rPr>
                <w:sz w:val="21"/>
              </w:rPr>
            </w:pPr>
            <w:r>
              <w:rPr>
                <w:spacing w:val="-2"/>
                <w:sz w:val="21"/>
              </w:rPr>
              <w:t>幼年型类风湿关节炎是一种儿童期发病的慢性关节炎，其特点为在高热和系统性病征出现数月后发生关节炎。</w:t>
            </w:r>
          </w:p>
          <w:p>
            <w:pPr>
              <w:pStyle w:val="9"/>
              <w:spacing w:before="1" w:line="278" w:lineRule="auto"/>
              <w:ind w:left="111" w:right="105"/>
              <w:rPr>
                <w:sz w:val="21"/>
              </w:rPr>
            </w:pPr>
            <w:r>
              <w:rPr>
                <w:spacing w:val="-2"/>
                <w:sz w:val="21"/>
              </w:rPr>
              <w:t>本合同仅对实际接受了膝关节或髋关节置换手术治疗的严重的幼年型类风湿关节炎予以理赔。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60" w:hRule="atLeast"/>
        </w:trPr>
        <w:tc>
          <w:tcPr>
            <w:tcW w:w="744" w:type="dxa"/>
            <w:vMerge w:val="continue"/>
            <w:tcBorders>
              <w:top w:val="nil"/>
            </w:tcBorders>
          </w:tcPr>
          <w:p>
            <w:pPr>
              <w:rPr>
                <w:sz w:val="2"/>
                <w:szCs w:val="2"/>
              </w:rPr>
            </w:pPr>
          </w:p>
        </w:tc>
        <w:tc>
          <w:tcPr>
            <w:tcW w:w="1805" w:type="dxa"/>
          </w:tcPr>
          <w:p>
            <w:pPr>
              <w:pStyle w:val="9"/>
              <w:spacing w:before="171" w:line="192" w:lineRule="auto"/>
              <w:ind w:left="322" w:right="213"/>
              <w:rPr>
                <w:rFonts w:ascii="Microsoft JhengHei" w:eastAsia="Microsoft JhengHei"/>
                <w:b/>
                <w:sz w:val="21"/>
              </w:rPr>
            </w:pPr>
            <w:r>
              <w:rPr>
                <w:rFonts w:ascii="Microsoft JhengHei" w:eastAsia="Microsoft JhengHei"/>
                <w:b/>
                <w:spacing w:val="-2"/>
                <w:sz w:val="21"/>
              </w:rPr>
              <w:t>5.严重肠道疾</w:t>
            </w:r>
            <w:r>
              <w:rPr>
                <w:rFonts w:ascii="Microsoft JhengHei" w:eastAsia="Microsoft JhengHei"/>
                <w:b/>
                <w:spacing w:val="-4"/>
                <w:sz w:val="21"/>
              </w:rPr>
              <w:t>病并发症</w:t>
            </w:r>
          </w:p>
        </w:tc>
        <w:tc>
          <w:tcPr>
            <w:tcW w:w="6953" w:type="dxa"/>
          </w:tcPr>
          <w:p>
            <w:pPr>
              <w:pStyle w:val="9"/>
              <w:spacing w:before="5"/>
              <w:rPr>
                <w:sz w:val="14"/>
              </w:rPr>
            </w:pPr>
          </w:p>
          <w:p>
            <w:pPr>
              <w:pStyle w:val="9"/>
              <w:ind w:left="111"/>
              <w:rPr>
                <w:sz w:val="21"/>
              </w:rPr>
            </w:pPr>
            <w:r>
              <w:rPr>
                <w:spacing w:val="-3"/>
                <w:sz w:val="21"/>
              </w:rPr>
              <w:t>严重肠道疾病或外伤导致小肠损害并发症，必须满足以下所有条件：</w:t>
            </w:r>
          </w:p>
          <w:p>
            <w:pPr>
              <w:pStyle w:val="9"/>
              <w:numPr>
                <w:ilvl w:val="0"/>
                <w:numId w:val="62"/>
              </w:numPr>
              <w:tabs>
                <w:tab w:val="left" w:pos="641"/>
              </w:tabs>
              <w:spacing w:before="39" w:after="0" w:line="240" w:lineRule="auto"/>
              <w:ind w:left="640" w:right="0" w:hanging="530"/>
              <w:jc w:val="left"/>
              <w:rPr>
                <w:sz w:val="21"/>
              </w:rPr>
            </w:pPr>
            <w:r>
              <w:rPr>
                <w:spacing w:val="-3"/>
                <w:sz w:val="21"/>
              </w:rPr>
              <w:t>至少切除了三分之二小肠；</w:t>
            </w:r>
          </w:p>
          <w:p>
            <w:pPr>
              <w:pStyle w:val="9"/>
              <w:numPr>
                <w:ilvl w:val="0"/>
                <w:numId w:val="62"/>
              </w:numPr>
              <w:tabs>
                <w:tab w:val="left" w:pos="641"/>
              </w:tabs>
              <w:spacing w:before="43" w:after="0" w:line="240" w:lineRule="auto"/>
              <w:ind w:left="640" w:right="0" w:hanging="530"/>
              <w:jc w:val="left"/>
              <w:rPr>
                <w:sz w:val="21"/>
              </w:rPr>
            </w:pPr>
            <w:r>
              <w:rPr>
                <w:spacing w:val="-8"/>
                <w:sz w:val="21"/>
              </w:rPr>
              <w:t xml:space="preserve">完全肠外营养支持 </w:t>
            </w:r>
            <w:r>
              <w:rPr>
                <w:spacing w:val="-2"/>
                <w:sz w:val="21"/>
              </w:rPr>
              <w:t>3</w:t>
            </w:r>
            <w:r>
              <w:rPr>
                <w:spacing w:val="-12"/>
                <w:sz w:val="21"/>
              </w:rPr>
              <w:t xml:space="preserve"> 个月以上。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447" w:hRule="atLeast"/>
        </w:trPr>
        <w:tc>
          <w:tcPr>
            <w:tcW w:w="744" w:type="dxa"/>
            <w:vMerge w:val="continue"/>
            <w:tcBorders>
              <w:top w:val="nil"/>
            </w:tcBorders>
          </w:tcPr>
          <w:p>
            <w:pPr>
              <w:rPr>
                <w:sz w:val="2"/>
                <w:szCs w:val="2"/>
              </w:rPr>
            </w:pPr>
          </w:p>
        </w:tc>
        <w:tc>
          <w:tcPr>
            <w:tcW w:w="1805" w:type="dxa"/>
          </w:tcPr>
          <w:p>
            <w:pPr>
              <w:pStyle w:val="9"/>
              <w:spacing w:before="174" w:line="192" w:lineRule="auto"/>
              <w:ind w:left="322" w:right="213"/>
              <w:rPr>
                <w:rFonts w:ascii="Microsoft JhengHei" w:eastAsia="Microsoft JhengHei"/>
                <w:b/>
                <w:sz w:val="21"/>
              </w:rPr>
            </w:pPr>
            <w:r>
              <w:rPr>
                <w:rFonts w:ascii="Microsoft JhengHei" w:eastAsia="Microsoft JhengHei"/>
                <w:b/>
                <w:spacing w:val="-2"/>
                <w:sz w:val="21"/>
              </w:rPr>
              <w:t>6.重症手足口</w:t>
            </w:r>
            <w:r>
              <w:rPr>
                <w:rFonts w:ascii="Microsoft JhengHei" w:eastAsia="Microsoft JhengHei"/>
                <w:b/>
                <w:spacing w:val="-10"/>
                <w:sz w:val="21"/>
              </w:rPr>
              <w:t>病</w:t>
            </w:r>
          </w:p>
        </w:tc>
        <w:tc>
          <w:tcPr>
            <w:tcW w:w="6953" w:type="dxa"/>
          </w:tcPr>
          <w:p>
            <w:pPr>
              <w:pStyle w:val="9"/>
              <w:spacing w:before="8"/>
              <w:rPr>
                <w:sz w:val="14"/>
              </w:rPr>
            </w:pPr>
          </w:p>
          <w:p>
            <w:pPr>
              <w:pStyle w:val="9"/>
              <w:spacing w:line="276" w:lineRule="auto"/>
              <w:ind w:left="111" w:right="104"/>
              <w:jc w:val="both"/>
              <w:rPr>
                <w:sz w:val="21"/>
              </w:rPr>
            </w:pPr>
            <w:r>
              <w:rPr>
                <w:spacing w:val="-2"/>
                <w:sz w:val="21"/>
              </w:rPr>
              <w:t>由肠道病毒引起的急性传染病，主要症状表现为手、足、口腔等部位的斑丘疹、疱疹。经本公司认可的医院的儿科专科医生确诊为患有手足口病，并伴有下列三项中的任意一项并发症：</w:t>
            </w:r>
          </w:p>
          <w:p>
            <w:pPr>
              <w:pStyle w:val="9"/>
              <w:numPr>
                <w:ilvl w:val="0"/>
                <w:numId w:val="63"/>
              </w:numPr>
              <w:tabs>
                <w:tab w:val="left" w:pos="641"/>
              </w:tabs>
              <w:spacing w:before="3" w:after="0" w:line="278" w:lineRule="auto"/>
              <w:ind w:left="111" w:right="100" w:firstLine="0"/>
              <w:jc w:val="left"/>
              <w:rPr>
                <w:sz w:val="21"/>
              </w:rPr>
            </w:pPr>
            <w:r>
              <w:rPr>
                <w:spacing w:val="-2"/>
                <w:sz w:val="21"/>
              </w:rPr>
              <w:t>有脑膜炎或脑炎并发症，且导致意识障碍或瘫痪的临床表现及实验室检查证据；</w:t>
            </w:r>
          </w:p>
          <w:p>
            <w:pPr>
              <w:pStyle w:val="9"/>
              <w:numPr>
                <w:ilvl w:val="0"/>
                <w:numId w:val="63"/>
              </w:numPr>
              <w:tabs>
                <w:tab w:val="left" w:pos="641"/>
              </w:tabs>
              <w:spacing w:before="0" w:after="0" w:line="278" w:lineRule="auto"/>
              <w:ind w:left="111" w:right="100" w:firstLine="0"/>
              <w:jc w:val="left"/>
              <w:rPr>
                <w:sz w:val="21"/>
              </w:rPr>
            </w:pPr>
            <w:r>
              <w:rPr>
                <w:spacing w:val="-2"/>
                <w:sz w:val="21"/>
              </w:rPr>
              <w:t>有肺炎或肺水肿并发症，且导致呼吸衰竭的临床表现及实验室检查</w:t>
            </w:r>
            <w:r>
              <w:rPr>
                <w:spacing w:val="-4"/>
                <w:sz w:val="21"/>
              </w:rPr>
              <w:t>证据；</w:t>
            </w:r>
          </w:p>
          <w:p>
            <w:pPr>
              <w:pStyle w:val="9"/>
              <w:numPr>
                <w:ilvl w:val="0"/>
                <w:numId w:val="63"/>
              </w:numPr>
              <w:tabs>
                <w:tab w:val="left" w:pos="641"/>
              </w:tabs>
              <w:spacing w:before="0" w:after="0" w:line="278" w:lineRule="auto"/>
              <w:ind w:left="111" w:right="100" w:firstLine="0"/>
              <w:jc w:val="left"/>
              <w:rPr>
                <w:sz w:val="21"/>
              </w:rPr>
            </w:pPr>
            <w:r>
              <w:rPr>
                <w:spacing w:val="-2"/>
                <w:sz w:val="21"/>
              </w:rPr>
              <w:t>有心肌炎并发症，且导致心脏扩大或心力衰竭的临床表现及实验室检查证据；</w:t>
            </w:r>
          </w:p>
          <w:p>
            <w:pPr>
              <w:pStyle w:val="9"/>
              <w:numPr>
                <w:ilvl w:val="0"/>
                <w:numId w:val="63"/>
              </w:numPr>
              <w:tabs>
                <w:tab w:val="left" w:pos="641"/>
              </w:tabs>
              <w:spacing w:before="0" w:after="0" w:line="240" w:lineRule="auto"/>
              <w:ind w:left="640" w:right="0" w:hanging="530"/>
              <w:jc w:val="left"/>
              <w:rPr>
                <w:sz w:val="21"/>
              </w:rPr>
            </w:pPr>
            <w:r>
              <w:rPr>
                <w:spacing w:val="-4"/>
                <w:sz w:val="21"/>
              </w:rPr>
              <w:t>接受了住院治疗。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511" w:hRule="atLeast"/>
        </w:trPr>
        <w:tc>
          <w:tcPr>
            <w:tcW w:w="744" w:type="dxa"/>
            <w:vMerge w:val="continue"/>
            <w:tcBorders>
              <w:top w:val="nil"/>
            </w:tcBorders>
          </w:tcPr>
          <w:p>
            <w:pPr>
              <w:rPr>
                <w:sz w:val="2"/>
                <w:szCs w:val="2"/>
              </w:rPr>
            </w:pPr>
          </w:p>
        </w:tc>
        <w:tc>
          <w:tcPr>
            <w:tcW w:w="1805" w:type="dxa"/>
          </w:tcPr>
          <w:p>
            <w:pPr>
              <w:pStyle w:val="9"/>
              <w:spacing w:before="174" w:line="192" w:lineRule="auto"/>
              <w:ind w:left="322" w:right="108"/>
              <w:rPr>
                <w:rFonts w:ascii="Microsoft JhengHei" w:eastAsia="Microsoft JhengHei"/>
                <w:b/>
                <w:sz w:val="21"/>
              </w:rPr>
            </w:pPr>
            <w:r>
              <w:rPr>
                <w:rFonts w:ascii="Microsoft JhengHei" w:eastAsia="Microsoft JhengHei"/>
                <w:b/>
                <w:sz w:val="21"/>
              </w:rPr>
              <w:t>7.</w:t>
            </w:r>
            <w:r>
              <w:rPr>
                <w:rFonts w:ascii="Microsoft JhengHei" w:eastAsia="Microsoft JhengHei"/>
                <w:b/>
                <w:spacing w:val="5"/>
                <w:sz w:val="21"/>
              </w:rPr>
              <w:t xml:space="preserve"> 婴儿进行性</w:t>
            </w:r>
            <w:r>
              <w:rPr>
                <w:rFonts w:ascii="Microsoft JhengHei" w:eastAsia="Microsoft JhengHei"/>
                <w:b/>
                <w:spacing w:val="-2"/>
                <w:sz w:val="21"/>
              </w:rPr>
              <w:t>脊肌萎缩症</w:t>
            </w:r>
          </w:p>
        </w:tc>
        <w:tc>
          <w:tcPr>
            <w:tcW w:w="6953" w:type="dxa"/>
          </w:tcPr>
          <w:p>
            <w:pPr>
              <w:pStyle w:val="9"/>
              <w:spacing w:before="8"/>
              <w:rPr>
                <w:sz w:val="14"/>
              </w:rPr>
            </w:pPr>
          </w:p>
          <w:p>
            <w:pPr>
              <w:pStyle w:val="9"/>
              <w:spacing w:line="276" w:lineRule="auto"/>
              <w:ind w:left="111" w:right="104"/>
              <w:jc w:val="both"/>
              <w:rPr>
                <w:sz w:val="21"/>
              </w:rPr>
            </w:pPr>
            <w:r>
              <w:rPr>
                <w:spacing w:val="-2"/>
                <w:sz w:val="21"/>
              </w:rPr>
              <w:t>该病是累及脊髓前角细胞及延髓运动核的神经元退行性变性病。在出生后两年内出现的脊髓和脑干颅神经前角细胞进行性机能障碍，伴随肌肉无力和延髓机能障碍。</w:t>
            </w:r>
          </w:p>
          <w:p>
            <w:pPr>
              <w:pStyle w:val="9"/>
              <w:spacing w:before="3" w:line="278" w:lineRule="auto"/>
              <w:ind w:left="111" w:right="105"/>
              <w:rPr>
                <w:sz w:val="21"/>
              </w:rPr>
            </w:pPr>
            <w:r>
              <w:rPr>
                <w:spacing w:val="-2"/>
                <w:sz w:val="21"/>
              </w:rPr>
              <w:t>该病必须经由神经科专科医生通过肌肉活检而确诊。理赔时必须提供肌肉活检的病理报告。</w:t>
            </w:r>
          </w:p>
          <w:p>
            <w:pPr>
              <w:pStyle w:val="9"/>
              <w:spacing w:line="278" w:lineRule="auto"/>
              <w:ind w:left="111" w:right="105"/>
              <w:rPr>
                <w:sz w:val="21"/>
              </w:rPr>
            </w:pPr>
            <w:r>
              <w:rPr>
                <w:spacing w:val="-2"/>
                <w:sz w:val="21"/>
              </w:rPr>
              <w:t>其它类型的脊肌萎缩症如Ⅱ型中间型进行性脊肌萎缩症、Ⅲ型少年型脊肌</w:t>
            </w:r>
            <w:r>
              <w:rPr>
                <w:sz w:val="21"/>
              </w:rPr>
              <w:t>萎缩症（Kugelberg-Welander</w:t>
            </w:r>
            <w:r>
              <w:rPr>
                <w:spacing w:val="-17"/>
                <w:sz w:val="21"/>
              </w:rPr>
              <w:t xml:space="preserve"> 氏病</w:t>
            </w:r>
            <w:r>
              <w:rPr>
                <w:sz w:val="21"/>
              </w:rPr>
              <w:t>）不在保障范围之内。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567" w:hRule="atLeast"/>
        </w:trPr>
        <w:tc>
          <w:tcPr>
            <w:tcW w:w="744" w:type="dxa"/>
            <w:vMerge w:val="continue"/>
            <w:tcBorders>
              <w:top w:val="nil"/>
            </w:tcBorders>
          </w:tcPr>
          <w:p>
            <w:pPr>
              <w:rPr>
                <w:sz w:val="2"/>
                <w:szCs w:val="2"/>
              </w:rPr>
            </w:pPr>
          </w:p>
        </w:tc>
        <w:tc>
          <w:tcPr>
            <w:tcW w:w="1805" w:type="dxa"/>
          </w:tcPr>
          <w:p>
            <w:pPr>
              <w:pStyle w:val="9"/>
              <w:spacing w:before="174" w:line="192" w:lineRule="auto"/>
              <w:ind w:left="322" w:right="108"/>
              <w:rPr>
                <w:rFonts w:ascii="Microsoft JhengHei" w:eastAsia="Microsoft JhengHei"/>
                <w:b/>
                <w:sz w:val="21"/>
              </w:rPr>
            </w:pPr>
            <w:r>
              <w:rPr>
                <w:rFonts w:ascii="Microsoft JhengHei" w:eastAsia="Microsoft JhengHei"/>
                <w:b/>
                <w:sz w:val="21"/>
              </w:rPr>
              <w:t>8.</w:t>
            </w:r>
            <w:r>
              <w:rPr>
                <w:rFonts w:ascii="Microsoft JhengHei" w:eastAsia="Microsoft JhengHei"/>
                <w:b/>
                <w:spacing w:val="5"/>
                <w:sz w:val="21"/>
              </w:rPr>
              <w:t xml:space="preserve"> 主动脉夹层</w:t>
            </w:r>
            <w:r>
              <w:rPr>
                <w:rFonts w:ascii="Microsoft JhengHei" w:eastAsia="Microsoft JhengHei"/>
                <w:b/>
                <w:spacing w:val="-10"/>
                <w:sz w:val="21"/>
              </w:rPr>
              <w:t>瘤</w:t>
            </w:r>
          </w:p>
        </w:tc>
        <w:tc>
          <w:tcPr>
            <w:tcW w:w="6953" w:type="dxa"/>
          </w:tcPr>
          <w:p>
            <w:pPr>
              <w:pStyle w:val="9"/>
              <w:spacing w:before="8"/>
              <w:rPr>
                <w:sz w:val="14"/>
              </w:rPr>
            </w:pPr>
          </w:p>
          <w:p>
            <w:pPr>
              <w:pStyle w:val="9"/>
              <w:spacing w:line="276" w:lineRule="auto"/>
              <w:ind w:left="111" w:right="105"/>
              <w:jc w:val="both"/>
              <w:rPr>
                <w:sz w:val="21"/>
              </w:rPr>
            </w:pPr>
            <w:r>
              <w:rPr>
                <w:spacing w:val="-2"/>
                <w:sz w:val="21"/>
              </w:rPr>
              <w:t>指主动脉的内膜破裂导致血液流入主动脉壁中形成夹层动脉瘤。在本定义中，主动脉指胸主动脉及腹主动脉而非其旁支。诊断必须由专科医生及检验结果证实，检验包括电脑扫描，磁共振扫描及磁共振血管造影或心导管检查的证明，并有必要进行紧急修补手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4" w:hRule="atLeast"/>
        </w:trPr>
        <w:tc>
          <w:tcPr>
            <w:tcW w:w="744" w:type="dxa"/>
            <w:tcBorders>
              <w:bottom w:val="single" w:color="000000" w:sz="8" w:space="0"/>
            </w:tcBorders>
          </w:tcPr>
          <w:p>
            <w:pPr>
              <w:pStyle w:val="9"/>
              <w:spacing w:before="95"/>
              <w:ind w:left="105"/>
              <w:rPr>
                <w:rFonts w:ascii="Microsoft JhengHei"/>
                <w:b/>
                <w:sz w:val="24"/>
              </w:rPr>
            </w:pPr>
            <w:r>
              <w:rPr>
                <w:rFonts w:ascii="Microsoft JhengHei"/>
                <w:b/>
                <w:spacing w:val="-5"/>
                <w:w w:val="83"/>
                <w:sz w:val="24"/>
              </w:rPr>
              <w:t>8</w:t>
            </w:r>
            <w:r>
              <w:rPr>
                <w:rFonts w:ascii="Microsoft JhengHei"/>
                <w:b/>
                <w:spacing w:val="-5"/>
                <w:w w:val="196"/>
                <w:sz w:val="24"/>
              </w:rPr>
              <w:t>.</w:t>
            </w:r>
          </w:p>
        </w:tc>
        <w:tc>
          <w:tcPr>
            <w:tcW w:w="1805" w:type="dxa"/>
            <w:tcBorders>
              <w:bottom w:val="single" w:color="000000" w:sz="8" w:space="0"/>
            </w:tcBorders>
          </w:tcPr>
          <w:p>
            <w:pPr>
              <w:pStyle w:val="9"/>
              <w:spacing w:before="95"/>
              <w:ind w:left="322"/>
              <w:rPr>
                <w:rFonts w:ascii="Microsoft JhengHei" w:eastAsia="Microsoft JhengHei"/>
                <w:b/>
                <w:sz w:val="24"/>
              </w:rPr>
            </w:pPr>
            <w:r>
              <w:rPr>
                <w:rFonts w:ascii="Microsoft JhengHei" w:eastAsia="Microsoft JhengHei"/>
                <w:b/>
                <w:spacing w:val="-5"/>
                <w:sz w:val="24"/>
              </w:rPr>
              <w:t>释义</w:t>
            </w:r>
          </w:p>
        </w:tc>
        <w:tc>
          <w:tcPr>
            <w:tcW w:w="6953" w:type="dxa"/>
            <w:tcBorders>
              <w:bottom w:val="single" w:color="000000" w:sz="8" w:space="0"/>
            </w:tcBorders>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090" w:hRule="atLeast"/>
        </w:trPr>
        <w:tc>
          <w:tcPr>
            <w:tcW w:w="744" w:type="dxa"/>
            <w:tcBorders>
              <w:top w:val="single" w:color="000000" w:sz="8" w:space="0"/>
            </w:tcBorders>
          </w:tcPr>
          <w:p>
            <w:pPr>
              <w:pStyle w:val="9"/>
              <w:spacing w:before="1"/>
              <w:rPr>
                <w:sz w:val="20"/>
              </w:rPr>
            </w:pPr>
          </w:p>
          <w:p>
            <w:pPr>
              <w:pStyle w:val="9"/>
              <w:ind w:left="105"/>
              <w:rPr>
                <w:rFonts w:ascii="Microsoft JhengHei"/>
                <w:b/>
                <w:sz w:val="21"/>
              </w:rPr>
            </w:pPr>
            <w:r>
              <w:rPr>
                <w:rFonts w:ascii="Microsoft JhengHei"/>
                <w:b/>
                <w:spacing w:val="-5"/>
                <w:w w:val="105"/>
                <w:sz w:val="21"/>
              </w:rPr>
              <w:t>8.1</w:t>
            </w:r>
          </w:p>
        </w:tc>
        <w:tc>
          <w:tcPr>
            <w:tcW w:w="1805" w:type="dxa"/>
            <w:tcBorders>
              <w:top w:val="single" w:color="000000" w:sz="8" w:space="0"/>
            </w:tcBorders>
          </w:tcPr>
          <w:p>
            <w:pPr>
              <w:pStyle w:val="9"/>
              <w:spacing w:before="1"/>
              <w:rPr>
                <w:sz w:val="20"/>
              </w:rPr>
            </w:pPr>
          </w:p>
          <w:p>
            <w:pPr>
              <w:pStyle w:val="9"/>
              <w:ind w:left="322"/>
              <w:rPr>
                <w:rFonts w:ascii="Microsoft JhengHei" w:eastAsia="Microsoft JhengHei"/>
                <w:b/>
                <w:sz w:val="21"/>
              </w:rPr>
            </w:pPr>
            <w:r>
              <w:rPr>
                <w:rFonts w:ascii="Microsoft JhengHei" w:eastAsia="Microsoft JhengHei"/>
                <w:b/>
                <w:spacing w:val="-3"/>
                <w:sz w:val="21"/>
              </w:rPr>
              <w:t>合法有效</w:t>
            </w:r>
          </w:p>
        </w:tc>
        <w:tc>
          <w:tcPr>
            <w:tcW w:w="6953" w:type="dxa"/>
            <w:tcBorders>
              <w:top w:val="single" w:color="000000" w:sz="8" w:space="0"/>
            </w:tcBorders>
          </w:tcPr>
          <w:p>
            <w:pPr>
              <w:pStyle w:val="9"/>
              <w:spacing w:before="6"/>
              <w:rPr>
                <w:sz w:val="25"/>
              </w:rPr>
            </w:pPr>
          </w:p>
          <w:p>
            <w:pPr>
              <w:pStyle w:val="9"/>
              <w:spacing w:before="1" w:line="273" w:lineRule="auto"/>
              <w:ind w:left="111" w:right="105"/>
              <w:rPr>
                <w:sz w:val="21"/>
              </w:rPr>
            </w:pPr>
            <w:r>
              <w:rPr>
                <w:spacing w:val="-2"/>
                <w:sz w:val="21"/>
              </w:rPr>
              <w:t>本合同所指合法有效均以中华人民共和国法律、法规、行政规章及有关规范性法律文件的规定为判定依据。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7" w:hRule="atLeast"/>
        </w:trPr>
        <w:tc>
          <w:tcPr>
            <w:tcW w:w="744" w:type="dxa"/>
          </w:tcPr>
          <w:p>
            <w:pPr>
              <w:pStyle w:val="9"/>
              <w:spacing w:before="118" w:line="289" w:lineRule="exact"/>
              <w:ind w:left="105"/>
              <w:rPr>
                <w:rFonts w:ascii="Microsoft JhengHei"/>
                <w:b/>
                <w:sz w:val="21"/>
              </w:rPr>
            </w:pPr>
            <w:r>
              <w:rPr>
                <w:rFonts w:ascii="Microsoft JhengHei"/>
                <w:b/>
                <w:spacing w:val="-5"/>
                <w:w w:val="105"/>
                <w:sz w:val="21"/>
              </w:rPr>
              <w:t>8.2</w:t>
            </w:r>
          </w:p>
        </w:tc>
        <w:tc>
          <w:tcPr>
            <w:tcW w:w="1805" w:type="dxa"/>
          </w:tcPr>
          <w:p>
            <w:pPr>
              <w:pStyle w:val="9"/>
              <w:spacing w:before="118" w:line="289" w:lineRule="exact"/>
              <w:ind w:left="322"/>
              <w:rPr>
                <w:rFonts w:ascii="Microsoft JhengHei" w:eastAsia="Microsoft JhengHei"/>
                <w:b/>
                <w:sz w:val="21"/>
              </w:rPr>
            </w:pPr>
            <w:r>
              <w:rPr>
                <w:rFonts w:ascii="Microsoft JhengHei" w:eastAsia="Microsoft JhengHei"/>
                <w:b/>
                <w:spacing w:val="-5"/>
                <w:sz w:val="21"/>
              </w:rPr>
              <w:t>周岁</w:t>
            </w:r>
          </w:p>
        </w:tc>
        <w:tc>
          <w:tcPr>
            <w:tcW w:w="6953" w:type="dxa"/>
          </w:tcPr>
          <w:p>
            <w:pPr>
              <w:pStyle w:val="9"/>
              <w:spacing w:before="8"/>
              <w:rPr>
                <w:sz w:val="14"/>
              </w:rPr>
            </w:pPr>
          </w:p>
          <w:p>
            <w:pPr>
              <w:pStyle w:val="9"/>
              <w:spacing w:line="220" w:lineRule="exact"/>
              <w:ind w:left="111" w:right="-15"/>
              <w:rPr>
                <w:sz w:val="21"/>
              </w:rPr>
            </w:pPr>
            <w:r>
              <w:rPr>
                <w:spacing w:val="-8"/>
                <w:sz w:val="21"/>
              </w:rPr>
              <w:t>指按有效身份证件中记载的出生日期计算的年龄，自出生之日起为零周岁，</w:t>
            </w:r>
          </w:p>
        </w:tc>
      </w:tr>
    </w:tbl>
    <w:p>
      <w:pPr>
        <w:spacing w:after="0" w:line="220" w:lineRule="exact"/>
        <w:rPr>
          <w:sz w:val="21"/>
        </w:rPr>
        <w:sectPr>
          <w:pgSz w:w="11910" w:h="16840"/>
          <w:pgMar w:top="740" w:right="680" w:bottom="420" w:left="880" w:header="0" w:footer="230" w:gutter="0"/>
          <w:cols w:space="720" w:num="1"/>
        </w:sectPr>
      </w:pPr>
    </w:p>
    <w:p>
      <w:pPr>
        <w:pStyle w:val="4"/>
        <w:spacing w:before="53"/>
        <w:ind w:left="2985"/>
      </w:pPr>
      <w:r>
        <w:rPr>
          <w:spacing w:val="-6"/>
        </w:rPr>
        <w:t xml:space="preserve">每经过一年增加一岁，不足一年的不计。例如，出生日期为 </w:t>
      </w:r>
      <w:r>
        <w:rPr>
          <w:spacing w:val="-4"/>
        </w:rPr>
        <w:t>2000</w:t>
      </w:r>
      <w:r>
        <w:rPr>
          <w:spacing w:val="-31"/>
        </w:rPr>
        <w:t xml:space="preserve"> 年 </w:t>
      </w:r>
      <w:r>
        <w:rPr>
          <w:spacing w:val="-4"/>
        </w:rPr>
        <w:t>9</w:t>
      </w:r>
      <w:r>
        <w:rPr>
          <w:spacing w:val="-28"/>
        </w:rPr>
        <w:t xml:space="preserve"> 月 </w:t>
      </w:r>
      <w:r>
        <w:rPr>
          <w:spacing w:val="-10"/>
        </w:rPr>
        <w:t>1</w:t>
      </w:r>
    </w:p>
    <w:p>
      <w:pPr>
        <w:pStyle w:val="4"/>
        <w:spacing w:before="42"/>
        <w:ind w:left="2985"/>
      </w:pPr>
      <w:r>
        <w:rPr>
          <w:spacing w:val="-4"/>
        </w:rPr>
        <w:t>日，2000</w:t>
      </w:r>
      <w:r>
        <w:rPr>
          <w:spacing w:val="-37"/>
        </w:rPr>
        <w:t xml:space="preserve"> 年 </w:t>
      </w:r>
      <w:r>
        <w:rPr>
          <w:spacing w:val="-4"/>
        </w:rPr>
        <w:t>9</w:t>
      </w:r>
      <w:r>
        <w:rPr>
          <w:spacing w:val="-37"/>
        </w:rPr>
        <w:t xml:space="preserve"> 月 </w:t>
      </w:r>
      <w:r>
        <w:rPr>
          <w:spacing w:val="-4"/>
        </w:rPr>
        <w:t>1</w:t>
      </w:r>
      <w:r>
        <w:rPr>
          <w:spacing w:val="-29"/>
        </w:rPr>
        <w:t xml:space="preserve"> 日至 </w:t>
      </w:r>
      <w:r>
        <w:rPr>
          <w:spacing w:val="-4"/>
        </w:rPr>
        <w:t>2001</w:t>
      </w:r>
      <w:r>
        <w:rPr>
          <w:spacing w:val="-35"/>
        </w:rPr>
        <w:t xml:space="preserve"> 年 </w:t>
      </w:r>
      <w:r>
        <w:rPr>
          <w:spacing w:val="-4"/>
        </w:rPr>
        <w:t>8</w:t>
      </w:r>
      <w:r>
        <w:rPr>
          <w:spacing w:val="-37"/>
        </w:rPr>
        <w:t xml:space="preserve"> 月 </w:t>
      </w:r>
      <w:r>
        <w:rPr>
          <w:spacing w:val="-4"/>
        </w:rPr>
        <w:t>31</w:t>
      </w:r>
      <w:r>
        <w:rPr>
          <w:spacing w:val="-20"/>
        </w:rPr>
        <w:t xml:space="preserve"> 日期间为 </w:t>
      </w:r>
      <w:r>
        <w:rPr>
          <w:spacing w:val="-4"/>
        </w:rPr>
        <w:t>0</w:t>
      </w:r>
      <w:r>
        <w:rPr>
          <w:spacing w:val="-18"/>
        </w:rPr>
        <w:t xml:space="preserve"> 周岁，</w:t>
      </w:r>
      <w:r>
        <w:rPr>
          <w:spacing w:val="-4"/>
        </w:rPr>
        <w:t>2001</w:t>
      </w:r>
      <w:r>
        <w:rPr>
          <w:spacing w:val="-35"/>
        </w:rPr>
        <w:t xml:space="preserve"> 年 </w:t>
      </w:r>
      <w:r>
        <w:rPr>
          <w:spacing w:val="-4"/>
        </w:rPr>
        <w:t>9</w:t>
      </w:r>
      <w:r>
        <w:rPr>
          <w:spacing w:val="-37"/>
        </w:rPr>
        <w:t xml:space="preserve"> 月 </w:t>
      </w:r>
      <w:r>
        <w:rPr>
          <w:spacing w:val="-4"/>
        </w:rPr>
        <w:t>1</w:t>
      </w:r>
      <w:r>
        <w:rPr>
          <w:spacing w:val="-30"/>
        </w:rPr>
        <w:t xml:space="preserve"> 日</w:t>
      </w:r>
    </w:p>
    <w:p>
      <w:pPr>
        <w:pStyle w:val="4"/>
        <w:spacing w:before="43"/>
        <w:ind w:left="2985"/>
      </w:pPr>
      <w:r>
        <w:rPr>
          <w:spacing w:val="-27"/>
        </w:rPr>
        <w:t xml:space="preserve">至 </w:t>
      </w:r>
      <w:r>
        <w:rPr>
          <w:spacing w:val="-2"/>
        </w:rPr>
        <w:t>2002</w:t>
      </w:r>
      <w:r>
        <w:rPr>
          <w:spacing w:val="-33"/>
        </w:rPr>
        <w:t xml:space="preserve"> 年 </w:t>
      </w:r>
      <w:r>
        <w:rPr>
          <w:spacing w:val="-2"/>
        </w:rPr>
        <w:t>8</w:t>
      </w:r>
      <w:r>
        <w:rPr>
          <w:spacing w:val="-35"/>
        </w:rPr>
        <w:t xml:space="preserve"> 月 </w:t>
      </w:r>
      <w:r>
        <w:rPr>
          <w:spacing w:val="-2"/>
        </w:rPr>
        <w:t>31</w:t>
      </w:r>
      <w:r>
        <w:rPr>
          <w:spacing w:val="-18"/>
        </w:rPr>
        <w:t xml:space="preserve"> 日期间为 </w:t>
      </w:r>
      <w:r>
        <w:rPr>
          <w:spacing w:val="-2"/>
        </w:rPr>
        <w:t>1</w:t>
      </w:r>
      <w:r>
        <w:rPr>
          <w:spacing w:val="-10"/>
        </w:rPr>
        <w:t xml:space="preserve"> 周岁，依此类推。</w:t>
      </w:r>
    </w:p>
    <w:p>
      <w:pPr>
        <w:pStyle w:val="4"/>
        <w:spacing w:before="6"/>
        <w:rPr>
          <w:sz w:val="23"/>
        </w:rPr>
      </w:pPr>
    </w:p>
    <w:p>
      <w:pPr>
        <w:pStyle w:val="8"/>
        <w:numPr>
          <w:ilvl w:val="1"/>
          <w:numId w:val="64"/>
        </w:numPr>
        <w:tabs>
          <w:tab w:val="left" w:pos="1391"/>
          <w:tab w:val="left" w:pos="1392"/>
          <w:tab w:val="left" w:pos="2985"/>
        </w:tabs>
        <w:spacing w:before="0" w:after="0" w:line="256" w:lineRule="auto"/>
        <w:ind w:left="2985" w:right="632" w:hanging="2555"/>
        <w:jc w:val="both"/>
        <w:rPr>
          <w:rFonts w:ascii="Microsoft JhengHei" w:eastAsia="Microsoft JhengHei"/>
          <w:b/>
          <w:sz w:val="21"/>
        </w:rPr>
      </w:pPr>
      <w:r>
        <w:rPr>
          <w:rFonts w:ascii="Microsoft JhengHei" w:eastAsia="Microsoft JhengHei"/>
          <w:b/>
          <w:spacing w:val="-4"/>
          <w:sz w:val="21"/>
        </w:rPr>
        <w:t>意外伤害</w:t>
      </w:r>
      <w:r>
        <w:rPr>
          <w:rFonts w:ascii="Microsoft JhengHei" w:eastAsia="Microsoft JhengHei"/>
          <w:b/>
          <w:sz w:val="21"/>
        </w:rPr>
        <w:tab/>
      </w:r>
      <w:r>
        <w:rPr>
          <w:spacing w:val="-2"/>
          <w:sz w:val="21"/>
        </w:rPr>
        <w:t>指外来的、突然的、非本意的、非疾病的使被保险人身体受到伤害的客观事件，并以此客观事件为直接且单独原因导致被保险人身体蒙受伤害或者身故，猝死、自杀以及自伤均不属于意外伤害。</w:t>
      </w:r>
    </w:p>
    <w:p>
      <w:pPr>
        <w:pStyle w:val="4"/>
        <w:spacing w:before="98" w:line="276" w:lineRule="auto"/>
        <w:ind w:left="2985" w:right="790"/>
        <w:jc w:val="both"/>
      </w:pPr>
      <w:r>
        <w:rPr>
          <w:spacing w:val="-2"/>
        </w:rPr>
        <w:t>猝死指表面健康的人因潜在疾病、机能障碍或者其他原因在出现症状后 24</w:t>
      </w:r>
      <w:r>
        <w:rPr>
          <w:spacing w:val="-6"/>
        </w:rPr>
        <w:t xml:space="preserve"> 小时内发生的非暴力性突然死亡。猝死的认定以医院的诊断和公安部</w:t>
      </w:r>
      <w:r>
        <w:rPr>
          <w:spacing w:val="-2"/>
        </w:rPr>
        <w:t>门的鉴定为准。</w:t>
      </w:r>
    </w:p>
    <w:p>
      <w:pPr>
        <w:pStyle w:val="4"/>
        <w:spacing w:before="2"/>
        <w:rPr>
          <w:sz w:val="20"/>
        </w:rPr>
      </w:pPr>
    </w:p>
    <w:p>
      <w:pPr>
        <w:spacing w:after="0"/>
        <w:rPr>
          <w:sz w:val="20"/>
        </w:rPr>
        <w:sectPr>
          <w:pgSz w:w="11910" w:h="16840"/>
          <w:pgMar w:top="660" w:right="680" w:bottom="420" w:left="880" w:header="0" w:footer="230" w:gutter="0"/>
          <w:cols w:space="720" w:num="1"/>
        </w:sectPr>
      </w:pPr>
    </w:p>
    <w:p>
      <w:pPr>
        <w:pStyle w:val="3"/>
        <w:numPr>
          <w:ilvl w:val="1"/>
          <w:numId w:val="64"/>
        </w:numPr>
        <w:tabs>
          <w:tab w:val="left" w:pos="1391"/>
          <w:tab w:val="left" w:pos="1392"/>
        </w:tabs>
        <w:spacing w:before="55" w:after="0" w:line="194" w:lineRule="auto"/>
        <w:ind w:left="1391" w:right="0" w:hanging="961"/>
        <w:jc w:val="left"/>
      </w:pPr>
      <w:r>
        <w:rPr>
          <w:spacing w:val="-2"/>
        </w:rPr>
        <w:t>本公司认可的</w:t>
      </w:r>
      <w:r>
        <w:rPr>
          <w:spacing w:val="-6"/>
        </w:rPr>
        <w:t>医院</w:t>
      </w:r>
    </w:p>
    <w:p>
      <w:pPr>
        <w:pStyle w:val="8"/>
        <w:numPr>
          <w:ilvl w:val="0"/>
          <w:numId w:val="65"/>
        </w:numPr>
        <w:tabs>
          <w:tab w:val="left" w:pos="816"/>
        </w:tabs>
        <w:spacing w:before="72" w:after="0" w:line="240" w:lineRule="auto"/>
        <w:ind w:left="815" w:right="0" w:hanging="530"/>
        <w:jc w:val="left"/>
        <w:rPr>
          <w:sz w:val="21"/>
        </w:rPr>
      </w:pPr>
      <w:r>
        <w:rPr>
          <w:sz w:val="21"/>
        </w:rPr>
        <w:br w:type="column"/>
      </w:r>
      <w:r>
        <w:rPr>
          <w:spacing w:val="-3"/>
          <w:sz w:val="21"/>
        </w:rPr>
        <w:t>指符合下列所有条件的医院：</w:t>
      </w:r>
    </w:p>
    <w:p>
      <w:pPr>
        <w:pStyle w:val="4"/>
        <w:spacing w:before="9"/>
        <w:rPr>
          <w:sz w:val="15"/>
        </w:rPr>
      </w:pPr>
    </w:p>
    <w:p>
      <w:pPr>
        <w:pStyle w:val="4"/>
        <w:spacing w:line="278" w:lineRule="auto"/>
        <w:ind w:left="286" w:right="509"/>
      </w:pPr>
      <w:r>
        <w:rPr>
          <w:spacing w:val="-7"/>
        </w:rPr>
        <w:t>是指拥有卫生行政部门核发的《医疗机构执业许可证》</w:t>
      </w:r>
      <w:r>
        <w:rPr>
          <w:spacing w:val="-2"/>
        </w:rPr>
        <w:t>（国家不核拨经费、实行企业化经营的医院，还需依法申领营业执照</w:t>
      </w:r>
      <w:r>
        <w:rPr>
          <w:spacing w:val="-77"/>
        </w:rPr>
        <w:t>）</w:t>
      </w:r>
      <w:r>
        <w:rPr>
          <w:spacing w:val="-11"/>
        </w:rPr>
        <w:t>，有合格医生和护士提供</w:t>
      </w:r>
      <w:r>
        <w:rPr>
          <w:spacing w:val="-2"/>
        </w:rPr>
        <w:t>二十四小时医疗护理服务的，具有系统性诊疗程序、手术设备和住院诊疗</w:t>
      </w:r>
      <w:r>
        <w:rPr>
          <w:spacing w:val="-13"/>
        </w:rPr>
        <w:t>设施的，符合卫生部颁发的医疗机构基本标准的二级或二级以上公立医院。</w:t>
      </w:r>
      <w:r>
        <w:rPr>
          <w:spacing w:val="-4"/>
        </w:rPr>
        <w:t>医院不包括特需部、国际部、康复医院或康复病房、精神病医院、疗养院、</w:t>
      </w:r>
      <w:r>
        <w:rPr>
          <w:spacing w:val="-2"/>
        </w:rPr>
        <w:t>美容医院、护理院、戒酒或戒毒中心、精神心理治疗中心、急诊或门诊观察室、二级或三级医院的联合医院或联合病房、民营医院等，以及其它不符合本条款约定范围的医院。</w:t>
      </w:r>
    </w:p>
    <w:p>
      <w:pPr>
        <w:pStyle w:val="8"/>
        <w:numPr>
          <w:ilvl w:val="0"/>
          <w:numId w:val="65"/>
        </w:numPr>
        <w:tabs>
          <w:tab w:val="left" w:pos="816"/>
        </w:tabs>
        <w:spacing w:before="154" w:after="0" w:line="278" w:lineRule="auto"/>
        <w:ind w:left="286" w:right="619" w:firstLine="0"/>
        <w:jc w:val="left"/>
        <w:rPr>
          <w:sz w:val="21"/>
        </w:rPr>
      </w:pPr>
      <w:r>
        <w:rPr>
          <w:spacing w:val="-2"/>
          <w:sz w:val="21"/>
        </w:rPr>
        <w:t>若投保时本合同附有定点医院名单或有另外约定的，以合同中所列明的定点医院或约定为准。</w:t>
      </w:r>
    </w:p>
    <w:p>
      <w:pPr>
        <w:spacing w:after="0" w:line="278" w:lineRule="auto"/>
        <w:jc w:val="left"/>
        <w:rPr>
          <w:sz w:val="21"/>
        </w:rPr>
        <w:sectPr>
          <w:type w:val="continuous"/>
          <w:pgSz w:w="11910" w:h="16840"/>
          <w:pgMar w:top="920" w:right="680" w:bottom="420" w:left="880" w:header="0" w:footer="230" w:gutter="0"/>
          <w:cols w:equalWidth="0" w:num="2">
            <w:col w:w="2659" w:space="40"/>
            <w:col w:w="7651"/>
          </w:cols>
        </w:sectPr>
      </w:pPr>
    </w:p>
    <w:p>
      <w:pPr>
        <w:pStyle w:val="4"/>
        <w:spacing w:before="11"/>
        <w:rPr>
          <w:sz w:val="19"/>
        </w:rPr>
      </w:pPr>
    </w:p>
    <w:p>
      <w:pPr>
        <w:pStyle w:val="8"/>
        <w:numPr>
          <w:ilvl w:val="1"/>
          <w:numId w:val="64"/>
        </w:numPr>
        <w:tabs>
          <w:tab w:val="left" w:pos="1391"/>
          <w:tab w:val="left" w:pos="1392"/>
          <w:tab w:val="left" w:pos="2985"/>
        </w:tabs>
        <w:spacing w:before="2" w:after="0" w:line="256" w:lineRule="auto"/>
        <w:ind w:left="2985" w:right="629" w:hanging="2555"/>
        <w:jc w:val="both"/>
        <w:rPr>
          <w:rFonts w:ascii="Microsoft JhengHei" w:eastAsia="Microsoft JhengHei"/>
          <w:b/>
          <w:sz w:val="21"/>
        </w:rPr>
      </w:pPr>
      <w:r>
        <w:rPr>
          <w:rFonts w:ascii="Microsoft JhengHei" w:eastAsia="Microsoft JhengHei"/>
          <w:b/>
          <w:spacing w:val="-6"/>
          <w:sz w:val="21"/>
        </w:rPr>
        <w:t>住院</w:t>
      </w:r>
      <w:r>
        <w:rPr>
          <w:rFonts w:ascii="Microsoft JhengHei" w:eastAsia="Microsoft JhengHei"/>
          <w:b/>
          <w:sz w:val="21"/>
        </w:rPr>
        <w:tab/>
      </w:r>
      <w:r>
        <w:rPr>
          <w:spacing w:val="-2"/>
          <w:sz w:val="21"/>
        </w:rPr>
        <w:t>指被保险人确因临床需要入住医院之正式病房进行治疗，并正式办理入出院手续，不包括入住门诊观察室、家庭病床、挂床住院及休养、疗养、身体检查和健康护理等非治疗性行为导致的住院。其中挂床住院指被保险人</w:t>
      </w:r>
    </w:p>
    <w:p>
      <w:pPr>
        <w:pStyle w:val="4"/>
        <w:spacing w:before="17" w:line="278" w:lineRule="auto"/>
        <w:ind w:left="2985" w:right="736"/>
        <w:jc w:val="both"/>
      </w:pPr>
      <w:r>
        <w:rPr>
          <w:spacing w:val="-5"/>
        </w:rPr>
        <w:t xml:space="preserve">非治疗需要而离开医院 </w:t>
      </w:r>
      <w:r>
        <w:rPr>
          <w:rFonts w:ascii="Times New Roman" w:eastAsia="Times New Roman"/>
          <w:spacing w:val="-2"/>
        </w:rPr>
        <w:t>12</w:t>
      </w:r>
      <w:r>
        <w:rPr>
          <w:rFonts w:ascii="Times New Roman" w:eastAsia="Times New Roman"/>
          <w:spacing w:val="10"/>
        </w:rPr>
        <w:t xml:space="preserve"> </w:t>
      </w:r>
      <w:r>
        <w:rPr>
          <w:spacing w:val="-2"/>
        </w:rPr>
        <w:t>小时以上，视为自动离开医院，本公司仅对离开日及以前属于保险责任范围内的住院治疗承担保险金给付责任。</w:t>
      </w:r>
    </w:p>
    <w:p>
      <w:pPr>
        <w:pStyle w:val="4"/>
        <w:rPr>
          <w:sz w:val="20"/>
        </w:rPr>
      </w:pPr>
    </w:p>
    <w:p>
      <w:pPr>
        <w:pStyle w:val="8"/>
        <w:numPr>
          <w:ilvl w:val="1"/>
          <w:numId w:val="64"/>
        </w:numPr>
        <w:tabs>
          <w:tab w:val="left" w:pos="1391"/>
          <w:tab w:val="left" w:pos="1392"/>
          <w:tab w:val="left" w:pos="2985"/>
        </w:tabs>
        <w:spacing w:before="0" w:after="0" w:line="240" w:lineRule="auto"/>
        <w:ind w:left="1391" w:right="0" w:hanging="962"/>
        <w:jc w:val="left"/>
        <w:rPr>
          <w:rFonts w:ascii="Microsoft JhengHei" w:eastAsia="Microsoft JhengHei"/>
          <w:b/>
          <w:sz w:val="21"/>
        </w:rPr>
      </w:pPr>
      <w:r>
        <w:rPr>
          <w:rFonts w:ascii="Microsoft JhengHei" w:eastAsia="Microsoft JhengHei"/>
          <w:b/>
          <w:sz w:val="21"/>
        </w:rPr>
        <w:t>合理且必</w:t>
      </w:r>
      <w:r>
        <w:rPr>
          <w:rFonts w:ascii="Microsoft JhengHei" w:eastAsia="Microsoft JhengHei"/>
          <w:b/>
          <w:spacing w:val="-10"/>
          <w:sz w:val="21"/>
        </w:rPr>
        <w:t>须</w:t>
      </w:r>
      <w:r>
        <w:rPr>
          <w:rFonts w:ascii="Microsoft JhengHei" w:eastAsia="Microsoft JhengHei"/>
          <w:b/>
          <w:sz w:val="21"/>
        </w:rPr>
        <w:tab/>
      </w:r>
      <w:r>
        <w:rPr>
          <w:spacing w:val="-2"/>
          <w:sz w:val="21"/>
        </w:rPr>
        <w:t>对于被保险人发生的合理且必须的医疗费用应同时满足以下条件</w:t>
      </w:r>
      <w:r>
        <w:rPr>
          <w:spacing w:val="-10"/>
          <w:sz w:val="21"/>
        </w:rPr>
        <w:t>：</w:t>
      </w:r>
    </w:p>
    <w:p>
      <w:pPr>
        <w:pStyle w:val="8"/>
        <w:numPr>
          <w:ilvl w:val="2"/>
          <w:numId w:val="64"/>
        </w:numPr>
        <w:tabs>
          <w:tab w:val="left" w:pos="3515"/>
        </w:tabs>
        <w:spacing w:before="154" w:after="0" w:line="273" w:lineRule="auto"/>
        <w:ind w:left="2985" w:right="621" w:firstLine="0"/>
        <w:jc w:val="left"/>
        <w:rPr>
          <w:sz w:val="21"/>
        </w:rPr>
      </w:pPr>
      <w:r>
        <w:rPr>
          <w:spacing w:val="-2"/>
          <w:sz w:val="21"/>
        </w:rPr>
        <w:t>符合通常惯例：指与接受医疗服务所在地通行治疗规范、通行治疗方法、平均医疗费用价格水平一致的费用。</w:t>
      </w:r>
    </w:p>
    <w:p>
      <w:pPr>
        <w:pStyle w:val="4"/>
        <w:spacing w:before="165" w:line="278" w:lineRule="auto"/>
        <w:ind w:left="3408" w:right="617"/>
        <w:jc w:val="both"/>
      </w:pPr>
      <w:r>
        <w:rPr>
          <w:spacing w:val="-2"/>
        </w:rPr>
        <w:t>对是否符合通常惯例由我们根据客观、审慎、合理的原则进行审核；如果被保险人对审核结果有不同意见，可由双方认同的权威医学机构或者权威医学专家进行审核鉴定。</w:t>
      </w:r>
    </w:p>
    <w:p>
      <w:pPr>
        <w:pStyle w:val="8"/>
        <w:numPr>
          <w:ilvl w:val="2"/>
          <w:numId w:val="64"/>
        </w:numPr>
        <w:tabs>
          <w:tab w:val="left" w:pos="3515"/>
        </w:tabs>
        <w:spacing w:before="158" w:after="0" w:line="240" w:lineRule="auto"/>
        <w:ind w:left="3514" w:right="0" w:hanging="530"/>
        <w:jc w:val="left"/>
        <w:rPr>
          <w:sz w:val="21"/>
        </w:rPr>
      </w:pPr>
      <w:r>
        <w:rPr>
          <w:spacing w:val="-3"/>
          <w:sz w:val="21"/>
        </w:rPr>
        <w:t>医学必需：指医疗费用同时符合下列所有条件：</w:t>
      </w:r>
    </w:p>
    <w:p>
      <w:pPr>
        <w:pStyle w:val="4"/>
        <w:spacing w:before="38"/>
        <w:ind w:left="3408"/>
      </w:pPr>
      <w:r>
        <w:rPr>
          <w:spacing w:val="-3"/>
        </w:rPr>
        <w:t>①治疗意外伤害或者疾病所必需的项目；</w:t>
      </w:r>
    </w:p>
    <w:p>
      <w:pPr>
        <w:pStyle w:val="4"/>
        <w:spacing w:before="43"/>
        <w:ind w:left="3408"/>
      </w:pPr>
      <w:r>
        <w:rPr>
          <w:spacing w:val="-3"/>
        </w:rPr>
        <w:t>②不超过安全、足量治疗原则的项目；</w:t>
      </w:r>
    </w:p>
    <w:p>
      <w:pPr>
        <w:pStyle w:val="4"/>
        <w:spacing w:before="44"/>
        <w:ind w:left="3408"/>
      </w:pPr>
      <w:r>
        <w:rPr>
          <w:spacing w:val="-3"/>
        </w:rPr>
        <w:t>③由专科医生开具的处方药；</w:t>
      </w:r>
    </w:p>
    <w:p>
      <w:pPr>
        <w:pStyle w:val="4"/>
        <w:spacing w:before="43"/>
        <w:ind w:left="3408"/>
      </w:pPr>
      <w:r>
        <w:rPr>
          <w:spacing w:val="-3"/>
        </w:rPr>
        <w:t>④非试验性的、非研究性的项目；</w:t>
      </w:r>
    </w:p>
    <w:p>
      <w:pPr>
        <w:pStyle w:val="4"/>
        <w:spacing w:before="43"/>
        <w:ind w:left="3408"/>
      </w:pPr>
      <w:r>
        <w:rPr>
          <w:spacing w:val="-3"/>
        </w:rPr>
        <w:t>⑤与接受治疗当地普遍接受的医疗专业实践标准一致的项目。</w:t>
      </w:r>
    </w:p>
    <w:p>
      <w:pPr>
        <w:pStyle w:val="4"/>
        <w:spacing w:before="9"/>
        <w:rPr>
          <w:sz w:val="15"/>
        </w:rPr>
      </w:pPr>
    </w:p>
    <w:p>
      <w:pPr>
        <w:pStyle w:val="4"/>
        <w:spacing w:line="278" w:lineRule="auto"/>
        <w:ind w:left="3408" w:right="616"/>
        <w:jc w:val="both"/>
      </w:pPr>
      <w:r>
        <w:rPr>
          <w:spacing w:val="-2"/>
        </w:rPr>
        <w:t>对是否医学必需由我们根据客观、审慎、合理的原则进行审核；如果被保险人对审核结果有不同意见，可由双方认同的权威医学机构或者权威医学专家进行审核鉴定。</w:t>
      </w:r>
    </w:p>
    <w:p>
      <w:pPr>
        <w:spacing w:after="0" w:line="278" w:lineRule="auto"/>
        <w:jc w:val="both"/>
        <w:sectPr>
          <w:type w:val="continuous"/>
          <w:pgSz w:w="11910" w:h="16840"/>
          <w:pgMar w:top="920" w:right="680" w:bottom="420" w:left="880" w:header="0" w:footer="230" w:gutter="0"/>
          <w:cols w:space="720" w:num="1"/>
        </w:sectPr>
      </w:pPr>
    </w:p>
    <w:p>
      <w:pPr>
        <w:pStyle w:val="8"/>
        <w:numPr>
          <w:ilvl w:val="1"/>
          <w:numId w:val="64"/>
        </w:numPr>
        <w:tabs>
          <w:tab w:val="left" w:pos="1391"/>
          <w:tab w:val="left" w:pos="1392"/>
          <w:tab w:val="left" w:pos="2985"/>
        </w:tabs>
        <w:spacing w:before="0" w:after="0" w:line="368" w:lineRule="exact"/>
        <w:ind w:left="1391" w:right="0" w:hanging="962"/>
        <w:jc w:val="left"/>
        <w:rPr>
          <w:rFonts w:ascii="Microsoft JhengHei" w:eastAsia="Microsoft JhengHei"/>
          <w:b/>
          <w:sz w:val="21"/>
        </w:rPr>
      </w:pPr>
      <w:r>
        <w:rPr>
          <w:rFonts w:ascii="Microsoft JhengHei" w:eastAsia="Microsoft JhengHei"/>
          <w:b/>
          <w:sz w:val="21"/>
        </w:rPr>
        <w:t>住院医疗费</w:t>
      </w:r>
      <w:r>
        <w:rPr>
          <w:rFonts w:ascii="Microsoft JhengHei" w:eastAsia="Microsoft JhengHei"/>
          <w:b/>
          <w:spacing w:val="-10"/>
          <w:sz w:val="21"/>
        </w:rPr>
        <w:t>用</w:t>
      </w:r>
      <w:r>
        <w:rPr>
          <w:rFonts w:ascii="Microsoft JhengHei" w:eastAsia="Microsoft JhengHei"/>
          <w:b/>
          <w:sz w:val="21"/>
        </w:rPr>
        <w:tab/>
      </w:r>
      <w:r>
        <w:rPr>
          <w:spacing w:val="-2"/>
          <w:sz w:val="21"/>
        </w:rPr>
        <w:t>指被保险人住院期间发生的医疗费用，包括</w:t>
      </w:r>
      <w:r>
        <w:rPr>
          <w:spacing w:val="-10"/>
          <w:sz w:val="21"/>
        </w:rPr>
        <w:t>：</w:t>
      </w:r>
    </w:p>
    <w:p>
      <w:pPr>
        <w:pStyle w:val="8"/>
        <w:numPr>
          <w:ilvl w:val="0"/>
          <w:numId w:val="66"/>
        </w:numPr>
        <w:tabs>
          <w:tab w:val="left" w:pos="3515"/>
        </w:tabs>
        <w:spacing w:before="148" w:after="0" w:line="240" w:lineRule="auto"/>
        <w:ind w:left="3514" w:right="0" w:hanging="530"/>
        <w:jc w:val="left"/>
        <w:rPr>
          <w:sz w:val="21"/>
        </w:rPr>
      </w:pPr>
      <w:r>
        <w:rPr>
          <w:spacing w:val="-4"/>
          <w:sz w:val="21"/>
        </w:rPr>
        <w:t>床位费</w:t>
      </w:r>
    </w:p>
    <w:p>
      <w:pPr>
        <w:pStyle w:val="4"/>
        <w:spacing w:before="43" w:line="278" w:lineRule="auto"/>
        <w:ind w:left="2985" w:right="629"/>
      </w:pPr>
      <w:r>
        <w:rPr>
          <w:spacing w:val="-2"/>
        </w:rPr>
        <w:t>指被保险人住院期间使用的医院床位费用。不包括特需病房和国际部病房床位费用。</w:t>
      </w:r>
    </w:p>
    <w:p>
      <w:pPr>
        <w:pStyle w:val="8"/>
        <w:numPr>
          <w:ilvl w:val="0"/>
          <w:numId w:val="66"/>
        </w:numPr>
        <w:tabs>
          <w:tab w:val="left" w:pos="3515"/>
        </w:tabs>
        <w:spacing w:before="159" w:after="0" w:line="240" w:lineRule="auto"/>
        <w:ind w:left="3514" w:right="0" w:hanging="530"/>
        <w:jc w:val="left"/>
        <w:rPr>
          <w:sz w:val="21"/>
        </w:rPr>
      </w:pPr>
      <w:r>
        <w:rPr>
          <w:spacing w:val="-4"/>
          <w:sz w:val="21"/>
        </w:rPr>
        <w:t>药品费</w:t>
      </w:r>
    </w:p>
    <w:p>
      <w:pPr>
        <w:pStyle w:val="4"/>
        <w:spacing w:before="38" w:line="278" w:lineRule="auto"/>
        <w:ind w:left="2985" w:right="629"/>
      </w:pPr>
      <w:r>
        <w:rPr>
          <w:spacing w:val="-2"/>
        </w:rPr>
        <w:t>指住院期间实际发生的合理且必须的由专科医生开具的具有国家药品监督管部门核发的药品批准文号或者进口药品注册证书、医药产品注册证书的国产或进口药品的费用。但不包括营养补充类药品，免疫功能调节类药</w:t>
      </w:r>
      <w:r>
        <w:rPr>
          <w:spacing w:val="40"/>
        </w:rPr>
        <w:t xml:space="preserve"> </w:t>
      </w:r>
      <w:r>
        <w:rPr>
          <w:spacing w:val="-2"/>
        </w:rPr>
        <w:t>品，美容及减肥类药品，预防类药品，以及下列中药类药品：①主要起营养滋补作用的单方、复方中药或中成药品，如花旗参，冬虫草，白糖参，朝鲜红参，玳瑁，蛤蚧，珊瑚，狗宝，红参，琥珀，灵芝，羚羊角尖粉，</w:t>
      </w:r>
      <w:r>
        <w:rPr>
          <w:spacing w:val="-3"/>
        </w:rPr>
        <w:t>马宝，玛瑙，牛黄，麝香，西红花，血竭，燕窝，野山参，移山参，珍珠</w:t>
      </w:r>
    </w:p>
    <w:p>
      <w:pPr>
        <w:pStyle w:val="4"/>
        <w:spacing w:line="278" w:lineRule="auto"/>
        <w:ind w:left="2985" w:right="631"/>
      </w:pPr>
      <w:r>
        <w:t>（粉</w:t>
      </w:r>
      <w:r>
        <w:rPr>
          <w:spacing w:val="-106"/>
        </w:rPr>
        <w:t>）</w:t>
      </w:r>
      <w:r>
        <w:rPr>
          <w:spacing w:val="-1"/>
        </w:rPr>
        <w:t xml:space="preserve">，紫河车，阿胶，阿胶珠，血宝胶囊，红桃 </w:t>
      </w:r>
      <w:r>
        <w:t>K</w:t>
      </w:r>
      <w:r>
        <w:rPr>
          <w:spacing w:val="-6"/>
        </w:rPr>
        <w:t xml:space="preserve"> 口服液，十全大补</w:t>
      </w:r>
      <w:r>
        <w:t xml:space="preserve"> </w:t>
      </w:r>
      <w:r>
        <w:rPr>
          <w:spacing w:val="-3"/>
        </w:rPr>
        <w:t>丸，十全大补膏等；②部分可以入药的动物及动物脏器，如鹿茸，海马，</w:t>
      </w:r>
    </w:p>
    <w:p>
      <w:pPr>
        <w:pStyle w:val="4"/>
        <w:ind w:left="2985"/>
      </w:pPr>
      <w:r>
        <w:rPr>
          <w:spacing w:val="-3"/>
        </w:rPr>
        <w:t>胎盘，鞭，尾，筋，骨等；③用中药材和中药饮片炮制的各类酒制剂等。</w:t>
      </w:r>
    </w:p>
    <w:p>
      <w:pPr>
        <w:pStyle w:val="4"/>
        <w:spacing w:before="9"/>
        <w:rPr>
          <w:sz w:val="15"/>
        </w:rPr>
      </w:pPr>
    </w:p>
    <w:p>
      <w:pPr>
        <w:pStyle w:val="4"/>
        <w:ind w:left="2985"/>
      </w:pPr>
      <w:r>
        <w:rPr>
          <w:spacing w:val="-3"/>
        </w:rPr>
        <w:t>对于符合以下条件的特定药品费用，可纳入本项药品费范围：</w:t>
      </w:r>
    </w:p>
    <w:p>
      <w:pPr>
        <w:pStyle w:val="4"/>
        <w:spacing w:before="43"/>
        <w:ind w:left="2985"/>
      </w:pPr>
      <w:r>
        <w:rPr>
          <w:spacing w:val="-7"/>
        </w:rPr>
        <w:t>①特定药品仅限治疗被保险人确诊的“恶性肿瘤——重度”；</w:t>
      </w:r>
    </w:p>
    <w:p>
      <w:pPr>
        <w:pStyle w:val="4"/>
        <w:spacing w:before="43" w:line="278" w:lineRule="auto"/>
        <w:ind w:left="2985" w:right="631"/>
        <w:jc w:val="both"/>
      </w:pPr>
      <w:r>
        <w:rPr>
          <w:spacing w:val="-2"/>
        </w:rPr>
        <w:t>②该特定药品须由本公司认可的医院的专科医生开具处方且为被保险人当前治疗合理且必须的药品，且该特定药品客观上无法在开具处方的医院购</w:t>
      </w:r>
      <w:r>
        <w:rPr>
          <w:spacing w:val="-6"/>
        </w:rPr>
        <w:t>买；</w:t>
      </w:r>
    </w:p>
    <w:p>
      <w:pPr>
        <w:pStyle w:val="4"/>
        <w:ind w:left="2985"/>
      </w:pPr>
      <w:r>
        <w:rPr>
          <w:spacing w:val="-5"/>
        </w:rPr>
        <w:t xml:space="preserve">③每次特定药品处方剂量原则上不超过 </w:t>
      </w:r>
      <w:r>
        <w:rPr>
          <w:spacing w:val="-2"/>
        </w:rPr>
        <w:t>30</w:t>
      </w:r>
      <w:r>
        <w:rPr>
          <w:spacing w:val="-18"/>
        </w:rPr>
        <w:t xml:space="preserve"> 日；</w:t>
      </w:r>
    </w:p>
    <w:p>
      <w:pPr>
        <w:pStyle w:val="4"/>
        <w:spacing w:before="43"/>
        <w:ind w:left="2985"/>
      </w:pPr>
      <w:r>
        <w:rPr>
          <w:spacing w:val="-3"/>
        </w:rPr>
        <w:t>④被保险人须在本公司约定的特定医疗机构购买上述处方中所列的药品；</w:t>
      </w:r>
    </w:p>
    <w:p>
      <w:pPr>
        <w:pStyle w:val="4"/>
        <w:spacing w:before="43" w:line="278" w:lineRule="auto"/>
        <w:ind w:left="2985" w:right="629"/>
      </w:pPr>
      <w:r>
        <w:rPr>
          <w:spacing w:val="-2"/>
        </w:rPr>
        <w:t>⑤该特定药品必须为本合同期满日前在中国国家药品监督管理局批准且已在中国上市的靶向药物和免疫治疗药物，且在约定的药品清单列表中；约定的药品清单以在保险合同中载明的清单为准。保险期间内我们调整药品清单的，以我们在官方正式渠道（包括但不限于官网、官微）公布的为</w:t>
      </w:r>
      <w:r>
        <w:rPr>
          <w:spacing w:val="40"/>
        </w:rPr>
        <w:t xml:space="preserve"> </w:t>
      </w:r>
      <w:r>
        <w:rPr>
          <w:spacing w:val="-6"/>
        </w:rPr>
        <w:t>准。</w:t>
      </w:r>
    </w:p>
    <w:p>
      <w:pPr>
        <w:pStyle w:val="8"/>
        <w:numPr>
          <w:ilvl w:val="0"/>
          <w:numId w:val="66"/>
        </w:numPr>
        <w:tabs>
          <w:tab w:val="left" w:pos="3515"/>
        </w:tabs>
        <w:spacing w:before="158" w:after="0" w:line="240" w:lineRule="auto"/>
        <w:ind w:left="3514" w:right="0" w:hanging="530"/>
        <w:jc w:val="left"/>
        <w:rPr>
          <w:sz w:val="21"/>
        </w:rPr>
      </w:pPr>
      <w:r>
        <w:rPr>
          <w:spacing w:val="-4"/>
          <w:sz w:val="21"/>
        </w:rPr>
        <w:t>膳食费</w:t>
      </w:r>
    </w:p>
    <w:p>
      <w:pPr>
        <w:pStyle w:val="4"/>
        <w:spacing w:before="39" w:line="278" w:lineRule="auto"/>
        <w:ind w:left="2985" w:right="632"/>
      </w:pPr>
      <w:r>
        <w:rPr>
          <w:spacing w:val="-2"/>
        </w:rPr>
        <w:t>指住院期间根据专科医生的医嘱，由医院内部专属部门的、为住院病人配餐的食堂配送的膳食费用。</w:t>
      </w:r>
    </w:p>
    <w:p>
      <w:pPr>
        <w:pStyle w:val="4"/>
        <w:spacing w:line="278" w:lineRule="auto"/>
        <w:ind w:left="2985" w:right="632"/>
      </w:pPr>
      <w:r>
        <w:rPr>
          <w:spacing w:val="-2"/>
        </w:rPr>
        <w:t>膳食费应包含在医疗账单内；根据各医院的惯例，可以作为独立的款项、也可以合并在病房费等其他款项内。</w:t>
      </w:r>
    </w:p>
    <w:p>
      <w:pPr>
        <w:pStyle w:val="8"/>
        <w:numPr>
          <w:ilvl w:val="0"/>
          <w:numId w:val="66"/>
        </w:numPr>
        <w:tabs>
          <w:tab w:val="left" w:pos="3515"/>
        </w:tabs>
        <w:spacing w:before="158" w:after="0" w:line="240" w:lineRule="auto"/>
        <w:ind w:left="3514" w:right="0" w:hanging="530"/>
        <w:jc w:val="left"/>
        <w:rPr>
          <w:sz w:val="21"/>
        </w:rPr>
      </w:pPr>
      <w:r>
        <w:rPr>
          <w:spacing w:val="-4"/>
          <w:sz w:val="21"/>
        </w:rPr>
        <w:t>治疗费</w:t>
      </w:r>
    </w:p>
    <w:p>
      <w:pPr>
        <w:pStyle w:val="4"/>
        <w:spacing w:before="44" w:line="278" w:lineRule="auto"/>
        <w:ind w:left="2985" w:right="629"/>
        <w:jc w:val="both"/>
      </w:pPr>
      <w:r>
        <w:rPr>
          <w:spacing w:val="-2"/>
        </w:rPr>
        <w:t>指住院期间以治疗疾病为目的，提供必要的医学手段而发生的合理且必须的治疗者的技术劳务费和医疗器械使用费，以及消耗品的费用，包括注射费、机疗费、理疗费、输血费、输氧费、体外反搏费等。</w:t>
      </w:r>
    </w:p>
    <w:p>
      <w:pPr>
        <w:pStyle w:val="8"/>
        <w:numPr>
          <w:ilvl w:val="0"/>
          <w:numId w:val="66"/>
        </w:numPr>
        <w:tabs>
          <w:tab w:val="left" w:pos="3515"/>
        </w:tabs>
        <w:spacing w:before="158" w:after="0" w:line="240" w:lineRule="auto"/>
        <w:ind w:left="3514" w:right="0" w:hanging="530"/>
        <w:jc w:val="left"/>
        <w:rPr>
          <w:sz w:val="21"/>
        </w:rPr>
      </w:pPr>
      <w:r>
        <w:rPr>
          <w:spacing w:val="-4"/>
          <w:sz w:val="21"/>
        </w:rPr>
        <w:t>护理费</w:t>
      </w:r>
    </w:p>
    <w:p>
      <w:pPr>
        <w:pStyle w:val="4"/>
        <w:spacing w:before="38"/>
        <w:ind w:left="2985"/>
      </w:pPr>
      <w:r>
        <w:rPr>
          <w:spacing w:val="-3"/>
        </w:rPr>
        <w:t>指住院期间根据医嘱所示的护理等级确定的护理费用。</w:t>
      </w:r>
    </w:p>
    <w:p>
      <w:pPr>
        <w:pStyle w:val="4"/>
        <w:spacing w:before="9"/>
        <w:rPr>
          <w:sz w:val="15"/>
        </w:rPr>
      </w:pPr>
    </w:p>
    <w:p>
      <w:pPr>
        <w:pStyle w:val="8"/>
        <w:numPr>
          <w:ilvl w:val="0"/>
          <w:numId w:val="66"/>
        </w:numPr>
        <w:tabs>
          <w:tab w:val="left" w:pos="3515"/>
        </w:tabs>
        <w:spacing w:before="0" w:after="0" w:line="240" w:lineRule="auto"/>
        <w:ind w:left="3514" w:right="0" w:hanging="530"/>
        <w:jc w:val="left"/>
        <w:rPr>
          <w:sz w:val="21"/>
        </w:rPr>
      </w:pPr>
      <w:r>
        <w:rPr>
          <w:spacing w:val="-4"/>
          <w:sz w:val="21"/>
        </w:rPr>
        <w:t>检查检验费</w:t>
      </w:r>
    </w:p>
    <w:p>
      <w:pPr>
        <w:pStyle w:val="4"/>
        <w:spacing w:before="43" w:line="278" w:lineRule="auto"/>
        <w:ind w:left="2985" w:right="632"/>
      </w:pPr>
      <w:r>
        <w:rPr>
          <w:spacing w:val="-2"/>
        </w:rPr>
        <w:t>指住院期间实际发生的、以诊断疾病为目的，采取必要的医学手段进行检查及检验而发生的合理且必须的医疗费用，包括X光费、心电图费、B超</w:t>
      </w:r>
      <w:r>
        <w:rPr>
          <w:spacing w:val="40"/>
        </w:rPr>
        <w:t xml:space="preserve"> </w:t>
      </w:r>
      <w:r>
        <w:rPr>
          <w:spacing w:val="-2"/>
        </w:rPr>
        <w:t>费、脑电图费、内窥镜费、肺功能仪费、分子生化检验费和血、尿、便常规检验费等。</w:t>
      </w:r>
    </w:p>
    <w:p>
      <w:pPr>
        <w:pStyle w:val="8"/>
        <w:numPr>
          <w:ilvl w:val="0"/>
          <w:numId w:val="66"/>
        </w:numPr>
        <w:tabs>
          <w:tab w:val="left" w:pos="3515"/>
        </w:tabs>
        <w:spacing w:before="159" w:after="0" w:line="240" w:lineRule="auto"/>
        <w:ind w:left="3514" w:right="0" w:hanging="530"/>
        <w:jc w:val="left"/>
        <w:rPr>
          <w:sz w:val="21"/>
        </w:rPr>
      </w:pPr>
      <w:r>
        <w:rPr>
          <w:spacing w:val="-4"/>
          <w:sz w:val="21"/>
        </w:rPr>
        <w:t>手术费</w:t>
      </w:r>
    </w:p>
    <w:p>
      <w:pPr>
        <w:spacing w:after="0" w:line="240" w:lineRule="auto"/>
        <w:jc w:val="left"/>
        <w:rPr>
          <w:sz w:val="21"/>
        </w:rPr>
        <w:sectPr>
          <w:pgSz w:w="11910" w:h="16840"/>
          <w:pgMar w:top="820" w:right="680" w:bottom="420" w:left="880" w:header="0" w:footer="230" w:gutter="0"/>
          <w:cols w:space="720" w:num="1"/>
        </w:sectPr>
      </w:pPr>
    </w:p>
    <w:p>
      <w:pPr>
        <w:pStyle w:val="4"/>
        <w:spacing w:before="53" w:line="278" w:lineRule="auto"/>
        <w:ind w:left="2985" w:right="629"/>
        <w:jc w:val="both"/>
      </w:pPr>
      <w:r>
        <w:rPr>
          <w:spacing w:val="-2"/>
        </w:rPr>
        <w:t>指当地卫生行政部门规定的手术项目费用。包括手术费、麻醉费、手术监测费、手术材料费、术中用药费、手术设备费；若因器官移植而发生的手术费用，不包括器官本身的费用和获取器官过程中的费用。</w:t>
      </w:r>
    </w:p>
    <w:p>
      <w:pPr>
        <w:pStyle w:val="4"/>
        <w:spacing w:before="10"/>
        <w:rPr>
          <w:sz w:val="19"/>
        </w:rPr>
      </w:pPr>
    </w:p>
    <w:p>
      <w:pPr>
        <w:spacing w:after="0"/>
        <w:rPr>
          <w:sz w:val="19"/>
        </w:rPr>
        <w:sectPr>
          <w:pgSz w:w="11910" w:h="16840"/>
          <w:pgMar w:top="660" w:right="680" w:bottom="420" w:left="880" w:header="0" w:footer="230" w:gutter="0"/>
          <w:cols w:space="720" w:num="1"/>
        </w:sectPr>
      </w:pPr>
    </w:p>
    <w:p>
      <w:pPr>
        <w:pStyle w:val="3"/>
        <w:numPr>
          <w:ilvl w:val="1"/>
          <w:numId w:val="64"/>
        </w:numPr>
        <w:tabs>
          <w:tab w:val="left" w:pos="1391"/>
          <w:tab w:val="left" w:pos="1392"/>
        </w:tabs>
        <w:spacing w:before="56" w:after="0" w:line="194" w:lineRule="auto"/>
        <w:ind w:left="1391" w:right="0" w:hanging="961"/>
        <w:jc w:val="left"/>
      </w:pPr>
      <w:r>
        <w:rPr>
          <w:spacing w:val="-2"/>
        </w:rPr>
        <w:t>住院前后门急</w:t>
      </w:r>
      <w:r>
        <w:rPr>
          <w:spacing w:val="-4"/>
        </w:rPr>
        <w:t>诊费用</w:t>
      </w:r>
    </w:p>
    <w:p>
      <w:pPr>
        <w:pStyle w:val="4"/>
        <w:spacing w:before="72" w:line="278" w:lineRule="auto"/>
        <w:ind w:left="286" w:right="629"/>
      </w:pPr>
      <w:r>
        <w:br w:type="column"/>
      </w:r>
      <w:r>
        <w:rPr>
          <w:spacing w:val="-8"/>
        </w:rPr>
        <w:t xml:space="preserve">指住院前后各 </w:t>
      </w:r>
      <w:r>
        <w:t>7</w:t>
      </w:r>
      <w:r>
        <w:rPr>
          <w:spacing w:val="-8"/>
        </w:rPr>
        <w:t xml:space="preserve"> 日内与该次住院原因相同而发生的门诊急诊费用。不包括</w:t>
      </w:r>
      <w:r>
        <w:rPr>
          <w:spacing w:val="-13"/>
        </w:rPr>
        <w:t>门诊肾透析，“恶性肿瘤——重度”的化学疗法、放射疗法、免疫疗法、</w:t>
      </w:r>
      <w:r>
        <w:rPr>
          <w:spacing w:val="-2"/>
        </w:rPr>
        <w:t>内分泌疗法、靶向疗法，器官移植后的门诊抗排异治疗，以及门诊手术费</w:t>
      </w:r>
      <w:r>
        <w:rPr>
          <w:spacing w:val="-6"/>
        </w:rPr>
        <w:t>用。</w:t>
      </w:r>
    </w:p>
    <w:p>
      <w:pPr>
        <w:spacing w:after="0" w:line="278" w:lineRule="auto"/>
        <w:sectPr>
          <w:type w:val="continuous"/>
          <w:pgSz w:w="11910" w:h="16840"/>
          <w:pgMar w:top="920" w:right="680" w:bottom="420" w:left="880" w:header="0" w:footer="230" w:gutter="0"/>
          <w:cols w:equalWidth="0" w:num="2">
            <w:col w:w="2659" w:space="40"/>
            <w:col w:w="7651"/>
          </w:cols>
        </w:sectPr>
      </w:pPr>
    </w:p>
    <w:p>
      <w:pPr>
        <w:pStyle w:val="4"/>
        <w:spacing w:before="12"/>
        <w:rPr>
          <w:sz w:val="19"/>
        </w:rPr>
      </w:pPr>
    </w:p>
    <w:p>
      <w:pPr>
        <w:pStyle w:val="8"/>
        <w:numPr>
          <w:ilvl w:val="1"/>
          <w:numId w:val="64"/>
        </w:numPr>
        <w:tabs>
          <w:tab w:val="left" w:pos="1391"/>
          <w:tab w:val="left" w:pos="1392"/>
          <w:tab w:val="left" w:pos="2985"/>
        </w:tabs>
        <w:spacing w:before="2" w:after="0" w:line="256" w:lineRule="auto"/>
        <w:ind w:left="2985" w:right="630" w:hanging="2555"/>
        <w:jc w:val="both"/>
        <w:rPr>
          <w:rFonts w:ascii="Microsoft JhengHei" w:eastAsia="Microsoft JhengHei"/>
          <w:b/>
          <w:sz w:val="21"/>
        </w:rPr>
      </w:pPr>
      <w:r>
        <w:rPr>
          <w:rFonts w:ascii="Microsoft JhengHei" w:eastAsia="Microsoft JhengHei"/>
          <w:b/>
          <w:spacing w:val="-4"/>
          <w:sz w:val="21"/>
        </w:rPr>
        <w:t>肾透析</w:t>
      </w:r>
      <w:r>
        <w:rPr>
          <w:rFonts w:ascii="Microsoft JhengHei" w:eastAsia="Microsoft JhengHei"/>
          <w:b/>
          <w:sz w:val="21"/>
        </w:rPr>
        <w:tab/>
      </w:r>
      <w:r>
        <w:rPr>
          <w:spacing w:val="-2"/>
          <w:sz w:val="21"/>
        </w:rPr>
        <w:t>指根据半透膜的膜平衡原理，使用一定浓度的电解质和葡萄糖组成的透析液和血液中积累的代谢产物、水及电解质进行渗透交换，从而达到治疗终末期肾病目的的治疗方式。</w:t>
      </w:r>
    </w:p>
    <w:p>
      <w:pPr>
        <w:pStyle w:val="4"/>
        <w:spacing w:before="2"/>
      </w:pPr>
    </w:p>
    <w:p>
      <w:pPr>
        <w:spacing w:after="0"/>
        <w:sectPr>
          <w:type w:val="continuous"/>
          <w:pgSz w:w="11910" w:h="16840"/>
          <w:pgMar w:top="920" w:right="680" w:bottom="420" w:left="880" w:header="0" w:footer="230" w:gutter="0"/>
          <w:cols w:space="720" w:num="1"/>
        </w:sectPr>
      </w:pPr>
    </w:p>
    <w:p>
      <w:pPr>
        <w:pStyle w:val="3"/>
        <w:numPr>
          <w:ilvl w:val="1"/>
          <w:numId w:val="64"/>
        </w:numPr>
        <w:tabs>
          <w:tab w:val="left" w:pos="1392"/>
        </w:tabs>
        <w:spacing w:before="3" w:after="0" w:line="347" w:lineRule="exact"/>
        <w:ind w:left="1391" w:right="0" w:hanging="962"/>
        <w:jc w:val="both"/>
      </w:pPr>
      <w:r>
        <w:rPr>
          <w:spacing w:val="-4"/>
        </w:rPr>
        <w:t>“恶性肿瘤—</w:t>
      </w:r>
    </w:p>
    <w:p>
      <w:pPr>
        <w:spacing w:before="13" w:line="194" w:lineRule="auto"/>
        <w:ind w:left="1391" w:right="0" w:firstLine="0"/>
        <w:jc w:val="both"/>
        <w:rPr>
          <w:rFonts w:ascii="Microsoft JhengHei" w:hAnsi="Microsoft JhengHei" w:eastAsia="Microsoft JhengHei"/>
          <w:b/>
          <w:sz w:val="21"/>
        </w:rPr>
      </w:pPr>
      <w:r>
        <w:rPr>
          <w:rFonts w:ascii="Microsoft JhengHei" w:hAnsi="Microsoft JhengHei" w:eastAsia="Microsoft JhengHei"/>
          <w:b/>
          <w:spacing w:val="-4"/>
          <w:sz w:val="21"/>
        </w:rPr>
        <w:t>—重度”的化</w:t>
      </w:r>
      <w:r>
        <w:rPr>
          <w:rFonts w:ascii="Microsoft JhengHei" w:hAnsi="Microsoft JhengHei" w:eastAsia="Microsoft JhengHei"/>
          <w:b/>
          <w:spacing w:val="-2"/>
          <w:sz w:val="21"/>
        </w:rPr>
        <w:t>学疗法、放射疗法、免疫疗法、内分泌疗法、靶向疗法</w:t>
      </w:r>
    </w:p>
    <w:p>
      <w:pPr>
        <w:pStyle w:val="8"/>
        <w:numPr>
          <w:ilvl w:val="0"/>
          <w:numId w:val="67"/>
        </w:numPr>
        <w:tabs>
          <w:tab w:val="left" w:pos="816"/>
        </w:tabs>
        <w:spacing w:before="72" w:after="0" w:line="276" w:lineRule="auto"/>
        <w:ind w:left="286" w:right="620" w:firstLine="0"/>
        <w:jc w:val="both"/>
        <w:rPr>
          <w:sz w:val="21"/>
        </w:rPr>
      </w:pPr>
      <w:r>
        <w:rPr>
          <w:sz w:val="21"/>
        </w:rPr>
        <w:br w:type="column"/>
      </w:r>
      <w:r>
        <w:rPr>
          <w:spacing w:val="-4"/>
          <w:sz w:val="21"/>
        </w:rPr>
        <w:t>化学疗法：指针对于“恶性肿瘤——重度”的化学治疗。化疗是使用</w:t>
      </w:r>
      <w:r>
        <w:rPr>
          <w:spacing w:val="-2"/>
          <w:sz w:val="21"/>
        </w:rPr>
        <w:t>医学界公认的化疗药物以杀死癌细胞、抑制癌细胞生长繁殖为目的而进行的治疗。本合同所指的化疗为被保险人根据医嘱，在医院进行的静脉注射</w:t>
      </w:r>
      <w:r>
        <w:rPr>
          <w:spacing w:val="-4"/>
          <w:sz w:val="21"/>
        </w:rPr>
        <w:t>化疗。</w:t>
      </w:r>
    </w:p>
    <w:p>
      <w:pPr>
        <w:pStyle w:val="8"/>
        <w:numPr>
          <w:ilvl w:val="0"/>
          <w:numId w:val="67"/>
        </w:numPr>
        <w:tabs>
          <w:tab w:val="left" w:pos="816"/>
        </w:tabs>
        <w:spacing w:before="165" w:after="0" w:line="278" w:lineRule="auto"/>
        <w:ind w:left="286" w:right="620" w:firstLine="0"/>
        <w:jc w:val="both"/>
        <w:rPr>
          <w:sz w:val="21"/>
        </w:rPr>
      </w:pPr>
      <w:r>
        <w:rPr>
          <w:spacing w:val="-4"/>
          <w:sz w:val="21"/>
        </w:rPr>
        <w:t>放射疗法：指针对“恶性肿瘤——重度”的放射治疗。放疗是使用各</w:t>
      </w:r>
      <w:r>
        <w:rPr>
          <w:spacing w:val="-2"/>
          <w:sz w:val="21"/>
        </w:rPr>
        <w:t>种不同能量的射线照射肿瘤组织，以抑制和杀灭癌细胞为目的而进行的治疗。本合同所指的放疗为被保险人根据医嘱，在医院的专门科室进行的放</w:t>
      </w:r>
      <w:r>
        <w:rPr>
          <w:spacing w:val="-6"/>
          <w:sz w:val="21"/>
        </w:rPr>
        <w:t>疗。</w:t>
      </w:r>
    </w:p>
    <w:p>
      <w:pPr>
        <w:pStyle w:val="8"/>
        <w:numPr>
          <w:ilvl w:val="0"/>
          <w:numId w:val="67"/>
        </w:numPr>
        <w:tabs>
          <w:tab w:val="left" w:pos="816"/>
        </w:tabs>
        <w:spacing w:before="158" w:after="0" w:line="278" w:lineRule="auto"/>
        <w:ind w:left="286" w:right="617" w:firstLine="0"/>
        <w:jc w:val="both"/>
        <w:rPr>
          <w:sz w:val="21"/>
        </w:rPr>
      </w:pPr>
      <w:r>
        <w:rPr>
          <w:spacing w:val="-2"/>
          <w:sz w:val="21"/>
        </w:rPr>
        <w:t>免疫疗法：指应用免疫学原理和方法，使用肿瘤免疫治疗药物提高肿瘤细胞的免疫原性和对效应细胞杀伤的敏感性，激发和增强机体抗肿瘤免疫应答，并应用免疫细胞和效应分子输注宿主体内，协同机体免疫系统杀伤肿瘤、抑制肿瘤生长。本合同所指的免疫治疗药物需符合法律、法规要求并经过国家食品药品监督管理总局批准用于临床治疗。</w:t>
      </w:r>
    </w:p>
    <w:p>
      <w:pPr>
        <w:pStyle w:val="8"/>
        <w:numPr>
          <w:ilvl w:val="0"/>
          <w:numId w:val="67"/>
        </w:numPr>
        <w:tabs>
          <w:tab w:val="left" w:pos="816"/>
        </w:tabs>
        <w:spacing w:before="153" w:after="0" w:line="278" w:lineRule="auto"/>
        <w:ind w:left="286" w:right="620" w:firstLine="0"/>
        <w:jc w:val="both"/>
        <w:rPr>
          <w:sz w:val="21"/>
        </w:rPr>
      </w:pPr>
      <w:r>
        <w:rPr>
          <w:spacing w:val="-4"/>
          <w:sz w:val="21"/>
        </w:rPr>
        <w:t>内分泌疗法：指针对于“恶性肿瘤——重度”的内分泌疗法，用药物</w:t>
      </w:r>
      <w:r>
        <w:rPr>
          <w:spacing w:val="-2"/>
          <w:sz w:val="21"/>
        </w:rPr>
        <w:t>抑制激素生成和激素反应，杀死癌细胞或抑制癌细胞的生长。本合同所指的内分泌治疗药物需符合法律、法规要求并经过国家食品药品监督管理总局批准用于临床治疗。</w:t>
      </w:r>
    </w:p>
    <w:p>
      <w:pPr>
        <w:pStyle w:val="8"/>
        <w:numPr>
          <w:ilvl w:val="0"/>
          <w:numId w:val="67"/>
        </w:numPr>
        <w:tabs>
          <w:tab w:val="left" w:pos="816"/>
        </w:tabs>
        <w:spacing w:before="159" w:after="0" w:line="278" w:lineRule="auto"/>
        <w:ind w:left="286" w:right="617" w:firstLine="0"/>
        <w:jc w:val="both"/>
        <w:rPr>
          <w:sz w:val="21"/>
        </w:rPr>
      </w:pPr>
      <w:r>
        <w:rPr>
          <w:spacing w:val="-2"/>
          <w:sz w:val="21"/>
        </w:rPr>
        <w:t>靶向疗法：指在细胞分子水平上，针对已经明确的致癌点来设计相应的靶向治疗药物，利用具有一定特异性的载体，将药物或其他杀伤肿瘤细胞的活性物质选择性地运送到肿瘤部位攻击癌细胞的疗法。本合同所指的靶向治疗药物需符合法律、法规要求并经过国家食品药品监督管理总局批准用于临床治疗。</w:t>
      </w:r>
    </w:p>
    <w:p>
      <w:pPr>
        <w:spacing w:after="0" w:line="278" w:lineRule="auto"/>
        <w:jc w:val="both"/>
        <w:rPr>
          <w:sz w:val="21"/>
        </w:rPr>
        <w:sectPr>
          <w:type w:val="continuous"/>
          <w:pgSz w:w="11910" w:h="16840"/>
          <w:pgMar w:top="920" w:right="680" w:bottom="420" w:left="880" w:header="0" w:footer="230" w:gutter="0"/>
          <w:cols w:equalWidth="0" w:num="2">
            <w:col w:w="2660" w:space="40"/>
            <w:col w:w="7650"/>
          </w:cols>
        </w:sectPr>
      </w:pPr>
    </w:p>
    <w:p>
      <w:pPr>
        <w:pStyle w:val="4"/>
        <w:spacing w:before="11"/>
        <w:rPr>
          <w:sz w:val="19"/>
        </w:rPr>
      </w:pPr>
    </w:p>
    <w:p>
      <w:pPr>
        <w:pStyle w:val="8"/>
        <w:numPr>
          <w:ilvl w:val="1"/>
          <w:numId w:val="64"/>
        </w:numPr>
        <w:tabs>
          <w:tab w:val="left" w:pos="1391"/>
          <w:tab w:val="left" w:pos="1392"/>
          <w:tab w:val="left" w:pos="2985"/>
        </w:tabs>
        <w:spacing w:before="2" w:after="0" w:line="256" w:lineRule="auto"/>
        <w:ind w:left="2985" w:right="632" w:hanging="2555"/>
        <w:jc w:val="left"/>
        <w:rPr>
          <w:rFonts w:ascii="Microsoft JhengHei" w:hAnsi="Microsoft JhengHei" w:eastAsia="Microsoft JhengHei"/>
          <w:b/>
          <w:sz w:val="21"/>
        </w:rPr>
      </w:pPr>
      <w:r>
        <w:rPr>
          <w:rFonts w:ascii="Microsoft JhengHei" w:hAnsi="Microsoft JhengHei" w:eastAsia="Microsoft JhengHei"/>
          <w:b/>
          <w:spacing w:val="-4"/>
          <w:sz w:val="21"/>
        </w:rPr>
        <w:t>门诊手术</w:t>
      </w:r>
      <w:r>
        <w:rPr>
          <w:rFonts w:ascii="Microsoft JhengHei" w:hAnsi="Microsoft JhengHei" w:eastAsia="Microsoft JhengHei"/>
          <w:b/>
          <w:sz w:val="21"/>
        </w:rPr>
        <w:tab/>
      </w:r>
      <w:r>
        <w:rPr>
          <w:spacing w:val="-2"/>
          <w:sz w:val="21"/>
        </w:rPr>
        <w:t>在本合同有效期内，若被保险人因疾病或遭受意外事故而在医院进行门诊手术，则本公司将给付特定门诊手术医疗保险金予被保险人</w:t>
      </w:r>
      <w:r>
        <w:rPr>
          <w:spacing w:val="-106"/>
          <w:sz w:val="21"/>
        </w:rPr>
        <w:t>。</w:t>
      </w:r>
      <w:r>
        <w:rPr>
          <w:spacing w:val="-2"/>
          <w:sz w:val="21"/>
        </w:rPr>
        <w:t>“手术费”指医生在医院手术室内施行手术所收取的手术材料费、麻醉费和手术操作</w:t>
      </w:r>
    </w:p>
    <w:p>
      <w:pPr>
        <w:pStyle w:val="4"/>
        <w:spacing w:before="12"/>
        <w:ind w:left="2985"/>
      </w:pPr>
      <w:r>
        <w:rPr>
          <w:spacing w:val="-4"/>
        </w:rPr>
        <w:t>费用的总和。</w:t>
      </w:r>
    </w:p>
    <w:p>
      <w:pPr>
        <w:pStyle w:val="4"/>
        <w:spacing w:before="10"/>
        <w:rPr>
          <w:sz w:val="23"/>
        </w:rPr>
      </w:pPr>
    </w:p>
    <w:p>
      <w:pPr>
        <w:pStyle w:val="8"/>
        <w:numPr>
          <w:ilvl w:val="1"/>
          <w:numId w:val="64"/>
        </w:numPr>
        <w:tabs>
          <w:tab w:val="left" w:pos="1391"/>
          <w:tab w:val="left" w:pos="1392"/>
          <w:tab w:val="left" w:pos="2985"/>
        </w:tabs>
        <w:spacing w:before="1" w:after="0" w:line="256" w:lineRule="auto"/>
        <w:ind w:left="2985" w:right="631" w:hanging="2555"/>
        <w:jc w:val="left"/>
        <w:rPr>
          <w:rFonts w:ascii="Microsoft JhengHei" w:eastAsia="Microsoft JhengHei"/>
          <w:b/>
          <w:sz w:val="21"/>
        </w:rPr>
      </w:pPr>
      <w:r>
        <w:rPr>
          <w:rFonts w:ascii="Microsoft JhengHei" w:eastAsia="Microsoft JhengHei"/>
          <w:b/>
          <w:spacing w:val="-4"/>
          <w:sz w:val="21"/>
        </w:rPr>
        <w:t>初次确诊</w:t>
      </w:r>
      <w:r>
        <w:rPr>
          <w:rFonts w:ascii="Microsoft JhengHei" w:eastAsia="Microsoft JhengHei"/>
          <w:b/>
          <w:sz w:val="21"/>
        </w:rPr>
        <w:tab/>
      </w:r>
      <w:r>
        <w:rPr>
          <w:spacing w:val="-2"/>
          <w:sz w:val="21"/>
        </w:rPr>
        <w:t>指自被保险人出生之日起第一次经医院确诊发生本合同所定义的重大疾</w:t>
      </w:r>
      <w:r>
        <w:rPr>
          <w:spacing w:val="40"/>
          <w:sz w:val="21"/>
        </w:rPr>
        <w:t xml:space="preserve"> </w:t>
      </w:r>
      <w:r>
        <w:rPr>
          <w:spacing w:val="-2"/>
          <w:sz w:val="21"/>
        </w:rPr>
        <w:t>病，而不是指自本合同生效、复效之后第一次经医院确诊发生本合同所定义的重大疾病。确诊日期为病理报告日期，疾病定义中另有约定的除外。</w:t>
      </w:r>
    </w:p>
    <w:p>
      <w:pPr>
        <w:pStyle w:val="4"/>
        <w:rPr>
          <w:sz w:val="22"/>
        </w:rPr>
      </w:pPr>
    </w:p>
    <w:p>
      <w:pPr>
        <w:pStyle w:val="8"/>
        <w:numPr>
          <w:ilvl w:val="1"/>
          <w:numId w:val="64"/>
        </w:numPr>
        <w:tabs>
          <w:tab w:val="left" w:pos="1391"/>
          <w:tab w:val="left" w:pos="1392"/>
          <w:tab w:val="left" w:pos="2985"/>
        </w:tabs>
        <w:spacing w:before="1" w:after="0" w:line="225" w:lineRule="auto"/>
        <w:ind w:left="2985" w:right="631" w:hanging="2555"/>
        <w:jc w:val="left"/>
        <w:rPr>
          <w:rFonts w:ascii="Microsoft JhengHei" w:eastAsia="Microsoft JhengHei"/>
          <w:b/>
          <w:sz w:val="22"/>
        </w:rPr>
      </w:pPr>
      <w:r>
        <w:rPr>
          <w:rFonts w:ascii="Microsoft JhengHei" w:eastAsia="Microsoft JhengHei"/>
          <w:b/>
          <w:spacing w:val="-2"/>
          <w:sz w:val="21"/>
        </w:rPr>
        <w:t>特定医疗机构</w:t>
      </w:r>
      <w:r>
        <w:rPr>
          <w:rFonts w:ascii="Microsoft JhengHei" w:eastAsia="Microsoft JhengHei"/>
          <w:b/>
          <w:sz w:val="21"/>
        </w:rPr>
        <w:tab/>
      </w:r>
      <w:r>
        <w:rPr>
          <w:spacing w:val="-2"/>
          <w:sz w:val="21"/>
        </w:rPr>
        <w:t>各项责任认可的特定医疗机构以在保险单中载明的名单为准。保险期间内我们调整认可的特定医疗机构的，以我们在官方正式渠道（包括但不限于</w:t>
      </w:r>
    </w:p>
    <w:p>
      <w:pPr>
        <w:spacing w:after="0" w:line="225" w:lineRule="auto"/>
        <w:jc w:val="left"/>
        <w:rPr>
          <w:rFonts w:ascii="Microsoft JhengHei" w:eastAsia="Microsoft JhengHei"/>
          <w:sz w:val="22"/>
        </w:rPr>
        <w:sectPr>
          <w:type w:val="continuous"/>
          <w:pgSz w:w="11910" w:h="16840"/>
          <w:pgMar w:top="920" w:right="680" w:bottom="420" w:left="880" w:header="0" w:footer="230" w:gutter="0"/>
          <w:cols w:space="720" w:num="1"/>
        </w:sectPr>
      </w:pPr>
    </w:p>
    <w:tbl>
      <w:tblPr>
        <w:tblStyle w:val="5"/>
        <w:tblW w:w="0" w:type="auto"/>
        <w:tblInd w:w="38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6"/>
        <w:gridCol w:w="1695"/>
        <w:gridCol w:w="69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3" w:hRule="atLeast"/>
        </w:trPr>
        <w:tc>
          <w:tcPr>
            <w:tcW w:w="2441" w:type="dxa"/>
            <w:gridSpan w:val="2"/>
          </w:tcPr>
          <w:p>
            <w:pPr>
              <w:pStyle w:val="9"/>
              <w:rPr>
                <w:rFonts w:ascii="Times New Roman"/>
                <w:sz w:val="20"/>
              </w:rPr>
            </w:pPr>
          </w:p>
        </w:tc>
        <w:tc>
          <w:tcPr>
            <w:tcW w:w="6953" w:type="dxa"/>
          </w:tcPr>
          <w:p>
            <w:pPr>
              <w:pStyle w:val="9"/>
              <w:spacing w:line="241" w:lineRule="exact"/>
              <w:ind w:left="163"/>
              <w:rPr>
                <w:sz w:val="21"/>
              </w:rPr>
            </w:pPr>
            <w:r>
              <w:rPr>
                <w:spacing w:val="-2"/>
                <w:sz w:val="21"/>
              </w:rPr>
              <w:t>官网、官微）</w:t>
            </w:r>
            <w:r>
              <w:rPr>
                <w:spacing w:val="-4"/>
                <w:sz w:val="21"/>
              </w:rPr>
              <w:t>公布的为准。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88" w:hRule="atLeast"/>
        </w:trPr>
        <w:tc>
          <w:tcPr>
            <w:tcW w:w="746" w:type="dxa"/>
          </w:tcPr>
          <w:p>
            <w:pPr>
              <w:pStyle w:val="9"/>
              <w:spacing w:before="109"/>
              <w:ind w:left="50"/>
              <w:rPr>
                <w:rFonts w:ascii="Microsoft JhengHei"/>
                <w:b/>
                <w:sz w:val="22"/>
              </w:rPr>
            </w:pPr>
            <w:r>
              <w:rPr>
                <w:rFonts w:ascii="Microsoft JhengHei"/>
                <w:b/>
                <w:spacing w:val="-4"/>
                <w:sz w:val="22"/>
              </w:rPr>
              <w:t>8.14</w:t>
            </w:r>
          </w:p>
        </w:tc>
        <w:tc>
          <w:tcPr>
            <w:tcW w:w="1695" w:type="dxa"/>
          </w:tcPr>
          <w:p>
            <w:pPr>
              <w:pStyle w:val="9"/>
              <w:spacing w:before="145" w:line="312" w:lineRule="exact"/>
              <w:ind w:left="264" w:right="161"/>
              <w:rPr>
                <w:rFonts w:ascii="Microsoft JhengHei" w:eastAsia="Microsoft JhengHei"/>
                <w:b/>
                <w:sz w:val="21"/>
              </w:rPr>
            </w:pPr>
            <w:r>
              <w:rPr>
                <w:rFonts w:ascii="Microsoft JhengHei" w:eastAsia="Microsoft JhengHei"/>
                <w:b/>
                <w:spacing w:val="-2"/>
                <w:sz w:val="21"/>
              </w:rPr>
              <w:t>质子重离子医</w:t>
            </w:r>
            <w:r>
              <w:rPr>
                <w:rFonts w:ascii="Microsoft JhengHei" w:eastAsia="Microsoft JhengHei"/>
                <w:b/>
                <w:spacing w:val="-4"/>
                <w:sz w:val="21"/>
              </w:rPr>
              <w:t>疗费用</w:t>
            </w:r>
          </w:p>
        </w:tc>
        <w:tc>
          <w:tcPr>
            <w:tcW w:w="6953" w:type="dxa"/>
          </w:tcPr>
          <w:p>
            <w:pPr>
              <w:pStyle w:val="9"/>
              <w:spacing w:before="146" w:line="310" w:lineRule="atLeast"/>
              <w:ind w:left="163" w:right="60"/>
              <w:rPr>
                <w:sz w:val="21"/>
              </w:rPr>
            </w:pPr>
            <w:r>
              <w:rPr>
                <w:spacing w:val="-2"/>
                <w:sz w:val="21"/>
              </w:rPr>
              <w:t>指被保险人因接受质子、重离子放射治疗，而发生的费用，包括床位费、</w:t>
            </w:r>
            <w:r>
              <w:rPr>
                <w:spacing w:val="-3"/>
                <w:sz w:val="21"/>
              </w:rPr>
              <w:t>膳食费、护理费、诊疗费、检查检验费、治疗费、药品费等，其中床位费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25"/>
                <w:sz w:val="21"/>
              </w:rPr>
              <w:t xml:space="preserve">以 </w:t>
            </w:r>
            <w:r>
              <w:rPr>
                <w:spacing w:val="-2"/>
                <w:sz w:val="21"/>
              </w:rPr>
              <w:t>1,500</w:t>
            </w:r>
            <w:r>
              <w:rPr>
                <w:spacing w:val="-10"/>
                <w:sz w:val="21"/>
              </w:rPr>
              <w:t xml:space="preserve"> 元/天为限。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746" w:type="dxa"/>
          </w:tcPr>
          <w:p>
            <w:pPr>
              <w:pStyle w:val="9"/>
              <w:spacing w:before="116" w:line="339" w:lineRule="exact"/>
              <w:ind w:left="50"/>
              <w:rPr>
                <w:rFonts w:ascii="Microsoft JhengHei"/>
                <w:b/>
                <w:sz w:val="21"/>
              </w:rPr>
            </w:pPr>
            <w:r>
              <w:rPr>
                <w:rFonts w:ascii="Microsoft JhengHei"/>
                <w:b/>
                <w:spacing w:val="-4"/>
                <w:sz w:val="21"/>
              </w:rPr>
              <w:t>8.15</w:t>
            </w:r>
          </w:p>
        </w:tc>
        <w:tc>
          <w:tcPr>
            <w:tcW w:w="1695" w:type="dxa"/>
          </w:tcPr>
          <w:p>
            <w:pPr>
              <w:pStyle w:val="9"/>
              <w:spacing w:before="116" w:line="339" w:lineRule="exact"/>
              <w:ind w:left="264"/>
              <w:rPr>
                <w:rFonts w:ascii="Microsoft JhengHei" w:eastAsia="Microsoft JhengHei"/>
                <w:b/>
                <w:sz w:val="21"/>
              </w:rPr>
            </w:pPr>
            <w:r>
              <w:rPr>
                <w:rFonts w:ascii="Microsoft JhengHei" w:eastAsia="Microsoft JhengHei"/>
                <w:b/>
                <w:spacing w:val="-2"/>
                <w:sz w:val="21"/>
              </w:rPr>
              <w:t>基本医疗保险</w:t>
            </w:r>
          </w:p>
        </w:tc>
        <w:tc>
          <w:tcPr>
            <w:tcW w:w="6953" w:type="dxa"/>
          </w:tcPr>
          <w:p>
            <w:pPr>
              <w:pStyle w:val="9"/>
              <w:spacing w:before="6"/>
              <w:rPr>
                <w:sz w:val="14"/>
              </w:rPr>
            </w:pPr>
          </w:p>
          <w:p>
            <w:pPr>
              <w:pStyle w:val="9"/>
              <w:ind w:left="163"/>
              <w:rPr>
                <w:sz w:val="21"/>
              </w:rPr>
            </w:pPr>
            <w:r>
              <w:rPr>
                <w:spacing w:val="-3"/>
                <w:sz w:val="21"/>
              </w:rPr>
              <w:t>包括城镇职工基本医疗保险、城镇居民基本医疗保险、新型农村合作医疗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3"/>
                <w:sz w:val="21"/>
              </w:rPr>
              <w:t>等政府举办的基本医疗保障项目。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3" w:hRule="atLeast"/>
        </w:trPr>
        <w:tc>
          <w:tcPr>
            <w:tcW w:w="746" w:type="dxa"/>
          </w:tcPr>
          <w:p>
            <w:pPr>
              <w:pStyle w:val="9"/>
              <w:spacing w:before="115" w:line="337" w:lineRule="exact"/>
              <w:ind w:left="50"/>
              <w:rPr>
                <w:rFonts w:ascii="Microsoft JhengHei"/>
                <w:b/>
                <w:sz w:val="21"/>
              </w:rPr>
            </w:pPr>
            <w:r>
              <w:rPr>
                <w:rFonts w:ascii="Microsoft JhengHei"/>
                <w:b/>
                <w:spacing w:val="-4"/>
                <w:sz w:val="21"/>
              </w:rPr>
              <w:t>8.16</w:t>
            </w:r>
          </w:p>
        </w:tc>
        <w:tc>
          <w:tcPr>
            <w:tcW w:w="1695" w:type="dxa"/>
          </w:tcPr>
          <w:p>
            <w:pPr>
              <w:pStyle w:val="9"/>
              <w:spacing w:before="115" w:line="337" w:lineRule="exact"/>
              <w:ind w:left="264"/>
              <w:rPr>
                <w:rFonts w:ascii="Microsoft JhengHei" w:eastAsia="Microsoft JhengHei"/>
                <w:b/>
                <w:sz w:val="21"/>
              </w:rPr>
            </w:pPr>
            <w:r>
              <w:rPr>
                <w:rFonts w:ascii="Microsoft JhengHei" w:eastAsia="Microsoft JhengHei"/>
                <w:b/>
                <w:spacing w:val="-2"/>
                <w:sz w:val="21"/>
              </w:rPr>
              <w:t>政府主办补充</w:t>
            </w:r>
          </w:p>
        </w:tc>
        <w:tc>
          <w:tcPr>
            <w:tcW w:w="6953" w:type="dxa"/>
          </w:tcPr>
          <w:p>
            <w:pPr>
              <w:pStyle w:val="9"/>
              <w:spacing w:before="5"/>
              <w:rPr>
                <w:sz w:val="14"/>
              </w:rPr>
            </w:pPr>
          </w:p>
          <w:p>
            <w:pPr>
              <w:pStyle w:val="9"/>
              <w:spacing w:line="268" w:lineRule="exact"/>
              <w:ind w:left="163"/>
              <w:rPr>
                <w:sz w:val="21"/>
              </w:rPr>
            </w:pPr>
            <w:r>
              <w:rPr>
                <w:spacing w:val="-3"/>
                <w:sz w:val="21"/>
              </w:rPr>
              <w:t>指城乡居民大病保险、城镇职工大额医疗保险、城镇居民大额医疗保险等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746" w:type="dxa"/>
          </w:tcPr>
          <w:p>
            <w:pPr>
              <w:pStyle w:val="9"/>
              <w:rPr>
                <w:rFonts w:ascii="Times New Roman"/>
                <w:sz w:val="20"/>
              </w:rPr>
            </w:pPr>
          </w:p>
        </w:tc>
        <w:tc>
          <w:tcPr>
            <w:tcW w:w="1695" w:type="dxa"/>
          </w:tcPr>
          <w:p>
            <w:pPr>
              <w:pStyle w:val="9"/>
              <w:spacing w:line="290" w:lineRule="exact"/>
              <w:ind w:left="264"/>
              <w:rPr>
                <w:rFonts w:ascii="Microsoft JhengHei" w:eastAsia="Microsoft JhengHei"/>
                <w:b/>
                <w:sz w:val="21"/>
              </w:rPr>
            </w:pPr>
            <w:r>
              <w:rPr>
                <w:rFonts w:ascii="Microsoft JhengHei" w:eastAsia="Microsoft JhengHei"/>
                <w:b/>
                <w:spacing w:val="-5"/>
                <w:sz w:val="21"/>
              </w:rPr>
              <w:t>医疗</w:t>
            </w:r>
          </w:p>
        </w:tc>
        <w:tc>
          <w:tcPr>
            <w:tcW w:w="6953" w:type="dxa"/>
          </w:tcPr>
          <w:p>
            <w:pPr>
              <w:pStyle w:val="9"/>
              <w:spacing w:before="19"/>
              <w:ind w:left="163"/>
              <w:rPr>
                <w:sz w:val="21"/>
              </w:rPr>
            </w:pPr>
            <w:r>
              <w:rPr>
                <w:spacing w:val="-3"/>
                <w:sz w:val="21"/>
              </w:rPr>
              <w:t>由政府主办对基本医疗保险进行补充的医疗保障项目，大额医疗保险在各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5"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3"/>
                <w:sz w:val="21"/>
              </w:rPr>
              <w:t>地的具体名称会有所不同，以投保所在地政府主管部门规定的名称为准。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4" w:hRule="atLeast"/>
        </w:trPr>
        <w:tc>
          <w:tcPr>
            <w:tcW w:w="746" w:type="dxa"/>
          </w:tcPr>
          <w:p>
            <w:pPr>
              <w:pStyle w:val="9"/>
              <w:spacing w:before="121"/>
              <w:ind w:left="50"/>
              <w:rPr>
                <w:rFonts w:ascii="Microsoft JhengHei"/>
                <w:b/>
                <w:sz w:val="22"/>
              </w:rPr>
            </w:pPr>
            <w:r>
              <w:rPr>
                <w:rFonts w:ascii="Microsoft JhengHei"/>
                <w:b/>
                <w:spacing w:val="-4"/>
                <w:sz w:val="22"/>
              </w:rPr>
              <w:t>8.17</w:t>
            </w:r>
          </w:p>
        </w:tc>
        <w:tc>
          <w:tcPr>
            <w:tcW w:w="1695" w:type="dxa"/>
          </w:tcPr>
          <w:p>
            <w:pPr>
              <w:pStyle w:val="9"/>
              <w:spacing w:before="129"/>
              <w:ind w:left="254"/>
              <w:rPr>
                <w:rFonts w:ascii="Microsoft JhengHei" w:eastAsia="Microsoft JhengHei"/>
                <w:b/>
                <w:sz w:val="21"/>
              </w:rPr>
            </w:pPr>
            <w:r>
              <w:rPr>
                <w:rFonts w:ascii="Microsoft JhengHei" w:eastAsia="Microsoft JhengHei"/>
                <w:b/>
                <w:spacing w:val="-5"/>
                <w:sz w:val="21"/>
              </w:rPr>
              <w:t>醉酒</w:t>
            </w:r>
          </w:p>
        </w:tc>
        <w:tc>
          <w:tcPr>
            <w:tcW w:w="6953" w:type="dxa"/>
          </w:tcPr>
          <w:p>
            <w:pPr>
              <w:pStyle w:val="9"/>
              <w:spacing w:before="6"/>
              <w:rPr>
                <w:sz w:val="15"/>
              </w:rPr>
            </w:pPr>
          </w:p>
          <w:p>
            <w:pPr>
              <w:pStyle w:val="9"/>
              <w:spacing w:line="278" w:lineRule="auto"/>
              <w:ind w:left="163" w:right="377"/>
              <w:rPr>
                <w:sz w:val="21"/>
              </w:rPr>
            </w:pPr>
            <w:r>
              <w:rPr>
                <w:spacing w:val="-4"/>
                <w:sz w:val="21"/>
              </w:rPr>
              <w:t xml:space="preserve">指发生事故时被保险人每百毫升血液中的酒精含量大于或者等于 </w:t>
            </w:r>
            <w:r>
              <w:rPr>
                <w:spacing w:val="-2"/>
                <w:sz w:val="21"/>
              </w:rPr>
              <w:t>80</w:t>
            </w:r>
            <w:r>
              <w:rPr>
                <w:spacing w:val="-21"/>
                <w:sz w:val="21"/>
              </w:rPr>
              <w:t xml:space="preserve"> 毫</w:t>
            </w:r>
            <w:r>
              <w:rPr>
                <w:spacing w:val="-6"/>
                <w:sz w:val="21"/>
              </w:rPr>
              <w:t>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746" w:type="dxa"/>
          </w:tcPr>
          <w:p>
            <w:pPr>
              <w:pStyle w:val="9"/>
              <w:spacing w:before="116" w:line="339" w:lineRule="exact"/>
              <w:ind w:left="50"/>
              <w:rPr>
                <w:rFonts w:ascii="Microsoft JhengHei"/>
                <w:b/>
                <w:sz w:val="21"/>
              </w:rPr>
            </w:pPr>
            <w:r>
              <w:rPr>
                <w:rFonts w:ascii="Microsoft JhengHei"/>
                <w:b/>
                <w:spacing w:val="-4"/>
                <w:sz w:val="21"/>
              </w:rPr>
              <w:t>8.18</w:t>
            </w:r>
          </w:p>
        </w:tc>
        <w:tc>
          <w:tcPr>
            <w:tcW w:w="1695" w:type="dxa"/>
          </w:tcPr>
          <w:p>
            <w:pPr>
              <w:pStyle w:val="9"/>
              <w:spacing w:before="116" w:line="339" w:lineRule="exact"/>
              <w:ind w:left="254"/>
              <w:rPr>
                <w:rFonts w:ascii="Microsoft JhengHei" w:eastAsia="Microsoft JhengHei"/>
                <w:b/>
                <w:sz w:val="21"/>
              </w:rPr>
            </w:pPr>
            <w:r>
              <w:rPr>
                <w:rFonts w:ascii="Microsoft JhengHei" w:eastAsia="Microsoft JhengHei"/>
                <w:b/>
                <w:spacing w:val="-5"/>
                <w:sz w:val="21"/>
              </w:rPr>
              <w:t>毒品</w:t>
            </w:r>
          </w:p>
        </w:tc>
        <w:tc>
          <w:tcPr>
            <w:tcW w:w="6953" w:type="dxa"/>
          </w:tcPr>
          <w:p>
            <w:pPr>
              <w:pStyle w:val="9"/>
              <w:spacing w:before="6"/>
              <w:rPr>
                <w:sz w:val="14"/>
              </w:rPr>
            </w:pPr>
          </w:p>
          <w:p>
            <w:pPr>
              <w:pStyle w:val="9"/>
              <w:ind w:left="163"/>
              <w:rPr>
                <w:sz w:val="21"/>
              </w:rPr>
            </w:pPr>
            <w:r>
              <w:rPr>
                <w:spacing w:val="-6"/>
                <w:sz w:val="21"/>
              </w:rPr>
              <w:t>指《中华人民共和国刑法》规定的鸦片、海洛因、甲基苯丙胺（冰毒</w:t>
            </w:r>
            <w:r>
              <w:rPr>
                <w:spacing w:val="-111"/>
                <w:sz w:val="21"/>
              </w:rPr>
              <w:t>）</w:t>
            </w:r>
            <w:r>
              <w:rPr>
                <w:spacing w:val="-8"/>
                <w:sz w:val="21"/>
              </w:rPr>
              <w:t>、吗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3"/>
                <w:sz w:val="21"/>
              </w:rPr>
              <w:t>啡、大麻、可卡因以及国家规定管制的其他能够使人形成瘾癖的麻醉药品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3"/>
                <w:sz w:val="21"/>
              </w:rPr>
              <w:t>和精神药品，但不包括由医生开具并遵医嘱使用的用于治疗疾病但含有毒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3"/>
                <w:sz w:val="21"/>
              </w:rPr>
              <w:t>品成分的处方药品。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746" w:type="dxa"/>
          </w:tcPr>
          <w:p>
            <w:pPr>
              <w:pStyle w:val="9"/>
              <w:spacing w:before="116" w:line="339" w:lineRule="exact"/>
              <w:ind w:left="50"/>
              <w:rPr>
                <w:rFonts w:ascii="Microsoft JhengHei"/>
                <w:b/>
                <w:sz w:val="21"/>
              </w:rPr>
            </w:pPr>
            <w:r>
              <w:rPr>
                <w:rFonts w:ascii="Microsoft JhengHei"/>
                <w:b/>
                <w:spacing w:val="-4"/>
                <w:sz w:val="21"/>
              </w:rPr>
              <w:t>8.19</w:t>
            </w:r>
          </w:p>
        </w:tc>
        <w:tc>
          <w:tcPr>
            <w:tcW w:w="1695" w:type="dxa"/>
          </w:tcPr>
          <w:p>
            <w:pPr>
              <w:pStyle w:val="9"/>
              <w:spacing w:before="116" w:line="339" w:lineRule="exact"/>
              <w:ind w:left="254"/>
              <w:rPr>
                <w:rFonts w:ascii="Microsoft JhengHei" w:eastAsia="Microsoft JhengHei"/>
                <w:b/>
                <w:sz w:val="21"/>
              </w:rPr>
            </w:pPr>
            <w:r>
              <w:rPr>
                <w:rFonts w:ascii="Microsoft JhengHei" w:eastAsia="Microsoft JhengHei"/>
                <w:b/>
                <w:spacing w:val="-3"/>
                <w:sz w:val="21"/>
              </w:rPr>
              <w:t>酒后驾驶</w:t>
            </w:r>
          </w:p>
        </w:tc>
        <w:tc>
          <w:tcPr>
            <w:tcW w:w="6953" w:type="dxa"/>
          </w:tcPr>
          <w:p>
            <w:pPr>
              <w:pStyle w:val="9"/>
              <w:spacing w:before="5"/>
              <w:rPr>
                <w:sz w:val="14"/>
              </w:rPr>
            </w:pPr>
          </w:p>
          <w:p>
            <w:pPr>
              <w:pStyle w:val="9"/>
              <w:spacing w:before="1"/>
              <w:ind w:left="163"/>
              <w:rPr>
                <w:sz w:val="21"/>
              </w:rPr>
            </w:pPr>
            <w:r>
              <w:rPr>
                <w:spacing w:val="-3"/>
                <w:sz w:val="21"/>
              </w:rPr>
              <w:t>指经检测或者鉴定，发生保险事故时被保险人每百毫升血液中的酒精含量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3"/>
                <w:sz w:val="21"/>
              </w:rPr>
              <w:t>达到或者超过一定的标准，是否达到前述标准由公安机关交通管理部门依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3"/>
                <w:sz w:val="21"/>
              </w:rPr>
              <w:t>据《道路交通安全法》的规定认定，我们根据公安机关交通管理部门的认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3"/>
                <w:sz w:val="21"/>
              </w:rPr>
              <w:t>定确认被保险人是否属于饮酒后驾驶或醉酒后驾驶。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2" w:hRule="atLeast"/>
        </w:trPr>
        <w:tc>
          <w:tcPr>
            <w:tcW w:w="746" w:type="dxa"/>
          </w:tcPr>
          <w:p>
            <w:pPr>
              <w:pStyle w:val="9"/>
              <w:spacing w:before="116" w:line="337" w:lineRule="exact"/>
              <w:ind w:left="50"/>
              <w:rPr>
                <w:rFonts w:ascii="Microsoft JhengHei"/>
                <w:b/>
                <w:sz w:val="21"/>
              </w:rPr>
            </w:pPr>
            <w:r>
              <w:rPr>
                <w:rFonts w:ascii="Microsoft JhengHei"/>
                <w:b/>
                <w:spacing w:val="-4"/>
                <w:sz w:val="21"/>
              </w:rPr>
              <w:t>8.20</w:t>
            </w:r>
          </w:p>
        </w:tc>
        <w:tc>
          <w:tcPr>
            <w:tcW w:w="1695" w:type="dxa"/>
          </w:tcPr>
          <w:p>
            <w:pPr>
              <w:pStyle w:val="9"/>
              <w:spacing w:before="116" w:line="337" w:lineRule="exact"/>
              <w:ind w:left="254"/>
              <w:rPr>
                <w:rFonts w:ascii="Microsoft JhengHei" w:eastAsia="Microsoft JhengHei"/>
                <w:b/>
                <w:sz w:val="21"/>
              </w:rPr>
            </w:pPr>
            <w:r>
              <w:rPr>
                <w:rFonts w:ascii="Microsoft JhengHei" w:eastAsia="Microsoft JhengHei"/>
                <w:b/>
                <w:spacing w:val="-2"/>
                <w:sz w:val="21"/>
              </w:rPr>
              <w:t>无合法有效驾</w:t>
            </w:r>
          </w:p>
        </w:tc>
        <w:tc>
          <w:tcPr>
            <w:tcW w:w="6953" w:type="dxa"/>
          </w:tcPr>
          <w:p>
            <w:pPr>
              <w:pStyle w:val="9"/>
              <w:spacing w:before="5"/>
              <w:rPr>
                <w:sz w:val="14"/>
              </w:rPr>
            </w:pPr>
          </w:p>
          <w:p>
            <w:pPr>
              <w:pStyle w:val="9"/>
              <w:spacing w:before="1" w:line="268" w:lineRule="exact"/>
              <w:ind w:left="163"/>
              <w:rPr>
                <w:sz w:val="21"/>
              </w:rPr>
            </w:pPr>
            <w:r>
              <w:rPr>
                <w:spacing w:val="-4"/>
                <w:sz w:val="21"/>
              </w:rPr>
              <w:t>指下列情形之一：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746" w:type="dxa"/>
          </w:tcPr>
          <w:p>
            <w:pPr>
              <w:pStyle w:val="9"/>
              <w:rPr>
                <w:rFonts w:ascii="Times New Roman"/>
                <w:sz w:val="20"/>
              </w:rPr>
            </w:pPr>
          </w:p>
        </w:tc>
        <w:tc>
          <w:tcPr>
            <w:tcW w:w="1695" w:type="dxa"/>
          </w:tcPr>
          <w:p>
            <w:pPr>
              <w:pStyle w:val="9"/>
              <w:spacing w:line="290" w:lineRule="exact"/>
              <w:ind w:left="254"/>
              <w:rPr>
                <w:rFonts w:ascii="Microsoft JhengHei" w:eastAsia="Microsoft JhengHei"/>
                <w:b/>
                <w:sz w:val="21"/>
              </w:rPr>
            </w:pPr>
            <w:r>
              <w:rPr>
                <w:rFonts w:ascii="Microsoft JhengHei" w:eastAsia="Microsoft JhengHei"/>
                <w:b/>
                <w:spacing w:val="-3"/>
                <w:sz w:val="21"/>
              </w:rPr>
              <w:t>驶证驾驶</w:t>
            </w:r>
          </w:p>
        </w:tc>
        <w:tc>
          <w:tcPr>
            <w:tcW w:w="6953" w:type="dxa"/>
          </w:tcPr>
          <w:p>
            <w:pPr>
              <w:pStyle w:val="9"/>
              <w:spacing w:before="19"/>
              <w:ind w:left="163"/>
              <w:rPr>
                <w:sz w:val="21"/>
              </w:rPr>
            </w:pPr>
            <w:r>
              <w:rPr>
                <w:sz w:val="21"/>
              </w:rPr>
              <w:t>（1）</w:t>
            </w:r>
            <w:r>
              <w:rPr>
                <w:spacing w:val="-1"/>
                <w:sz w:val="21"/>
              </w:rPr>
              <w:t>没有取得中华人民共和国有关主管部门颁发或者认可的驾驶资格证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5"/>
                <w:sz w:val="21"/>
              </w:rPr>
              <w:t>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2"/>
                <w:sz w:val="21"/>
              </w:rPr>
              <w:t>（2）</w:t>
            </w:r>
            <w:r>
              <w:rPr>
                <w:spacing w:val="-3"/>
                <w:sz w:val="21"/>
              </w:rPr>
              <w:t>驾驶与合法有效驾驶证准驾车型不相符合的车辆；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2"/>
                <w:sz w:val="21"/>
              </w:rPr>
              <w:t>（3）</w:t>
            </w:r>
            <w:r>
              <w:rPr>
                <w:spacing w:val="-3"/>
                <w:sz w:val="21"/>
              </w:rPr>
              <w:t>持审验不合格的驾驶证驾驶；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6"/>
                <w:sz w:val="21"/>
              </w:rPr>
              <w:t>（4）</w:t>
            </w:r>
            <w:r>
              <w:rPr>
                <w:spacing w:val="-7"/>
                <w:sz w:val="21"/>
              </w:rPr>
              <w:t>在驾驶证有效期内未按照中华人民共和国法律、行政法规的规定，定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3"/>
                <w:sz w:val="21"/>
              </w:rPr>
              <w:t>期对机动车驾驶证实施审验的；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7"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2"/>
                <w:sz w:val="21"/>
              </w:rPr>
              <w:t>（5）</w:t>
            </w:r>
            <w:r>
              <w:rPr>
                <w:spacing w:val="-3"/>
                <w:sz w:val="21"/>
              </w:rPr>
              <w:t>驾驶证已过有效期的。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746" w:type="dxa"/>
          </w:tcPr>
          <w:p>
            <w:pPr>
              <w:pStyle w:val="9"/>
              <w:spacing w:before="118" w:line="337" w:lineRule="exact"/>
              <w:ind w:left="50"/>
              <w:rPr>
                <w:rFonts w:ascii="Microsoft JhengHei"/>
                <w:b/>
                <w:sz w:val="21"/>
              </w:rPr>
            </w:pPr>
            <w:r>
              <w:rPr>
                <w:rFonts w:ascii="Microsoft JhengHei"/>
                <w:b/>
                <w:spacing w:val="-4"/>
                <w:sz w:val="21"/>
              </w:rPr>
              <w:t>8.21</w:t>
            </w:r>
          </w:p>
        </w:tc>
        <w:tc>
          <w:tcPr>
            <w:tcW w:w="1695" w:type="dxa"/>
          </w:tcPr>
          <w:p>
            <w:pPr>
              <w:pStyle w:val="9"/>
              <w:spacing w:before="118" w:line="337" w:lineRule="exact"/>
              <w:ind w:left="254"/>
              <w:rPr>
                <w:rFonts w:ascii="Microsoft JhengHei" w:eastAsia="Microsoft JhengHei"/>
                <w:b/>
                <w:sz w:val="21"/>
              </w:rPr>
            </w:pPr>
            <w:r>
              <w:rPr>
                <w:rFonts w:ascii="Microsoft JhengHei" w:eastAsia="Microsoft JhengHei"/>
                <w:b/>
                <w:spacing w:val="-2"/>
                <w:sz w:val="21"/>
              </w:rPr>
              <w:t>无合法有效行</w:t>
            </w:r>
          </w:p>
        </w:tc>
        <w:tc>
          <w:tcPr>
            <w:tcW w:w="6953" w:type="dxa"/>
          </w:tcPr>
          <w:p>
            <w:pPr>
              <w:pStyle w:val="9"/>
              <w:spacing w:before="8"/>
              <w:rPr>
                <w:sz w:val="14"/>
              </w:rPr>
            </w:pPr>
          </w:p>
          <w:p>
            <w:pPr>
              <w:pStyle w:val="9"/>
              <w:spacing w:line="268" w:lineRule="exact"/>
              <w:ind w:left="163"/>
              <w:rPr>
                <w:sz w:val="21"/>
              </w:rPr>
            </w:pPr>
            <w:r>
              <w:rPr>
                <w:spacing w:val="-4"/>
                <w:sz w:val="21"/>
              </w:rPr>
              <w:t>指下列情形之一：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746" w:type="dxa"/>
          </w:tcPr>
          <w:p>
            <w:pPr>
              <w:pStyle w:val="9"/>
              <w:rPr>
                <w:rFonts w:ascii="Times New Roman"/>
                <w:sz w:val="20"/>
              </w:rPr>
            </w:pPr>
          </w:p>
        </w:tc>
        <w:tc>
          <w:tcPr>
            <w:tcW w:w="1695" w:type="dxa"/>
          </w:tcPr>
          <w:p>
            <w:pPr>
              <w:pStyle w:val="9"/>
              <w:spacing w:line="290" w:lineRule="exact"/>
              <w:ind w:left="254"/>
              <w:rPr>
                <w:rFonts w:ascii="Microsoft JhengHei" w:eastAsia="Microsoft JhengHei"/>
                <w:b/>
                <w:sz w:val="21"/>
              </w:rPr>
            </w:pPr>
            <w:r>
              <w:rPr>
                <w:rFonts w:ascii="Microsoft JhengHei" w:eastAsia="Microsoft JhengHei"/>
                <w:b/>
                <w:spacing w:val="-5"/>
                <w:sz w:val="21"/>
              </w:rPr>
              <w:t>驶证</w:t>
            </w:r>
          </w:p>
        </w:tc>
        <w:tc>
          <w:tcPr>
            <w:tcW w:w="6953" w:type="dxa"/>
          </w:tcPr>
          <w:p>
            <w:pPr>
              <w:pStyle w:val="9"/>
              <w:spacing w:before="19"/>
              <w:ind w:left="163"/>
              <w:rPr>
                <w:sz w:val="21"/>
              </w:rPr>
            </w:pPr>
            <w:r>
              <w:rPr>
                <w:spacing w:val="-2"/>
                <w:sz w:val="21"/>
              </w:rPr>
              <w:t>（1）</w:t>
            </w:r>
            <w:r>
              <w:rPr>
                <w:spacing w:val="-3"/>
                <w:sz w:val="21"/>
              </w:rPr>
              <w:t>未办理行驶证或者行驶证在申办过程中的；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2"/>
                <w:sz w:val="21"/>
              </w:rPr>
              <w:t>（2）</w:t>
            </w:r>
            <w:r>
              <w:rPr>
                <w:spacing w:val="-3"/>
                <w:sz w:val="21"/>
              </w:rPr>
              <w:t>机动车行驶证被依法注销登记的；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4"/>
                <w:sz w:val="21"/>
              </w:rPr>
              <w:t>（3）</w:t>
            </w:r>
            <w:r>
              <w:rPr>
                <w:spacing w:val="-5"/>
                <w:sz w:val="21"/>
              </w:rPr>
              <w:t>未在行驶证检验有效期内依法按时进行或者未通过机动车安全技术检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7"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22"/>
              <w:ind w:left="163"/>
              <w:rPr>
                <w:sz w:val="21"/>
              </w:rPr>
            </w:pPr>
            <w:r>
              <w:rPr>
                <w:spacing w:val="-4"/>
                <w:sz w:val="21"/>
              </w:rPr>
              <w:t>验的。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746" w:type="dxa"/>
          </w:tcPr>
          <w:p>
            <w:pPr>
              <w:pStyle w:val="9"/>
              <w:spacing w:before="118" w:line="337" w:lineRule="exact"/>
              <w:ind w:left="50"/>
              <w:rPr>
                <w:rFonts w:ascii="Microsoft JhengHei"/>
                <w:b/>
                <w:sz w:val="21"/>
              </w:rPr>
            </w:pPr>
            <w:r>
              <w:rPr>
                <w:rFonts w:ascii="Microsoft JhengHei"/>
                <w:b/>
                <w:spacing w:val="-4"/>
                <w:sz w:val="21"/>
              </w:rPr>
              <w:t>8.22</w:t>
            </w:r>
          </w:p>
        </w:tc>
        <w:tc>
          <w:tcPr>
            <w:tcW w:w="1695" w:type="dxa"/>
          </w:tcPr>
          <w:p>
            <w:pPr>
              <w:pStyle w:val="9"/>
              <w:spacing w:before="118" w:line="337" w:lineRule="exact"/>
              <w:ind w:left="254"/>
              <w:rPr>
                <w:rFonts w:ascii="Microsoft JhengHei" w:eastAsia="Microsoft JhengHei"/>
                <w:b/>
                <w:sz w:val="21"/>
              </w:rPr>
            </w:pPr>
            <w:r>
              <w:rPr>
                <w:rFonts w:ascii="Microsoft JhengHei" w:eastAsia="Microsoft JhengHei"/>
                <w:b/>
                <w:spacing w:val="-4"/>
                <w:sz w:val="21"/>
              </w:rPr>
              <w:t>机动车</w:t>
            </w:r>
          </w:p>
        </w:tc>
        <w:tc>
          <w:tcPr>
            <w:tcW w:w="6953" w:type="dxa"/>
          </w:tcPr>
          <w:p>
            <w:pPr>
              <w:pStyle w:val="9"/>
              <w:spacing w:before="8"/>
              <w:rPr>
                <w:sz w:val="14"/>
              </w:rPr>
            </w:pPr>
          </w:p>
          <w:p>
            <w:pPr>
              <w:pStyle w:val="9"/>
              <w:spacing w:line="268" w:lineRule="exact"/>
              <w:ind w:left="163"/>
              <w:rPr>
                <w:sz w:val="21"/>
              </w:rPr>
            </w:pPr>
            <w:r>
              <w:rPr>
                <w:spacing w:val="-3"/>
                <w:sz w:val="21"/>
              </w:rPr>
              <w:t>指以动力装置驱动或者牵引，上道路行驶的供人员乘用或者用于运送物品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19"/>
              <w:ind w:left="163"/>
              <w:rPr>
                <w:sz w:val="21"/>
              </w:rPr>
            </w:pPr>
            <w:r>
              <w:rPr>
                <w:spacing w:val="-3"/>
                <w:sz w:val="21"/>
              </w:rPr>
              <w:t>以及进行工程专项作业的轮式车辆。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746" w:type="dxa"/>
          </w:tcPr>
          <w:p>
            <w:pPr>
              <w:pStyle w:val="9"/>
              <w:spacing w:before="118" w:line="337" w:lineRule="exact"/>
              <w:ind w:left="50"/>
              <w:rPr>
                <w:rFonts w:ascii="Microsoft JhengHei"/>
                <w:b/>
                <w:sz w:val="21"/>
              </w:rPr>
            </w:pPr>
            <w:r>
              <w:rPr>
                <w:rFonts w:ascii="Microsoft JhengHei"/>
                <w:b/>
                <w:spacing w:val="-4"/>
                <w:sz w:val="21"/>
              </w:rPr>
              <w:t>8.23</w:t>
            </w:r>
          </w:p>
        </w:tc>
        <w:tc>
          <w:tcPr>
            <w:tcW w:w="1695" w:type="dxa"/>
          </w:tcPr>
          <w:p>
            <w:pPr>
              <w:pStyle w:val="9"/>
              <w:spacing w:before="118" w:line="337" w:lineRule="exact"/>
              <w:ind w:left="254"/>
              <w:rPr>
                <w:rFonts w:ascii="Microsoft JhengHei" w:eastAsia="Microsoft JhengHei"/>
                <w:b/>
                <w:sz w:val="21"/>
              </w:rPr>
            </w:pPr>
            <w:r>
              <w:rPr>
                <w:rFonts w:ascii="Microsoft JhengHei" w:eastAsia="Microsoft JhengHei"/>
                <w:b/>
                <w:spacing w:val="-2"/>
                <w:sz w:val="21"/>
              </w:rPr>
              <w:t>感染艾滋病病</w:t>
            </w:r>
          </w:p>
        </w:tc>
        <w:tc>
          <w:tcPr>
            <w:tcW w:w="6953" w:type="dxa"/>
          </w:tcPr>
          <w:p>
            <w:pPr>
              <w:pStyle w:val="9"/>
              <w:spacing w:before="8"/>
              <w:rPr>
                <w:sz w:val="14"/>
              </w:rPr>
            </w:pPr>
          </w:p>
          <w:p>
            <w:pPr>
              <w:pStyle w:val="9"/>
              <w:spacing w:line="268" w:lineRule="exact"/>
              <w:ind w:left="163"/>
              <w:rPr>
                <w:sz w:val="21"/>
              </w:rPr>
            </w:pPr>
            <w:r>
              <w:rPr>
                <w:spacing w:val="-2"/>
                <w:sz w:val="21"/>
              </w:rPr>
              <w:t xml:space="preserve">艾滋病病毒指人类免疫缺陷病毒，英文缩写为 </w:t>
            </w:r>
            <w:r>
              <w:rPr>
                <w:sz w:val="21"/>
              </w:rPr>
              <w:t>HIV</w:t>
            </w:r>
            <w:r>
              <w:rPr>
                <w:spacing w:val="-1"/>
                <w:sz w:val="21"/>
              </w:rPr>
              <w:t>。艾滋病指人类免疫缺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9" w:hRule="atLeast"/>
        </w:trPr>
        <w:tc>
          <w:tcPr>
            <w:tcW w:w="746" w:type="dxa"/>
          </w:tcPr>
          <w:p>
            <w:pPr>
              <w:pStyle w:val="9"/>
              <w:rPr>
                <w:rFonts w:ascii="Times New Roman"/>
                <w:sz w:val="20"/>
              </w:rPr>
            </w:pPr>
          </w:p>
        </w:tc>
        <w:tc>
          <w:tcPr>
            <w:tcW w:w="1695" w:type="dxa"/>
          </w:tcPr>
          <w:p>
            <w:pPr>
              <w:pStyle w:val="9"/>
              <w:spacing w:line="336" w:lineRule="exact"/>
              <w:ind w:left="254"/>
              <w:rPr>
                <w:rFonts w:ascii="Microsoft JhengHei" w:eastAsia="Microsoft JhengHei"/>
                <w:b/>
                <w:sz w:val="21"/>
              </w:rPr>
            </w:pPr>
            <w:r>
              <w:rPr>
                <w:rFonts w:ascii="Microsoft JhengHei" w:eastAsia="Microsoft JhengHei"/>
                <w:b/>
                <w:spacing w:val="-2"/>
                <w:sz w:val="21"/>
              </w:rPr>
              <w:t>毒或患艾滋病</w:t>
            </w:r>
          </w:p>
        </w:tc>
        <w:tc>
          <w:tcPr>
            <w:tcW w:w="6953" w:type="dxa"/>
          </w:tcPr>
          <w:p>
            <w:pPr>
              <w:pStyle w:val="9"/>
              <w:spacing w:before="19"/>
              <w:ind w:left="163"/>
              <w:rPr>
                <w:sz w:val="21"/>
              </w:rPr>
            </w:pPr>
            <w:r>
              <w:rPr>
                <w:spacing w:val="-4"/>
                <w:sz w:val="21"/>
              </w:rPr>
              <w:t xml:space="preserve">陷病毒引起的获得性免疫缺陷综合征，英文缩写为 </w:t>
            </w:r>
            <w:r>
              <w:rPr>
                <w:spacing w:val="-2"/>
                <w:sz w:val="21"/>
              </w:rPr>
              <w:t>AIDS</w:t>
            </w:r>
            <w:r>
              <w:rPr>
                <w:spacing w:val="-10"/>
                <w:sz w:val="21"/>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746" w:type="dxa"/>
          </w:tcPr>
          <w:p>
            <w:pPr>
              <w:pStyle w:val="9"/>
              <w:rPr>
                <w:rFonts w:ascii="Times New Roman"/>
                <w:sz w:val="20"/>
              </w:rPr>
            </w:pPr>
          </w:p>
        </w:tc>
        <w:tc>
          <w:tcPr>
            <w:tcW w:w="1695" w:type="dxa"/>
          </w:tcPr>
          <w:p>
            <w:pPr>
              <w:pStyle w:val="9"/>
              <w:rPr>
                <w:rFonts w:ascii="Times New Roman"/>
                <w:sz w:val="20"/>
              </w:rPr>
            </w:pPr>
          </w:p>
        </w:tc>
        <w:tc>
          <w:tcPr>
            <w:tcW w:w="6953" w:type="dxa"/>
          </w:tcPr>
          <w:p>
            <w:pPr>
              <w:pStyle w:val="9"/>
              <w:spacing w:before="101"/>
              <w:ind w:left="163"/>
              <w:rPr>
                <w:sz w:val="21"/>
              </w:rPr>
            </w:pPr>
            <w:r>
              <w:rPr>
                <w:spacing w:val="-3"/>
                <w:sz w:val="21"/>
              </w:rPr>
              <w:t>在人体血液或其他样本中检测到艾滋病病毒或其抗体呈阳性，没有出现临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746" w:type="dxa"/>
          </w:tcPr>
          <w:p>
            <w:pPr>
              <w:pStyle w:val="9"/>
              <w:rPr>
                <w:rFonts w:ascii="Times New Roman"/>
                <w:sz w:val="18"/>
              </w:rPr>
            </w:pPr>
          </w:p>
        </w:tc>
        <w:tc>
          <w:tcPr>
            <w:tcW w:w="1695" w:type="dxa"/>
          </w:tcPr>
          <w:p>
            <w:pPr>
              <w:pStyle w:val="9"/>
              <w:rPr>
                <w:rFonts w:ascii="Times New Roman"/>
                <w:sz w:val="18"/>
              </w:rPr>
            </w:pPr>
          </w:p>
        </w:tc>
        <w:tc>
          <w:tcPr>
            <w:tcW w:w="6953" w:type="dxa"/>
          </w:tcPr>
          <w:p>
            <w:pPr>
              <w:pStyle w:val="9"/>
              <w:spacing w:before="22" w:line="220" w:lineRule="exact"/>
              <w:ind w:left="163"/>
              <w:rPr>
                <w:sz w:val="21"/>
              </w:rPr>
            </w:pPr>
            <w:r>
              <w:rPr>
                <w:spacing w:val="-3"/>
                <w:sz w:val="21"/>
              </w:rPr>
              <w:t>床症状或体征的，为感染艾滋病病毒；如果同时出现了明显临床症状或体</w:t>
            </w:r>
          </w:p>
        </w:tc>
      </w:tr>
    </w:tbl>
    <w:p>
      <w:pPr>
        <w:spacing w:after="0" w:line="220" w:lineRule="exact"/>
        <w:rPr>
          <w:sz w:val="21"/>
        </w:rPr>
        <w:sectPr>
          <w:pgSz w:w="11910" w:h="16840"/>
          <w:pgMar w:top="740" w:right="680" w:bottom="420" w:left="880" w:header="0" w:footer="230" w:gutter="0"/>
          <w:cols w:space="720" w:num="1"/>
        </w:sectPr>
      </w:pPr>
    </w:p>
    <w:p>
      <w:pPr>
        <w:pStyle w:val="4"/>
        <w:spacing w:before="53"/>
        <w:ind w:left="2985"/>
      </w:pPr>
      <w:r>
        <w:rPr>
          <w:spacing w:val="-3"/>
        </w:rPr>
        <w:t>征的，为患艾滋病。</w:t>
      </w:r>
    </w:p>
    <w:p>
      <w:pPr>
        <w:pStyle w:val="4"/>
        <w:spacing w:before="10"/>
        <w:rPr>
          <w:sz w:val="23"/>
        </w:rPr>
      </w:pPr>
    </w:p>
    <w:p>
      <w:pPr>
        <w:pStyle w:val="8"/>
        <w:numPr>
          <w:ilvl w:val="1"/>
          <w:numId w:val="68"/>
        </w:numPr>
        <w:tabs>
          <w:tab w:val="left" w:pos="1381"/>
          <w:tab w:val="left" w:pos="1382"/>
          <w:tab w:val="left" w:pos="2985"/>
        </w:tabs>
        <w:spacing w:before="0" w:after="0" w:line="235" w:lineRule="auto"/>
        <w:ind w:left="2985" w:right="622" w:hanging="2555"/>
        <w:jc w:val="left"/>
        <w:rPr>
          <w:sz w:val="21"/>
        </w:rPr>
      </w:pPr>
      <w:r>
        <w:rPr>
          <w:rFonts w:ascii="Microsoft JhengHei" w:eastAsia="Microsoft JhengHei"/>
          <w:b/>
          <w:spacing w:val="-4"/>
          <w:sz w:val="21"/>
        </w:rPr>
        <w:t>既往症</w:t>
      </w:r>
      <w:r>
        <w:rPr>
          <w:rFonts w:ascii="Microsoft JhengHei" w:eastAsia="Microsoft JhengHei"/>
          <w:b/>
          <w:sz w:val="21"/>
        </w:rPr>
        <w:tab/>
      </w:r>
      <w:r>
        <w:rPr>
          <w:spacing w:val="-2"/>
          <w:sz w:val="21"/>
        </w:rPr>
        <w:t>既往症是指在本合同生效之前发生的被保险人已知或应该知道的有关疾病或症状，通常有以下情况：</w:t>
      </w:r>
    </w:p>
    <w:p>
      <w:pPr>
        <w:pStyle w:val="8"/>
        <w:numPr>
          <w:ilvl w:val="0"/>
          <w:numId w:val="69"/>
        </w:numPr>
        <w:tabs>
          <w:tab w:val="left" w:pos="3515"/>
        </w:tabs>
        <w:spacing w:before="46" w:after="0" w:line="240" w:lineRule="auto"/>
        <w:ind w:left="3514" w:right="0" w:hanging="530"/>
        <w:jc w:val="left"/>
        <w:rPr>
          <w:sz w:val="21"/>
        </w:rPr>
      </w:pPr>
      <w:r>
        <w:rPr>
          <w:spacing w:val="-3"/>
          <w:sz w:val="21"/>
        </w:rPr>
        <w:t>本合同生效前，医生已有明确诊断，长期治疗未间断；</w:t>
      </w:r>
    </w:p>
    <w:p>
      <w:pPr>
        <w:pStyle w:val="8"/>
        <w:numPr>
          <w:ilvl w:val="0"/>
          <w:numId w:val="69"/>
        </w:numPr>
        <w:tabs>
          <w:tab w:val="left" w:pos="3515"/>
        </w:tabs>
        <w:spacing w:before="44" w:after="0" w:line="278" w:lineRule="auto"/>
        <w:ind w:left="2985" w:right="621" w:firstLine="0"/>
        <w:jc w:val="left"/>
        <w:rPr>
          <w:sz w:val="21"/>
        </w:rPr>
      </w:pPr>
      <w:r>
        <w:rPr>
          <w:spacing w:val="-4"/>
          <w:sz w:val="21"/>
        </w:rPr>
        <w:t>本合同生效前，医生已有明确诊断，治疗后症状未完全消失，有间断</w:t>
      </w:r>
      <w:r>
        <w:rPr>
          <w:spacing w:val="-2"/>
          <w:sz w:val="21"/>
        </w:rPr>
        <w:t>用药情况；</w:t>
      </w:r>
    </w:p>
    <w:p>
      <w:pPr>
        <w:pStyle w:val="8"/>
        <w:numPr>
          <w:ilvl w:val="0"/>
          <w:numId w:val="69"/>
        </w:numPr>
        <w:tabs>
          <w:tab w:val="left" w:pos="3515"/>
        </w:tabs>
        <w:spacing w:before="0" w:after="0" w:line="278" w:lineRule="auto"/>
        <w:ind w:left="2985" w:right="530" w:firstLine="0"/>
        <w:jc w:val="left"/>
        <w:rPr>
          <w:sz w:val="21"/>
        </w:rPr>
      </w:pPr>
      <w:r>
        <w:rPr>
          <w:spacing w:val="-2"/>
          <w:sz w:val="21"/>
        </w:rPr>
        <w:t>本合同生效前发生，未经医生诊断和治疗，但症状明显且持续存在，以普通人医学常识应当知晓。</w:t>
      </w:r>
    </w:p>
    <w:p>
      <w:pPr>
        <w:pStyle w:val="4"/>
        <w:spacing w:before="6"/>
        <w:rPr>
          <w:sz w:val="20"/>
        </w:rPr>
      </w:pPr>
    </w:p>
    <w:p>
      <w:pPr>
        <w:pStyle w:val="8"/>
        <w:numPr>
          <w:ilvl w:val="1"/>
          <w:numId w:val="68"/>
        </w:numPr>
        <w:tabs>
          <w:tab w:val="left" w:pos="1381"/>
          <w:tab w:val="left" w:pos="1382"/>
          <w:tab w:val="left" w:pos="2985"/>
        </w:tabs>
        <w:spacing w:before="0" w:after="0" w:line="235" w:lineRule="auto"/>
        <w:ind w:left="2985" w:right="622" w:hanging="2555"/>
        <w:jc w:val="left"/>
        <w:rPr>
          <w:sz w:val="21"/>
        </w:rPr>
      </w:pPr>
      <w:r>
        <w:rPr>
          <w:rFonts w:ascii="Microsoft JhengHei" w:eastAsia="Microsoft JhengHei"/>
          <w:b/>
          <w:spacing w:val="-2"/>
          <w:sz w:val="21"/>
        </w:rPr>
        <w:t>遗传性疾病</w:t>
      </w:r>
      <w:r>
        <w:rPr>
          <w:rFonts w:ascii="Microsoft JhengHei" w:eastAsia="Microsoft JhengHei"/>
          <w:b/>
          <w:sz w:val="21"/>
        </w:rPr>
        <w:tab/>
      </w:r>
      <w:r>
        <w:rPr>
          <w:spacing w:val="-2"/>
          <w:sz w:val="21"/>
        </w:rPr>
        <w:t>指生殖细胞或受精卵的遗传物质（染色体和基因）发生突变或畸变所引起的疾病，通常具有由亲代传至后代的垂直传递的特征。</w:t>
      </w:r>
    </w:p>
    <w:p>
      <w:pPr>
        <w:pStyle w:val="4"/>
        <w:spacing w:before="2"/>
        <w:rPr>
          <w:sz w:val="27"/>
        </w:rPr>
      </w:pPr>
    </w:p>
    <w:p>
      <w:pPr>
        <w:spacing w:after="0"/>
        <w:rPr>
          <w:sz w:val="27"/>
        </w:rPr>
        <w:sectPr>
          <w:pgSz w:w="11910" w:h="16840"/>
          <w:pgMar w:top="660" w:right="680" w:bottom="420" w:left="880" w:header="0" w:footer="230" w:gutter="0"/>
          <w:cols w:space="720" w:num="1"/>
        </w:sectPr>
      </w:pPr>
    </w:p>
    <w:p>
      <w:pPr>
        <w:pStyle w:val="3"/>
        <w:numPr>
          <w:ilvl w:val="1"/>
          <w:numId w:val="68"/>
        </w:numPr>
        <w:tabs>
          <w:tab w:val="left" w:pos="1382"/>
        </w:tabs>
        <w:spacing w:before="59" w:after="0" w:line="192" w:lineRule="auto"/>
        <w:ind w:left="1381" w:right="0" w:hanging="951"/>
        <w:jc w:val="both"/>
      </w:pPr>
      <w:r>
        <w:rPr>
          <w:spacing w:val="-2"/>
        </w:rPr>
        <w:t>先天性畸形、变形或染色体</w:t>
      </w:r>
      <w:r>
        <w:rPr>
          <w:spacing w:val="-6"/>
        </w:rPr>
        <w:t>异常</w:t>
      </w:r>
    </w:p>
    <w:p>
      <w:pPr>
        <w:pStyle w:val="4"/>
        <w:spacing w:before="72" w:line="276" w:lineRule="auto"/>
        <w:ind w:left="296" w:right="622"/>
        <w:jc w:val="both"/>
      </w:pPr>
      <w:r>
        <w:br w:type="column"/>
      </w:r>
      <w:r>
        <w:rPr>
          <w:spacing w:val="-2"/>
        </w:rPr>
        <w:t>指被保险人出生时就具有的畸形、变形或染色体异常。先天性畸形、变形和染色体异常依照世界卫生组织《疾病和有关健康问题的国际统计分类》第十次修订版（ICD-10）确定。</w:t>
      </w:r>
    </w:p>
    <w:p>
      <w:pPr>
        <w:spacing w:after="0" w:line="276" w:lineRule="auto"/>
        <w:jc w:val="both"/>
        <w:sectPr>
          <w:type w:val="continuous"/>
          <w:pgSz w:w="11910" w:h="16840"/>
          <w:pgMar w:top="920" w:right="680" w:bottom="420" w:left="880" w:header="0" w:footer="230" w:gutter="0"/>
          <w:cols w:equalWidth="0" w:num="2">
            <w:col w:w="2650" w:space="40"/>
            <w:col w:w="7660"/>
          </w:cols>
        </w:sectPr>
      </w:pPr>
    </w:p>
    <w:p>
      <w:pPr>
        <w:pStyle w:val="4"/>
        <w:rPr>
          <w:sz w:val="20"/>
        </w:rPr>
      </w:pPr>
    </w:p>
    <w:p>
      <w:pPr>
        <w:pStyle w:val="8"/>
        <w:numPr>
          <w:ilvl w:val="1"/>
          <w:numId w:val="68"/>
        </w:numPr>
        <w:tabs>
          <w:tab w:val="left" w:pos="1382"/>
          <w:tab w:val="left" w:pos="2985"/>
        </w:tabs>
        <w:spacing w:before="176" w:after="0" w:line="232" w:lineRule="auto"/>
        <w:ind w:left="2985" w:right="622" w:hanging="2555"/>
        <w:jc w:val="both"/>
        <w:rPr>
          <w:sz w:val="21"/>
        </w:rPr>
      </w:pPr>
      <w:r>
        <w:rPr>
          <w:rFonts w:ascii="Microsoft JhengHei" w:eastAsia="Microsoft JhengHei"/>
          <w:b/>
          <w:spacing w:val="-6"/>
          <w:sz w:val="21"/>
        </w:rPr>
        <w:t>潜水</w:t>
      </w:r>
      <w:r>
        <w:rPr>
          <w:rFonts w:ascii="Microsoft JhengHei" w:eastAsia="Microsoft JhengHei"/>
          <w:b/>
          <w:sz w:val="21"/>
        </w:rPr>
        <w:tab/>
      </w:r>
      <w:r>
        <w:rPr>
          <w:spacing w:val="-2"/>
          <w:sz w:val="21"/>
        </w:rPr>
        <w:t>指使用辅助呼吸器材在江、河、湖、海、水库、运河等水域进行的水下运</w:t>
      </w:r>
      <w:r>
        <w:rPr>
          <w:spacing w:val="-6"/>
          <w:sz w:val="21"/>
        </w:rPr>
        <w:t>动。</w:t>
      </w:r>
    </w:p>
    <w:p>
      <w:pPr>
        <w:pStyle w:val="4"/>
        <w:spacing w:before="7"/>
        <w:rPr>
          <w:sz w:val="23"/>
        </w:rPr>
      </w:pPr>
    </w:p>
    <w:p>
      <w:pPr>
        <w:pStyle w:val="8"/>
        <w:numPr>
          <w:ilvl w:val="1"/>
          <w:numId w:val="68"/>
        </w:numPr>
        <w:tabs>
          <w:tab w:val="left" w:pos="1381"/>
          <w:tab w:val="left" w:pos="1382"/>
          <w:tab w:val="left" w:pos="2985"/>
        </w:tabs>
        <w:spacing w:before="0" w:after="0" w:line="240" w:lineRule="auto"/>
        <w:ind w:left="1381" w:right="0" w:hanging="952"/>
        <w:jc w:val="left"/>
        <w:rPr>
          <w:sz w:val="21"/>
        </w:rPr>
      </w:pPr>
      <w:r>
        <w:rPr>
          <w:rFonts w:ascii="Microsoft JhengHei" w:eastAsia="Microsoft JhengHei"/>
          <w:b/>
          <w:sz w:val="21"/>
        </w:rPr>
        <w:t>攀</w:t>
      </w:r>
      <w:r>
        <w:rPr>
          <w:rFonts w:ascii="Microsoft JhengHei" w:eastAsia="Microsoft JhengHei"/>
          <w:b/>
          <w:spacing w:val="-10"/>
          <w:sz w:val="21"/>
        </w:rPr>
        <w:t>岩</w:t>
      </w:r>
      <w:r>
        <w:rPr>
          <w:rFonts w:ascii="Microsoft JhengHei" w:eastAsia="Microsoft JhengHei"/>
          <w:b/>
          <w:sz w:val="21"/>
        </w:rPr>
        <w:tab/>
      </w:r>
      <w:r>
        <w:rPr>
          <w:spacing w:val="-2"/>
          <w:sz w:val="21"/>
        </w:rPr>
        <w:t>指攀登悬崖、楼宇外墙、人造悬崖、冰崖、冰山等运动</w:t>
      </w:r>
      <w:r>
        <w:rPr>
          <w:spacing w:val="-10"/>
          <w:sz w:val="21"/>
        </w:rPr>
        <w:t>。</w:t>
      </w:r>
    </w:p>
    <w:p>
      <w:pPr>
        <w:pStyle w:val="4"/>
        <w:spacing w:before="9"/>
        <w:rPr>
          <w:sz w:val="19"/>
        </w:rPr>
      </w:pPr>
    </w:p>
    <w:p>
      <w:pPr>
        <w:pStyle w:val="8"/>
        <w:numPr>
          <w:ilvl w:val="1"/>
          <w:numId w:val="68"/>
        </w:numPr>
        <w:tabs>
          <w:tab w:val="left" w:pos="1382"/>
          <w:tab w:val="left" w:pos="2985"/>
        </w:tabs>
        <w:spacing w:before="0" w:after="0" w:line="256" w:lineRule="auto"/>
        <w:ind w:left="2985" w:right="632" w:hanging="2555"/>
        <w:jc w:val="both"/>
        <w:rPr>
          <w:sz w:val="21"/>
        </w:rPr>
      </w:pPr>
      <w:r>
        <w:rPr>
          <w:rFonts w:ascii="Microsoft JhengHei" w:eastAsia="Microsoft JhengHei"/>
          <w:b/>
          <w:spacing w:val="-6"/>
          <w:sz w:val="21"/>
        </w:rPr>
        <w:t>探险</w:t>
      </w:r>
      <w:r>
        <w:rPr>
          <w:rFonts w:ascii="Microsoft JhengHei" w:eastAsia="Microsoft JhengHei"/>
          <w:b/>
          <w:sz w:val="21"/>
        </w:rPr>
        <w:tab/>
      </w:r>
      <w:r>
        <w:rPr>
          <w:spacing w:val="-2"/>
          <w:sz w:val="21"/>
        </w:rPr>
        <w:t>指明知在某种特定的自然条件下有失去生命或使身体受到伤害的危险，而故意使自己置身其中等行为，如江河漂流、徒步穿越沙漠或人迹罕见的原始森林或进入洞穴探察等活动。</w:t>
      </w:r>
    </w:p>
    <w:p>
      <w:pPr>
        <w:pStyle w:val="4"/>
        <w:spacing w:before="10"/>
      </w:pPr>
    </w:p>
    <w:p>
      <w:pPr>
        <w:pStyle w:val="8"/>
        <w:numPr>
          <w:ilvl w:val="1"/>
          <w:numId w:val="68"/>
        </w:numPr>
        <w:tabs>
          <w:tab w:val="left" w:pos="1382"/>
          <w:tab w:val="left" w:pos="2985"/>
        </w:tabs>
        <w:spacing w:before="0" w:after="0" w:line="235" w:lineRule="auto"/>
        <w:ind w:left="2985" w:right="632" w:hanging="2555"/>
        <w:jc w:val="both"/>
        <w:rPr>
          <w:sz w:val="21"/>
        </w:rPr>
      </w:pPr>
      <w:r>
        <w:rPr>
          <w:rFonts w:ascii="Microsoft JhengHei" w:eastAsia="Microsoft JhengHei"/>
          <w:b/>
          <w:spacing w:val="-4"/>
          <w:sz w:val="21"/>
        </w:rPr>
        <w:t>武术比赛</w:t>
      </w:r>
      <w:r>
        <w:rPr>
          <w:rFonts w:ascii="Microsoft JhengHei" w:eastAsia="Microsoft JhengHei"/>
          <w:b/>
          <w:sz w:val="21"/>
        </w:rPr>
        <w:tab/>
      </w:r>
      <w:r>
        <w:rPr>
          <w:spacing w:val="-2"/>
          <w:sz w:val="21"/>
        </w:rPr>
        <w:t>指两人或者两人以上对抗性柔道、空手道、跆拳道、散打、拳击等各种拳术及使用器械的对抗性比赛。</w:t>
      </w:r>
    </w:p>
    <w:p>
      <w:pPr>
        <w:pStyle w:val="4"/>
        <w:spacing w:before="8"/>
        <w:rPr>
          <w:sz w:val="23"/>
        </w:rPr>
      </w:pPr>
    </w:p>
    <w:p>
      <w:pPr>
        <w:pStyle w:val="8"/>
        <w:numPr>
          <w:ilvl w:val="1"/>
          <w:numId w:val="68"/>
        </w:numPr>
        <w:tabs>
          <w:tab w:val="left" w:pos="1381"/>
          <w:tab w:val="left" w:pos="1382"/>
          <w:tab w:val="left" w:pos="2985"/>
        </w:tabs>
        <w:spacing w:before="0" w:after="0" w:line="240" w:lineRule="auto"/>
        <w:ind w:left="1381" w:right="0" w:hanging="952"/>
        <w:jc w:val="left"/>
        <w:rPr>
          <w:sz w:val="21"/>
        </w:rPr>
      </w:pPr>
      <w:r>
        <w:rPr>
          <w:rFonts w:ascii="Microsoft JhengHei" w:eastAsia="Microsoft JhengHei"/>
          <w:b/>
          <w:sz w:val="21"/>
        </w:rPr>
        <w:t>特技表</w:t>
      </w:r>
      <w:r>
        <w:rPr>
          <w:rFonts w:ascii="Microsoft JhengHei" w:eastAsia="Microsoft JhengHei"/>
          <w:b/>
          <w:spacing w:val="-10"/>
          <w:sz w:val="21"/>
        </w:rPr>
        <w:t>演</w:t>
      </w:r>
      <w:r>
        <w:rPr>
          <w:rFonts w:ascii="Microsoft JhengHei" w:eastAsia="Microsoft JhengHei"/>
          <w:b/>
          <w:sz w:val="21"/>
        </w:rPr>
        <w:tab/>
      </w:r>
      <w:r>
        <w:rPr>
          <w:spacing w:val="-2"/>
          <w:sz w:val="21"/>
        </w:rPr>
        <w:t>指进行马术、杂技、驯兽等表演</w:t>
      </w:r>
      <w:r>
        <w:rPr>
          <w:spacing w:val="-10"/>
          <w:sz w:val="21"/>
        </w:rPr>
        <w:t>。</w:t>
      </w:r>
    </w:p>
    <w:p>
      <w:pPr>
        <w:pStyle w:val="4"/>
        <w:spacing w:before="1"/>
        <w:rPr>
          <w:sz w:val="22"/>
        </w:rPr>
      </w:pPr>
    </w:p>
    <w:p>
      <w:pPr>
        <w:pStyle w:val="8"/>
        <w:numPr>
          <w:ilvl w:val="1"/>
          <w:numId w:val="68"/>
        </w:numPr>
        <w:tabs>
          <w:tab w:val="left" w:pos="1391"/>
          <w:tab w:val="left" w:pos="1392"/>
          <w:tab w:val="left" w:pos="2985"/>
        </w:tabs>
        <w:spacing w:before="0" w:after="0" w:line="312" w:lineRule="exact"/>
        <w:ind w:left="2985" w:right="632" w:hanging="2555"/>
        <w:jc w:val="left"/>
        <w:rPr>
          <w:sz w:val="21"/>
        </w:rPr>
      </w:pPr>
      <w:r>
        <w:rPr>
          <w:rFonts w:ascii="Microsoft JhengHei" w:eastAsia="Microsoft JhengHei"/>
          <w:b/>
          <w:spacing w:val="-6"/>
          <w:sz w:val="21"/>
        </w:rPr>
        <w:t>处方</w:t>
      </w:r>
      <w:r>
        <w:rPr>
          <w:rFonts w:ascii="Microsoft JhengHei" w:eastAsia="Microsoft JhengHei"/>
          <w:b/>
          <w:sz w:val="21"/>
        </w:rPr>
        <w:tab/>
      </w:r>
      <w:r>
        <w:rPr>
          <w:spacing w:val="-2"/>
          <w:sz w:val="21"/>
        </w:rPr>
        <w:t>指由注册的执业医师在其注册的医疗单位进行诊疗活动中为患者开具的、由取得药学专业技术职务任职资格的药学专业技术人员审核、调配、核</w:t>
      </w:r>
      <w:r>
        <w:rPr>
          <w:spacing w:val="40"/>
          <w:sz w:val="21"/>
        </w:rPr>
        <w:t xml:space="preserve"> </w:t>
      </w:r>
      <w:r>
        <w:rPr>
          <w:sz w:val="21"/>
        </w:rPr>
        <w:t>对，并作为患者用药凭证的医疗文书。 处方包括医院病区用药医嘱单和</w:t>
      </w:r>
      <w:r>
        <w:rPr>
          <w:spacing w:val="-2"/>
          <w:sz w:val="21"/>
        </w:rPr>
        <w:t>门诊就诊时的取药处方单。</w:t>
      </w:r>
    </w:p>
    <w:p>
      <w:pPr>
        <w:pStyle w:val="4"/>
        <w:spacing w:before="5"/>
        <w:rPr>
          <w:sz w:val="28"/>
        </w:rPr>
      </w:pPr>
    </w:p>
    <w:p>
      <w:pPr>
        <w:pStyle w:val="8"/>
        <w:numPr>
          <w:ilvl w:val="1"/>
          <w:numId w:val="68"/>
        </w:numPr>
        <w:tabs>
          <w:tab w:val="left" w:pos="1382"/>
        </w:tabs>
        <w:spacing w:before="1" w:after="0" w:line="256" w:lineRule="auto"/>
        <w:ind w:left="2985" w:right="632" w:hanging="2555"/>
        <w:jc w:val="both"/>
        <w:rPr>
          <w:sz w:val="21"/>
        </w:rPr>
      </w:pPr>
      <w:r>
        <w:rPr>
          <w:rFonts w:ascii="Microsoft JhengHei" w:eastAsia="Microsoft JhengHei"/>
          <w:b/>
          <w:spacing w:val="37"/>
          <w:sz w:val="21"/>
        </w:rPr>
        <w:t xml:space="preserve">有效身份证件 </w:t>
      </w:r>
      <w:r>
        <w:rPr>
          <w:sz w:val="21"/>
        </w:rPr>
        <w:t>指由中华人民共和国政府主管部门规定的能够证明其身份的证件，如：居</w:t>
      </w:r>
      <w:r>
        <w:rPr>
          <w:spacing w:val="-2"/>
          <w:sz w:val="21"/>
        </w:rPr>
        <w:t>民身份证、军官证、警官证、士兵证、户口簿以及中华人民共和国政府主管部门颁发或者认可的有效护照或者其他身份证明文件。</w:t>
      </w:r>
    </w:p>
    <w:p>
      <w:pPr>
        <w:pStyle w:val="4"/>
        <w:spacing w:before="10"/>
      </w:pPr>
    </w:p>
    <w:p>
      <w:pPr>
        <w:pStyle w:val="8"/>
        <w:numPr>
          <w:ilvl w:val="1"/>
          <w:numId w:val="68"/>
        </w:numPr>
        <w:tabs>
          <w:tab w:val="left" w:pos="1382"/>
          <w:tab w:val="left" w:pos="2985"/>
        </w:tabs>
        <w:spacing w:before="0" w:after="0" w:line="235" w:lineRule="auto"/>
        <w:ind w:left="2985" w:right="622" w:hanging="2555"/>
        <w:jc w:val="both"/>
        <w:rPr>
          <w:sz w:val="21"/>
        </w:rPr>
      </w:pPr>
      <w:r>
        <w:rPr>
          <w:rFonts w:ascii="Microsoft JhengHei" w:eastAsia="Microsoft JhengHei"/>
          <w:b/>
          <w:spacing w:val="-4"/>
          <w:sz w:val="21"/>
        </w:rPr>
        <w:t>现金价值</w:t>
      </w:r>
      <w:r>
        <w:rPr>
          <w:rFonts w:ascii="Microsoft JhengHei" w:eastAsia="Microsoft JhengHei"/>
          <w:b/>
          <w:sz w:val="21"/>
        </w:rPr>
        <w:tab/>
      </w:r>
      <w:r>
        <w:rPr>
          <w:spacing w:val="-2"/>
          <w:sz w:val="21"/>
        </w:rPr>
        <w:t>指本合同所具有的价值，通常体现为解除合同时，根据精算原理计算的，由我们退还的那部分金额。</w:t>
      </w:r>
    </w:p>
    <w:p>
      <w:pPr>
        <w:pStyle w:val="4"/>
        <w:spacing w:before="12"/>
        <w:rPr>
          <w:sz w:val="15"/>
        </w:rPr>
      </w:pPr>
    </w:p>
    <w:p>
      <w:pPr>
        <w:pStyle w:val="4"/>
        <w:spacing w:line="276" w:lineRule="auto"/>
        <w:ind w:left="2985" w:right="735"/>
        <w:jc w:val="both"/>
      </w:pPr>
      <w:r>
        <w:rPr>
          <w:spacing w:val="-2"/>
        </w:rPr>
        <w:t>具体为保险费×（1-35%）×（1－该保险费所保障的已经过天数/该保险费所保障的天数</w:t>
      </w:r>
      <w:r>
        <w:rPr>
          <w:spacing w:val="-106"/>
        </w:rPr>
        <w:t>）</w:t>
      </w:r>
      <w:r>
        <w:rPr>
          <w:spacing w:val="-2"/>
        </w:rPr>
        <w:t>，上述已经过天数从本合同生效日起计算，经过天数不</w:t>
      </w:r>
      <w:r>
        <w:rPr>
          <w:spacing w:val="-7"/>
        </w:rPr>
        <w:t xml:space="preserve">足 </w:t>
      </w:r>
      <w:r>
        <w:t>1</w:t>
      </w:r>
      <w:r>
        <w:rPr>
          <w:spacing w:val="-5"/>
        </w:rPr>
        <w:t xml:space="preserve"> 天的，按 </w:t>
      </w:r>
      <w:r>
        <w:t>1</w:t>
      </w:r>
      <w:r>
        <w:rPr>
          <w:spacing w:val="-4"/>
        </w:rPr>
        <w:t xml:space="preserve"> 天计算。</w:t>
      </w:r>
    </w:p>
    <w:p>
      <w:pPr>
        <w:pStyle w:val="4"/>
        <w:spacing w:before="9"/>
        <w:rPr>
          <w:sz w:val="20"/>
        </w:rPr>
      </w:pPr>
    </w:p>
    <w:p>
      <w:pPr>
        <w:pStyle w:val="8"/>
        <w:numPr>
          <w:ilvl w:val="1"/>
          <w:numId w:val="68"/>
        </w:numPr>
        <w:tabs>
          <w:tab w:val="left" w:pos="1381"/>
          <w:tab w:val="left" w:pos="1382"/>
          <w:tab w:val="left" w:pos="2985"/>
        </w:tabs>
        <w:spacing w:before="0" w:after="0" w:line="240" w:lineRule="auto"/>
        <w:ind w:left="1381" w:right="0" w:hanging="952"/>
        <w:jc w:val="left"/>
        <w:rPr>
          <w:sz w:val="21"/>
        </w:rPr>
      </w:pPr>
      <w:r>
        <w:rPr>
          <w:rFonts w:ascii="Microsoft JhengHei" w:eastAsia="Microsoft JhengHei"/>
          <w:b/>
          <w:sz w:val="21"/>
        </w:rPr>
        <w:t>专科医</w:t>
      </w:r>
      <w:r>
        <w:rPr>
          <w:rFonts w:ascii="Microsoft JhengHei" w:eastAsia="Microsoft JhengHei"/>
          <w:b/>
          <w:spacing w:val="-10"/>
          <w:sz w:val="21"/>
        </w:rPr>
        <w:t>生</w:t>
      </w:r>
      <w:r>
        <w:rPr>
          <w:rFonts w:ascii="Microsoft JhengHei" w:eastAsia="Microsoft JhengHei"/>
          <w:b/>
          <w:sz w:val="21"/>
        </w:rPr>
        <w:tab/>
      </w:r>
      <w:r>
        <w:rPr>
          <w:spacing w:val="-2"/>
          <w:sz w:val="21"/>
        </w:rPr>
        <w:t>专科医生应当同时满足以下四项资格条件</w:t>
      </w:r>
      <w:r>
        <w:rPr>
          <w:spacing w:val="-10"/>
          <w:sz w:val="21"/>
        </w:rPr>
        <w:t>：</w:t>
      </w:r>
    </w:p>
    <w:p>
      <w:pPr>
        <w:spacing w:after="0" w:line="240" w:lineRule="auto"/>
        <w:jc w:val="left"/>
        <w:rPr>
          <w:sz w:val="21"/>
        </w:rPr>
        <w:sectPr>
          <w:type w:val="continuous"/>
          <w:pgSz w:w="11910" w:h="16840"/>
          <w:pgMar w:top="920" w:right="680" w:bottom="420" w:left="880" w:header="0" w:footer="230" w:gutter="0"/>
          <w:cols w:space="720" w:num="1"/>
        </w:sectPr>
      </w:pPr>
    </w:p>
    <w:tbl>
      <w:tblPr>
        <w:tblStyle w:val="5"/>
        <w:tblW w:w="0" w:type="auto"/>
        <w:tblInd w:w="38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1"/>
        <w:gridCol w:w="1699"/>
        <w:gridCol w:w="69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61" w:hRule="atLeast"/>
        </w:trPr>
        <w:tc>
          <w:tcPr>
            <w:tcW w:w="2440" w:type="dxa"/>
            <w:gridSpan w:val="2"/>
            <w:vMerge w:val="restart"/>
          </w:tcPr>
          <w:p>
            <w:pPr>
              <w:pStyle w:val="9"/>
              <w:rPr>
                <w:rFonts w:ascii="Times New Roman"/>
                <w:sz w:val="20"/>
              </w:rPr>
            </w:pPr>
          </w:p>
        </w:tc>
        <w:tc>
          <w:tcPr>
            <w:tcW w:w="6954" w:type="dxa"/>
          </w:tcPr>
          <w:p>
            <w:pPr>
              <w:pStyle w:val="9"/>
              <w:spacing w:line="241" w:lineRule="exact"/>
              <w:ind w:left="164"/>
              <w:rPr>
                <w:sz w:val="21"/>
              </w:rPr>
            </w:pPr>
            <w:r>
              <w:rPr>
                <w:spacing w:val="-2"/>
                <w:sz w:val="21"/>
              </w:rPr>
              <w:t>（1）</w:t>
            </w:r>
            <w:r>
              <w:rPr>
                <w:spacing w:val="-9"/>
                <w:sz w:val="21"/>
              </w:rPr>
              <w:t>具有有效的中华人民共和国《医师资格证书》；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440" w:type="dxa"/>
            <w:gridSpan w:val="2"/>
            <w:vMerge w:val="continue"/>
            <w:tcBorders>
              <w:top w:val="nil"/>
            </w:tcBorders>
          </w:tcPr>
          <w:p>
            <w:pPr>
              <w:rPr>
                <w:sz w:val="2"/>
                <w:szCs w:val="2"/>
              </w:rPr>
            </w:pPr>
          </w:p>
        </w:tc>
        <w:tc>
          <w:tcPr>
            <w:tcW w:w="6954" w:type="dxa"/>
          </w:tcPr>
          <w:p>
            <w:pPr>
              <w:pStyle w:val="9"/>
              <w:spacing w:before="22"/>
              <w:ind w:left="164"/>
              <w:rPr>
                <w:sz w:val="21"/>
              </w:rPr>
            </w:pPr>
            <w:r>
              <w:rPr>
                <w:spacing w:val="-2"/>
                <w:sz w:val="21"/>
              </w:rPr>
              <w:t>（2）</w:t>
            </w:r>
            <w:r>
              <w:rPr>
                <w:spacing w:val="-9"/>
                <w:sz w:val="21"/>
              </w:rPr>
              <w:t>具有有效的中华人民共和国《医师执业证书》，并按期到相关部门登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440" w:type="dxa"/>
            <w:gridSpan w:val="2"/>
            <w:vMerge w:val="continue"/>
            <w:tcBorders>
              <w:top w:val="nil"/>
            </w:tcBorders>
          </w:tcPr>
          <w:p>
            <w:pPr>
              <w:rPr>
                <w:sz w:val="2"/>
                <w:szCs w:val="2"/>
              </w:rPr>
            </w:pPr>
          </w:p>
        </w:tc>
        <w:tc>
          <w:tcPr>
            <w:tcW w:w="6954" w:type="dxa"/>
          </w:tcPr>
          <w:p>
            <w:pPr>
              <w:pStyle w:val="9"/>
              <w:spacing w:before="22"/>
              <w:ind w:left="164"/>
              <w:rPr>
                <w:sz w:val="21"/>
              </w:rPr>
            </w:pPr>
            <w:r>
              <w:rPr>
                <w:spacing w:val="-3"/>
                <w:sz w:val="21"/>
              </w:rPr>
              <w:t>记注册；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440" w:type="dxa"/>
            <w:gridSpan w:val="2"/>
            <w:vMerge w:val="continue"/>
            <w:tcBorders>
              <w:top w:val="nil"/>
            </w:tcBorders>
          </w:tcPr>
          <w:p>
            <w:pPr>
              <w:rPr>
                <w:sz w:val="2"/>
                <w:szCs w:val="2"/>
              </w:rPr>
            </w:pPr>
          </w:p>
        </w:tc>
        <w:tc>
          <w:tcPr>
            <w:tcW w:w="6954" w:type="dxa"/>
          </w:tcPr>
          <w:p>
            <w:pPr>
              <w:pStyle w:val="9"/>
              <w:spacing w:before="22"/>
              <w:ind w:left="164"/>
              <w:rPr>
                <w:sz w:val="21"/>
              </w:rPr>
            </w:pPr>
            <w:r>
              <w:rPr>
                <w:spacing w:val="-6"/>
                <w:sz w:val="21"/>
              </w:rPr>
              <w:t>（3）</w:t>
            </w:r>
            <w:r>
              <w:rPr>
                <w:spacing w:val="-7"/>
                <w:sz w:val="21"/>
              </w:rPr>
              <w:t>具有有效的中华人民共和国主治医师或主治医师以上职称的《医师职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440" w:type="dxa"/>
            <w:gridSpan w:val="2"/>
            <w:vMerge w:val="continue"/>
            <w:tcBorders>
              <w:top w:val="nil"/>
            </w:tcBorders>
          </w:tcPr>
          <w:p>
            <w:pPr>
              <w:rPr>
                <w:sz w:val="2"/>
                <w:szCs w:val="2"/>
              </w:rPr>
            </w:pPr>
          </w:p>
        </w:tc>
        <w:tc>
          <w:tcPr>
            <w:tcW w:w="6954" w:type="dxa"/>
          </w:tcPr>
          <w:p>
            <w:pPr>
              <w:pStyle w:val="9"/>
              <w:spacing w:before="22"/>
              <w:ind w:left="164"/>
              <w:rPr>
                <w:sz w:val="21"/>
              </w:rPr>
            </w:pPr>
            <w:r>
              <w:rPr>
                <w:spacing w:val="-24"/>
                <w:sz w:val="21"/>
              </w:rPr>
              <w:t>称证书》；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2440" w:type="dxa"/>
            <w:gridSpan w:val="2"/>
            <w:vMerge w:val="continue"/>
            <w:tcBorders>
              <w:top w:val="nil"/>
            </w:tcBorders>
          </w:tcPr>
          <w:p>
            <w:pPr>
              <w:rPr>
                <w:sz w:val="2"/>
                <w:szCs w:val="2"/>
              </w:rPr>
            </w:pPr>
          </w:p>
        </w:tc>
        <w:tc>
          <w:tcPr>
            <w:tcW w:w="6954" w:type="dxa"/>
          </w:tcPr>
          <w:p>
            <w:pPr>
              <w:pStyle w:val="9"/>
              <w:spacing w:before="22"/>
              <w:ind w:left="164"/>
              <w:rPr>
                <w:sz w:val="21"/>
              </w:rPr>
            </w:pPr>
            <w:r>
              <w:rPr>
                <w:spacing w:val="-4"/>
                <w:sz w:val="21"/>
              </w:rPr>
              <w:t>（4）</w:t>
            </w:r>
            <w:r>
              <w:rPr>
                <w:spacing w:val="-5"/>
                <w:sz w:val="21"/>
              </w:rPr>
              <w:t>在国家《医院分级管理标准》二级或二级以上医院的相应科室从事临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2440" w:type="dxa"/>
            <w:gridSpan w:val="2"/>
            <w:vMerge w:val="continue"/>
            <w:tcBorders>
              <w:top w:val="nil"/>
            </w:tcBorders>
          </w:tcPr>
          <w:p>
            <w:pPr>
              <w:rPr>
                <w:sz w:val="2"/>
                <w:szCs w:val="2"/>
              </w:rPr>
            </w:pPr>
          </w:p>
        </w:tc>
        <w:tc>
          <w:tcPr>
            <w:tcW w:w="6954" w:type="dxa"/>
          </w:tcPr>
          <w:p>
            <w:pPr>
              <w:pStyle w:val="9"/>
              <w:spacing w:before="22"/>
              <w:ind w:left="164"/>
              <w:rPr>
                <w:sz w:val="21"/>
              </w:rPr>
            </w:pPr>
            <w:r>
              <w:rPr>
                <w:spacing w:val="-4"/>
                <w:sz w:val="21"/>
              </w:rPr>
              <w:t>床工作三年以上。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75" w:hRule="atLeast"/>
        </w:trPr>
        <w:tc>
          <w:tcPr>
            <w:tcW w:w="741" w:type="dxa"/>
          </w:tcPr>
          <w:p>
            <w:pPr>
              <w:pStyle w:val="9"/>
              <w:spacing w:before="115" w:line="339" w:lineRule="exact"/>
              <w:ind w:left="50"/>
              <w:rPr>
                <w:rFonts w:ascii="Microsoft JhengHei"/>
                <w:b/>
                <w:sz w:val="21"/>
              </w:rPr>
            </w:pPr>
            <w:r>
              <w:rPr>
                <w:rFonts w:ascii="Microsoft JhengHei"/>
                <w:b/>
                <w:spacing w:val="-4"/>
                <w:sz w:val="21"/>
              </w:rPr>
              <w:t>8.36</w:t>
            </w:r>
          </w:p>
        </w:tc>
        <w:tc>
          <w:tcPr>
            <w:tcW w:w="1699" w:type="dxa"/>
          </w:tcPr>
          <w:p>
            <w:pPr>
              <w:pStyle w:val="9"/>
              <w:spacing w:before="115" w:line="339" w:lineRule="exact"/>
              <w:ind w:left="269"/>
              <w:rPr>
                <w:rFonts w:ascii="Microsoft JhengHei" w:eastAsia="Microsoft JhengHei"/>
                <w:b/>
                <w:sz w:val="21"/>
              </w:rPr>
            </w:pPr>
            <w:r>
              <w:rPr>
                <w:rFonts w:ascii="Microsoft JhengHei" w:eastAsia="Microsoft JhengHei"/>
                <w:b/>
                <w:spacing w:val="-2"/>
                <w:sz w:val="21"/>
              </w:rPr>
              <w:t>组织病理学检</w:t>
            </w:r>
          </w:p>
        </w:tc>
        <w:tc>
          <w:tcPr>
            <w:tcW w:w="6954" w:type="dxa"/>
          </w:tcPr>
          <w:p>
            <w:pPr>
              <w:pStyle w:val="9"/>
              <w:spacing w:before="5"/>
              <w:rPr>
                <w:sz w:val="14"/>
              </w:rPr>
            </w:pPr>
          </w:p>
          <w:p>
            <w:pPr>
              <w:pStyle w:val="9"/>
              <w:ind w:left="164"/>
              <w:rPr>
                <w:sz w:val="21"/>
              </w:rPr>
            </w:pPr>
            <w:r>
              <w:rPr>
                <w:spacing w:val="-3"/>
                <w:sz w:val="21"/>
              </w:rPr>
              <w:t>组织病理学检查是通过局部切除、钳取、穿刺等手术方法，从患者机体采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91" w:hRule="atLeast"/>
        </w:trPr>
        <w:tc>
          <w:tcPr>
            <w:tcW w:w="741" w:type="dxa"/>
          </w:tcPr>
          <w:p>
            <w:pPr>
              <w:pStyle w:val="9"/>
              <w:rPr>
                <w:rFonts w:ascii="Times New Roman"/>
                <w:sz w:val="20"/>
              </w:rPr>
            </w:pPr>
          </w:p>
        </w:tc>
        <w:tc>
          <w:tcPr>
            <w:tcW w:w="1699" w:type="dxa"/>
          </w:tcPr>
          <w:p>
            <w:pPr>
              <w:pStyle w:val="9"/>
              <w:spacing w:line="339" w:lineRule="exact"/>
              <w:ind w:left="269"/>
              <w:rPr>
                <w:rFonts w:ascii="Microsoft JhengHei" w:eastAsia="Microsoft JhengHei"/>
                <w:b/>
                <w:sz w:val="21"/>
              </w:rPr>
            </w:pPr>
            <w:r>
              <w:rPr>
                <w:rFonts w:ascii="Microsoft JhengHei" w:eastAsia="Microsoft JhengHei"/>
                <w:b/>
                <w:w w:val="100"/>
                <w:sz w:val="21"/>
              </w:rPr>
              <w:t>查</w:t>
            </w:r>
          </w:p>
        </w:tc>
        <w:tc>
          <w:tcPr>
            <w:tcW w:w="6954" w:type="dxa"/>
          </w:tcPr>
          <w:p>
            <w:pPr>
              <w:pStyle w:val="9"/>
              <w:spacing w:before="22"/>
              <w:ind w:left="164"/>
              <w:rPr>
                <w:sz w:val="21"/>
              </w:rPr>
            </w:pPr>
            <w:r>
              <w:rPr>
                <w:spacing w:val="-3"/>
                <w:sz w:val="21"/>
              </w:rPr>
              <w:t>取病变组织块，经过包埋、切片后，进行病理检查的方法。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9" w:hRule="atLeast"/>
        </w:trPr>
        <w:tc>
          <w:tcPr>
            <w:tcW w:w="741" w:type="dxa"/>
          </w:tcPr>
          <w:p>
            <w:pPr>
              <w:pStyle w:val="9"/>
              <w:rPr>
                <w:rFonts w:ascii="Times New Roman"/>
                <w:sz w:val="20"/>
              </w:rPr>
            </w:pPr>
          </w:p>
        </w:tc>
        <w:tc>
          <w:tcPr>
            <w:tcW w:w="1699" w:type="dxa"/>
          </w:tcPr>
          <w:p>
            <w:pPr>
              <w:pStyle w:val="9"/>
              <w:rPr>
                <w:rFonts w:ascii="Times New Roman"/>
                <w:sz w:val="20"/>
              </w:rPr>
            </w:pPr>
          </w:p>
        </w:tc>
        <w:tc>
          <w:tcPr>
            <w:tcW w:w="6954" w:type="dxa"/>
          </w:tcPr>
          <w:p>
            <w:pPr>
              <w:pStyle w:val="9"/>
              <w:spacing w:before="101" w:line="268" w:lineRule="exact"/>
              <w:ind w:left="164"/>
              <w:rPr>
                <w:sz w:val="21"/>
              </w:rPr>
            </w:pPr>
            <w:r>
              <w:rPr>
                <w:spacing w:val="-3"/>
                <w:sz w:val="21"/>
              </w:rPr>
              <w:t>通过采集病变部位脱落细胞、细针吸取病变部位细胞、体腔积液分离病变</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9" w:hRule="atLeast"/>
        </w:trPr>
        <w:tc>
          <w:tcPr>
            <w:tcW w:w="741" w:type="dxa"/>
          </w:tcPr>
          <w:p>
            <w:pPr>
              <w:pStyle w:val="9"/>
              <w:rPr>
                <w:rFonts w:ascii="Times New Roman"/>
                <w:sz w:val="20"/>
              </w:rPr>
            </w:pPr>
          </w:p>
        </w:tc>
        <w:tc>
          <w:tcPr>
            <w:tcW w:w="1699" w:type="dxa"/>
          </w:tcPr>
          <w:p>
            <w:pPr>
              <w:pStyle w:val="9"/>
              <w:rPr>
                <w:rFonts w:ascii="Times New Roman"/>
                <w:sz w:val="20"/>
              </w:rPr>
            </w:pPr>
          </w:p>
        </w:tc>
        <w:tc>
          <w:tcPr>
            <w:tcW w:w="6954" w:type="dxa"/>
          </w:tcPr>
          <w:p>
            <w:pPr>
              <w:pStyle w:val="9"/>
              <w:spacing w:before="19"/>
              <w:ind w:left="164"/>
              <w:rPr>
                <w:sz w:val="21"/>
              </w:rPr>
            </w:pPr>
            <w:r>
              <w:rPr>
                <w:spacing w:val="-3"/>
                <w:sz w:val="21"/>
              </w:rPr>
              <w:t>细胞等方式获取病变细胞，制成涂片，进行病理检查的方法，属于细胞病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8" w:hRule="atLeast"/>
        </w:trPr>
        <w:tc>
          <w:tcPr>
            <w:tcW w:w="741" w:type="dxa"/>
          </w:tcPr>
          <w:p>
            <w:pPr>
              <w:pStyle w:val="9"/>
              <w:rPr>
                <w:rFonts w:ascii="Times New Roman"/>
                <w:sz w:val="20"/>
              </w:rPr>
            </w:pPr>
          </w:p>
        </w:tc>
        <w:tc>
          <w:tcPr>
            <w:tcW w:w="1699" w:type="dxa"/>
          </w:tcPr>
          <w:p>
            <w:pPr>
              <w:pStyle w:val="9"/>
              <w:rPr>
                <w:rFonts w:ascii="Times New Roman"/>
                <w:sz w:val="20"/>
              </w:rPr>
            </w:pPr>
          </w:p>
        </w:tc>
        <w:tc>
          <w:tcPr>
            <w:tcW w:w="6954" w:type="dxa"/>
          </w:tcPr>
          <w:p>
            <w:pPr>
              <w:pStyle w:val="9"/>
              <w:spacing w:before="22"/>
              <w:ind w:left="164"/>
              <w:rPr>
                <w:sz w:val="21"/>
              </w:rPr>
            </w:pPr>
            <w:r>
              <w:rPr>
                <w:spacing w:val="-3"/>
                <w:sz w:val="21"/>
              </w:rPr>
              <w:t>理学检查，不属于组织病理学检查。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807" w:hRule="atLeast"/>
        </w:trPr>
        <w:tc>
          <w:tcPr>
            <w:tcW w:w="741" w:type="dxa"/>
          </w:tcPr>
          <w:p>
            <w:pPr>
              <w:pStyle w:val="9"/>
              <w:spacing w:before="136"/>
              <w:ind w:left="50"/>
              <w:rPr>
                <w:rFonts w:ascii="Microsoft JhengHei"/>
                <w:b/>
                <w:sz w:val="21"/>
              </w:rPr>
            </w:pPr>
            <w:r>
              <w:rPr>
                <w:rFonts w:ascii="Microsoft JhengHei"/>
                <w:b/>
                <w:spacing w:val="-4"/>
                <w:sz w:val="21"/>
              </w:rPr>
              <w:t>8.37</w:t>
            </w:r>
          </w:p>
        </w:tc>
        <w:tc>
          <w:tcPr>
            <w:tcW w:w="1699" w:type="dxa"/>
          </w:tcPr>
          <w:p>
            <w:pPr>
              <w:pStyle w:val="9"/>
              <w:spacing w:before="136" w:line="347" w:lineRule="exact"/>
              <w:ind w:left="269"/>
              <w:rPr>
                <w:rFonts w:ascii="Microsoft JhengHei" w:eastAsia="Microsoft JhengHei"/>
                <w:b/>
                <w:sz w:val="21"/>
              </w:rPr>
            </w:pPr>
            <w:r>
              <w:rPr>
                <w:rFonts w:ascii="Microsoft JhengHei" w:eastAsia="Microsoft JhengHei"/>
                <w:b/>
                <w:spacing w:val="-2"/>
                <w:sz w:val="21"/>
              </w:rPr>
              <w:t>《疾病和有关</w:t>
            </w:r>
          </w:p>
          <w:p>
            <w:pPr>
              <w:pStyle w:val="9"/>
              <w:spacing w:line="305" w:lineRule="exact"/>
              <w:ind w:left="269"/>
              <w:rPr>
                <w:rFonts w:ascii="Microsoft JhengHei" w:eastAsia="Microsoft JhengHei"/>
                <w:b/>
                <w:sz w:val="21"/>
              </w:rPr>
            </w:pPr>
            <w:r>
              <w:rPr>
                <w:rFonts w:ascii="Microsoft JhengHei" w:eastAsia="Microsoft JhengHei"/>
                <w:b/>
                <w:spacing w:val="-2"/>
                <w:sz w:val="21"/>
              </w:rPr>
              <w:t>健康问题的国</w:t>
            </w:r>
          </w:p>
        </w:tc>
        <w:tc>
          <w:tcPr>
            <w:tcW w:w="6954" w:type="dxa"/>
          </w:tcPr>
          <w:p>
            <w:pPr>
              <w:pStyle w:val="9"/>
              <w:spacing w:before="174" w:line="300" w:lineRule="atLeast"/>
              <w:ind w:left="164" w:right="50"/>
              <w:rPr>
                <w:sz w:val="21"/>
              </w:rPr>
            </w:pPr>
            <w:r>
              <w:rPr>
                <w:spacing w:val="-2"/>
                <w:sz w:val="21"/>
              </w:rPr>
              <w:t>《疾病和有关健康问题的国际统计分类》第十次修订版（</w:t>
            </w:r>
            <w:r>
              <w:rPr>
                <w:rFonts w:ascii="Times New Roman" w:eastAsia="Times New Roman"/>
                <w:spacing w:val="-2"/>
                <w:sz w:val="21"/>
              </w:rPr>
              <w:t>ICD-10</w:t>
            </w:r>
            <w:r>
              <w:rPr>
                <w:spacing w:val="-2"/>
                <w:sz w:val="21"/>
              </w:rPr>
              <w:t>），是世</w:t>
            </w:r>
            <w:r>
              <w:rPr>
                <w:spacing w:val="-4"/>
                <w:sz w:val="21"/>
              </w:rPr>
              <w:t>界卫生组织（</w:t>
            </w:r>
            <w:r>
              <w:rPr>
                <w:rFonts w:ascii="Times New Roman" w:eastAsia="Times New Roman"/>
                <w:spacing w:val="-4"/>
                <w:sz w:val="21"/>
              </w:rPr>
              <w:t>WHO</w:t>
            </w:r>
            <w:r>
              <w:rPr>
                <w:spacing w:val="-4"/>
                <w:sz w:val="21"/>
              </w:rPr>
              <w:t>）</w:t>
            </w:r>
            <w:r>
              <w:rPr>
                <w:spacing w:val="-5"/>
                <w:sz w:val="21"/>
              </w:rPr>
              <w:t>发布的国际通用的疾病分类方法。《国际疾病分类肿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1" w:type="dxa"/>
          </w:tcPr>
          <w:p>
            <w:pPr>
              <w:pStyle w:val="9"/>
              <w:rPr>
                <w:rFonts w:ascii="Times New Roman"/>
                <w:sz w:val="20"/>
              </w:rPr>
            </w:pPr>
          </w:p>
        </w:tc>
        <w:tc>
          <w:tcPr>
            <w:tcW w:w="1699" w:type="dxa"/>
          </w:tcPr>
          <w:p>
            <w:pPr>
              <w:pStyle w:val="9"/>
              <w:spacing w:line="292" w:lineRule="exact"/>
              <w:ind w:left="269"/>
              <w:rPr>
                <w:rFonts w:ascii="Microsoft JhengHei" w:eastAsia="Microsoft JhengHei"/>
                <w:b/>
                <w:sz w:val="21"/>
              </w:rPr>
            </w:pPr>
            <w:r>
              <w:rPr>
                <w:rFonts w:ascii="Microsoft JhengHei" w:eastAsia="Microsoft JhengHei"/>
                <w:b/>
                <w:spacing w:val="-2"/>
                <w:sz w:val="21"/>
              </w:rPr>
              <w:t>际统计分类》</w:t>
            </w:r>
          </w:p>
        </w:tc>
        <w:tc>
          <w:tcPr>
            <w:tcW w:w="6954" w:type="dxa"/>
          </w:tcPr>
          <w:p>
            <w:pPr>
              <w:pStyle w:val="9"/>
              <w:spacing w:before="17"/>
              <w:ind w:left="164"/>
              <w:rPr>
                <w:sz w:val="21"/>
              </w:rPr>
            </w:pPr>
            <w:r>
              <w:rPr>
                <w:spacing w:val="-2"/>
                <w:sz w:val="21"/>
              </w:rPr>
              <w:t>瘤学专辑》第三版（</w:t>
            </w:r>
            <w:r>
              <w:rPr>
                <w:rFonts w:ascii="Times New Roman" w:eastAsia="Times New Roman"/>
                <w:spacing w:val="-2"/>
                <w:sz w:val="21"/>
              </w:rPr>
              <w:t>ICD-O-3</w:t>
            </w:r>
            <w:r>
              <w:rPr>
                <w:spacing w:val="-2"/>
                <w:sz w:val="21"/>
              </w:rPr>
              <w:t>），</w:t>
            </w:r>
            <w:r>
              <w:rPr>
                <w:spacing w:val="-10"/>
                <w:sz w:val="21"/>
              </w:rPr>
              <w:t xml:space="preserve">是 </w:t>
            </w:r>
            <w:r>
              <w:rPr>
                <w:rFonts w:ascii="Times New Roman" w:eastAsia="Times New Roman"/>
                <w:spacing w:val="-2"/>
                <w:sz w:val="21"/>
              </w:rPr>
              <w:t>WHO</w:t>
            </w:r>
            <w:r>
              <w:rPr>
                <w:rFonts w:ascii="Times New Roman" w:eastAsia="Times New Roman"/>
                <w:spacing w:val="-6"/>
                <w:sz w:val="21"/>
              </w:rPr>
              <w:t xml:space="preserve"> </w:t>
            </w:r>
            <w:r>
              <w:rPr>
                <w:spacing w:val="-5"/>
                <w:sz w:val="21"/>
              </w:rPr>
              <w:t xml:space="preserve">发布的针对 </w:t>
            </w:r>
            <w:r>
              <w:rPr>
                <w:rFonts w:ascii="Times New Roman" w:eastAsia="Times New Roman"/>
                <w:spacing w:val="-2"/>
                <w:sz w:val="21"/>
              </w:rPr>
              <w:t>ICD</w:t>
            </w:r>
            <w:r>
              <w:rPr>
                <w:rFonts w:ascii="Times New Roman" w:eastAsia="Times New Roman"/>
                <w:spacing w:val="41"/>
                <w:sz w:val="21"/>
              </w:rPr>
              <w:t xml:space="preserve"> </w:t>
            </w:r>
            <w:r>
              <w:rPr>
                <w:spacing w:val="-4"/>
                <w:sz w:val="21"/>
              </w:rPr>
              <w:t>中肿瘤形态学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741" w:type="dxa"/>
          </w:tcPr>
          <w:p>
            <w:pPr>
              <w:pStyle w:val="9"/>
              <w:rPr>
                <w:rFonts w:ascii="Times New Roman"/>
                <w:sz w:val="20"/>
              </w:rPr>
            </w:pPr>
          </w:p>
        </w:tc>
        <w:tc>
          <w:tcPr>
            <w:tcW w:w="1699" w:type="dxa"/>
          </w:tcPr>
          <w:p>
            <w:pPr>
              <w:pStyle w:val="9"/>
              <w:spacing w:line="292" w:lineRule="exact"/>
              <w:ind w:left="269"/>
              <w:rPr>
                <w:rFonts w:ascii="Microsoft JhengHei" w:eastAsia="Microsoft JhengHei"/>
                <w:b/>
                <w:sz w:val="21"/>
              </w:rPr>
            </w:pPr>
            <w:r>
              <w:rPr>
                <w:rFonts w:ascii="Microsoft JhengHei" w:eastAsia="Microsoft JhengHei"/>
                <w:b/>
                <w:spacing w:val="-2"/>
                <w:sz w:val="21"/>
              </w:rPr>
              <w:t>第十次修订版</w:t>
            </w:r>
          </w:p>
        </w:tc>
        <w:tc>
          <w:tcPr>
            <w:tcW w:w="6954" w:type="dxa"/>
          </w:tcPr>
          <w:p>
            <w:pPr>
              <w:pStyle w:val="9"/>
              <w:spacing w:before="17"/>
              <w:ind w:left="164"/>
              <w:rPr>
                <w:sz w:val="21"/>
              </w:rPr>
            </w:pPr>
            <w:r>
              <w:rPr>
                <w:sz w:val="21"/>
              </w:rPr>
              <w:t>组织学细胞类型、动态、分化程度的补充编码。其中形态学编码：</w:t>
            </w:r>
            <w:r>
              <w:rPr>
                <w:rFonts w:ascii="Times New Roman" w:eastAsia="Times New Roman"/>
                <w:sz w:val="21"/>
              </w:rPr>
              <w:t>0</w:t>
            </w:r>
            <w:r>
              <w:rPr>
                <w:rFonts w:ascii="Times New Roman" w:eastAsia="Times New Roman"/>
                <w:spacing w:val="29"/>
                <w:sz w:val="21"/>
              </w:rPr>
              <w:t xml:space="preserve"> </w:t>
            </w:r>
            <w:r>
              <w:rPr>
                <w:spacing w:val="-5"/>
                <w:sz w:val="21"/>
              </w:rPr>
              <w:t>代表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1" w:type="dxa"/>
          </w:tcPr>
          <w:p>
            <w:pPr>
              <w:pStyle w:val="9"/>
              <w:rPr>
                <w:rFonts w:ascii="Times New Roman"/>
                <w:sz w:val="20"/>
              </w:rPr>
            </w:pPr>
          </w:p>
        </w:tc>
        <w:tc>
          <w:tcPr>
            <w:tcW w:w="1699" w:type="dxa"/>
          </w:tcPr>
          <w:p>
            <w:pPr>
              <w:pStyle w:val="9"/>
              <w:spacing w:line="292" w:lineRule="exact"/>
              <w:ind w:left="269"/>
              <w:rPr>
                <w:rFonts w:ascii="Microsoft JhengHei" w:eastAsia="Microsoft JhengHei"/>
                <w:b/>
                <w:sz w:val="21"/>
              </w:rPr>
            </w:pPr>
            <w:r>
              <w:rPr>
                <w:rFonts w:ascii="Microsoft JhengHei" w:eastAsia="Microsoft JhengHei"/>
                <w:b/>
                <w:w w:val="90"/>
                <w:sz w:val="21"/>
              </w:rPr>
              <w:t>（ICD-10）</w:t>
            </w:r>
            <w:r>
              <w:rPr>
                <w:rFonts w:ascii="Microsoft JhengHei" w:eastAsia="Microsoft JhengHei"/>
                <w:b/>
                <w:spacing w:val="-10"/>
                <w:w w:val="90"/>
                <w:sz w:val="21"/>
              </w:rPr>
              <w:t>的</w:t>
            </w:r>
          </w:p>
        </w:tc>
        <w:tc>
          <w:tcPr>
            <w:tcW w:w="6954" w:type="dxa"/>
          </w:tcPr>
          <w:p>
            <w:pPr>
              <w:pStyle w:val="9"/>
              <w:spacing w:before="17"/>
              <w:ind w:left="164"/>
              <w:rPr>
                <w:sz w:val="21"/>
              </w:rPr>
            </w:pPr>
            <w:r>
              <w:rPr>
                <w:sz w:val="21"/>
              </w:rPr>
              <w:t>良性肿瘤；</w:t>
            </w:r>
            <w:r>
              <w:rPr>
                <w:rFonts w:ascii="Times New Roman" w:eastAsia="Times New Roman"/>
                <w:sz w:val="21"/>
              </w:rPr>
              <w:t>1</w:t>
            </w:r>
            <w:r>
              <w:rPr>
                <w:rFonts w:ascii="Times New Roman" w:eastAsia="Times New Roman"/>
                <w:spacing w:val="44"/>
                <w:sz w:val="21"/>
              </w:rPr>
              <w:t xml:space="preserve"> </w:t>
            </w:r>
            <w:r>
              <w:rPr>
                <w:sz w:val="21"/>
              </w:rPr>
              <w:t>代表动态未定性肿瘤；</w:t>
            </w:r>
            <w:r>
              <w:rPr>
                <w:rFonts w:ascii="Times New Roman" w:eastAsia="Times New Roman"/>
                <w:sz w:val="21"/>
              </w:rPr>
              <w:t>2</w:t>
            </w:r>
            <w:r>
              <w:rPr>
                <w:rFonts w:ascii="Times New Roman" w:eastAsia="Times New Roman"/>
                <w:spacing w:val="45"/>
                <w:sz w:val="21"/>
              </w:rPr>
              <w:t xml:space="preserve"> </w:t>
            </w:r>
            <w:r>
              <w:rPr>
                <w:sz w:val="21"/>
              </w:rPr>
              <w:t>代表原位癌和非侵袭性癌；</w:t>
            </w:r>
            <w:r>
              <w:rPr>
                <w:rFonts w:ascii="Times New Roman" w:eastAsia="Times New Roman"/>
                <w:sz w:val="21"/>
              </w:rPr>
              <w:t>3</w:t>
            </w:r>
            <w:r>
              <w:rPr>
                <w:rFonts w:ascii="Times New Roman" w:eastAsia="Times New Roman"/>
                <w:spacing w:val="44"/>
                <w:sz w:val="21"/>
              </w:rPr>
              <w:t xml:space="preserve"> </w:t>
            </w:r>
            <w:r>
              <w:rPr>
                <w:spacing w:val="-5"/>
                <w:sz w:val="21"/>
              </w:rPr>
              <w:t>代表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1" w:type="dxa"/>
          </w:tcPr>
          <w:p>
            <w:pPr>
              <w:pStyle w:val="9"/>
              <w:rPr>
                <w:rFonts w:ascii="Times New Roman"/>
                <w:sz w:val="20"/>
              </w:rPr>
            </w:pPr>
          </w:p>
        </w:tc>
        <w:tc>
          <w:tcPr>
            <w:tcW w:w="1699" w:type="dxa"/>
          </w:tcPr>
          <w:p>
            <w:pPr>
              <w:pStyle w:val="9"/>
              <w:spacing w:line="292" w:lineRule="exact"/>
              <w:ind w:left="269"/>
              <w:rPr>
                <w:rFonts w:ascii="Microsoft JhengHei" w:eastAsia="Microsoft JhengHei"/>
                <w:b/>
                <w:sz w:val="21"/>
              </w:rPr>
            </w:pPr>
            <w:r>
              <w:rPr>
                <w:rFonts w:ascii="Microsoft JhengHei" w:eastAsia="Microsoft JhengHei"/>
                <w:b/>
                <w:spacing w:val="-2"/>
                <w:sz w:val="21"/>
              </w:rPr>
              <w:t>恶性肿瘤类别</w:t>
            </w:r>
          </w:p>
        </w:tc>
        <w:tc>
          <w:tcPr>
            <w:tcW w:w="6954" w:type="dxa"/>
          </w:tcPr>
          <w:p>
            <w:pPr>
              <w:pStyle w:val="9"/>
              <w:spacing w:before="17"/>
              <w:ind w:left="164"/>
              <w:rPr>
                <w:sz w:val="21"/>
              </w:rPr>
            </w:pPr>
            <w:r>
              <w:rPr>
                <w:sz w:val="21"/>
              </w:rPr>
              <w:t>恶性肿瘤（原发性）；</w:t>
            </w:r>
            <w:r>
              <w:rPr>
                <w:rFonts w:ascii="Times New Roman" w:eastAsia="Times New Roman"/>
                <w:sz w:val="21"/>
              </w:rPr>
              <w:t>6</w:t>
            </w:r>
            <w:r>
              <w:rPr>
                <w:rFonts w:ascii="Times New Roman" w:eastAsia="Times New Roman"/>
                <w:spacing w:val="41"/>
                <w:sz w:val="21"/>
              </w:rPr>
              <w:t xml:space="preserve"> </w:t>
            </w:r>
            <w:r>
              <w:rPr>
                <w:sz w:val="21"/>
              </w:rPr>
              <w:t>代表恶性肿瘤（转移性）；</w:t>
            </w:r>
            <w:r>
              <w:rPr>
                <w:rFonts w:ascii="Times New Roman" w:eastAsia="Times New Roman"/>
                <w:sz w:val="21"/>
              </w:rPr>
              <w:t>9</w:t>
            </w:r>
            <w:r>
              <w:rPr>
                <w:rFonts w:ascii="Times New Roman" w:eastAsia="Times New Roman"/>
                <w:spacing w:val="41"/>
                <w:sz w:val="21"/>
              </w:rPr>
              <w:t xml:space="preserve"> </w:t>
            </w:r>
            <w:r>
              <w:rPr>
                <w:sz w:val="21"/>
              </w:rPr>
              <w:t>代表恶性肿瘤（</w:t>
            </w:r>
            <w:r>
              <w:rPr>
                <w:spacing w:val="-10"/>
                <w:sz w:val="21"/>
              </w:rPr>
              <w:t>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trPr>
        <w:tc>
          <w:tcPr>
            <w:tcW w:w="741" w:type="dxa"/>
          </w:tcPr>
          <w:p>
            <w:pPr>
              <w:pStyle w:val="9"/>
              <w:rPr>
                <w:rFonts w:ascii="Times New Roman"/>
                <w:sz w:val="20"/>
              </w:rPr>
            </w:pPr>
          </w:p>
        </w:tc>
        <w:tc>
          <w:tcPr>
            <w:tcW w:w="1699" w:type="dxa"/>
          </w:tcPr>
          <w:p>
            <w:pPr>
              <w:pStyle w:val="9"/>
              <w:spacing w:line="292" w:lineRule="exact"/>
              <w:ind w:left="269"/>
              <w:rPr>
                <w:rFonts w:ascii="Microsoft JhengHei" w:eastAsia="Microsoft JhengHei"/>
                <w:b/>
                <w:sz w:val="21"/>
              </w:rPr>
            </w:pPr>
            <w:r>
              <w:rPr>
                <w:rFonts w:ascii="Microsoft JhengHei" w:eastAsia="Microsoft JhengHei"/>
                <w:b/>
                <w:spacing w:val="-2"/>
                <w:sz w:val="21"/>
              </w:rPr>
              <w:t>及《国际疾病</w:t>
            </w:r>
          </w:p>
        </w:tc>
        <w:tc>
          <w:tcPr>
            <w:tcW w:w="6954" w:type="dxa"/>
          </w:tcPr>
          <w:p>
            <w:pPr>
              <w:pStyle w:val="9"/>
              <w:spacing w:before="17"/>
              <w:ind w:left="164"/>
              <w:rPr>
                <w:sz w:val="21"/>
              </w:rPr>
            </w:pPr>
            <w:r>
              <w:rPr>
                <w:spacing w:val="-2"/>
                <w:sz w:val="21"/>
              </w:rPr>
              <w:t>发性或转移性未肯定）</w:t>
            </w:r>
            <w:r>
              <w:rPr>
                <w:spacing w:val="-6"/>
                <w:sz w:val="21"/>
              </w:rPr>
              <w:t xml:space="preserve">。如果出现 </w:t>
            </w:r>
            <w:r>
              <w:rPr>
                <w:rFonts w:ascii="Times New Roman" w:eastAsia="Times New Roman"/>
                <w:spacing w:val="-2"/>
                <w:sz w:val="21"/>
              </w:rPr>
              <w:t>ICD-10</w:t>
            </w:r>
            <w:r>
              <w:rPr>
                <w:rFonts w:ascii="Times New Roman" w:eastAsia="Times New Roman"/>
                <w:spacing w:val="28"/>
                <w:sz w:val="21"/>
              </w:rPr>
              <w:t xml:space="preserve"> </w:t>
            </w:r>
            <w:r>
              <w:rPr>
                <w:spacing w:val="-13"/>
                <w:sz w:val="21"/>
              </w:rPr>
              <w:t xml:space="preserve">与 </w:t>
            </w:r>
            <w:r>
              <w:rPr>
                <w:rFonts w:ascii="Times New Roman" w:eastAsia="Times New Roman"/>
                <w:spacing w:val="-2"/>
                <w:sz w:val="21"/>
              </w:rPr>
              <w:t>ICD-O-3</w:t>
            </w:r>
            <w:r>
              <w:rPr>
                <w:rFonts w:ascii="Times New Roman" w:eastAsia="Times New Roman"/>
                <w:spacing w:val="29"/>
                <w:sz w:val="21"/>
              </w:rPr>
              <w:t xml:space="preserve"> </w:t>
            </w:r>
            <w:r>
              <w:rPr>
                <w:spacing w:val="-3"/>
                <w:sz w:val="21"/>
              </w:rPr>
              <w:t>不一致的情况，以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5" w:hRule="atLeast"/>
        </w:trPr>
        <w:tc>
          <w:tcPr>
            <w:tcW w:w="741" w:type="dxa"/>
          </w:tcPr>
          <w:p>
            <w:pPr>
              <w:pStyle w:val="9"/>
              <w:rPr>
                <w:rFonts w:ascii="Times New Roman"/>
                <w:sz w:val="20"/>
              </w:rPr>
            </w:pPr>
          </w:p>
        </w:tc>
        <w:tc>
          <w:tcPr>
            <w:tcW w:w="1699" w:type="dxa"/>
          </w:tcPr>
          <w:p>
            <w:pPr>
              <w:pStyle w:val="9"/>
              <w:spacing w:line="295" w:lineRule="exact"/>
              <w:ind w:left="269"/>
              <w:rPr>
                <w:rFonts w:ascii="Microsoft JhengHei" w:eastAsia="Microsoft JhengHei"/>
                <w:b/>
                <w:sz w:val="21"/>
              </w:rPr>
            </w:pPr>
            <w:r>
              <w:rPr>
                <w:rFonts w:ascii="Microsoft JhengHei" w:eastAsia="Microsoft JhengHei"/>
                <w:b/>
                <w:spacing w:val="-2"/>
                <w:sz w:val="21"/>
              </w:rPr>
              <w:t>分类肿瘤学专</w:t>
            </w:r>
          </w:p>
        </w:tc>
        <w:tc>
          <w:tcPr>
            <w:tcW w:w="6954" w:type="dxa"/>
          </w:tcPr>
          <w:p>
            <w:pPr>
              <w:pStyle w:val="9"/>
              <w:spacing w:before="17"/>
              <w:ind w:left="164"/>
              <w:rPr>
                <w:sz w:val="21"/>
              </w:rPr>
            </w:pPr>
            <w:r>
              <w:rPr>
                <w:rFonts w:ascii="Times New Roman" w:eastAsia="Times New Roman"/>
                <w:sz w:val="21"/>
              </w:rPr>
              <w:t>ICD-O-3</w:t>
            </w:r>
            <w:r>
              <w:rPr>
                <w:rFonts w:ascii="Times New Roman" w:eastAsia="Times New Roman"/>
                <w:spacing w:val="46"/>
                <w:sz w:val="21"/>
              </w:rPr>
              <w:t xml:space="preserve"> </w:t>
            </w:r>
            <w:r>
              <w:rPr>
                <w:spacing w:val="-4"/>
                <w:sz w:val="21"/>
              </w:rPr>
              <w:t>为准。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04" w:hRule="atLeast"/>
        </w:trPr>
        <w:tc>
          <w:tcPr>
            <w:tcW w:w="741" w:type="dxa"/>
          </w:tcPr>
          <w:p>
            <w:pPr>
              <w:pStyle w:val="9"/>
              <w:rPr>
                <w:rFonts w:ascii="Times New Roman"/>
                <w:sz w:val="20"/>
              </w:rPr>
            </w:pPr>
          </w:p>
        </w:tc>
        <w:tc>
          <w:tcPr>
            <w:tcW w:w="1699" w:type="dxa"/>
          </w:tcPr>
          <w:p>
            <w:pPr>
              <w:pStyle w:val="9"/>
              <w:spacing w:line="284" w:lineRule="exact"/>
              <w:ind w:left="269"/>
              <w:rPr>
                <w:rFonts w:ascii="Microsoft JhengHei" w:eastAsia="Microsoft JhengHei"/>
                <w:b/>
                <w:sz w:val="21"/>
              </w:rPr>
            </w:pPr>
            <w:r>
              <w:rPr>
                <w:rFonts w:ascii="Microsoft JhengHei" w:eastAsia="Microsoft JhengHei"/>
                <w:b/>
                <w:spacing w:val="-2"/>
                <w:sz w:val="21"/>
              </w:rPr>
              <w:t>辑》第三版</w:t>
            </w:r>
          </w:p>
        </w:tc>
        <w:tc>
          <w:tcPr>
            <w:tcW w:w="6954" w:type="dxa"/>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9" w:hRule="atLeast"/>
        </w:trPr>
        <w:tc>
          <w:tcPr>
            <w:tcW w:w="741" w:type="dxa"/>
          </w:tcPr>
          <w:p>
            <w:pPr>
              <w:pStyle w:val="9"/>
              <w:rPr>
                <w:rFonts w:ascii="Times New Roman"/>
                <w:sz w:val="20"/>
              </w:rPr>
            </w:pPr>
          </w:p>
        </w:tc>
        <w:tc>
          <w:tcPr>
            <w:tcW w:w="1699" w:type="dxa"/>
          </w:tcPr>
          <w:p>
            <w:pPr>
              <w:pStyle w:val="9"/>
              <w:spacing w:line="339" w:lineRule="exact"/>
              <w:ind w:left="269"/>
              <w:rPr>
                <w:rFonts w:ascii="Microsoft JhengHei" w:eastAsia="Microsoft JhengHei"/>
                <w:b/>
                <w:sz w:val="21"/>
              </w:rPr>
            </w:pPr>
            <w:r>
              <w:rPr>
                <w:rFonts w:ascii="Microsoft JhengHei" w:eastAsia="Microsoft JhengHei"/>
                <w:b/>
                <w:w w:val="90"/>
                <w:sz w:val="21"/>
              </w:rPr>
              <w:t>（ICD-O-</w:t>
            </w:r>
            <w:r>
              <w:rPr>
                <w:rFonts w:ascii="Microsoft JhengHei" w:eastAsia="Microsoft JhengHei"/>
                <w:b/>
                <w:spacing w:val="-5"/>
                <w:w w:val="90"/>
                <w:sz w:val="21"/>
              </w:rPr>
              <w:t>3）</w:t>
            </w:r>
          </w:p>
        </w:tc>
        <w:tc>
          <w:tcPr>
            <w:tcW w:w="6954" w:type="dxa"/>
          </w:tcPr>
          <w:p>
            <w:pPr>
              <w:pStyle w:val="9"/>
              <w:rPr>
                <w:rFonts w:ascii="Times New Roman"/>
                <w:sz w:val="20"/>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99" w:hRule="atLeast"/>
        </w:trPr>
        <w:tc>
          <w:tcPr>
            <w:tcW w:w="741" w:type="dxa"/>
          </w:tcPr>
          <w:p>
            <w:pPr>
              <w:pStyle w:val="9"/>
              <w:spacing w:before="140" w:line="339" w:lineRule="exact"/>
              <w:ind w:left="50"/>
              <w:rPr>
                <w:rFonts w:ascii="Microsoft JhengHei"/>
                <w:b/>
                <w:sz w:val="21"/>
              </w:rPr>
            </w:pPr>
            <w:r>
              <w:rPr>
                <w:rFonts w:ascii="Microsoft JhengHei"/>
                <w:b/>
                <w:spacing w:val="-4"/>
                <w:sz w:val="21"/>
              </w:rPr>
              <w:t>8.38</w:t>
            </w:r>
          </w:p>
        </w:tc>
        <w:tc>
          <w:tcPr>
            <w:tcW w:w="1699" w:type="dxa"/>
          </w:tcPr>
          <w:p>
            <w:pPr>
              <w:pStyle w:val="9"/>
              <w:spacing w:before="140" w:line="339" w:lineRule="exact"/>
              <w:ind w:left="269"/>
              <w:rPr>
                <w:rFonts w:ascii="Microsoft JhengHei" w:eastAsia="Microsoft JhengHei"/>
                <w:b/>
                <w:sz w:val="21"/>
              </w:rPr>
            </w:pPr>
            <w:r>
              <w:rPr>
                <w:rFonts w:ascii="Microsoft JhengHei" w:eastAsia="Microsoft JhengHei"/>
                <w:b/>
                <w:w w:val="75"/>
                <w:sz w:val="21"/>
              </w:rPr>
              <w:t>TNM</w:t>
            </w:r>
            <w:r>
              <w:rPr>
                <w:rFonts w:ascii="Microsoft JhengHei" w:eastAsia="Microsoft JhengHei"/>
                <w:b/>
                <w:spacing w:val="39"/>
                <w:sz w:val="21"/>
              </w:rPr>
              <w:t xml:space="preserve"> </w:t>
            </w:r>
            <w:r>
              <w:rPr>
                <w:rFonts w:ascii="Microsoft JhengHei" w:eastAsia="Microsoft JhengHei"/>
                <w:b/>
                <w:w w:val="75"/>
                <w:sz w:val="21"/>
              </w:rPr>
              <w:t>分</w:t>
            </w:r>
            <w:r>
              <w:rPr>
                <w:rFonts w:ascii="Microsoft JhengHei" w:eastAsia="Microsoft JhengHei"/>
                <w:b/>
                <w:spacing w:val="-10"/>
                <w:w w:val="75"/>
                <w:sz w:val="21"/>
              </w:rPr>
              <w:t>期</w:t>
            </w:r>
          </w:p>
        </w:tc>
        <w:tc>
          <w:tcPr>
            <w:tcW w:w="6954" w:type="dxa"/>
          </w:tcPr>
          <w:p>
            <w:pPr>
              <w:pStyle w:val="9"/>
              <w:spacing w:before="4"/>
              <w:rPr>
                <w:sz w:val="16"/>
              </w:rPr>
            </w:pPr>
          </w:p>
          <w:p>
            <w:pPr>
              <w:pStyle w:val="9"/>
              <w:ind w:left="164"/>
              <w:rPr>
                <w:sz w:val="21"/>
              </w:rPr>
            </w:pPr>
            <w:r>
              <w:rPr>
                <w:spacing w:val="-2"/>
                <w:sz w:val="21"/>
              </w:rPr>
              <w:t>TNM分期采用AJCC</w:t>
            </w:r>
            <w:r>
              <w:rPr>
                <w:spacing w:val="-11"/>
                <w:sz w:val="21"/>
              </w:rPr>
              <w:t>癌症分期手册标准。该标准由美国癌症联合委员会与国际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440" w:type="dxa"/>
            <w:gridSpan w:val="2"/>
            <w:vMerge w:val="restart"/>
          </w:tcPr>
          <w:p>
            <w:pPr>
              <w:pStyle w:val="9"/>
              <w:rPr>
                <w:rFonts w:ascii="Times New Roman"/>
                <w:sz w:val="20"/>
              </w:rPr>
            </w:pPr>
          </w:p>
        </w:tc>
        <w:tc>
          <w:tcPr>
            <w:tcW w:w="6954" w:type="dxa"/>
          </w:tcPr>
          <w:p>
            <w:pPr>
              <w:pStyle w:val="9"/>
              <w:spacing w:before="22"/>
              <w:ind w:left="164"/>
              <w:rPr>
                <w:sz w:val="21"/>
              </w:rPr>
            </w:pPr>
            <w:r>
              <w:rPr>
                <w:spacing w:val="-2"/>
                <w:sz w:val="21"/>
              </w:rPr>
              <w:t>抗癌联合会TNM委员会联合制定，是目前肿瘤医学分期的国际通用标准。</w:t>
            </w:r>
            <w:r>
              <w:rPr>
                <w:spacing w:val="-10"/>
                <w:sz w:val="21"/>
              </w:rPr>
              <w:t>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1" w:hRule="atLeast"/>
        </w:trPr>
        <w:tc>
          <w:tcPr>
            <w:tcW w:w="2440" w:type="dxa"/>
            <w:gridSpan w:val="2"/>
            <w:vMerge w:val="continue"/>
            <w:tcBorders>
              <w:top w:val="nil"/>
            </w:tcBorders>
          </w:tcPr>
          <w:p>
            <w:pPr>
              <w:rPr>
                <w:sz w:val="2"/>
                <w:szCs w:val="2"/>
              </w:rPr>
            </w:pPr>
          </w:p>
        </w:tc>
        <w:tc>
          <w:tcPr>
            <w:tcW w:w="6954" w:type="dxa"/>
          </w:tcPr>
          <w:p>
            <w:pPr>
              <w:pStyle w:val="9"/>
              <w:spacing w:before="22"/>
              <w:ind w:left="164"/>
              <w:rPr>
                <w:sz w:val="21"/>
              </w:rPr>
            </w:pPr>
            <w:r>
              <w:rPr>
                <w:spacing w:val="-2"/>
                <w:sz w:val="21"/>
              </w:rPr>
              <w:t>指原发肿瘤的大小、形态等；N指淋巴结的转移情况；M</w:t>
            </w:r>
            <w:r>
              <w:rPr>
                <w:spacing w:val="-4"/>
                <w:sz w:val="21"/>
              </w:rPr>
              <w:t>指有无其他脏器的</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03" w:hRule="atLeast"/>
        </w:trPr>
        <w:tc>
          <w:tcPr>
            <w:tcW w:w="2440" w:type="dxa"/>
            <w:gridSpan w:val="2"/>
            <w:vMerge w:val="continue"/>
            <w:tcBorders>
              <w:top w:val="nil"/>
            </w:tcBorders>
          </w:tcPr>
          <w:p>
            <w:pPr>
              <w:rPr>
                <w:sz w:val="2"/>
                <w:szCs w:val="2"/>
              </w:rPr>
            </w:pPr>
          </w:p>
        </w:tc>
        <w:tc>
          <w:tcPr>
            <w:tcW w:w="6954" w:type="dxa"/>
          </w:tcPr>
          <w:p>
            <w:pPr>
              <w:pStyle w:val="9"/>
              <w:spacing w:before="22"/>
              <w:ind w:left="164"/>
              <w:rPr>
                <w:sz w:val="21"/>
              </w:rPr>
            </w:pPr>
            <w:r>
              <w:rPr>
                <w:spacing w:val="-2"/>
                <w:sz w:val="21"/>
              </w:rPr>
              <w:t>转移情况。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25" w:hRule="atLeast"/>
        </w:trPr>
        <w:tc>
          <w:tcPr>
            <w:tcW w:w="2440" w:type="dxa"/>
            <w:gridSpan w:val="2"/>
            <w:vMerge w:val="continue"/>
            <w:tcBorders>
              <w:top w:val="nil"/>
            </w:tcBorders>
          </w:tcPr>
          <w:p>
            <w:pPr>
              <w:rPr>
                <w:sz w:val="2"/>
                <w:szCs w:val="2"/>
              </w:rPr>
            </w:pPr>
          </w:p>
        </w:tc>
        <w:tc>
          <w:tcPr>
            <w:tcW w:w="6954" w:type="dxa"/>
          </w:tcPr>
          <w:p>
            <w:pPr>
              <w:pStyle w:val="9"/>
              <w:spacing w:before="113"/>
              <w:ind w:left="164"/>
              <w:rPr>
                <w:sz w:val="21"/>
              </w:rPr>
            </w:pPr>
            <w:r>
              <w:rPr>
                <w:spacing w:val="-4"/>
                <w:sz w:val="21"/>
              </w:rPr>
              <w:t xml:space="preserve">甲状腺癌的 </w:t>
            </w:r>
            <w:r>
              <w:rPr>
                <w:spacing w:val="-2"/>
                <w:sz w:val="21"/>
              </w:rPr>
              <w:t>TNM</w:t>
            </w:r>
            <w:r>
              <w:rPr>
                <w:spacing w:val="-6"/>
                <w:sz w:val="21"/>
              </w:rPr>
              <w:t xml:space="preserve"> 分期采用目前现行的 </w:t>
            </w:r>
            <w:r>
              <w:rPr>
                <w:spacing w:val="-2"/>
                <w:sz w:val="21"/>
              </w:rPr>
              <w:t>AJCC</w:t>
            </w:r>
            <w:r>
              <w:rPr>
                <w:spacing w:val="-7"/>
                <w:sz w:val="21"/>
              </w:rPr>
              <w:t xml:space="preserve"> 第八版定义标准，我国国家卫</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7" w:hRule="atLeast"/>
        </w:trPr>
        <w:tc>
          <w:tcPr>
            <w:tcW w:w="2440" w:type="dxa"/>
            <w:gridSpan w:val="2"/>
            <w:vMerge w:val="continue"/>
            <w:tcBorders>
              <w:top w:val="nil"/>
            </w:tcBorders>
          </w:tcPr>
          <w:p>
            <w:pPr>
              <w:rPr>
                <w:sz w:val="2"/>
                <w:szCs w:val="2"/>
              </w:rPr>
            </w:pPr>
          </w:p>
        </w:tc>
        <w:tc>
          <w:tcPr>
            <w:tcW w:w="6954" w:type="dxa"/>
          </w:tcPr>
          <w:p>
            <w:pPr>
              <w:pStyle w:val="9"/>
              <w:spacing w:before="43"/>
              <w:ind w:left="164"/>
              <w:rPr>
                <w:sz w:val="21"/>
              </w:rPr>
            </w:pPr>
            <w:r>
              <w:rPr>
                <w:spacing w:val="-5"/>
                <w:sz w:val="21"/>
              </w:rPr>
              <w:t xml:space="preserve">生健康委员会 </w:t>
            </w:r>
            <w:r>
              <w:rPr>
                <w:spacing w:val="-2"/>
                <w:sz w:val="21"/>
              </w:rPr>
              <w:t>2018</w:t>
            </w:r>
            <w:r>
              <w:rPr>
                <w:spacing w:val="-6"/>
                <w:sz w:val="21"/>
              </w:rPr>
              <w:t xml:space="preserve"> 年发布的《甲状腺癌诊疗规范</w:t>
            </w:r>
            <w:r>
              <w:rPr>
                <w:spacing w:val="-2"/>
                <w:sz w:val="21"/>
              </w:rPr>
              <w:t>（2018</w:t>
            </w:r>
            <w:r>
              <w:rPr>
                <w:spacing w:val="-8"/>
                <w:sz w:val="21"/>
              </w:rPr>
              <w:t xml:space="preserve"> 年版</w:t>
            </w:r>
            <w:r>
              <w:rPr>
                <w:spacing w:val="-2"/>
                <w:sz w:val="21"/>
              </w:rPr>
              <w:t>）</w:t>
            </w:r>
            <w:r>
              <w:rPr>
                <w:spacing w:val="-4"/>
                <w:sz w:val="21"/>
              </w:rPr>
              <w:t>》也采用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6" w:hRule="atLeast"/>
        </w:trPr>
        <w:tc>
          <w:tcPr>
            <w:tcW w:w="2440" w:type="dxa"/>
            <w:gridSpan w:val="2"/>
            <w:vMerge w:val="continue"/>
            <w:tcBorders>
              <w:top w:val="nil"/>
            </w:tcBorders>
          </w:tcPr>
          <w:p>
            <w:pPr>
              <w:rPr>
                <w:sz w:val="2"/>
                <w:szCs w:val="2"/>
              </w:rPr>
            </w:pPr>
          </w:p>
        </w:tc>
        <w:tc>
          <w:tcPr>
            <w:tcW w:w="6954" w:type="dxa"/>
          </w:tcPr>
          <w:p>
            <w:pPr>
              <w:pStyle w:val="9"/>
              <w:spacing w:before="46"/>
              <w:ind w:left="164"/>
              <w:rPr>
                <w:sz w:val="21"/>
              </w:rPr>
            </w:pPr>
            <w:r>
              <w:rPr>
                <w:spacing w:val="-3"/>
                <w:sz w:val="21"/>
              </w:rPr>
              <w:t>此定义标准，具体见下：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36" w:hRule="atLeast"/>
        </w:trPr>
        <w:tc>
          <w:tcPr>
            <w:tcW w:w="2440" w:type="dxa"/>
            <w:gridSpan w:val="2"/>
            <w:vMerge w:val="continue"/>
            <w:tcBorders>
              <w:top w:val="nil"/>
            </w:tcBorders>
          </w:tcPr>
          <w:p>
            <w:pPr>
              <w:rPr>
                <w:sz w:val="2"/>
                <w:szCs w:val="2"/>
              </w:rPr>
            </w:pPr>
          </w:p>
        </w:tc>
        <w:tc>
          <w:tcPr>
            <w:tcW w:w="6954" w:type="dxa"/>
          </w:tcPr>
          <w:p>
            <w:pPr>
              <w:pStyle w:val="9"/>
              <w:spacing w:before="122"/>
              <w:ind w:left="164"/>
              <w:rPr>
                <w:sz w:val="21"/>
              </w:rPr>
            </w:pPr>
            <w:r>
              <w:rPr>
                <w:spacing w:val="-2"/>
                <w:sz w:val="21"/>
              </w:rPr>
              <w:t>甲状腺乳头状癌、滤泡癌、低分化癌、Hürthle</w:t>
            </w:r>
            <w:r>
              <w:rPr>
                <w:spacing w:val="-8"/>
                <w:sz w:val="21"/>
              </w:rPr>
              <w:t xml:space="preserve"> 细胞癌和未分化癌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7" w:hRule="atLeast"/>
        </w:trPr>
        <w:tc>
          <w:tcPr>
            <w:tcW w:w="2440" w:type="dxa"/>
            <w:gridSpan w:val="2"/>
            <w:vMerge w:val="continue"/>
            <w:tcBorders>
              <w:top w:val="nil"/>
            </w:tcBorders>
          </w:tcPr>
          <w:p>
            <w:pPr>
              <w:rPr>
                <w:sz w:val="2"/>
                <w:szCs w:val="2"/>
              </w:rPr>
            </w:pPr>
          </w:p>
        </w:tc>
        <w:tc>
          <w:tcPr>
            <w:tcW w:w="6954" w:type="dxa"/>
          </w:tcPr>
          <w:p>
            <w:pPr>
              <w:pStyle w:val="9"/>
              <w:spacing w:before="45"/>
              <w:ind w:left="164"/>
              <w:rPr>
                <w:sz w:val="21"/>
              </w:rPr>
            </w:pPr>
            <w:r>
              <w:rPr>
                <w:spacing w:val="-2"/>
                <w:position w:val="1"/>
                <w:sz w:val="21"/>
              </w:rPr>
              <w:t>pT</w:t>
            </w:r>
            <w:r>
              <w:rPr>
                <w:spacing w:val="-2"/>
                <w:sz w:val="11"/>
              </w:rPr>
              <w:t>X</w:t>
            </w:r>
            <w:r>
              <w:rPr>
                <w:spacing w:val="-3"/>
                <w:position w:val="1"/>
                <w:sz w:val="21"/>
              </w:rPr>
              <w:t>：原发肿瘤不能评估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57" w:hRule="atLeast"/>
        </w:trPr>
        <w:tc>
          <w:tcPr>
            <w:tcW w:w="2440" w:type="dxa"/>
            <w:gridSpan w:val="2"/>
            <w:vMerge w:val="continue"/>
            <w:tcBorders>
              <w:top w:val="nil"/>
            </w:tcBorders>
          </w:tcPr>
          <w:p>
            <w:pPr>
              <w:rPr>
                <w:sz w:val="2"/>
                <w:szCs w:val="2"/>
              </w:rPr>
            </w:pPr>
          </w:p>
        </w:tc>
        <w:tc>
          <w:tcPr>
            <w:tcW w:w="6954" w:type="dxa"/>
          </w:tcPr>
          <w:p>
            <w:pPr>
              <w:pStyle w:val="9"/>
              <w:spacing w:before="43"/>
              <w:ind w:left="164"/>
              <w:rPr>
                <w:sz w:val="21"/>
              </w:rPr>
            </w:pPr>
            <w:r>
              <w:rPr>
                <w:spacing w:val="-2"/>
                <w:position w:val="1"/>
                <w:sz w:val="21"/>
              </w:rPr>
              <w:t>pT</w:t>
            </w:r>
            <w:r>
              <w:rPr>
                <w:spacing w:val="-2"/>
                <w:sz w:val="11"/>
              </w:rPr>
              <w:t>0</w:t>
            </w:r>
            <w:r>
              <w:rPr>
                <w:spacing w:val="-4"/>
                <w:position w:val="1"/>
                <w:sz w:val="21"/>
              </w:rPr>
              <w:t>：无肿瘤证据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5" w:hRule="atLeast"/>
        </w:trPr>
        <w:tc>
          <w:tcPr>
            <w:tcW w:w="2440" w:type="dxa"/>
            <w:gridSpan w:val="2"/>
            <w:vMerge w:val="continue"/>
            <w:tcBorders>
              <w:top w:val="nil"/>
            </w:tcBorders>
          </w:tcPr>
          <w:p>
            <w:pPr>
              <w:rPr>
                <w:sz w:val="2"/>
                <w:szCs w:val="2"/>
              </w:rPr>
            </w:pPr>
          </w:p>
        </w:tc>
        <w:tc>
          <w:tcPr>
            <w:tcW w:w="6954" w:type="dxa"/>
          </w:tcPr>
          <w:p>
            <w:pPr>
              <w:pStyle w:val="9"/>
              <w:spacing w:before="45" w:line="220" w:lineRule="exact"/>
              <w:ind w:left="164"/>
              <w:rPr>
                <w:sz w:val="21"/>
              </w:rPr>
            </w:pPr>
            <w:r>
              <w:rPr>
                <w:spacing w:val="-2"/>
                <w:position w:val="1"/>
                <w:sz w:val="21"/>
              </w:rPr>
              <w:t>pT</w:t>
            </w:r>
            <w:r>
              <w:rPr>
                <w:spacing w:val="-2"/>
                <w:sz w:val="11"/>
              </w:rPr>
              <w:t>1</w:t>
            </w:r>
            <w:r>
              <w:rPr>
                <w:spacing w:val="-3"/>
                <w:position w:val="1"/>
                <w:sz w:val="21"/>
              </w:rPr>
              <w:t>：肿瘤局限在甲状腺内，最大径≤</w:t>
            </w:r>
            <w:r>
              <w:rPr>
                <w:spacing w:val="-4"/>
                <w:position w:val="1"/>
                <w:sz w:val="21"/>
              </w:rPr>
              <w:t>2cm</w:t>
            </w:r>
          </w:p>
        </w:tc>
      </w:tr>
    </w:tbl>
    <w:p>
      <w:pPr>
        <w:spacing w:before="134"/>
        <w:ind w:left="3408" w:right="0" w:firstLine="0"/>
        <w:jc w:val="left"/>
        <w:rPr>
          <w:sz w:val="21"/>
        </w:rPr>
      </w:pPr>
      <w:r>
        <w:rPr>
          <w:spacing w:val="-2"/>
          <w:position w:val="1"/>
          <w:sz w:val="21"/>
        </w:rPr>
        <w:t>T</w:t>
      </w:r>
      <w:r>
        <w:rPr>
          <w:spacing w:val="-2"/>
          <w:sz w:val="11"/>
        </w:rPr>
        <w:t>1a</w:t>
      </w:r>
      <w:r>
        <w:rPr>
          <w:spacing w:val="-16"/>
          <w:sz w:val="11"/>
        </w:rPr>
        <w:t xml:space="preserve"> </w:t>
      </w:r>
      <w:r>
        <w:rPr>
          <w:spacing w:val="-2"/>
          <w:position w:val="1"/>
          <w:sz w:val="21"/>
        </w:rPr>
        <w:t>肿瘤最大径</w:t>
      </w:r>
      <w:r>
        <w:rPr>
          <w:spacing w:val="-4"/>
          <w:position w:val="1"/>
          <w:sz w:val="21"/>
        </w:rPr>
        <w:t>≤1cm</w:t>
      </w:r>
    </w:p>
    <w:p>
      <w:pPr>
        <w:pStyle w:val="4"/>
        <w:spacing w:before="91" w:line="316" w:lineRule="auto"/>
        <w:ind w:left="2985" w:right="4373" w:firstLine="423"/>
      </w:pPr>
      <w:r>
        <w:rPr>
          <w:position w:val="1"/>
        </w:rPr>
        <w:t>T</w:t>
      </w:r>
      <w:r>
        <w:rPr>
          <w:sz w:val="11"/>
        </w:rPr>
        <w:t>1b</w:t>
      </w:r>
      <w:r>
        <w:rPr>
          <w:spacing w:val="-31"/>
          <w:sz w:val="11"/>
        </w:rPr>
        <w:t xml:space="preserve"> </w:t>
      </w:r>
      <w:r>
        <w:rPr>
          <w:position w:val="1"/>
        </w:rPr>
        <w:t>肿瘤最大径＞1cm，≤2cm pT</w:t>
      </w:r>
      <w:r>
        <w:rPr>
          <w:sz w:val="11"/>
        </w:rPr>
        <w:t>2</w:t>
      </w:r>
      <w:r>
        <w:rPr>
          <w:position w:val="1"/>
        </w:rPr>
        <w:t>：肿瘤 2～4cm</w:t>
      </w:r>
    </w:p>
    <w:p>
      <w:pPr>
        <w:pStyle w:val="4"/>
        <w:spacing w:before="6" w:line="321" w:lineRule="auto"/>
        <w:ind w:left="2985" w:right="1836"/>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4"/>
        <w:spacing w:line="268" w:lineRule="exact"/>
        <w:ind w:left="2985"/>
      </w:pPr>
      <w:r>
        <w:rPr>
          <w:spacing w:val="-2"/>
          <w:position w:val="1"/>
        </w:rPr>
        <w:t>pT</w:t>
      </w:r>
      <w:r>
        <w:rPr>
          <w:spacing w:val="-2"/>
          <w:sz w:val="11"/>
        </w:rPr>
        <w:t>3b</w:t>
      </w:r>
      <w:r>
        <w:rPr>
          <w:spacing w:val="-3"/>
          <w:position w:val="1"/>
        </w:rPr>
        <w:t>：大体侵犯甲状腺外带状肌，无论肿瘤大小</w:t>
      </w:r>
    </w:p>
    <w:p>
      <w:pPr>
        <w:pStyle w:val="4"/>
        <w:spacing w:before="86" w:line="321" w:lineRule="auto"/>
        <w:ind w:left="2985" w:right="842" w:firstLine="423"/>
      </w:pPr>
      <w:r>
        <w:rPr>
          <w:spacing w:val="-2"/>
        </w:rPr>
        <w:t xml:space="preserve">带状肌包括：胸骨舌骨肌、胸骨甲状肌、甲状舌骨肌、肩胛舌骨肌 </w:t>
      </w:r>
      <w:r>
        <w:rPr>
          <w:spacing w:val="-2"/>
          <w:position w:val="1"/>
        </w:rPr>
        <w:t>pT</w:t>
      </w:r>
      <w:r>
        <w:rPr>
          <w:spacing w:val="-2"/>
          <w:sz w:val="11"/>
        </w:rPr>
        <w:t>4</w:t>
      </w:r>
      <w:r>
        <w:rPr>
          <w:spacing w:val="-2"/>
          <w:position w:val="1"/>
        </w:rPr>
        <w:t>：大体侵犯甲状腺外带状肌外</w:t>
      </w:r>
    </w:p>
    <w:p>
      <w:pPr>
        <w:pStyle w:val="4"/>
        <w:spacing w:line="268" w:lineRule="exact"/>
        <w:ind w:left="2985"/>
      </w:pPr>
      <w:r>
        <w:rPr>
          <w:spacing w:val="-2"/>
          <w:position w:val="1"/>
        </w:rPr>
        <w:t>pT</w:t>
      </w:r>
      <w:r>
        <w:rPr>
          <w:spacing w:val="-2"/>
          <w:sz w:val="11"/>
        </w:rPr>
        <w:t>4a</w:t>
      </w:r>
      <w:r>
        <w:rPr>
          <w:spacing w:val="-3"/>
          <w:position w:val="1"/>
        </w:rPr>
        <w:t>：侵犯喉、气管、食管、喉反神经及皮下软组织</w:t>
      </w:r>
    </w:p>
    <w:p>
      <w:pPr>
        <w:spacing w:after="0" w:line="268" w:lineRule="exact"/>
        <w:sectPr>
          <w:pgSz w:w="11910" w:h="16840"/>
          <w:pgMar w:top="740" w:right="680" w:bottom="420" w:left="880" w:header="0" w:footer="230" w:gutter="0"/>
          <w:cols w:space="720" w:num="1"/>
        </w:sectPr>
      </w:pPr>
    </w:p>
    <w:p>
      <w:pPr>
        <w:pStyle w:val="4"/>
        <w:spacing w:before="56"/>
        <w:ind w:left="2985"/>
      </w:pPr>
      <w:r>
        <w:rPr>
          <w:spacing w:val="-2"/>
          <w:position w:val="1"/>
        </w:rPr>
        <w:t>pT</w:t>
      </w:r>
      <w:r>
        <w:rPr>
          <w:spacing w:val="-2"/>
          <w:sz w:val="11"/>
        </w:rPr>
        <w:t>4b</w:t>
      </w:r>
      <w:r>
        <w:rPr>
          <w:spacing w:val="-3"/>
          <w:position w:val="1"/>
        </w:rPr>
        <w:t>：侵犯椎前筋膜，或包裹颈动脉、纵隔血管</w:t>
      </w:r>
    </w:p>
    <w:p>
      <w:pPr>
        <w:pStyle w:val="4"/>
        <w:spacing w:before="1"/>
        <w:rPr>
          <w:sz w:val="19"/>
        </w:rPr>
      </w:pPr>
    </w:p>
    <w:p>
      <w:pPr>
        <w:pStyle w:val="4"/>
        <w:spacing w:before="1"/>
        <w:ind w:left="2985"/>
      </w:pPr>
      <w:r>
        <w:rPr>
          <w:spacing w:val="-4"/>
        </w:rPr>
        <w:t>甲状腺髓样癌</w:t>
      </w:r>
    </w:p>
    <w:p>
      <w:pPr>
        <w:pStyle w:val="4"/>
        <w:spacing w:before="90" w:line="316" w:lineRule="auto"/>
        <w:ind w:left="2985" w:right="5196"/>
      </w:pPr>
      <w:r>
        <w:rPr>
          <w:spacing w:val="-2"/>
          <w:position w:val="1"/>
        </w:rPr>
        <w:t>pT</w:t>
      </w:r>
      <w:r>
        <w:rPr>
          <w:spacing w:val="-2"/>
          <w:sz w:val="11"/>
        </w:rPr>
        <w:t>X</w:t>
      </w:r>
      <w:r>
        <w:rPr>
          <w:spacing w:val="-2"/>
          <w:position w:val="1"/>
        </w:rPr>
        <w:t>：原发肿瘤不能评估 pT</w:t>
      </w:r>
      <w:r>
        <w:rPr>
          <w:spacing w:val="-2"/>
          <w:sz w:val="11"/>
        </w:rPr>
        <w:t>0</w:t>
      </w:r>
      <w:r>
        <w:rPr>
          <w:spacing w:val="-2"/>
          <w:position w:val="1"/>
        </w:rPr>
        <w:t>：无肿瘤证据</w:t>
      </w:r>
    </w:p>
    <w:p>
      <w:pPr>
        <w:pStyle w:val="4"/>
        <w:spacing w:before="6" w:line="321" w:lineRule="auto"/>
        <w:ind w:left="3408" w:right="3432" w:hanging="423"/>
      </w:pPr>
      <w:r>
        <w:rPr>
          <w:spacing w:val="-2"/>
          <w:position w:val="1"/>
        </w:rPr>
        <w:t>pT</w:t>
      </w:r>
      <w:r>
        <w:rPr>
          <w:spacing w:val="-2"/>
          <w:sz w:val="11"/>
        </w:rPr>
        <w:t>1</w:t>
      </w:r>
      <w:r>
        <w:rPr>
          <w:spacing w:val="-2"/>
          <w:position w:val="1"/>
        </w:rPr>
        <w:t xml:space="preserve">：肿瘤局限在甲状腺内，最大径≤2cm </w:t>
      </w:r>
      <w:r>
        <w:rPr>
          <w:position w:val="1"/>
        </w:rPr>
        <w:t>T1</w:t>
      </w:r>
      <w:r>
        <w:rPr>
          <w:sz w:val="11"/>
        </w:rPr>
        <w:t>a</w:t>
      </w:r>
      <w:r>
        <w:rPr>
          <w:spacing w:val="-26"/>
          <w:sz w:val="11"/>
        </w:rPr>
        <w:t xml:space="preserve"> </w:t>
      </w:r>
      <w:r>
        <w:rPr>
          <w:position w:val="1"/>
        </w:rPr>
        <w:t>肿瘤最大径≤1cm</w:t>
      </w:r>
    </w:p>
    <w:p>
      <w:pPr>
        <w:pStyle w:val="4"/>
        <w:spacing w:line="316" w:lineRule="auto"/>
        <w:ind w:left="2985" w:right="4318" w:firstLine="423"/>
      </w:pPr>
      <w:r>
        <w:rPr>
          <w:position w:val="1"/>
        </w:rPr>
        <w:t>T1</w:t>
      </w:r>
      <w:r>
        <w:rPr>
          <w:sz w:val="11"/>
        </w:rPr>
        <w:t>b</w:t>
      </w:r>
      <w:r>
        <w:rPr>
          <w:spacing w:val="-26"/>
          <w:sz w:val="11"/>
        </w:rPr>
        <w:t xml:space="preserve"> </w:t>
      </w:r>
      <w:r>
        <w:rPr>
          <w:position w:val="1"/>
        </w:rPr>
        <w:t>肿瘤最大径＞1cm，≤2cm pT</w:t>
      </w:r>
      <w:r>
        <w:rPr>
          <w:sz w:val="11"/>
        </w:rPr>
        <w:t>2</w:t>
      </w:r>
      <w:r>
        <w:rPr>
          <w:position w:val="1"/>
        </w:rPr>
        <w:t>：肿瘤 2～4cm</w:t>
      </w:r>
    </w:p>
    <w:p>
      <w:pPr>
        <w:pStyle w:val="4"/>
        <w:spacing w:before="3" w:line="321" w:lineRule="auto"/>
        <w:ind w:left="2985" w:right="1836"/>
      </w:pPr>
      <w:r>
        <w:rPr>
          <w:spacing w:val="-2"/>
          <w:position w:val="1"/>
        </w:rPr>
        <w:t>pT</w:t>
      </w:r>
      <w:r>
        <w:rPr>
          <w:spacing w:val="-2"/>
          <w:sz w:val="11"/>
        </w:rPr>
        <w:t>3</w:t>
      </w:r>
      <w:r>
        <w:rPr>
          <w:spacing w:val="-2"/>
          <w:position w:val="1"/>
        </w:rPr>
        <w:t>：肿瘤&gt;4cm，局限于甲状腺内或大体侵犯甲状腺外带状肌 pT</w:t>
      </w:r>
      <w:r>
        <w:rPr>
          <w:spacing w:val="-2"/>
          <w:sz w:val="11"/>
        </w:rPr>
        <w:t>3a</w:t>
      </w:r>
      <w:r>
        <w:rPr>
          <w:spacing w:val="-2"/>
          <w:position w:val="1"/>
        </w:rPr>
        <w:t>：肿瘤&gt;4cm，局限于甲状腺内</w:t>
      </w:r>
    </w:p>
    <w:p>
      <w:pPr>
        <w:pStyle w:val="4"/>
        <w:spacing w:line="268" w:lineRule="exact"/>
        <w:ind w:left="2985"/>
      </w:pPr>
      <w:r>
        <w:rPr>
          <w:spacing w:val="-2"/>
          <w:position w:val="1"/>
        </w:rPr>
        <w:t>pT</w:t>
      </w:r>
      <w:r>
        <w:rPr>
          <w:spacing w:val="-2"/>
          <w:sz w:val="11"/>
        </w:rPr>
        <w:t>3b</w:t>
      </w:r>
      <w:r>
        <w:rPr>
          <w:spacing w:val="-3"/>
          <w:position w:val="1"/>
        </w:rPr>
        <w:t>：大体侵犯甲状腺外带状肌，无论肿瘤大小</w:t>
      </w:r>
    </w:p>
    <w:p>
      <w:pPr>
        <w:pStyle w:val="4"/>
        <w:spacing w:before="87" w:line="321" w:lineRule="auto"/>
        <w:ind w:left="2985" w:right="842" w:firstLine="423"/>
      </w:pPr>
      <w:r>
        <w:rPr>
          <w:spacing w:val="-2"/>
        </w:rPr>
        <w:t xml:space="preserve">带状肌包括：胸骨舌骨肌、胸骨甲状肌、甲状舌骨肌、肩胛舌骨肌 </w:t>
      </w:r>
      <w:r>
        <w:rPr>
          <w:spacing w:val="-2"/>
          <w:position w:val="1"/>
        </w:rPr>
        <w:t>pT</w:t>
      </w:r>
      <w:r>
        <w:rPr>
          <w:spacing w:val="-2"/>
          <w:sz w:val="11"/>
        </w:rPr>
        <w:t>4</w:t>
      </w:r>
      <w:r>
        <w:rPr>
          <w:spacing w:val="-2"/>
          <w:position w:val="1"/>
        </w:rPr>
        <w:t>：进展期病变</w:t>
      </w:r>
    </w:p>
    <w:p>
      <w:pPr>
        <w:pStyle w:val="4"/>
        <w:spacing w:line="321" w:lineRule="auto"/>
        <w:ind w:left="2985" w:right="526"/>
      </w:pPr>
      <w:r>
        <w:rPr>
          <w:spacing w:val="-2"/>
          <w:position w:val="1"/>
        </w:rPr>
        <w:t>pT</w:t>
      </w:r>
      <w:r>
        <w:rPr>
          <w:spacing w:val="-2"/>
          <w:sz w:val="11"/>
        </w:rPr>
        <w:t>4a</w:t>
      </w:r>
      <w:r>
        <w:rPr>
          <w:spacing w:val="-2"/>
          <w:position w:val="1"/>
        </w:rPr>
        <w:t>：中度进展，任何大小的肿瘤，侵犯甲状腺外颈部周围器官和软组织，</w:t>
      </w:r>
      <w:r>
        <w:t>如喉、气管、食 管、喉反神经及皮下软组织</w:t>
      </w:r>
    </w:p>
    <w:p>
      <w:pPr>
        <w:pStyle w:val="4"/>
        <w:spacing w:line="321" w:lineRule="auto"/>
        <w:ind w:left="2985" w:right="617"/>
      </w:pPr>
      <w:r>
        <w:rPr>
          <w:spacing w:val="-4"/>
          <w:position w:val="1"/>
        </w:rPr>
        <w:t>pT</w:t>
      </w:r>
      <w:r>
        <w:rPr>
          <w:spacing w:val="-4"/>
          <w:sz w:val="11"/>
        </w:rPr>
        <w:t>4b</w:t>
      </w:r>
      <w:r>
        <w:rPr>
          <w:spacing w:val="-4"/>
          <w:position w:val="1"/>
        </w:rPr>
        <w:t>：重度进展，任何大小的肿瘤，侵犯椎前筋膜，或包裹颈动脉、纵隔血</w:t>
      </w:r>
      <w:r>
        <w:rPr>
          <w:spacing w:val="-10"/>
        </w:rPr>
        <w:t>管</w:t>
      </w:r>
    </w:p>
    <w:p>
      <w:pPr>
        <w:pStyle w:val="4"/>
        <w:spacing w:before="151" w:line="319" w:lineRule="auto"/>
        <w:ind w:left="2985" w:right="4203"/>
      </w:pPr>
      <w:r>
        <w:rPr>
          <w:spacing w:val="-2"/>
        </w:rPr>
        <w:t xml:space="preserve">区域淋巴结：适用于所有甲状腺癌 </w:t>
      </w:r>
      <w:r>
        <w:rPr>
          <w:spacing w:val="-2"/>
          <w:position w:val="1"/>
        </w:rPr>
        <w:t>pN</w:t>
      </w:r>
      <w:r>
        <w:rPr>
          <w:spacing w:val="-2"/>
          <w:sz w:val="11"/>
        </w:rPr>
        <w:t>x</w:t>
      </w:r>
      <w:r>
        <w:rPr>
          <w:spacing w:val="-2"/>
          <w:position w:val="1"/>
        </w:rPr>
        <w:t>：区域淋巴结无法评估</w:t>
      </w:r>
      <w:r>
        <w:rPr>
          <w:spacing w:val="80"/>
          <w:w w:val="150"/>
          <w:position w:val="1"/>
        </w:rPr>
        <w:t xml:space="preserve">  </w:t>
      </w:r>
      <w:r>
        <w:rPr>
          <w:spacing w:val="-2"/>
          <w:position w:val="1"/>
        </w:rPr>
        <w:t>pN</w:t>
      </w:r>
      <w:r>
        <w:rPr>
          <w:spacing w:val="-2"/>
          <w:sz w:val="11"/>
        </w:rPr>
        <w:t>0</w:t>
      </w:r>
      <w:r>
        <w:rPr>
          <w:spacing w:val="-2"/>
          <w:position w:val="1"/>
        </w:rPr>
        <w:t>：无淋巴结转移证据</w:t>
      </w:r>
    </w:p>
    <w:p>
      <w:pPr>
        <w:pStyle w:val="4"/>
        <w:spacing w:before="2"/>
        <w:ind w:left="2985"/>
      </w:pPr>
      <w:r>
        <w:rPr>
          <w:spacing w:val="-2"/>
          <w:position w:val="1"/>
        </w:rPr>
        <w:t>pN</w:t>
      </w:r>
      <w:r>
        <w:rPr>
          <w:spacing w:val="-2"/>
          <w:sz w:val="11"/>
        </w:rPr>
        <w:t>1</w:t>
      </w:r>
      <w:r>
        <w:rPr>
          <w:spacing w:val="-4"/>
          <w:position w:val="1"/>
        </w:rPr>
        <w:t>：区域淋巴结转移</w:t>
      </w:r>
    </w:p>
    <w:p>
      <w:pPr>
        <w:pStyle w:val="4"/>
        <w:spacing w:before="86" w:line="321" w:lineRule="auto"/>
        <w:ind w:left="2985" w:right="576"/>
      </w:pPr>
      <w:r>
        <w:rPr>
          <w:position w:val="1"/>
        </w:rPr>
        <w:t>pN</w:t>
      </w:r>
      <w:r>
        <w:rPr>
          <w:sz w:val="11"/>
        </w:rPr>
        <w:t>1a</w:t>
      </w:r>
      <w:r>
        <w:rPr>
          <w:position w:val="1"/>
        </w:rPr>
        <w:t>：转移至Ⅵ、Ⅶ区（包括气管旁、气管前、喉前/Delphian</w:t>
      </w:r>
      <w:r>
        <w:rPr>
          <w:spacing w:val="-12"/>
          <w:position w:val="1"/>
        </w:rPr>
        <w:t xml:space="preserve"> 或上纵隔</w:t>
      </w:r>
      <w:r>
        <w:rPr>
          <w:position w:val="1"/>
        </w:rPr>
        <w:t>）</w:t>
      </w:r>
      <w:r>
        <w:rPr>
          <w:spacing w:val="-2"/>
        </w:rPr>
        <w:t>淋巴结，可以为单侧或双侧。</w:t>
      </w:r>
    </w:p>
    <w:p>
      <w:pPr>
        <w:pStyle w:val="4"/>
        <w:spacing w:line="321" w:lineRule="auto"/>
        <w:ind w:left="2985" w:right="622"/>
      </w:pPr>
      <w:r>
        <w:rPr>
          <w:spacing w:val="-4"/>
          <w:position w:val="1"/>
        </w:rPr>
        <w:t>pN</w:t>
      </w:r>
      <w:r>
        <w:rPr>
          <w:spacing w:val="-4"/>
          <w:sz w:val="11"/>
        </w:rPr>
        <w:t>1b</w:t>
      </w:r>
      <w:r>
        <w:rPr>
          <w:spacing w:val="-4"/>
          <w:position w:val="1"/>
        </w:rPr>
        <w:t>：单侧、双侧或对侧颈淋巴结转移（包括Ⅰ、Ⅱ、Ⅲ、Ⅳ或Ⅴ区）淋巴</w:t>
      </w:r>
      <w:r>
        <w:rPr>
          <w:spacing w:val="-2"/>
        </w:rPr>
        <w:t>结或咽后淋巴结转移。</w:t>
      </w:r>
    </w:p>
    <w:p>
      <w:pPr>
        <w:pStyle w:val="4"/>
        <w:spacing w:line="321" w:lineRule="auto"/>
        <w:ind w:left="2985" w:right="4414"/>
      </w:pPr>
      <w:r>
        <w:rPr>
          <w:spacing w:val="-2"/>
        </w:rPr>
        <w:t xml:space="preserve">远处转移：适用于所有甲状腺癌 </w:t>
      </w:r>
      <w:r>
        <w:rPr>
          <w:spacing w:val="-2"/>
          <w:position w:val="1"/>
        </w:rPr>
        <w:t>M</w:t>
      </w:r>
      <w:r>
        <w:rPr>
          <w:spacing w:val="-2"/>
          <w:sz w:val="11"/>
        </w:rPr>
        <w:t>0</w:t>
      </w:r>
      <w:r>
        <w:rPr>
          <w:spacing w:val="-2"/>
          <w:position w:val="1"/>
        </w:rPr>
        <w:t>：无远处转移</w:t>
      </w:r>
    </w:p>
    <w:p>
      <w:pPr>
        <w:pStyle w:val="4"/>
        <w:spacing w:after="41" w:line="268" w:lineRule="exact"/>
        <w:ind w:left="2985"/>
      </w:pPr>
      <w:r>
        <w:rPr>
          <w:spacing w:val="-2"/>
          <w:position w:val="1"/>
        </w:rPr>
        <w:t>M</w:t>
      </w:r>
      <w:r>
        <w:rPr>
          <w:spacing w:val="-2"/>
          <w:sz w:val="11"/>
        </w:rPr>
        <w:t>1</w:t>
      </w:r>
      <w:r>
        <w:rPr>
          <w:spacing w:val="-4"/>
          <w:position w:val="1"/>
        </w:rPr>
        <w:t>：有远处转移</w:t>
      </w:r>
    </w:p>
    <w:tbl>
      <w:tblPr>
        <w:tblStyle w:val="5"/>
        <w:tblW w:w="0" w:type="auto"/>
        <w:tblInd w:w="29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7"/>
        <w:gridCol w:w="1724"/>
        <w:gridCol w:w="1695"/>
        <w:gridCol w:w="16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6724" w:type="dxa"/>
            <w:gridSpan w:val="4"/>
          </w:tcPr>
          <w:p>
            <w:pPr>
              <w:pStyle w:val="9"/>
              <w:spacing w:before="44"/>
              <w:ind w:left="105"/>
              <w:rPr>
                <w:sz w:val="21"/>
              </w:rPr>
            </w:pPr>
            <w:r>
              <w:rPr>
                <w:spacing w:val="-2"/>
                <w:sz w:val="21"/>
              </w:rPr>
              <w:t>乳头状或滤泡状癌（分化型</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6724" w:type="dxa"/>
            <w:gridSpan w:val="4"/>
          </w:tcPr>
          <w:p>
            <w:pPr>
              <w:pStyle w:val="9"/>
              <w:spacing w:before="44"/>
              <w:ind w:left="105"/>
              <w:rPr>
                <w:sz w:val="21"/>
              </w:rPr>
            </w:pPr>
            <w:r>
              <w:rPr>
                <w:sz w:val="21"/>
              </w:rPr>
              <w:t>年龄&lt;55</w:t>
            </w:r>
            <w:r>
              <w:rPr>
                <w:spacing w:val="-32"/>
                <w:sz w:val="21"/>
              </w:rPr>
              <w:t xml:space="preserve"> 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667" w:type="dxa"/>
          </w:tcPr>
          <w:p>
            <w:pPr>
              <w:pStyle w:val="9"/>
              <w:rPr>
                <w:rFonts w:ascii="Times New Roman"/>
                <w:sz w:val="20"/>
              </w:rPr>
            </w:pPr>
          </w:p>
        </w:tc>
        <w:tc>
          <w:tcPr>
            <w:tcW w:w="1724" w:type="dxa"/>
          </w:tcPr>
          <w:p>
            <w:pPr>
              <w:pStyle w:val="9"/>
              <w:spacing w:before="44"/>
              <w:ind w:left="105"/>
              <w:rPr>
                <w:sz w:val="21"/>
              </w:rPr>
            </w:pPr>
            <w:r>
              <w:rPr>
                <w:w w:val="100"/>
                <w:sz w:val="21"/>
              </w:rPr>
              <w:t>T</w:t>
            </w:r>
          </w:p>
        </w:tc>
        <w:tc>
          <w:tcPr>
            <w:tcW w:w="1695" w:type="dxa"/>
          </w:tcPr>
          <w:p>
            <w:pPr>
              <w:pStyle w:val="9"/>
              <w:spacing w:before="44"/>
              <w:ind w:left="104"/>
              <w:rPr>
                <w:sz w:val="21"/>
              </w:rPr>
            </w:pPr>
            <w:r>
              <w:rPr>
                <w:w w:val="100"/>
                <w:sz w:val="21"/>
              </w:rPr>
              <w:t>N</w:t>
            </w:r>
          </w:p>
        </w:tc>
        <w:tc>
          <w:tcPr>
            <w:tcW w:w="1638" w:type="dxa"/>
          </w:tcPr>
          <w:p>
            <w:pPr>
              <w:pStyle w:val="9"/>
              <w:spacing w:before="44"/>
              <w:ind w:left="104"/>
              <w:rPr>
                <w:sz w:val="21"/>
              </w:rPr>
            </w:pPr>
            <w:r>
              <w:rPr>
                <w:w w:val="100"/>
                <w:sz w:val="21"/>
              </w:rPr>
              <w:t>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667" w:type="dxa"/>
          </w:tcPr>
          <w:p>
            <w:pPr>
              <w:pStyle w:val="9"/>
              <w:spacing w:before="44"/>
              <w:ind w:left="105"/>
              <w:rPr>
                <w:sz w:val="21"/>
              </w:rPr>
            </w:pPr>
            <w:r>
              <w:rPr>
                <w:spacing w:val="-5"/>
                <w:sz w:val="21"/>
              </w:rPr>
              <w:t>Ⅰ期</w:t>
            </w:r>
          </w:p>
        </w:tc>
        <w:tc>
          <w:tcPr>
            <w:tcW w:w="1724" w:type="dxa"/>
          </w:tcPr>
          <w:p>
            <w:pPr>
              <w:pStyle w:val="9"/>
              <w:spacing w:before="44"/>
              <w:ind w:left="105"/>
              <w:rPr>
                <w:sz w:val="21"/>
              </w:rPr>
            </w:pPr>
            <w:r>
              <w:rPr>
                <w:spacing w:val="-5"/>
                <w:sz w:val="21"/>
              </w:rPr>
              <w:t>任何</w:t>
            </w:r>
          </w:p>
        </w:tc>
        <w:tc>
          <w:tcPr>
            <w:tcW w:w="1695" w:type="dxa"/>
          </w:tcPr>
          <w:p>
            <w:pPr>
              <w:pStyle w:val="9"/>
              <w:spacing w:before="44"/>
              <w:ind w:left="104"/>
              <w:rPr>
                <w:sz w:val="21"/>
              </w:rPr>
            </w:pPr>
            <w:r>
              <w:rPr>
                <w:spacing w:val="-5"/>
                <w:sz w:val="21"/>
              </w:rPr>
              <w:t>任何</w:t>
            </w:r>
          </w:p>
        </w:tc>
        <w:tc>
          <w:tcPr>
            <w:tcW w:w="1638" w:type="dxa"/>
          </w:tcPr>
          <w:p>
            <w:pPr>
              <w:pStyle w:val="9"/>
              <w:spacing w:before="44"/>
              <w:ind w:left="104"/>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667" w:type="dxa"/>
          </w:tcPr>
          <w:p>
            <w:pPr>
              <w:pStyle w:val="9"/>
              <w:spacing w:before="44"/>
              <w:ind w:left="105"/>
              <w:rPr>
                <w:sz w:val="21"/>
              </w:rPr>
            </w:pPr>
            <w:r>
              <w:rPr>
                <w:spacing w:val="-5"/>
                <w:sz w:val="21"/>
              </w:rPr>
              <w:t>Ⅱ期</w:t>
            </w:r>
          </w:p>
        </w:tc>
        <w:tc>
          <w:tcPr>
            <w:tcW w:w="1724" w:type="dxa"/>
          </w:tcPr>
          <w:p>
            <w:pPr>
              <w:pStyle w:val="9"/>
              <w:spacing w:before="44"/>
              <w:ind w:left="105"/>
              <w:rPr>
                <w:sz w:val="21"/>
              </w:rPr>
            </w:pPr>
            <w:r>
              <w:rPr>
                <w:spacing w:val="-5"/>
                <w:sz w:val="21"/>
              </w:rPr>
              <w:t>任何</w:t>
            </w:r>
          </w:p>
        </w:tc>
        <w:tc>
          <w:tcPr>
            <w:tcW w:w="1695" w:type="dxa"/>
          </w:tcPr>
          <w:p>
            <w:pPr>
              <w:pStyle w:val="9"/>
              <w:spacing w:before="44"/>
              <w:ind w:left="104"/>
              <w:rPr>
                <w:sz w:val="21"/>
              </w:rPr>
            </w:pPr>
            <w:r>
              <w:rPr>
                <w:spacing w:val="-5"/>
                <w:sz w:val="21"/>
              </w:rPr>
              <w:t>任何</w:t>
            </w:r>
          </w:p>
        </w:tc>
        <w:tc>
          <w:tcPr>
            <w:tcW w:w="1638" w:type="dxa"/>
          </w:tcPr>
          <w:p>
            <w:pPr>
              <w:pStyle w:val="9"/>
              <w:spacing w:before="44"/>
              <w:ind w:left="104"/>
              <w:rPr>
                <w:sz w:val="21"/>
              </w:rPr>
            </w:pPr>
            <w:r>
              <w:rPr>
                <w:w w:val="100"/>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6724" w:type="dxa"/>
            <w:gridSpan w:val="4"/>
          </w:tcPr>
          <w:p>
            <w:pPr>
              <w:pStyle w:val="9"/>
              <w:spacing w:before="44"/>
              <w:ind w:left="105"/>
              <w:rPr>
                <w:sz w:val="21"/>
              </w:rPr>
            </w:pPr>
            <w:r>
              <w:rPr>
                <w:sz w:val="21"/>
              </w:rPr>
              <w:t>年龄≥55</w:t>
            </w:r>
            <w:r>
              <w:rPr>
                <w:spacing w:val="-32"/>
                <w:sz w:val="21"/>
              </w:rPr>
              <w:t xml:space="preserve"> 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1667" w:type="dxa"/>
            <w:vMerge w:val="restart"/>
          </w:tcPr>
          <w:p>
            <w:pPr>
              <w:pStyle w:val="9"/>
              <w:spacing w:before="9"/>
              <w:rPr>
                <w:sz w:val="17"/>
              </w:rPr>
            </w:pPr>
          </w:p>
          <w:p>
            <w:pPr>
              <w:pStyle w:val="9"/>
              <w:ind w:left="105"/>
              <w:rPr>
                <w:sz w:val="21"/>
              </w:rPr>
            </w:pPr>
            <w:r>
              <w:rPr>
                <w:spacing w:val="-5"/>
                <w:sz w:val="21"/>
              </w:rPr>
              <w:t>Ⅰ期</w:t>
            </w:r>
          </w:p>
        </w:tc>
        <w:tc>
          <w:tcPr>
            <w:tcW w:w="1724" w:type="dxa"/>
          </w:tcPr>
          <w:p>
            <w:pPr>
              <w:pStyle w:val="9"/>
              <w:spacing w:before="44"/>
              <w:ind w:left="105"/>
              <w:rPr>
                <w:sz w:val="21"/>
              </w:rPr>
            </w:pPr>
            <w:r>
              <w:rPr>
                <w:w w:val="100"/>
                <w:sz w:val="21"/>
              </w:rPr>
              <w:t>1</w:t>
            </w:r>
          </w:p>
        </w:tc>
        <w:tc>
          <w:tcPr>
            <w:tcW w:w="1695" w:type="dxa"/>
          </w:tcPr>
          <w:p>
            <w:pPr>
              <w:pStyle w:val="9"/>
              <w:spacing w:before="44"/>
              <w:ind w:left="104"/>
              <w:rPr>
                <w:sz w:val="21"/>
              </w:rPr>
            </w:pPr>
            <w:r>
              <w:rPr>
                <w:spacing w:val="-5"/>
                <w:sz w:val="21"/>
              </w:rPr>
              <w:t>0/x</w:t>
            </w:r>
          </w:p>
        </w:tc>
        <w:tc>
          <w:tcPr>
            <w:tcW w:w="1638" w:type="dxa"/>
          </w:tcPr>
          <w:p>
            <w:pPr>
              <w:pStyle w:val="9"/>
              <w:spacing w:before="44"/>
              <w:ind w:left="104"/>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667" w:type="dxa"/>
            <w:vMerge w:val="continue"/>
            <w:tcBorders>
              <w:top w:val="nil"/>
            </w:tcBorders>
          </w:tcPr>
          <w:p>
            <w:pPr>
              <w:rPr>
                <w:sz w:val="2"/>
                <w:szCs w:val="2"/>
              </w:rPr>
            </w:pPr>
          </w:p>
        </w:tc>
        <w:tc>
          <w:tcPr>
            <w:tcW w:w="1724" w:type="dxa"/>
          </w:tcPr>
          <w:p>
            <w:pPr>
              <w:pStyle w:val="9"/>
              <w:spacing w:before="49"/>
              <w:ind w:left="105"/>
              <w:rPr>
                <w:sz w:val="21"/>
              </w:rPr>
            </w:pPr>
            <w:r>
              <w:rPr>
                <w:w w:val="100"/>
                <w:sz w:val="21"/>
              </w:rPr>
              <w:t>2</w:t>
            </w:r>
          </w:p>
        </w:tc>
        <w:tc>
          <w:tcPr>
            <w:tcW w:w="1695" w:type="dxa"/>
          </w:tcPr>
          <w:p>
            <w:pPr>
              <w:pStyle w:val="9"/>
              <w:spacing w:before="49"/>
              <w:ind w:left="104"/>
              <w:rPr>
                <w:sz w:val="21"/>
              </w:rPr>
            </w:pPr>
            <w:r>
              <w:rPr>
                <w:spacing w:val="-5"/>
                <w:sz w:val="21"/>
              </w:rPr>
              <w:t>0/x</w:t>
            </w:r>
          </w:p>
        </w:tc>
        <w:tc>
          <w:tcPr>
            <w:tcW w:w="1638" w:type="dxa"/>
          </w:tcPr>
          <w:p>
            <w:pPr>
              <w:pStyle w:val="9"/>
              <w:spacing w:before="49"/>
              <w:ind w:left="104"/>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667" w:type="dxa"/>
            <w:vMerge w:val="restart"/>
          </w:tcPr>
          <w:p>
            <w:pPr>
              <w:pStyle w:val="9"/>
              <w:rPr>
                <w:sz w:val="18"/>
              </w:rPr>
            </w:pPr>
          </w:p>
          <w:p>
            <w:pPr>
              <w:pStyle w:val="9"/>
              <w:ind w:left="105"/>
              <w:rPr>
                <w:sz w:val="21"/>
              </w:rPr>
            </w:pPr>
            <w:r>
              <w:rPr>
                <w:spacing w:val="-5"/>
                <w:sz w:val="21"/>
              </w:rPr>
              <w:t>Ⅱ期</w:t>
            </w:r>
          </w:p>
        </w:tc>
        <w:tc>
          <w:tcPr>
            <w:tcW w:w="1724" w:type="dxa"/>
          </w:tcPr>
          <w:p>
            <w:pPr>
              <w:pStyle w:val="9"/>
              <w:spacing w:before="44"/>
              <w:ind w:left="105"/>
              <w:rPr>
                <w:sz w:val="21"/>
              </w:rPr>
            </w:pPr>
            <w:r>
              <w:rPr>
                <w:spacing w:val="-5"/>
                <w:sz w:val="21"/>
              </w:rPr>
              <w:t>1～2</w:t>
            </w:r>
          </w:p>
        </w:tc>
        <w:tc>
          <w:tcPr>
            <w:tcW w:w="1695" w:type="dxa"/>
          </w:tcPr>
          <w:p>
            <w:pPr>
              <w:pStyle w:val="9"/>
              <w:spacing w:before="44"/>
              <w:ind w:left="104"/>
              <w:rPr>
                <w:sz w:val="21"/>
              </w:rPr>
            </w:pPr>
            <w:r>
              <w:rPr>
                <w:w w:val="100"/>
                <w:sz w:val="21"/>
              </w:rPr>
              <w:t>1</w:t>
            </w:r>
          </w:p>
        </w:tc>
        <w:tc>
          <w:tcPr>
            <w:tcW w:w="1638" w:type="dxa"/>
          </w:tcPr>
          <w:p>
            <w:pPr>
              <w:pStyle w:val="9"/>
              <w:spacing w:before="44"/>
              <w:ind w:left="104"/>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667" w:type="dxa"/>
            <w:vMerge w:val="continue"/>
            <w:tcBorders>
              <w:top w:val="nil"/>
            </w:tcBorders>
          </w:tcPr>
          <w:p>
            <w:pPr>
              <w:rPr>
                <w:sz w:val="2"/>
                <w:szCs w:val="2"/>
              </w:rPr>
            </w:pPr>
          </w:p>
        </w:tc>
        <w:tc>
          <w:tcPr>
            <w:tcW w:w="1724" w:type="dxa"/>
          </w:tcPr>
          <w:p>
            <w:pPr>
              <w:pStyle w:val="9"/>
              <w:spacing w:before="44"/>
              <w:ind w:left="105"/>
              <w:rPr>
                <w:sz w:val="21"/>
              </w:rPr>
            </w:pPr>
            <w:r>
              <w:rPr>
                <w:spacing w:val="-2"/>
                <w:sz w:val="21"/>
              </w:rPr>
              <w:t>3a～3b</w:t>
            </w:r>
          </w:p>
        </w:tc>
        <w:tc>
          <w:tcPr>
            <w:tcW w:w="1695" w:type="dxa"/>
          </w:tcPr>
          <w:p>
            <w:pPr>
              <w:pStyle w:val="9"/>
              <w:spacing w:before="44"/>
              <w:ind w:left="104"/>
              <w:rPr>
                <w:sz w:val="21"/>
              </w:rPr>
            </w:pPr>
            <w:r>
              <w:rPr>
                <w:spacing w:val="-5"/>
                <w:sz w:val="21"/>
              </w:rPr>
              <w:t>任何</w:t>
            </w:r>
          </w:p>
        </w:tc>
        <w:tc>
          <w:tcPr>
            <w:tcW w:w="1638" w:type="dxa"/>
          </w:tcPr>
          <w:p>
            <w:pPr>
              <w:pStyle w:val="9"/>
              <w:spacing w:before="44"/>
              <w:ind w:left="104"/>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667" w:type="dxa"/>
          </w:tcPr>
          <w:p>
            <w:pPr>
              <w:pStyle w:val="9"/>
              <w:spacing w:before="44"/>
              <w:ind w:left="105"/>
              <w:rPr>
                <w:sz w:val="21"/>
              </w:rPr>
            </w:pPr>
            <w:r>
              <w:rPr>
                <w:spacing w:val="-5"/>
                <w:sz w:val="21"/>
              </w:rPr>
              <w:t>Ⅲ期</w:t>
            </w:r>
          </w:p>
        </w:tc>
        <w:tc>
          <w:tcPr>
            <w:tcW w:w="1724" w:type="dxa"/>
          </w:tcPr>
          <w:p>
            <w:pPr>
              <w:pStyle w:val="9"/>
              <w:spacing w:before="44"/>
              <w:ind w:left="105"/>
              <w:rPr>
                <w:sz w:val="21"/>
              </w:rPr>
            </w:pPr>
            <w:r>
              <w:rPr>
                <w:spacing w:val="-5"/>
                <w:sz w:val="21"/>
              </w:rPr>
              <w:t>4a</w:t>
            </w:r>
          </w:p>
        </w:tc>
        <w:tc>
          <w:tcPr>
            <w:tcW w:w="1695" w:type="dxa"/>
          </w:tcPr>
          <w:p>
            <w:pPr>
              <w:pStyle w:val="9"/>
              <w:spacing w:before="44"/>
              <w:ind w:left="104"/>
              <w:rPr>
                <w:sz w:val="21"/>
              </w:rPr>
            </w:pPr>
            <w:r>
              <w:rPr>
                <w:spacing w:val="-5"/>
                <w:sz w:val="21"/>
              </w:rPr>
              <w:t>任何</w:t>
            </w:r>
          </w:p>
        </w:tc>
        <w:tc>
          <w:tcPr>
            <w:tcW w:w="1638" w:type="dxa"/>
          </w:tcPr>
          <w:p>
            <w:pPr>
              <w:pStyle w:val="9"/>
              <w:spacing w:before="44"/>
              <w:ind w:left="104"/>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667" w:type="dxa"/>
          </w:tcPr>
          <w:p>
            <w:pPr>
              <w:pStyle w:val="9"/>
              <w:spacing w:before="44"/>
              <w:ind w:left="105"/>
              <w:rPr>
                <w:sz w:val="21"/>
              </w:rPr>
            </w:pPr>
            <w:r>
              <w:rPr>
                <w:sz w:val="21"/>
              </w:rPr>
              <w:t>ⅣA</w:t>
            </w:r>
            <w:r>
              <w:rPr>
                <w:spacing w:val="-31"/>
                <w:sz w:val="21"/>
              </w:rPr>
              <w:t xml:space="preserve"> 期</w:t>
            </w:r>
          </w:p>
        </w:tc>
        <w:tc>
          <w:tcPr>
            <w:tcW w:w="1724" w:type="dxa"/>
          </w:tcPr>
          <w:p>
            <w:pPr>
              <w:pStyle w:val="9"/>
              <w:spacing w:before="44"/>
              <w:ind w:left="105"/>
              <w:rPr>
                <w:sz w:val="21"/>
              </w:rPr>
            </w:pPr>
            <w:r>
              <w:rPr>
                <w:spacing w:val="-5"/>
                <w:sz w:val="21"/>
              </w:rPr>
              <w:t>4b</w:t>
            </w:r>
          </w:p>
        </w:tc>
        <w:tc>
          <w:tcPr>
            <w:tcW w:w="1695" w:type="dxa"/>
          </w:tcPr>
          <w:p>
            <w:pPr>
              <w:pStyle w:val="9"/>
              <w:spacing w:before="44"/>
              <w:ind w:left="104"/>
              <w:rPr>
                <w:sz w:val="21"/>
              </w:rPr>
            </w:pPr>
            <w:r>
              <w:rPr>
                <w:spacing w:val="-5"/>
                <w:sz w:val="21"/>
              </w:rPr>
              <w:t>任何</w:t>
            </w:r>
          </w:p>
        </w:tc>
        <w:tc>
          <w:tcPr>
            <w:tcW w:w="1638" w:type="dxa"/>
          </w:tcPr>
          <w:p>
            <w:pPr>
              <w:pStyle w:val="9"/>
              <w:spacing w:before="44"/>
              <w:ind w:left="104"/>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667" w:type="dxa"/>
          </w:tcPr>
          <w:p>
            <w:pPr>
              <w:pStyle w:val="9"/>
              <w:spacing w:before="44"/>
              <w:ind w:left="105"/>
              <w:rPr>
                <w:sz w:val="21"/>
              </w:rPr>
            </w:pPr>
            <w:r>
              <w:rPr>
                <w:sz w:val="21"/>
              </w:rPr>
              <w:t>ⅣB</w:t>
            </w:r>
            <w:r>
              <w:rPr>
                <w:spacing w:val="-31"/>
                <w:sz w:val="21"/>
              </w:rPr>
              <w:t xml:space="preserve"> 期</w:t>
            </w:r>
          </w:p>
        </w:tc>
        <w:tc>
          <w:tcPr>
            <w:tcW w:w="1724" w:type="dxa"/>
          </w:tcPr>
          <w:p>
            <w:pPr>
              <w:pStyle w:val="9"/>
              <w:spacing w:before="44"/>
              <w:ind w:left="105"/>
              <w:rPr>
                <w:sz w:val="21"/>
              </w:rPr>
            </w:pPr>
            <w:r>
              <w:rPr>
                <w:spacing w:val="-5"/>
                <w:sz w:val="21"/>
              </w:rPr>
              <w:t>任何</w:t>
            </w:r>
          </w:p>
        </w:tc>
        <w:tc>
          <w:tcPr>
            <w:tcW w:w="1695" w:type="dxa"/>
          </w:tcPr>
          <w:p>
            <w:pPr>
              <w:pStyle w:val="9"/>
              <w:spacing w:before="44"/>
              <w:ind w:left="104"/>
              <w:rPr>
                <w:sz w:val="21"/>
              </w:rPr>
            </w:pPr>
            <w:r>
              <w:rPr>
                <w:spacing w:val="-5"/>
                <w:sz w:val="21"/>
              </w:rPr>
              <w:t>任何</w:t>
            </w:r>
          </w:p>
        </w:tc>
        <w:tc>
          <w:tcPr>
            <w:tcW w:w="1638" w:type="dxa"/>
          </w:tcPr>
          <w:p>
            <w:pPr>
              <w:pStyle w:val="9"/>
              <w:spacing w:before="44"/>
              <w:ind w:left="104"/>
              <w:rPr>
                <w:sz w:val="21"/>
              </w:rPr>
            </w:pPr>
            <w:r>
              <w:rPr>
                <w:w w:val="100"/>
                <w:sz w:val="21"/>
              </w:rPr>
              <w:t>1</w:t>
            </w:r>
          </w:p>
        </w:tc>
      </w:tr>
    </w:tbl>
    <w:p>
      <w:pPr>
        <w:spacing w:after="0"/>
        <w:rPr>
          <w:sz w:val="21"/>
        </w:rPr>
        <w:sectPr>
          <w:pgSz w:w="11910" w:h="16840"/>
          <w:pgMar w:top="680" w:right="680" w:bottom="806" w:left="880" w:header="0" w:footer="230" w:gutter="0"/>
          <w:cols w:space="720" w:num="1"/>
        </w:sectPr>
      </w:pPr>
    </w:p>
    <w:tbl>
      <w:tblPr>
        <w:tblStyle w:val="5"/>
        <w:tblW w:w="0" w:type="auto"/>
        <w:tblInd w:w="299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67"/>
        <w:gridCol w:w="1724"/>
        <w:gridCol w:w="1695"/>
        <w:gridCol w:w="163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6724" w:type="dxa"/>
            <w:gridSpan w:val="4"/>
          </w:tcPr>
          <w:p>
            <w:pPr>
              <w:pStyle w:val="9"/>
              <w:spacing w:before="36"/>
              <w:ind w:left="105"/>
              <w:rPr>
                <w:sz w:val="21"/>
              </w:rPr>
            </w:pPr>
            <w:r>
              <w:rPr>
                <w:spacing w:val="-2"/>
                <w:sz w:val="21"/>
              </w:rPr>
              <w:t>髓样癌（所有年龄组</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1667" w:type="dxa"/>
          </w:tcPr>
          <w:p>
            <w:pPr>
              <w:pStyle w:val="9"/>
              <w:spacing w:before="36"/>
              <w:ind w:left="105"/>
              <w:rPr>
                <w:sz w:val="21"/>
              </w:rPr>
            </w:pPr>
            <w:r>
              <w:rPr>
                <w:spacing w:val="-5"/>
                <w:sz w:val="21"/>
              </w:rPr>
              <w:t>Ⅰ期</w:t>
            </w:r>
          </w:p>
        </w:tc>
        <w:tc>
          <w:tcPr>
            <w:tcW w:w="1724" w:type="dxa"/>
          </w:tcPr>
          <w:p>
            <w:pPr>
              <w:pStyle w:val="9"/>
              <w:spacing w:before="36"/>
              <w:ind w:left="105"/>
              <w:rPr>
                <w:sz w:val="21"/>
              </w:rPr>
            </w:pPr>
            <w:r>
              <w:rPr>
                <w:w w:val="100"/>
                <w:sz w:val="21"/>
              </w:rPr>
              <w:t>1</w:t>
            </w:r>
          </w:p>
        </w:tc>
        <w:tc>
          <w:tcPr>
            <w:tcW w:w="1695" w:type="dxa"/>
          </w:tcPr>
          <w:p>
            <w:pPr>
              <w:pStyle w:val="9"/>
              <w:spacing w:before="36"/>
              <w:ind w:left="104"/>
              <w:rPr>
                <w:sz w:val="21"/>
              </w:rPr>
            </w:pPr>
            <w:r>
              <w:rPr>
                <w:w w:val="100"/>
                <w:sz w:val="21"/>
              </w:rPr>
              <w:t>0</w:t>
            </w:r>
          </w:p>
        </w:tc>
        <w:tc>
          <w:tcPr>
            <w:tcW w:w="1638" w:type="dxa"/>
          </w:tcPr>
          <w:p>
            <w:pPr>
              <w:pStyle w:val="9"/>
              <w:spacing w:before="36"/>
              <w:ind w:left="104"/>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667" w:type="dxa"/>
          </w:tcPr>
          <w:p>
            <w:pPr>
              <w:pStyle w:val="9"/>
              <w:spacing w:before="36"/>
              <w:ind w:left="105"/>
              <w:rPr>
                <w:sz w:val="21"/>
              </w:rPr>
            </w:pPr>
            <w:r>
              <w:rPr>
                <w:spacing w:val="-5"/>
                <w:sz w:val="21"/>
              </w:rPr>
              <w:t>Ⅱ期</w:t>
            </w:r>
          </w:p>
        </w:tc>
        <w:tc>
          <w:tcPr>
            <w:tcW w:w="1724" w:type="dxa"/>
          </w:tcPr>
          <w:p>
            <w:pPr>
              <w:pStyle w:val="9"/>
              <w:spacing w:before="36"/>
              <w:ind w:left="105"/>
              <w:rPr>
                <w:sz w:val="21"/>
              </w:rPr>
            </w:pPr>
            <w:r>
              <w:rPr>
                <w:spacing w:val="-5"/>
                <w:sz w:val="21"/>
              </w:rPr>
              <w:t>2～3</w:t>
            </w:r>
          </w:p>
        </w:tc>
        <w:tc>
          <w:tcPr>
            <w:tcW w:w="1695" w:type="dxa"/>
          </w:tcPr>
          <w:p>
            <w:pPr>
              <w:pStyle w:val="9"/>
              <w:spacing w:before="36"/>
              <w:ind w:left="104"/>
              <w:rPr>
                <w:sz w:val="21"/>
              </w:rPr>
            </w:pPr>
            <w:r>
              <w:rPr>
                <w:w w:val="100"/>
                <w:sz w:val="21"/>
              </w:rPr>
              <w:t>0</w:t>
            </w:r>
          </w:p>
        </w:tc>
        <w:tc>
          <w:tcPr>
            <w:tcW w:w="1638" w:type="dxa"/>
          </w:tcPr>
          <w:p>
            <w:pPr>
              <w:pStyle w:val="9"/>
              <w:spacing w:before="36"/>
              <w:ind w:left="104"/>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667" w:type="dxa"/>
          </w:tcPr>
          <w:p>
            <w:pPr>
              <w:pStyle w:val="9"/>
              <w:spacing w:before="36"/>
              <w:ind w:left="105"/>
              <w:rPr>
                <w:sz w:val="21"/>
              </w:rPr>
            </w:pPr>
            <w:r>
              <w:rPr>
                <w:spacing w:val="-5"/>
                <w:sz w:val="21"/>
              </w:rPr>
              <w:t>Ⅲ期</w:t>
            </w:r>
          </w:p>
        </w:tc>
        <w:tc>
          <w:tcPr>
            <w:tcW w:w="1724" w:type="dxa"/>
          </w:tcPr>
          <w:p>
            <w:pPr>
              <w:pStyle w:val="9"/>
              <w:spacing w:before="36"/>
              <w:ind w:left="105"/>
              <w:rPr>
                <w:sz w:val="21"/>
              </w:rPr>
            </w:pPr>
            <w:r>
              <w:rPr>
                <w:spacing w:val="-5"/>
                <w:sz w:val="21"/>
              </w:rPr>
              <w:t>1～3</w:t>
            </w:r>
          </w:p>
        </w:tc>
        <w:tc>
          <w:tcPr>
            <w:tcW w:w="1695" w:type="dxa"/>
          </w:tcPr>
          <w:p>
            <w:pPr>
              <w:pStyle w:val="9"/>
              <w:spacing w:before="36"/>
              <w:ind w:left="104"/>
              <w:rPr>
                <w:sz w:val="21"/>
              </w:rPr>
            </w:pPr>
            <w:r>
              <w:rPr>
                <w:spacing w:val="-5"/>
                <w:sz w:val="21"/>
              </w:rPr>
              <w:t>1a</w:t>
            </w:r>
          </w:p>
        </w:tc>
        <w:tc>
          <w:tcPr>
            <w:tcW w:w="1638" w:type="dxa"/>
          </w:tcPr>
          <w:p>
            <w:pPr>
              <w:pStyle w:val="9"/>
              <w:spacing w:before="36"/>
              <w:ind w:left="104"/>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1667" w:type="dxa"/>
            <w:vMerge w:val="restart"/>
          </w:tcPr>
          <w:p>
            <w:pPr>
              <w:pStyle w:val="9"/>
              <w:spacing w:before="6"/>
              <w:rPr>
                <w:sz w:val="17"/>
              </w:rPr>
            </w:pPr>
          </w:p>
          <w:p>
            <w:pPr>
              <w:pStyle w:val="9"/>
              <w:ind w:left="105"/>
              <w:rPr>
                <w:sz w:val="21"/>
              </w:rPr>
            </w:pPr>
            <w:r>
              <w:rPr>
                <w:sz w:val="21"/>
              </w:rPr>
              <w:t>ⅣA</w:t>
            </w:r>
            <w:r>
              <w:rPr>
                <w:spacing w:val="-31"/>
                <w:sz w:val="21"/>
              </w:rPr>
              <w:t xml:space="preserve"> 期</w:t>
            </w:r>
          </w:p>
        </w:tc>
        <w:tc>
          <w:tcPr>
            <w:tcW w:w="1724" w:type="dxa"/>
          </w:tcPr>
          <w:p>
            <w:pPr>
              <w:pStyle w:val="9"/>
              <w:spacing w:before="37"/>
              <w:ind w:left="105"/>
              <w:rPr>
                <w:sz w:val="21"/>
              </w:rPr>
            </w:pPr>
            <w:r>
              <w:rPr>
                <w:spacing w:val="-5"/>
                <w:sz w:val="21"/>
              </w:rPr>
              <w:t>4a</w:t>
            </w:r>
          </w:p>
        </w:tc>
        <w:tc>
          <w:tcPr>
            <w:tcW w:w="1695" w:type="dxa"/>
          </w:tcPr>
          <w:p>
            <w:pPr>
              <w:pStyle w:val="9"/>
              <w:spacing w:before="37"/>
              <w:ind w:left="104"/>
              <w:rPr>
                <w:sz w:val="21"/>
              </w:rPr>
            </w:pPr>
            <w:r>
              <w:rPr>
                <w:spacing w:val="-5"/>
                <w:sz w:val="21"/>
              </w:rPr>
              <w:t>任何</w:t>
            </w:r>
          </w:p>
        </w:tc>
        <w:tc>
          <w:tcPr>
            <w:tcW w:w="1638" w:type="dxa"/>
          </w:tcPr>
          <w:p>
            <w:pPr>
              <w:pStyle w:val="9"/>
              <w:spacing w:before="37"/>
              <w:ind w:left="104"/>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667" w:type="dxa"/>
            <w:vMerge w:val="continue"/>
            <w:tcBorders>
              <w:top w:val="nil"/>
            </w:tcBorders>
          </w:tcPr>
          <w:p>
            <w:pPr>
              <w:rPr>
                <w:sz w:val="2"/>
                <w:szCs w:val="2"/>
              </w:rPr>
            </w:pPr>
          </w:p>
        </w:tc>
        <w:tc>
          <w:tcPr>
            <w:tcW w:w="1724" w:type="dxa"/>
          </w:tcPr>
          <w:p>
            <w:pPr>
              <w:pStyle w:val="9"/>
              <w:spacing w:before="36"/>
              <w:ind w:left="105"/>
              <w:rPr>
                <w:sz w:val="21"/>
              </w:rPr>
            </w:pPr>
            <w:r>
              <w:rPr>
                <w:spacing w:val="-5"/>
                <w:sz w:val="21"/>
              </w:rPr>
              <w:t>1～3</w:t>
            </w:r>
          </w:p>
        </w:tc>
        <w:tc>
          <w:tcPr>
            <w:tcW w:w="1695" w:type="dxa"/>
          </w:tcPr>
          <w:p>
            <w:pPr>
              <w:pStyle w:val="9"/>
              <w:spacing w:before="36"/>
              <w:ind w:left="104"/>
              <w:rPr>
                <w:sz w:val="21"/>
              </w:rPr>
            </w:pPr>
            <w:r>
              <w:rPr>
                <w:spacing w:val="-5"/>
                <w:sz w:val="21"/>
              </w:rPr>
              <w:t>1b</w:t>
            </w:r>
          </w:p>
        </w:tc>
        <w:tc>
          <w:tcPr>
            <w:tcW w:w="1638" w:type="dxa"/>
          </w:tcPr>
          <w:p>
            <w:pPr>
              <w:pStyle w:val="9"/>
              <w:spacing w:before="36"/>
              <w:ind w:left="104"/>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667" w:type="dxa"/>
          </w:tcPr>
          <w:p>
            <w:pPr>
              <w:pStyle w:val="9"/>
              <w:spacing w:before="36"/>
              <w:ind w:left="105"/>
              <w:rPr>
                <w:sz w:val="21"/>
              </w:rPr>
            </w:pPr>
            <w:r>
              <w:rPr>
                <w:sz w:val="21"/>
              </w:rPr>
              <w:t>ⅣB</w:t>
            </w:r>
            <w:r>
              <w:rPr>
                <w:spacing w:val="-31"/>
                <w:sz w:val="21"/>
              </w:rPr>
              <w:t xml:space="preserve"> 期</w:t>
            </w:r>
          </w:p>
        </w:tc>
        <w:tc>
          <w:tcPr>
            <w:tcW w:w="1724" w:type="dxa"/>
          </w:tcPr>
          <w:p>
            <w:pPr>
              <w:pStyle w:val="9"/>
              <w:spacing w:before="36"/>
              <w:ind w:left="105"/>
              <w:rPr>
                <w:sz w:val="21"/>
              </w:rPr>
            </w:pPr>
            <w:r>
              <w:rPr>
                <w:spacing w:val="-5"/>
                <w:sz w:val="21"/>
              </w:rPr>
              <w:t>4b</w:t>
            </w:r>
          </w:p>
        </w:tc>
        <w:tc>
          <w:tcPr>
            <w:tcW w:w="1695" w:type="dxa"/>
          </w:tcPr>
          <w:p>
            <w:pPr>
              <w:pStyle w:val="9"/>
              <w:spacing w:before="36"/>
              <w:ind w:left="104"/>
              <w:rPr>
                <w:sz w:val="21"/>
              </w:rPr>
            </w:pPr>
            <w:r>
              <w:rPr>
                <w:spacing w:val="-5"/>
                <w:sz w:val="21"/>
              </w:rPr>
              <w:t>任何</w:t>
            </w:r>
          </w:p>
        </w:tc>
        <w:tc>
          <w:tcPr>
            <w:tcW w:w="1638" w:type="dxa"/>
          </w:tcPr>
          <w:p>
            <w:pPr>
              <w:pStyle w:val="9"/>
              <w:spacing w:before="36"/>
              <w:ind w:left="104"/>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1667" w:type="dxa"/>
          </w:tcPr>
          <w:p>
            <w:pPr>
              <w:pStyle w:val="9"/>
              <w:spacing w:before="36"/>
              <w:ind w:left="105"/>
              <w:rPr>
                <w:sz w:val="21"/>
              </w:rPr>
            </w:pPr>
            <w:r>
              <w:rPr>
                <w:sz w:val="21"/>
              </w:rPr>
              <w:t>ⅣC</w:t>
            </w:r>
            <w:r>
              <w:rPr>
                <w:spacing w:val="-31"/>
                <w:sz w:val="21"/>
              </w:rPr>
              <w:t xml:space="preserve"> 期</w:t>
            </w:r>
          </w:p>
        </w:tc>
        <w:tc>
          <w:tcPr>
            <w:tcW w:w="1724" w:type="dxa"/>
          </w:tcPr>
          <w:p>
            <w:pPr>
              <w:pStyle w:val="9"/>
              <w:spacing w:before="36"/>
              <w:ind w:left="105"/>
              <w:rPr>
                <w:sz w:val="21"/>
              </w:rPr>
            </w:pPr>
            <w:r>
              <w:rPr>
                <w:spacing w:val="-5"/>
                <w:sz w:val="21"/>
              </w:rPr>
              <w:t>任何</w:t>
            </w:r>
          </w:p>
        </w:tc>
        <w:tc>
          <w:tcPr>
            <w:tcW w:w="1695" w:type="dxa"/>
          </w:tcPr>
          <w:p>
            <w:pPr>
              <w:pStyle w:val="9"/>
              <w:spacing w:before="36"/>
              <w:ind w:left="104"/>
              <w:rPr>
                <w:sz w:val="21"/>
              </w:rPr>
            </w:pPr>
            <w:r>
              <w:rPr>
                <w:spacing w:val="-5"/>
                <w:sz w:val="21"/>
              </w:rPr>
              <w:t>任何</w:t>
            </w:r>
          </w:p>
        </w:tc>
        <w:tc>
          <w:tcPr>
            <w:tcW w:w="1638" w:type="dxa"/>
          </w:tcPr>
          <w:p>
            <w:pPr>
              <w:pStyle w:val="9"/>
              <w:spacing w:before="36"/>
              <w:ind w:left="104"/>
              <w:rPr>
                <w:sz w:val="21"/>
              </w:rPr>
            </w:pPr>
            <w:r>
              <w:rPr>
                <w:w w:val="100"/>
                <w:sz w:val="21"/>
              </w:rP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6724" w:type="dxa"/>
            <w:gridSpan w:val="4"/>
            <w:tcBorders>
              <w:bottom w:val="single" w:color="000000" w:sz="6" w:space="0"/>
            </w:tcBorders>
          </w:tcPr>
          <w:p>
            <w:pPr>
              <w:pStyle w:val="9"/>
              <w:spacing w:before="36"/>
              <w:ind w:left="105"/>
              <w:rPr>
                <w:sz w:val="21"/>
              </w:rPr>
            </w:pPr>
            <w:r>
              <w:rPr>
                <w:spacing w:val="-2"/>
                <w:sz w:val="21"/>
              </w:rPr>
              <w:t>未分化癌（所有年龄组</w:t>
            </w:r>
            <w:r>
              <w:rPr>
                <w:spacing w:val="-10"/>
                <w:sz w:val="21"/>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 w:hRule="atLeast"/>
        </w:trPr>
        <w:tc>
          <w:tcPr>
            <w:tcW w:w="1667" w:type="dxa"/>
            <w:tcBorders>
              <w:top w:val="single" w:color="000000" w:sz="6" w:space="0"/>
            </w:tcBorders>
          </w:tcPr>
          <w:p>
            <w:pPr>
              <w:pStyle w:val="9"/>
              <w:spacing w:before="34"/>
              <w:ind w:left="105"/>
              <w:rPr>
                <w:sz w:val="21"/>
              </w:rPr>
            </w:pPr>
            <w:r>
              <w:rPr>
                <w:sz w:val="21"/>
              </w:rPr>
              <w:t>ⅣA</w:t>
            </w:r>
            <w:r>
              <w:rPr>
                <w:spacing w:val="-31"/>
                <w:sz w:val="21"/>
              </w:rPr>
              <w:t xml:space="preserve"> 期</w:t>
            </w:r>
          </w:p>
        </w:tc>
        <w:tc>
          <w:tcPr>
            <w:tcW w:w="1724" w:type="dxa"/>
            <w:tcBorders>
              <w:top w:val="single" w:color="000000" w:sz="6" w:space="0"/>
            </w:tcBorders>
          </w:tcPr>
          <w:p>
            <w:pPr>
              <w:pStyle w:val="9"/>
              <w:spacing w:before="34"/>
              <w:ind w:left="105"/>
              <w:rPr>
                <w:sz w:val="21"/>
              </w:rPr>
            </w:pPr>
            <w:r>
              <w:rPr>
                <w:spacing w:val="-4"/>
                <w:sz w:val="21"/>
              </w:rPr>
              <w:t>1～3a</w:t>
            </w:r>
          </w:p>
        </w:tc>
        <w:tc>
          <w:tcPr>
            <w:tcW w:w="1695" w:type="dxa"/>
            <w:tcBorders>
              <w:top w:val="single" w:color="000000" w:sz="6" w:space="0"/>
            </w:tcBorders>
          </w:tcPr>
          <w:p>
            <w:pPr>
              <w:pStyle w:val="9"/>
              <w:spacing w:before="34"/>
              <w:ind w:left="104"/>
              <w:rPr>
                <w:sz w:val="21"/>
              </w:rPr>
            </w:pPr>
            <w:r>
              <w:rPr>
                <w:spacing w:val="-5"/>
                <w:sz w:val="21"/>
              </w:rPr>
              <w:t>0/x</w:t>
            </w:r>
          </w:p>
        </w:tc>
        <w:tc>
          <w:tcPr>
            <w:tcW w:w="1638" w:type="dxa"/>
            <w:tcBorders>
              <w:top w:val="single" w:color="000000" w:sz="6" w:space="0"/>
            </w:tcBorders>
          </w:tcPr>
          <w:p>
            <w:pPr>
              <w:pStyle w:val="9"/>
              <w:spacing w:before="34"/>
              <w:ind w:left="104"/>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667" w:type="dxa"/>
            <w:vMerge w:val="restart"/>
          </w:tcPr>
          <w:p>
            <w:pPr>
              <w:pStyle w:val="9"/>
              <w:spacing w:before="5"/>
              <w:rPr>
                <w:sz w:val="17"/>
              </w:rPr>
            </w:pPr>
          </w:p>
          <w:p>
            <w:pPr>
              <w:pStyle w:val="9"/>
              <w:ind w:left="105"/>
              <w:rPr>
                <w:sz w:val="21"/>
              </w:rPr>
            </w:pPr>
            <w:r>
              <w:rPr>
                <w:sz w:val="21"/>
              </w:rPr>
              <w:t>ⅣB</w:t>
            </w:r>
            <w:r>
              <w:rPr>
                <w:spacing w:val="-31"/>
                <w:sz w:val="21"/>
              </w:rPr>
              <w:t xml:space="preserve"> 期</w:t>
            </w:r>
          </w:p>
        </w:tc>
        <w:tc>
          <w:tcPr>
            <w:tcW w:w="1724" w:type="dxa"/>
          </w:tcPr>
          <w:p>
            <w:pPr>
              <w:pStyle w:val="9"/>
              <w:spacing w:before="36"/>
              <w:ind w:left="105"/>
              <w:rPr>
                <w:sz w:val="21"/>
              </w:rPr>
            </w:pPr>
            <w:r>
              <w:rPr>
                <w:spacing w:val="-4"/>
                <w:sz w:val="21"/>
              </w:rPr>
              <w:t>1～3a</w:t>
            </w:r>
          </w:p>
        </w:tc>
        <w:tc>
          <w:tcPr>
            <w:tcW w:w="1695" w:type="dxa"/>
          </w:tcPr>
          <w:p>
            <w:pPr>
              <w:pStyle w:val="9"/>
              <w:spacing w:before="36"/>
              <w:ind w:left="104"/>
              <w:rPr>
                <w:sz w:val="21"/>
              </w:rPr>
            </w:pPr>
            <w:r>
              <w:rPr>
                <w:w w:val="100"/>
                <w:sz w:val="21"/>
              </w:rPr>
              <w:t>1</w:t>
            </w:r>
          </w:p>
        </w:tc>
        <w:tc>
          <w:tcPr>
            <w:tcW w:w="1638" w:type="dxa"/>
          </w:tcPr>
          <w:p>
            <w:pPr>
              <w:pStyle w:val="9"/>
              <w:spacing w:before="36"/>
              <w:ind w:left="104"/>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667" w:type="dxa"/>
            <w:vMerge w:val="continue"/>
            <w:tcBorders>
              <w:top w:val="nil"/>
            </w:tcBorders>
          </w:tcPr>
          <w:p>
            <w:pPr>
              <w:rPr>
                <w:sz w:val="2"/>
                <w:szCs w:val="2"/>
              </w:rPr>
            </w:pPr>
          </w:p>
        </w:tc>
        <w:tc>
          <w:tcPr>
            <w:tcW w:w="1724" w:type="dxa"/>
          </w:tcPr>
          <w:p>
            <w:pPr>
              <w:pStyle w:val="9"/>
              <w:spacing w:before="36"/>
              <w:ind w:left="105"/>
              <w:rPr>
                <w:sz w:val="21"/>
              </w:rPr>
            </w:pPr>
            <w:r>
              <w:rPr>
                <w:spacing w:val="-4"/>
                <w:sz w:val="21"/>
              </w:rPr>
              <w:t>3b～4</w:t>
            </w:r>
          </w:p>
        </w:tc>
        <w:tc>
          <w:tcPr>
            <w:tcW w:w="1695" w:type="dxa"/>
          </w:tcPr>
          <w:p>
            <w:pPr>
              <w:pStyle w:val="9"/>
              <w:spacing w:before="36"/>
              <w:ind w:left="104"/>
              <w:rPr>
                <w:sz w:val="21"/>
              </w:rPr>
            </w:pPr>
            <w:r>
              <w:rPr>
                <w:spacing w:val="-5"/>
                <w:sz w:val="21"/>
              </w:rPr>
              <w:t>任何</w:t>
            </w:r>
          </w:p>
        </w:tc>
        <w:tc>
          <w:tcPr>
            <w:tcW w:w="1638" w:type="dxa"/>
          </w:tcPr>
          <w:p>
            <w:pPr>
              <w:pStyle w:val="9"/>
              <w:spacing w:before="36"/>
              <w:ind w:left="104"/>
              <w:rPr>
                <w:sz w:val="21"/>
              </w:rPr>
            </w:pPr>
            <w:r>
              <w:rPr>
                <w:w w:val="100"/>
                <w:sz w:val="21"/>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1667" w:type="dxa"/>
          </w:tcPr>
          <w:p>
            <w:pPr>
              <w:pStyle w:val="9"/>
              <w:spacing w:before="36"/>
              <w:ind w:left="105"/>
              <w:rPr>
                <w:sz w:val="21"/>
              </w:rPr>
            </w:pPr>
            <w:r>
              <w:rPr>
                <w:sz w:val="21"/>
              </w:rPr>
              <w:t>ⅣC</w:t>
            </w:r>
            <w:r>
              <w:rPr>
                <w:spacing w:val="-31"/>
                <w:sz w:val="21"/>
              </w:rPr>
              <w:t xml:space="preserve"> 期</w:t>
            </w:r>
          </w:p>
        </w:tc>
        <w:tc>
          <w:tcPr>
            <w:tcW w:w="1724" w:type="dxa"/>
          </w:tcPr>
          <w:p>
            <w:pPr>
              <w:pStyle w:val="9"/>
              <w:spacing w:before="36"/>
              <w:ind w:left="105"/>
              <w:rPr>
                <w:sz w:val="21"/>
              </w:rPr>
            </w:pPr>
            <w:r>
              <w:rPr>
                <w:spacing w:val="-5"/>
                <w:sz w:val="21"/>
              </w:rPr>
              <w:t>任何</w:t>
            </w:r>
          </w:p>
        </w:tc>
        <w:tc>
          <w:tcPr>
            <w:tcW w:w="1695" w:type="dxa"/>
          </w:tcPr>
          <w:p>
            <w:pPr>
              <w:pStyle w:val="9"/>
              <w:spacing w:before="36"/>
              <w:ind w:left="104"/>
              <w:rPr>
                <w:sz w:val="21"/>
              </w:rPr>
            </w:pPr>
            <w:r>
              <w:rPr>
                <w:spacing w:val="-5"/>
                <w:sz w:val="21"/>
              </w:rPr>
              <w:t>任何</w:t>
            </w:r>
          </w:p>
        </w:tc>
        <w:tc>
          <w:tcPr>
            <w:tcW w:w="1638" w:type="dxa"/>
          </w:tcPr>
          <w:p>
            <w:pPr>
              <w:pStyle w:val="9"/>
              <w:spacing w:before="36"/>
              <w:ind w:left="104"/>
              <w:rPr>
                <w:sz w:val="21"/>
              </w:rPr>
            </w:pPr>
            <w:r>
              <w:rPr>
                <w:w w:val="100"/>
                <w:sz w:val="21"/>
              </w:rPr>
              <w:t>1</w:t>
            </w:r>
          </w:p>
        </w:tc>
      </w:tr>
    </w:tbl>
    <w:p>
      <w:pPr>
        <w:pStyle w:val="4"/>
        <w:spacing w:before="19"/>
        <w:ind w:left="2985"/>
      </w:pPr>
      <w:r>
        <w:rPr>
          <w:spacing w:val="-3"/>
        </w:rPr>
        <w:t>注：以上表格中“年龄”指患者病理组织标本获取日期时的年龄。</w:t>
      </w:r>
    </w:p>
    <w:p>
      <w:pPr>
        <w:pStyle w:val="4"/>
        <w:spacing w:before="5"/>
        <w:rPr>
          <w:sz w:val="23"/>
        </w:rPr>
      </w:pPr>
    </w:p>
    <w:p>
      <w:pPr>
        <w:pStyle w:val="8"/>
        <w:numPr>
          <w:ilvl w:val="1"/>
          <w:numId w:val="70"/>
        </w:numPr>
        <w:tabs>
          <w:tab w:val="left" w:pos="1391"/>
          <w:tab w:val="left" w:pos="1392"/>
          <w:tab w:val="left" w:pos="2985"/>
        </w:tabs>
        <w:spacing w:before="0" w:after="0" w:line="240" w:lineRule="auto"/>
        <w:ind w:left="1391" w:right="0" w:hanging="962"/>
        <w:jc w:val="left"/>
        <w:rPr>
          <w:sz w:val="21"/>
        </w:rPr>
      </w:pPr>
      <w:r>
        <w:rPr>
          <w:rFonts w:ascii="Microsoft JhengHei" w:eastAsia="Microsoft JhengHei"/>
          <w:b/>
          <w:sz w:val="21"/>
        </w:rPr>
        <w:t>肢</w:t>
      </w:r>
      <w:r>
        <w:rPr>
          <w:rFonts w:ascii="Microsoft JhengHei" w:eastAsia="Microsoft JhengHei"/>
          <w:b/>
          <w:spacing w:val="-10"/>
          <w:sz w:val="21"/>
        </w:rPr>
        <w:t>体</w:t>
      </w:r>
      <w:r>
        <w:rPr>
          <w:rFonts w:ascii="Microsoft JhengHei" w:eastAsia="Microsoft JhengHei"/>
          <w:b/>
          <w:sz w:val="21"/>
        </w:rPr>
        <w:tab/>
      </w:r>
      <w:r>
        <w:rPr>
          <w:spacing w:val="-2"/>
          <w:sz w:val="21"/>
        </w:rPr>
        <w:t>肢体是指包括肩关节的整个上肢或包括髋关节的整个下肢</w:t>
      </w:r>
      <w:r>
        <w:rPr>
          <w:spacing w:val="-10"/>
          <w:sz w:val="21"/>
        </w:rPr>
        <w:t>。</w:t>
      </w:r>
    </w:p>
    <w:p>
      <w:pPr>
        <w:pStyle w:val="4"/>
        <w:spacing w:before="9"/>
        <w:rPr>
          <w:sz w:val="19"/>
        </w:rPr>
      </w:pPr>
    </w:p>
    <w:p>
      <w:pPr>
        <w:pStyle w:val="8"/>
        <w:numPr>
          <w:ilvl w:val="1"/>
          <w:numId w:val="70"/>
        </w:numPr>
        <w:tabs>
          <w:tab w:val="left" w:pos="1391"/>
          <w:tab w:val="left" w:pos="1392"/>
          <w:tab w:val="left" w:pos="2985"/>
        </w:tabs>
        <w:spacing w:before="0" w:after="0" w:line="382" w:lineRule="exact"/>
        <w:ind w:left="1391" w:right="0" w:hanging="962"/>
        <w:jc w:val="left"/>
        <w:rPr>
          <w:sz w:val="21"/>
        </w:rPr>
      </w:pPr>
      <w:r>
        <w:rPr>
          <w:rFonts w:ascii="Microsoft JhengHei" w:eastAsia="Microsoft JhengHei"/>
          <w:b/>
          <w:sz w:val="21"/>
        </w:rPr>
        <w:t>肌</w:t>
      </w:r>
      <w:r>
        <w:rPr>
          <w:rFonts w:ascii="Microsoft JhengHei" w:eastAsia="Microsoft JhengHei"/>
          <w:b/>
          <w:spacing w:val="-10"/>
          <w:sz w:val="21"/>
        </w:rPr>
        <w:t>力</w:t>
      </w:r>
      <w:r>
        <w:rPr>
          <w:rFonts w:ascii="Microsoft JhengHei" w:eastAsia="Microsoft JhengHei"/>
          <w:b/>
          <w:sz w:val="21"/>
        </w:rPr>
        <w:tab/>
      </w:r>
      <w:r>
        <w:rPr>
          <w:sz w:val="21"/>
        </w:rPr>
        <w:t>指肌肉收缩时的力量。肌力划分为</w:t>
      </w:r>
      <w:r>
        <w:rPr>
          <w:spacing w:val="-11"/>
          <w:sz w:val="21"/>
        </w:rPr>
        <w:t xml:space="preserve"> </w:t>
      </w:r>
      <w:r>
        <w:rPr>
          <w:rFonts w:ascii="Times New Roman" w:eastAsia="Times New Roman"/>
          <w:sz w:val="21"/>
        </w:rPr>
        <w:t>0-5</w:t>
      </w:r>
      <w:r>
        <w:rPr>
          <w:rFonts w:ascii="Times New Roman" w:eastAsia="Times New Roman"/>
          <w:spacing w:val="41"/>
          <w:sz w:val="21"/>
        </w:rPr>
        <w:t xml:space="preserve"> </w:t>
      </w:r>
      <w:r>
        <w:rPr>
          <w:sz w:val="21"/>
        </w:rPr>
        <w:t>级，具体为</w:t>
      </w:r>
      <w:r>
        <w:rPr>
          <w:spacing w:val="-10"/>
          <w:sz w:val="21"/>
        </w:rPr>
        <w:t>：</w:t>
      </w:r>
    </w:p>
    <w:p>
      <w:pPr>
        <w:pStyle w:val="8"/>
        <w:numPr>
          <w:ilvl w:val="0"/>
          <w:numId w:val="71"/>
        </w:numPr>
        <w:tabs>
          <w:tab w:val="left" w:pos="3197"/>
        </w:tabs>
        <w:spacing w:before="0" w:after="0" w:line="264" w:lineRule="exact"/>
        <w:ind w:left="3196" w:right="0" w:hanging="212"/>
        <w:jc w:val="left"/>
        <w:rPr>
          <w:sz w:val="21"/>
        </w:rPr>
      </w:pPr>
      <w:r>
        <w:rPr>
          <w:spacing w:val="-3"/>
          <w:sz w:val="21"/>
        </w:rPr>
        <w:t>级：肌肉完全瘫痪，毫无收缩。</w:t>
      </w:r>
    </w:p>
    <w:p>
      <w:pPr>
        <w:pStyle w:val="8"/>
        <w:numPr>
          <w:ilvl w:val="0"/>
          <w:numId w:val="71"/>
        </w:numPr>
        <w:tabs>
          <w:tab w:val="left" w:pos="3197"/>
        </w:tabs>
        <w:spacing w:before="43" w:after="0" w:line="240" w:lineRule="auto"/>
        <w:ind w:left="3196" w:right="0" w:hanging="212"/>
        <w:jc w:val="left"/>
        <w:rPr>
          <w:sz w:val="21"/>
        </w:rPr>
      </w:pPr>
      <w:r>
        <w:rPr>
          <w:spacing w:val="-3"/>
          <w:sz w:val="21"/>
        </w:rPr>
        <w:t>级：可看到或者触及肌肉轻微收缩，但不能产生动作。</w:t>
      </w:r>
    </w:p>
    <w:p>
      <w:pPr>
        <w:pStyle w:val="8"/>
        <w:numPr>
          <w:ilvl w:val="0"/>
          <w:numId w:val="71"/>
        </w:numPr>
        <w:tabs>
          <w:tab w:val="left" w:pos="3197"/>
        </w:tabs>
        <w:spacing w:before="43" w:after="0" w:line="278" w:lineRule="auto"/>
        <w:ind w:left="2985" w:right="622" w:firstLine="0"/>
        <w:jc w:val="left"/>
        <w:rPr>
          <w:sz w:val="21"/>
        </w:rPr>
      </w:pPr>
      <w:r>
        <w:rPr>
          <w:spacing w:val="-2"/>
          <w:sz w:val="21"/>
        </w:rPr>
        <w:t>级：肌肉在不受重力影响下，可进行运动，即肢体能在床面上移动，但不能抬高。</w:t>
      </w:r>
    </w:p>
    <w:p>
      <w:pPr>
        <w:pStyle w:val="8"/>
        <w:numPr>
          <w:ilvl w:val="0"/>
          <w:numId w:val="71"/>
        </w:numPr>
        <w:tabs>
          <w:tab w:val="left" w:pos="3197"/>
        </w:tabs>
        <w:spacing w:before="0" w:after="0" w:line="269" w:lineRule="exact"/>
        <w:ind w:left="3196" w:right="0" w:hanging="212"/>
        <w:jc w:val="left"/>
        <w:rPr>
          <w:sz w:val="21"/>
        </w:rPr>
      </w:pPr>
      <w:r>
        <w:rPr>
          <w:spacing w:val="-8"/>
          <w:sz w:val="21"/>
        </w:rPr>
        <w:t>级：在和地心引力相反的方向中尚能完成其动作，但不能对抗外加阻力。</w:t>
      </w:r>
    </w:p>
    <w:p>
      <w:pPr>
        <w:pStyle w:val="8"/>
        <w:numPr>
          <w:ilvl w:val="0"/>
          <w:numId w:val="71"/>
        </w:numPr>
        <w:tabs>
          <w:tab w:val="left" w:pos="3197"/>
        </w:tabs>
        <w:spacing w:before="43" w:after="0" w:line="240" w:lineRule="auto"/>
        <w:ind w:left="3196" w:right="0" w:hanging="212"/>
        <w:jc w:val="left"/>
        <w:rPr>
          <w:sz w:val="21"/>
        </w:rPr>
      </w:pPr>
      <w:r>
        <w:rPr>
          <w:spacing w:val="-3"/>
          <w:sz w:val="21"/>
        </w:rPr>
        <w:t>级：能对抗一定的阻力，但较正常人为低。</w:t>
      </w:r>
    </w:p>
    <w:p>
      <w:pPr>
        <w:pStyle w:val="8"/>
        <w:numPr>
          <w:ilvl w:val="0"/>
          <w:numId w:val="71"/>
        </w:numPr>
        <w:tabs>
          <w:tab w:val="left" w:pos="3197"/>
        </w:tabs>
        <w:spacing w:before="43" w:after="0" w:line="240" w:lineRule="auto"/>
        <w:ind w:left="3196" w:right="0" w:hanging="212"/>
        <w:jc w:val="left"/>
        <w:rPr>
          <w:sz w:val="21"/>
        </w:rPr>
      </w:pPr>
      <w:r>
        <w:rPr>
          <w:spacing w:val="-4"/>
          <w:sz w:val="21"/>
        </w:rPr>
        <w:t>级：正常肌力。</w:t>
      </w:r>
    </w:p>
    <w:p>
      <w:pPr>
        <w:pStyle w:val="4"/>
        <w:spacing w:before="11"/>
        <w:rPr>
          <w:sz w:val="25"/>
        </w:rPr>
      </w:pPr>
    </w:p>
    <w:p>
      <w:pPr>
        <w:spacing w:after="0"/>
        <w:rPr>
          <w:sz w:val="25"/>
        </w:rPr>
        <w:sectPr>
          <w:type w:val="continuous"/>
          <w:pgSz w:w="11910" w:h="16840"/>
          <w:pgMar w:top="700" w:right="680" w:bottom="420" w:left="880" w:header="0" w:footer="230" w:gutter="0"/>
          <w:cols w:space="720" w:num="1"/>
        </w:sectPr>
      </w:pPr>
    </w:p>
    <w:p>
      <w:pPr>
        <w:pStyle w:val="3"/>
        <w:numPr>
          <w:ilvl w:val="1"/>
          <w:numId w:val="70"/>
        </w:numPr>
        <w:tabs>
          <w:tab w:val="left" w:pos="1392"/>
        </w:tabs>
        <w:spacing w:before="56" w:after="0" w:line="194" w:lineRule="auto"/>
        <w:ind w:left="1391" w:right="0" w:hanging="961"/>
        <w:jc w:val="both"/>
      </w:pPr>
      <w:r>
        <w:rPr>
          <w:spacing w:val="-2"/>
        </w:rPr>
        <w:t>语言能力完全丧失或严重咀嚼吞咽功能障</w:t>
      </w:r>
      <w:r>
        <w:rPr>
          <w:spacing w:val="-10"/>
        </w:rPr>
        <w:t>碍</w:t>
      </w:r>
    </w:p>
    <w:p>
      <w:pPr>
        <w:pStyle w:val="4"/>
        <w:spacing w:before="72" w:line="278" w:lineRule="auto"/>
        <w:ind w:left="286" w:right="622"/>
        <w:jc w:val="both"/>
      </w:pPr>
      <w:r>
        <w:br w:type="column"/>
      </w:r>
      <w:r>
        <w:rPr>
          <w:spacing w:val="-2"/>
        </w:rPr>
        <w:t>语言能力完全丧失，指无法发出四种语音（包括口唇音、齿舌音、口盖音和喉头音）中的任何三种、或声带全部切除，或因大脑语言中枢受伤害而患失语症。</w:t>
      </w:r>
    </w:p>
    <w:p>
      <w:pPr>
        <w:pStyle w:val="4"/>
        <w:spacing w:before="158" w:line="273" w:lineRule="auto"/>
        <w:ind w:left="286" w:right="621"/>
      </w:pPr>
      <w:r>
        <w:rPr>
          <w:spacing w:val="-2"/>
        </w:rPr>
        <w:t>严重咀嚼吞咽功能障碍，指因牙齿以外的原因导致器质障碍或机能障碍，以致不能作咀嚼吞咽运动，除流质食物外不能摄取或吞咽的状态。</w:t>
      </w:r>
    </w:p>
    <w:p>
      <w:pPr>
        <w:spacing w:after="0" w:line="273" w:lineRule="auto"/>
        <w:sectPr>
          <w:type w:val="continuous"/>
          <w:pgSz w:w="11910" w:h="16840"/>
          <w:pgMar w:top="920" w:right="680" w:bottom="420" w:left="880" w:header="0" w:footer="230" w:gutter="0"/>
          <w:cols w:equalWidth="0" w:num="2">
            <w:col w:w="2659" w:space="40"/>
            <w:col w:w="7651"/>
          </w:cols>
        </w:sectPr>
      </w:pPr>
    </w:p>
    <w:p>
      <w:pPr>
        <w:pStyle w:val="4"/>
        <w:spacing w:before="9"/>
        <w:rPr>
          <w:sz w:val="20"/>
        </w:rPr>
      </w:pPr>
    </w:p>
    <w:p>
      <w:pPr>
        <w:spacing w:after="0"/>
        <w:rPr>
          <w:sz w:val="20"/>
        </w:rPr>
        <w:sectPr>
          <w:type w:val="continuous"/>
          <w:pgSz w:w="11910" w:h="16840"/>
          <w:pgMar w:top="920" w:right="680" w:bottom="420" w:left="880" w:header="0" w:footer="230" w:gutter="0"/>
          <w:cols w:space="720" w:num="1"/>
        </w:sectPr>
      </w:pPr>
    </w:p>
    <w:p>
      <w:pPr>
        <w:pStyle w:val="3"/>
        <w:numPr>
          <w:ilvl w:val="1"/>
          <w:numId w:val="70"/>
        </w:numPr>
        <w:tabs>
          <w:tab w:val="left" w:pos="1391"/>
          <w:tab w:val="left" w:pos="1392"/>
        </w:tabs>
        <w:spacing w:before="59" w:after="0" w:line="192" w:lineRule="auto"/>
        <w:ind w:left="1391" w:right="0" w:hanging="961"/>
        <w:jc w:val="left"/>
      </w:pPr>
      <w:r>
        <w:rPr>
          <w:spacing w:val="-2"/>
        </w:rPr>
        <w:t>六项基本日常</w:t>
      </w:r>
      <w:r>
        <w:rPr>
          <w:spacing w:val="-4"/>
        </w:rPr>
        <w:t>生活活动</w:t>
      </w:r>
    </w:p>
    <w:p>
      <w:pPr>
        <w:pStyle w:val="4"/>
        <w:spacing w:before="72"/>
        <w:ind w:left="286"/>
      </w:pPr>
      <w:r>
        <w:br w:type="column"/>
      </w:r>
      <w:r>
        <w:rPr>
          <w:spacing w:val="-3"/>
        </w:rPr>
        <w:t>六项基本日常生活活动是指：</w:t>
      </w:r>
    </w:p>
    <w:p>
      <w:pPr>
        <w:pStyle w:val="8"/>
        <w:numPr>
          <w:ilvl w:val="0"/>
          <w:numId w:val="72"/>
        </w:numPr>
        <w:tabs>
          <w:tab w:val="left" w:pos="816"/>
        </w:tabs>
        <w:spacing w:before="39" w:after="0" w:line="240" w:lineRule="auto"/>
        <w:ind w:left="815" w:right="0" w:hanging="530"/>
        <w:jc w:val="left"/>
        <w:rPr>
          <w:sz w:val="21"/>
        </w:rPr>
      </w:pPr>
      <w:r>
        <w:rPr>
          <w:spacing w:val="-3"/>
          <w:sz w:val="21"/>
        </w:rPr>
        <w:t>穿衣：自己能够穿衣及脱衣；</w:t>
      </w:r>
    </w:p>
    <w:p>
      <w:pPr>
        <w:pStyle w:val="8"/>
        <w:numPr>
          <w:ilvl w:val="0"/>
          <w:numId w:val="72"/>
        </w:numPr>
        <w:tabs>
          <w:tab w:val="left" w:pos="816"/>
        </w:tabs>
        <w:spacing w:before="43" w:after="0" w:line="240" w:lineRule="auto"/>
        <w:ind w:left="815" w:right="0" w:hanging="530"/>
        <w:jc w:val="left"/>
        <w:rPr>
          <w:sz w:val="21"/>
        </w:rPr>
      </w:pPr>
      <w:r>
        <w:rPr>
          <w:spacing w:val="-3"/>
          <w:sz w:val="21"/>
        </w:rPr>
        <w:t>移动：自己从一个房间到另一个房间；</w:t>
      </w:r>
    </w:p>
    <w:p>
      <w:pPr>
        <w:pStyle w:val="8"/>
        <w:numPr>
          <w:ilvl w:val="0"/>
          <w:numId w:val="72"/>
        </w:numPr>
        <w:tabs>
          <w:tab w:val="left" w:pos="816"/>
        </w:tabs>
        <w:spacing w:before="43" w:after="0" w:line="240" w:lineRule="auto"/>
        <w:ind w:left="815" w:right="0" w:hanging="530"/>
        <w:jc w:val="left"/>
        <w:rPr>
          <w:sz w:val="21"/>
        </w:rPr>
      </w:pPr>
      <w:r>
        <w:rPr>
          <w:spacing w:val="-3"/>
          <w:sz w:val="21"/>
        </w:rPr>
        <w:t>行动：自己上下床或上下轮椅；</w:t>
      </w:r>
    </w:p>
    <w:p>
      <w:pPr>
        <w:pStyle w:val="8"/>
        <w:numPr>
          <w:ilvl w:val="0"/>
          <w:numId w:val="72"/>
        </w:numPr>
        <w:tabs>
          <w:tab w:val="left" w:pos="816"/>
        </w:tabs>
        <w:spacing w:before="43" w:after="0" w:line="240" w:lineRule="auto"/>
        <w:ind w:left="815" w:right="0" w:hanging="530"/>
        <w:jc w:val="left"/>
        <w:rPr>
          <w:sz w:val="21"/>
        </w:rPr>
      </w:pPr>
      <w:r>
        <w:rPr>
          <w:spacing w:val="-3"/>
          <w:sz w:val="21"/>
        </w:rPr>
        <w:t>如厕：自己控制进行大小便；</w:t>
      </w:r>
    </w:p>
    <w:p>
      <w:pPr>
        <w:pStyle w:val="8"/>
        <w:numPr>
          <w:ilvl w:val="0"/>
          <w:numId w:val="72"/>
        </w:numPr>
        <w:tabs>
          <w:tab w:val="left" w:pos="816"/>
        </w:tabs>
        <w:spacing w:before="42" w:after="0" w:line="240" w:lineRule="auto"/>
        <w:ind w:left="815" w:right="0" w:hanging="530"/>
        <w:jc w:val="left"/>
        <w:rPr>
          <w:sz w:val="21"/>
        </w:rPr>
      </w:pPr>
      <w:r>
        <w:rPr>
          <w:spacing w:val="-3"/>
          <w:sz w:val="21"/>
        </w:rPr>
        <w:t>进食：自己从已准备好的碗或碟中取食物放入口中；</w:t>
      </w:r>
    </w:p>
    <w:p>
      <w:pPr>
        <w:pStyle w:val="8"/>
        <w:numPr>
          <w:ilvl w:val="0"/>
          <w:numId w:val="72"/>
        </w:numPr>
        <w:tabs>
          <w:tab w:val="left" w:pos="816"/>
        </w:tabs>
        <w:spacing w:before="44" w:after="0" w:line="240" w:lineRule="auto"/>
        <w:ind w:left="815" w:right="0" w:hanging="530"/>
        <w:jc w:val="left"/>
        <w:rPr>
          <w:sz w:val="21"/>
        </w:rPr>
      </w:pPr>
      <w:r>
        <w:rPr>
          <w:spacing w:val="-3"/>
          <w:sz w:val="21"/>
        </w:rPr>
        <w:t>洗澡：自己进行淋浴或盆浴。</w:t>
      </w:r>
    </w:p>
    <w:p>
      <w:pPr>
        <w:pStyle w:val="4"/>
        <w:spacing w:before="43"/>
        <w:ind w:left="286"/>
      </w:pPr>
      <w:r>
        <w:rPr>
          <w:spacing w:val="-1"/>
        </w:rPr>
        <w:t xml:space="preserve">六项基本日常生活活动能力的鉴定不适用于 </w:t>
      </w:r>
      <w:r>
        <w:t>0-3</w:t>
      </w:r>
      <w:r>
        <w:rPr>
          <w:spacing w:val="-5"/>
        </w:rPr>
        <w:t xml:space="preserve"> 周岁幼儿。</w:t>
      </w:r>
    </w:p>
    <w:p>
      <w:pPr>
        <w:spacing w:after="0"/>
        <w:sectPr>
          <w:type w:val="continuous"/>
          <w:pgSz w:w="11910" w:h="16840"/>
          <w:pgMar w:top="920" w:right="680" w:bottom="420" w:left="880" w:header="0" w:footer="230" w:gutter="0"/>
          <w:cols w:equalWidth="0" w:num="2">
            <w:col w:w="2659" w:space="40"/>
            <w:col w:w="7651"/>
          </w:cols>
        </w:sectPr>
      </w:pPr>
    </w:p>
    <w:p>
      <w:pPr>
        <w:pStyle w:val="4"/>
        <w:spacing w:before="8"/>
        <w:rPr>
          <w:sz w:val="23"/>
        </w:rPr>
      </w:pPr>
    </w:p>
    <w:p>
      <w:pPr>
        <w:pStyle w:val="8"/>
        <w:numPr>
          <w:ilvl w:val="1"/>
          <w:numId w:val="70"/>
        </w:numPr>
        <w:tabs>
          <w:tab w:val="left" w:pos="1391"/>
          <w:tab w:val="left" w:pos="1392"/>
          <w:tab w:val="left" w:pos="2985"/>
        </w:tabs>
        <w:spacing w:before="10" w:after="0" w:line="232" w:lineRule="auto"/>
        <w:ind w:left="2985" w:right="620" w:hanging="2555"/>
        <w:jc w:val="left"/>
        <w:rPr>
          <w:sz w:val="21"/>
        </w:rPr>
      </w:pPr>
      <w:r>
        <w:rPr>
          <w:rFonts w:ascii="Microsoft JhengHei" w:eastAsia="Microsoft JhengHei"/>
          <w:b/>
          <w:spacing w:val="-2"/>
          <w:sz w:val="21"/>
        </w:rPr>
        <w:t>永久不可逆</w:t>
      </w:r>
      <w:r>
        <w:rPr>
          <w:rFonts w:ascii="Microsoft JhengHei" w:eastAsia="Microsoft JhengHei"/>
          <w:b/>
          <w:sz w:val="21"/>
        </w:rPr>
        <w:tab/>
      </w:r>
      <w:r>
        <w:rPr>
          <w:sz w:val="21"/>
        </w:rPr>
        <w:t>指自疾病确诊或意外伤害发生之日起，经过积极治疗</w:t>
      </w:r>
      <w:r>
        <w:rPr>
          <w:spacing w:val="-52"/>
          <w:sz w:val="21"/>
        </w:rPr>
        <w:t xml:space="preserve"> </w:t>
      </w:r>
      <w:r>
        <w:rPr>
          <w:sz w:val="21"/>
        </w:rPr>
        <w:t>180</w:t>
      </w:r>
      <w:r>
        <w:rPr>
          <w:spacing w:val="-48"/>
          <w:sz w:val="21"/>
        </w:rPr>
        <w:t xml:space="preserve"> </w:t>
      </w:r>
      <w:r>
        <w:rPr>
          <w:sz w:val="21"/>
        </w:rPr>
        <w:t>天后，仍无法通</w:t>
      </w:r>
      <w:r>
        <w:rPr>
          <w:spacing w:val="-2"/>
          <w:sz w:val="21"/>
        </w:rPr>
        <w:t>过现有医疗手段恢复。</w:t>
      </w:r>
    </w:p>
    <w:p>
      <w:pPr>
        <w:pStyle w:val="4"/>
        <w:spacing w:before="12"/>
        <w:rPr>
          <w:sz w:val="24"/>
        </w:rPr>
      </w:pPr>
    </w:p>
    <w:p>
      <w:pPr>
        <w:spacing w:after="0"/>
        <w:rPr>
          <w:sz w:val="24"/>
        </w:rPr>
        <w:sectPr>
          <w:type w:val="continuous"/>
          <w:pgSz w:w="11910" w:h="16840"/>
          <w:pgMar w:top="920" w:right="680" w:bottom="420" w:left="880" w:header="0" w:footer="230" w:gutter="0"/>
          <w:cols w:space="720" w:num="1"/>
        </w:sectPr>
      </w:pPr>
    </w:p>
    <w:p>
      <w:pPr>
        <w:pStyle w:val="3"/>
        <w:numPr>
          <w:ilvl w:val="1"/>
          <w:numId w:val="70"/>
        </w:numPr>
        <w:tabs>
          <w:tab w:val="left" w:pos="1391"/>
          <w:tab w:val="left" w:pos="1392"/>
        </w:tabs>
        <w:spacing w:before="55" w:after="0" w:line="194" w:lineRule="auto"/>
        <w:ind w:left="1391" w:right="0" w:hanging="961"/>
        <w:jc w:val="left"/>
      </w:pPr>
      <w:r>
        <w:rPr>
          <w:spacing w:val="-2"/>
        </w:rPr>
        <w:t>美国纽约心脏</w:t>
      </w:r>
      <w:r>
        <w:rPr>
          <w:spacing w:val="-2"/>
          <w:w w:val="95"/>
        </w:rPr>
        <w:t>病学会（New</w:t>
      </w:r>
    </w:p>
    <w:p>
      <w:pPr>
        <w:pStyle w:val="4"/>
        <w:spacing w:before="72" w:line="278" w:lineRule="auto"/>
        <w:ind w:left="286" w:right="615"/>
      </w:pPr>
      <w:r>
        <w:br w:type="column"/>
      </w:r>
      <w:r>
        <w:t>美国纽约心脏病学会（New</w:t>
      </w:r>
      <w:r>
        <w:rPr>
          <w:spacing w:val="-4"/>
        </w:rPr>
        <w:t xml:space="preserve"> </w:t>
      </w:r>
      <w:r>
        <w:t>York</w:t>
      </w:r>
      <w:r>
        <w:rPr>
          <w:spacing w:val="-4"/>
        </w:rPr>
        <w:t xml:space="preserve"> </w:t>
      </w:r>
      <w:r>
        <w:t>Heart</w:t>
      </w:r>
      <w:r>
        <w:rPr>
          <w:spacing w:val="-4"/>
        </w:rPr>
        <w:t xml:space="preserve"> </w:t>
      </w:r>
      <w:r>
        <w:t>Association，NYHA）将心功能状</w:t>
      </w:r>
      <w:r>
        <w:rPr>
          <w:spacing w:val="-2"/>
        </w:rPr>
        <w:t>态分为四级：</w:t>
      </w:r>
    </w:p>
    <w:p>
      <w:pPr>
        <w:spacing w:after="0" w:line="278" w:lineRule="auto"/>
        <w:sectPr>
          <w:type w:val="continuous"/>
          <w:pgSz w:w="11910" w:h="16840"/>
          <w:pgMar w:top="920" w:right="680" w:bottom="420" w:left="880" w:header="0" w:footer="230" w:gutter="0"/>
          <w:cols w:equalWidth="0" w:num="2">
            <w:col w:w="2659" w:space="40"/>
            <w:col w:w="7651"/>
          </w:cols>
        </w:sectPr>
      </w:pPr>
    </w:p>
    <w:p>
      <w:pPr>
        <w:pStyle w:val="3"/>
        <w:spacing w:before="36" w:line="194" w:lineRule="auto"/>
      </w:pPr>
      <w:r>
        <w:t>York</w:t>
      </w:r>
      <w:r>
        <w:rPr>
          <w:spacing w:val="40"/>
        </w:rPr>
        <w:t xml:space="preserve"> </w:t>
      </w:r>
      <w:r>
        <w:t xml:space="preserve">Heart </w:t>
      </w:r>
      <w:r>
        <w:rPr>
          <w:spacing w:val="-2"/>
          <w:w w:val="95"/>
        </w:rPr>
        <w:t xml:space="preserve">Association， </w:t>
      </w:r>
      <w:r>
        <w:rPr>
          <w:spacing w:val="-2"/>
          <w:w w:val="90"/>
        </w:rPr>
        <w:t>NYHA）心功能</w:t>
      </w:r>
      <w:r>
        <w:rPr>
          <w:spacing w:val="-4"/>
        </w:rPr>
        <w:t>状态分级</w:t>
      </w:r>
    </w:p>
    <w:p>
      <w:pPr>
        <w:pStyle w:val="4"/>
        <w:spacing w:before="53" w:line="278" w:lineRule="auto"/>
        <w:ind w:left="180" w:right="622"/>
      </w:pPr>
      <w:r>
        <w:br w:type="column"/>
      </w:r>
      <w:r>
        <w:rPr>
          <w:spacing w:val="-2"/>
        </w:rPr>
        <w:t>Ⅰ级：心脏病病人日常活动量不受限制，一般活动不引起乏力、呼吸困难等心衰症状。</w:t>
      </w:r>
    </w:p>
    <w:p>
      <w:pPr>
        <w:pStyle w:val="4"/>
        <w:spacing w:line="278" w:lineRule="auto"/>
        <w:ind w:left="180" w:right="622"/>
      </w:pPr>
      <w:r>
        <w:rPr>
          <w:spacing w:val="-2"/>
        </w:rPr>
        <w:t>Ⅱ级：心脏病病人体力活动轻度受限制，休息时无自觉症状，一般活动下可出现心衰症状。</w:t>
      </w:r>
    </w:p>
    <w:p>
      <w:pPr>
        <w:pStyle w:val="4"/>
        <w:spacing w:line="278" w:lineRule="auto"/>
        <w:ind w:left="180" w:right="512"/>
      </w:pPr>
      <w:r>
        <w:rPr>
          <w:spacing w:val="-4"/>
        </w:rPr>
        <w:t xml:space="preserve">Ⅲ级：心脏病病人体力活动明显受限，低于平时一般活动即引起心衰症状。 </w:t>
      </w:r>
      <w:r>
        <w:rPr>
          <w:spacing w:val="-2"/>
        </w:rPr>
        <w:t>Ⅳ级：心脏病病人不能从事任何体力活动，休息状态下也存在心衰症状，活动后加重。</w:t>
      </w:r>
    </w:p>
    <w:p>
      <w:pPr>
        <w:spacing w:after="0" w:line="278" w:lineRule="auto"/>
        <w:sectPr>
          <w:pgSz w:w="11910" w:h="16840"/>
          <w:pgMar w:top="660" w:right="680" w:bottom="420" w:left="880" w:header="0" w:footer="230" w:gutter="0"/>
          <w:cols w:equalWidth="0" w:num="2">
            <w:col w:w="2765" w:space="40"/>
            <w:col w:w="7545"/>
          </w:cols>
        </w:sectPr>
      </w:pPr>
    </w:p>
    <w:p>
      <w:pPr>
        <w:pStyle w:val="4"/>
        <w:spacing w:before="12"/>
        <w:rPr>
          <w:sz w:val="16"/>
        </w:rPr>
      </w:pPr>
    </w:p>
    <w:p>
      <w:pPr>
        <w:pStyle w:val="2"/>
        <w:spacing w:line="440" w:lineRule="exact"/>
        <w:ind w:left="920" w:firstLine="0"/>
        <w:rPr>
          <w:rFonts w:ascii="微软雅黑" w:eastAsia="微软雅黑"/>
        </w:rPr>
      </w:pPr>
      <w:r>
        <w:rPr>
          <w:rFonts w:ascii="微软雅黑" w:eastAsia="微软雅黑"/>
        </w:rPr>
        <w:t>附表：渤海人寿安康无忧医疗保险（</w:t>
      </w:r>
      <w:r>
        <w:rPr>
          <w:rFonts w:ascii="Times New Roman" w:eastAsia="Times New Roman"/>
        </w:rPr>
        <w:t>2021</w:t>
      </w:r>
      <w:r>
        <w:rPr>
          <w:rFonts w:ascii="Times New Roman" w:eastAsia="Times New Roman"/>
          <w:spacing w:val="25"/>
        </w:rPr>
        <w:t xml:space="preserve"> </w:t>
      </w:r>
      <w:r>
        <w:rPr>
          <w:rFonts w:ascii="微软雅黑" w:eastAsia="微软雅黑"/>
        </w:rPr>
        <w:t>版）</w:t>
      </w:r>
      <w:r>
        <w:rPr>
          <w:rFonts w:ascii="微软雅黑" w:eastAsia="微软雅黑"/>
          <w:spacing w:val="-2"/>
        </w:rPr>
        <w:t>免赔额与给付限额表</w:t>
      </w:r>
    </w:p>
    <w:p>
      <w:pPr>
        <w:spacing w:before="100"/>
        <w:ind w:left="0" w:right="1114" w:firstLine="0"/>
        <w:jc w:val="right"/>
        <w:rPr>
          <w:sz w:val="24"/>
        </w:rPr>
      </w:pPr>
      <w:r>
        <w:rPr>
          <w:spacing w:val="-2"/>
          <w:sz w:val="24"/>
        </w:rPr>
        <w:t>单位：人民币元</w:t>
      </w:r>
    </w:p>
    <w:p>
      <w:pPr>
        <w:pStyle w:val="4"/>
        <w:spacing w:before="9"/>
        <w:rPr>
          <w:sz w:val="12"/>
        </w:rPr>
      </w:pPr>
    </w:p>
    <w:tbl>
      <w:tblPr>
        <w:tblStyle w:val="5"/>
        <w:tblW w:w="0" w:type="auto"/>
        <w:tblInd w:w="104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9"/>
        <w:gridCol w:w="846"/>
        <w:gridCol w:w="3477"/>
        <w:gridCol w:w="144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 w:hRule="atLeast"/>
        </w:trPr>
        <w:tc>
          <w:tcPr>
            <w:tcW w:w="2319" w:type="dxa"/>
          </w:tcPr>
          <w:p>
            <w:pPr>
              <w:pStyle w:val="9"/>
              <w:spacing w:before="68"/>
              <w:ind w:left="101" w:right="97"/>
              <w:jc w:val="center"/>
              <w:rPr>
                <w:rFonts w:ascii="微软雅黑" w:eastAsia="微软雅黑"/>
                <w:b/>
                <w:sz w:val="21"/>
              </w:rPr>
            </w:pPr>
            <w:r>
              <w:rPr>
                <w:rFonts w:ascii="微软雅黑" w:eastAsia="微软雅黑"/>
                <w:b/>
                <w:spacing w:val="-3"/>
                <w:sz w:val="21"/>
              </w:rPr>
              <w:t>保险责任</w:t>
            </w:r>
          </w:p>
        </w:tc>
        <w:tc>
          <w:tcPr>
            <w:tcW w:w="846" w:type="dxa"/>
          </w:tcPr>
          <w:p>
            <w:pPr>
              <w:pStyle w:val="9"/>
              <w:spacing w:before="68"/>
              <w:ind w:left="93" w:right="84"/>
              <w:jc w:val="center"/>
              <w:rPr>
                <w:rFonts w:ascii="微软雅黑" w:eastAsia="微软雅黑"/>
                <w:b/>
                <w:sz w:val="21"/>
              </w:rPr>
            </w:pPr>
            <w:r>
              <w:rPr>
                <w:rFonts w:ascii="微软雅黑" w:eastAsia="微软雅黑"/>
                <w:b/>
                <w:spacing w:val="-4"/>
                <w:sz w:val="21"/>
              </w:rPr>
              <w:t>免赔额</w:t>
            </w:r>
          </w:p>
        </w:tc>
        <w:tc>
          <w:tcPr>
            <w:tcW w:w="3477" w:type="dxa"/>
          </w:tcPr>
          <w:p>
            <w:pPr>
              <w:pStyle w:val="9"/>
              <w:spacing w:before="68"/>
              <w:ind w:left="104" w:right="97"/>
              <w:jc w:val="center"/>
              <w:rPr>
                <w:rFonts w:ascii="微软雅黑" w:eastAsia="微软雅黑"/>
                <w:b/>
                <w:sz w:val="21"/>
              </w:rPr>
            </w:pPr>
            <w:r>
              <w:rPr>
                <w:rFonts w:ascii="微软雅黑" w:eastAsia="微软雅黑"/>
                <w:b/>
                <w:spacing w:val="-2"/>
                <w:sz w:val="21"/>
              </w:rPr>
              <w:t>单项给付限额</w:t>
            </w:r>
          </w:p>
        </w:tc>
        <w:tc>
          <w:tcPr>
            <w:tcW w:w="1441" w:type="dxa"/>
          </w:tcPr>
          <w:p>
            <w:pPr>
              <w:pStyle w:val="9"/>
              <w:spacing w:before="68"/>
              <w:ind w:left="185"/>
              <w:rPr>
                <w:rFonts w:ascii="微软雅黑" w:eastAsia="微软雅黑"/>
                <w:b/>
                <w:sz w:val="21"/>
              </w:rPr>
            </w:pPr>
            <w:r>
              <w:rPr>
                <w:rFonts w:ascii="微软雅黑" w:eastAsia="微软雅黑"/>
                <w:b/>
                <w:spacing w:val="-2"/>
                <w:sz w:val="21"/>
              </w:rPr>
              <w:t>总给付限额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2319" w:type="dxa"/>
          </w:tcPr>
          <w:p>
            <w:pPr>
              <w:pStyle w:val="9"/>
              <w:spacing w:before="106"/>
              <w:ind w:left="101" w:right="92"/>
              <w:jc w:val="center"/>
              <w:rPr>
                <w:sz w:val="21"/>
              </w:rPr>
            </w:pPr>
            <w:r>
              <w:rPr>
                <w:spacing w:val="-4"/>
                <w:sz w:val="21"/>
              </w:rPr>
              <w:t>一般医疗保险金</w:t>
            </w:r>
          </w:p>
        </w:tc>
        <w:tc>
          <w:tcPr>
            <w:tcW w:w="846" w:type="dxa"/>
          </w:tcPr>
          <w:p>
            <w:pPr>
              <w:pStyle w:val="9"/>
              <w:spacing w:before="106"/>
              <w:ind w:left="88" w:right="84"/>
              <w:jc w:val="center"/>
              <w:rPr>
                <w:sz w:val="21"/>
              </w:rPr>
            </w:pPr>
            <w:r>
              <w:rPr>
                <w:sz w:val="21"/>
              </w:rPr>
              <w:t>1</w:t>
            </w:r>
            <w:r>
              <w:rPr>
                <w:spacing w:val="-32"/>
                <w:sz w:val="21"/>
              </w:rPr>
              <w:t xml:space="preserve"> 万</w:t>
            </w:r>
          </w:p>
        </w:tc>
        <w:tc>
          <w:tcPr>
            <w:tcW w:w="3477" w:type="dxa"/>
          </w:tcPr>
          <w:p>
            <w:pPr>
              <w:pStyle w:val="9"/>
              <w:spacing w:before="106"/>
              <w:ind w:left="108" w:right="96"/>
              <w:jc w:val="center"/>
              <w:rPr>
                <w:sz w:val="21"/>
              </w:rPr>
            </w:pPr>
            <w:r>
              <w:rPr>
                <w:sz w:val="21"/>
              </w:rPr>
              <w:t>200</w:t>
            </w:r>
            <w:r>
              <w:rPr>
                <w:spacing w:val="-31"/>
                <w:sz w:val="21"/>
              </w:rPr>
              <w:t xml:space="preserve"> 万</w:t>
            </w:r>
          </w:p>
        </w:tc>
        <w:tc>
          <w:tcPr>
            <w:tcW w:w="1441" w:type="dxa"/>
            <w:vMerge w:val="restart"/>
          </w:tcPr>
          <w:p>
            <w:pPr>
              <w:pStyle w:val="9"/>
              <w:rPr>
                <w:sz w:val="20"/>
              </w:rPr>
            </w:pPr>
          </w:p>
          <w:p>
            <w:pPr>
              <w:pStyle w:val="9"/>
              <w:rPr>
                <w:sz w:val="20"/>
              </w:rPr>
            </w:pPr>
          </w:p>
          <w:p>
            <w:pPr>
              <w:pStyle w:val="9"/>
              <w:spacing w:before="9"/>
              <w:rPr>
                <w:sz w:val="14"/>
              </w:rPr>
            </w:pPr>
          </w:p>
          <w:p>
            <w:pPr>
              <w:pStyle w:val="9"/>
              <w:spacing w:before="1"/>
              <w:ind w:left="425"/>
              <w:rPr>
                <w:sz w:val="21"/>
              </w:rPr>
            </w:pPr>
            <w:r>
              <w:rPr>
                <w:sz w:val="21"/>
              </w:rPr>
              <w:t>400</w:t>
            </w:r>
            <w:r>
              <w:rPr>
                <w:spacing w:val="-31"/>
                <w:sz w:val="21"/>
              </w:rPr>
              <w:t xml:space="preserve"> 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 w:hRule="atLeast"/>
        </w:trPr>
        <w:tc>
          <w:tcPr>
            <w:tcW w:w="2319" w:type="dxa"/>
          </w:tcPr>
          <w:p>
            <w:pPr>
              <w:pStyle w:val="9"/>
              <w:spacing w:before="140"/>
              <w:ind w:left="101" w:right="92"/>
              <w:jc w:val="center"/>
              <w:rPr>
                <w:sz w:val="21"/>
              </w:rPr>
            </w:pPr>
            <w:r>
              <w:rPr>
                <w:spacing w:val="-3"/>
                <w:sz w:val="21"/>
              </w:rPr>
              <w:t>重大疾病医疗保险金</w:t>
            </w:r>
          </w:p>
        </w:tc>
        <w:tc>
          <w:tcPr>
            <w:tcW w:w="846" w:type="dxa"/>
          </w:tcPr>
          <w:p>
            <w:pPr>
              <w:pStyle w:val="9"/>
              <w:spacing w:before="140"/>
              <w:ind w:left="88" w:right="84"/>
              <w:jc w:val="center"/>
              <w:rPr>
                <w:sz w:val="21"/>
              </w:rPr>
            </w:pPr>
            <w:r>
              <w:rPr>
                <w:sz w:val="21"/>
              </w:rPr>
              <w:t>0</w:t>
            </w:r>
            <w:r>
              <w:rPr>
                <w:spacing w:val="-32"/>
                <w:sz w:val="21"/>
              </w:rPr>
              <w:t xml:space="preserve"> 元</w:t>
            </w:r>
          </w:p>
        </w:tc>
        <w:tc>
          <w:tcPr>
            <w:tcW w:w="3477" w:type="dxa"/>
          </w:tcPr>
          <w:p>
            <w:pPr>
              <w:pStyle w:val="9"/>
              <w:spacing w:before="140"/>
              <w:ind w:left="108" w:right="96"/>
              <w:jc w:val="center"/>
              <w:rPr>
                <w:sz w:val="21"/>
              </w:rPr>
            </w:pPr>
            <w:r>
              <w:rPr>
                <w:sz w:val="21"/>
              </w:rPr>
              <w:t>400</w:t>
            </w:r>
            <w:r>
              <w:rPr>
                <w:spacing w:val="-31"/>
                <w:sz w:val="21"/>
              </w:rPr>
              <w:t xml:space="preserve"> 万</w:t>
            </w:r>
          </w:p>
        </w:tc>
        <w:tc>
          <w:tcPr>
            <w:tcW w:w="1441" w:type="dxa"/>
            <w:vMerge w:val="continue"/>
            <w:tcBorders>
              <w:top w:val="nil"/>
            </w:tcBorders>
          </w:tcPr>
          <w:p>
            <w:pPr>
              <w:rPr>
                <w:sz w:val="2"/>
                <w:szCs w:val="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2319" w:type="dxa"/>
          </w:tcPr>
          <w:p>
            <w:pPr>
              <w:pStyle w:val="9"/>
              <w:spacing w:before="178"/>
              <w:ind w:left="101" w:right="97"/>
              <w:jc w:val="center"/>
              <w:rPr>
                <w:sz w:val="21"/>
              </w:rPr>
            </w:pPr>
            <w:r>
              <w:rPr>
                <w:spacing w:val="-3"/>
                <w:sz w:val="21"/>
              </w:rPr>
              <w:t>质子重离子医疗保险金</w:t>
            </w:r>
          </w:p>
        </w:tc>
        <w:tc>
          <w:tcPr>
            <w:tcW w:w="846" w:type="dxa"/>
          </w:tcPr>
          <w:p>
            <w:pPr>
              <w:pStyle w:val="9"/>
              <w:spacing w:before="178"/>
              <w:ind w:left="88" w:right="84"/>
              <w:jc w:val="center"/>
              <w:rPr>
                <w:sz w:val="21"/>
              </w:rPr>
            </w:pPr>
            <w:r>
              <w:rPr>
                <w:sz w:val="21"/>
              </w:rPr>
              <w:t>0</w:t>
            </w:r>
            <w:r>
              <w:rPr>
                <w:spacing w:val="-32"/>
                <w:sz w:val="21"/>
              </w:rPr>
              <w:t xml:space="preserve"> 元</w:t>
            </w:r>
          </w:p>
        </w:tc>
        <w:tc>
          <w:tcPr>
            <w:tcW w:w="3477" w:type="dxa"/>
          </w:tcPr>
          <w:p>
            <w:pPr>
              <w:pStyle w:val="9"/>
              <w:spacing w:before="20"/>
              <w:ind w:left="108" w:right="96"/>
              <w:jc w:val="center"/>
              <w:rPr>
                <w:sz w:val="21"/>
              </w:rPr>
            </w:pPr>
            <w:r>
              <w:rPr>
                <w:sz w:val="21"/>
              </w:rPr>
              <w:t>100</w:t>
            </w:r>
            <w:r>
              <w:rPr>
                <w:spacing w:val="-31"/>
                <w:sz w:val="21"/>
              </w:rPr>
              <w:t xml:space="preserve"> 万</w:t>
            </w:r>
          </w:p>
          <w:p>
            <w:pPr>
              <w:pStyle w:val="9"/>
              <w:spacing w:before="43"/>
              <w:ind w:left="108" w:right="97"/>
              <w:jc w:val="center"/>
              <w:rPr>
                <w:sz w:val="21"/>
              </w:rPr>
            </w:pPr>
            <w:r>
              <w:rPr>
                <w:spacing w:val="-2"/>
                <w:sz w:val="21"/>
              </w:rPr>
              <w:t>（</w:t>
            </w:r>
            <w:r>
              <w:rPr>
                <w:spacing w:val="-8"/>
                <w:sz w:val="21"/>
              </w:rPr>
              <w:t xml:space="preserve">其中床位费以 </w:t>
            </w:r>
            <w:r>
              <w:rPr>
                <w:spacing w:val="-2"/>
                <w:sz w:val="21"/>
              </w:rPr>
              <w:t>1,500</w:t>
            </w:r>
            <w:r>
              <w:rPr>
                <w:spacing w:val="-10"/>
                <w:sz w:val="21"/>
              </w:rPr>
              <w:t xml:space="preserve"> 元/天为限）</w:t>
            </w:r>
          </w:p>
        </w:tc>
        <w:tc>
          <w:tcPr>
            <w:tcW w:w="1441" w:type="dxa"/>
            <w:vMerge w:val="continue"/>
            <w:tcBorders>
              <w:top w:val="nil"/>
            </w:tcBorders>
          </w:tcPr>
          <w:p>
            <w:pPr>
              <w:rPr>
                <w:sz w:val="2"/>
                <w:szCs w:val="2"/>
              </w:rPr>
            </w:pPr>
          </w:p>
        </w:tc>
      </w:tr>
    </w:tbl>
    <w:p/>
    <w:sectPr>
      <w:type w:val="continuous"/>
      <w:pgSz w:w="11910" w:h="16840"/>
      <w:pgMar w:top="920" w:right="680" w:bottom="420" w:left="880" w:header="0" w:footer="23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14" w:lineRule="auto"/>
      <w:rPr>
        <w:sz w:val="20"/>
      </w:rPr>
    </w:pPr>
    <w:r>
      <w:pict>
        <v:shape id="docshape1" o:spid="_x0000_s2049" o:spt="202" type="#_x0000_t202" style="position:absolute;left:0pt;margin-left:260.45pt;margin-top:819.4pt;height:12.15pt;width:74.5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before="0" w:line="227" w:lineRule="exact"/>
                  <w:ind w:left="20" w:right="0" w:firstLine="0"/>
                  <w:jc w:val="left"/>
                  <w:rPr>
                    <w:sz w:val="18"/>
                  </w:rPr>
                </w:pPr>
                <w:r>
                  <w:rPr>
                    <w:spacing w:val="-23"/>
                    <w:sz w:val="18"/>
                  </w:rPr>
                  <w:t xml:space="preserve">第 </w:t>
                </w:r>
                <w:r>
                  <w:rPr>
                    <w:rFonts w:ascii="Calibri" w:eastAsia="Calibri"/>
                    <w:sz w:val="18"/>
                  </w:rPr>
                  <w:fldChar w:fldCharType="begin"/>
                </w:r>
                <w:r>
                  <w:rPr>
                    <w:rFonts w:ascii="Calibri" w:eastAsia="Calibri"/>
                    <w:sz w:val="18"/>
                  </w:rPr>
                  <w:instrText xml:space="preserve"> PAGE </w:instrText>
                </w:r>
                <w:r>
                  <w:rPr>
                    <w:rFonts w:ascii="Calibri" w:eastAsia="Calibri"/>
                    <w:sz w:val="18"/>
                  </w:rPr>
                  <w:fldChar w:fldCharType="separate"/>
                </w:r>
                <w:r>
                  <w:rPr>
                    <w:rFonts w:ascii="Calibri" w:eastAsia="Calibri"/>
                    <w:sz w:val="18"/>
                  </w:rPr>
                  <w:t>10</w:t>
                </w:r>
                <w:r>
                  <w:rPr>
                    <w:rFonts w:ascii="Calibri" w:eastAsia="Calibri"/>
                    <w:sz w:val="18"/>
                  </w:rPr>
                  <w:fldChar w:fldCharType="end"/>
                </w:r>
                <w:r>
                  <w:rPr>
                    <w:rFonts w:ascii="Calibri" w:eastAsia="Calibri"/>
                    <w:spacing w:val="2"/>
                    <w:sz w:val="18"/>
                  </w:rPr>
                  <w:t xml:space="preserve"> </w:t>
                </w:r>
                <w:r>
                  <w:rPr>
                    <w:sz w:val="18"/>
                  </w:rPr>
                  <w:t>页</w:t>
                </w:r>
                <w:r>
                  <w:rPr>
                    <w:spacing w:val="51"/>
                    <w:w w:val="150"/>
                    <w:sz w:val="18"/>
                  </w:rPr>
                  <w:t xml:space="preserve"> </w:t>
                </w:r>
                <w:r>
                  <w:rPr>
                    <w:spacing w:val="-23"/>
                    <w:sz w:val="18"/>
                  </w:rPr>
                  <w:t xml:space="preserve">共 </w:t>
                </w:r>
                <w:r>
                  <w:rPr>
                    <w:rFonts w:ascii="Calibri" w:eastAsia="Calibri"/>
                    <w:sz w:val="18"/>
                  </w:rPr>
                  <w:fldChar w:fldCharType="begin"/>
                </w:r>
                <w:r>
                  <w:rPr>
                    <w:rFonts w:ascii="Calibri" w:eastAsia="Calibri"/>
                    <w:sz w:val="18"/>
                  </w:rPr>
                  <w:instrText xml:space="preserve"> NUMPAGES </w:instrText>
                </w:r>
                <w:r>
                  <w:rPr>
                    <w:rFonts w:ascii="Calibri" w:eastAsia="Calibri"/>
                    <w:sz w:val="18"/>
                  </w:rPr>
                  <w:fldChar w:fldCharType="separate"/>
                </w:r>
                <w:r>
                  <w:rPr>
                    <w:rFonts w:ascii="Calibri" w:eastAsia="Calibri"/>
                    <w:sz w:val="18"/>
                  </w:rPr>
                  <w:t>35</w:t>
                </w:r>
                <w:r>
                  <w:rPr>
                    <w:rFonts w:ascii="Calibri" w:eastAsia="Calibri"/>
                    <w:sz w:val="18"/>
                  </w:rPr>
                  <w:fldChar w:fldCharType="end"/>
                </w:r>
                <w:r>
                  <w:rPr>
                    <w:rFonts w:ascii="Calibri" w:eastAsia="Calibri"/>
                    <w:spacing w:val="3"/>
                    <w:sz w:val="18"/>
                  </w:rPr>
                  <w:t xml:space="preserve"> </w:t>
                </w:r>
                <w:r>
                  <w:rPr>
                    <w:spacing w:val="-10"/>
                    <w:sz w:val="18"/>
                  </w:rPr>
                  <w:t>页</w:t>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3A4B87"/>
    <w:multiLevelType w:val="multilevel"/>
    <w:tmpl w:val="813A4B87"/>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1">
    <w:nsid w:val="845B5372"/>
    <w:multiLevelType w:val="multilevel"/>
    <w:tmpl w:val="845B5372"/>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2">
    <w:nsid w:val="8461FADE"/>
    <w:multiLevelType w:val="multilevel"/>
    <w:tmpl w:val="8461FADE"/>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3">
    <w:nsid w:val="8CAEB125"/>
    <w:multiLevelType w:val="multilevel"/>
    <w:tmpl w:val="8CAEB125"/>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4">
    <w:nsid w:val="91995D4F"/>
    <w:multiLevelType w:val="multilevel"/>
    <w:tmpl w:val="91995D4F"/>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5">
    <w:nsid w:val="9239341B"/>
    <w:multiLevelType w:val="multilevel"/>
    <w:tmpl w:val="9239341B"/>
    <w:lvl w:ilvl="0" w:tentative="0">
      <w:start w:val="1"/>
      <w:numFmt w:val="decimal"/>
      <w:lvlText w:val="（%1）"/>
      <w:lvlJc w:val="left"/>
      <w:pPr>
        <w:ind w:left="815"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502" w:hanging="529"/>
      </w:pPr>
      <w:rPr>
        <w:rFonts w:hint="default"/>
        <w:lang w:val="en-US" w:eastAsia="zh-CN" w:bidi="ar-SA"/>
      </w:rPr>
    </w:lvl>
    <w:lvl w:ilvl="2" w:tentative="0">
      <w:start w:val="0"/>
      <w:numFmt w:val="bullet"/>
      <w:lvlText w:val="•"/>
      <w:lvlJc w:val="left"/>
      <w:pPr>
        <w:ind w:left="2185" w:hanging="529"/>
      </w:pPr>
      <w:rPr>
        <w:rFonts w:hint="default"/>
        <w:lang w:val="en-US" w:eastAsia="zh-CN" w:bidi="ar-SA"/>
      </w:rPr>
    </w:lvl>
    <w:lvl w:ilvl="3" w:tentative="0">
      <w:start w:val="0"/>
      <w:numFmt w:val="bullet"/>
      <w:lvlText w:val="•"/>
      <w:lvlJc w:val="left"/>
      <w:pPr>
        <w:ind w:left="2867" w:hanging="529"/>
      </w:pPr>
      <w:rPr>
        <w:rFonts w:hint="default"/>
        <w:lang w:val="en-US" w:eastAsia="zh-CN" w:bidi="ar-SA"/>
      </w:rPr>
    </w:lvl>
    <w:lvl w:ilvl="4" w:tentative="0">
      <w:start w:val="0"/>
      <w:numFmt w:val="bullet"/>
      <w:lvlText w:val="•"/>
      <w:lvlJc w:val="left"/>
      <w:pPr>
        <w:ind w:left="3550" w:hanging="529"/>
      </w:pPr>
      <w:rPr>
        <w:rFonts w:hint="default"/>
        <w:lang w:val="en-US" w:eastAsia="zh-CN" w:bidi="ar-SA"/>
      </w:rPr>
    </w:lvl>
    <w:lvl w:ilvl="5" w:tentative="0">
      <w:start w:val="0"/>
      <w:numFmt w:val="bullet"/>
      <w:lvlText w:val="•"/>
      <w:lvlJc w:val="left"/>
      <w:pPr>
        <w:ind w:left="4232" w:hanging="529"/>
      </w:pPr>
      <w:rPr>
        <w:rFonts w:hint="default"/>
        <w:lang w:val="en-US" w:eastAsia="zh-CN" w:bidi="ar-SA"/>
      </w:rPr>
    </w:lvl>
    <w:lvl w:ilvl="6" w:tentative="0">
      <w:start w:val="0"/>
      <w:numFmt w:val="bullet"/>
      <w:lvlText w:val="•"/>
      <w:lvlJc w:val="left"/>
      <w:pPr>
        <w:ind w:left="4915" w:hanging="529"/>
      </w:pPr>
      <w:rPr>
        <w:rFonts w:hint="default"/>
        <w:lang w:val="en-US" w:eastAsia="zh-CN" w:bidi="ar-SA"/>
      </w:rPr>
    </w:lvl>
    <w:lvl w:ilvl="7" w:tentative="0">
      <w:start w:val="0"/>
      <w:numFmt w:val="bullet"/>
      <w:lvlText w:val="•"/>
      <w:lvlJc w:val="left"/>
      <w:pPr>
        <w:ind w:left="5597" w:hanging="529"/>
      </w:pPr>
      <w:rPr>
        <w:rFonts w:hint="default"/>
        <w:lang w:val="en-US" w:eastAsia="zh-CN" w:bidi="ar-SA"/>
      </w:rPr>
    </w:lvl>
    <w:lvl w:ilvl="8" w:tentative="0">
      <w:start w:val="0"/>
      <w:numFmt w:val="bullet"/>
      <w:lvlText w:val="•"/>
      <w:lvlJc w:val="left"/>
      <w:pPr>
        <w:ind w:left="6280" w:hanging="529"/>
      </w:pPr>
      <w:rPr>
        <w:rFonts w:hint="default"/>
        <w:lang w:val="en-US" w:eastAsia="zh-CN" w:bidi="ar-SA"/>
      </w:rPr>
    </w:lvl>
  </w:abstractNum>
  <w:abstractNum w:abstractNumId="6">
    <w:nsid w:val="9288B902"/>
    <w:multiLevelType w:val="multilevel"/>
    <w:tmpl w:val="9288B902"/>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7">
    <w:nsid w:val="9C8AC8EF"/>
    <w:multiLevelType w:val="multilevel"/>
    <w:tmpl w:val="9C8AC8EF"/>
    <w:lvl w:ilvl="0" w:tentative="0">
      <w:start w:val="1"/>
      <w:numFmt w:val="decimal"/>
      <w:lvlText w:val="（%1）"/>
      <w:lvlJc w:val="left"/>
      <w:pPr>
        <w:ind w:left="815"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502" w:hanging="529"/>
      </w:pPr>
      <w:rPr>
        <w:rFonts w:hint="default"/>
        <w:lang w:val="en-US" w:eastAsia="zh-CN" w:bidi="ar-SA"/>
      </w:rPr>
    </w:lvl>
    <w:lvl w:ilvl="2" w:tentative="0">
      <w:start w:val="0"/>
      <w:numFmt w:val="bullet"/>
      <w:lvlText w:val="•"/>
      <w:lvlJc w:val="left"/>
      <w:pPr>
        <w:ind w:left="2185" w:hanging="529"/>
      </w:pPr>
      <w:rPr>
        <w:rFonts w:hint="default"/>
        <w:lang w:val="en-US" w:eastAsia="zh-CN" w:bidi="ar-SA"/>
      </w:rPr>
    </w:lvl>
    <w:lvl w:ilvl="3" w:tentative="0">
      <w:start w:val="0"/>
      <w:numFmt w:val="bullet"/>
      <w:lvlText w:val="•"/>
      <w:lvlJc w:val="left"/>
      <w:pPr>
        <w:ind w:left="2867" w:hanging="529"/>
      </w:pPr>
      <w:rPr>
        <w:rFonts w:hint="default"/>
        <w:lang w:val="en-US" w:eastAsia="zh-CN" w:bidi="ar-SA"/>
      </w:rPr>
    </w:lvl>
    <w:lvl w:ilvl="4" w:tentative="0">
      <w:start w:val="0"/>
      <w:numFmt w:val="bullet"/>
      <w:lvlText w:val="•"/>
      <w:lvlJc w:val="left"/>
      <w:pPr>
        <w:ind w:left="3550" w:hanging="529"/>
      </w:pPr>
      <w:rPr>
        <w:rFonts w:hint="default"/>
        <w:lang w:val="en-US" w:eastAsia="zh-CN" w:bidi="ar-SA"/>
      </w:rPr>
    </w:lvl>
    <w:lvl w:ilvl="5" w:tentative="0">
      <w:start w:val="0"/>
      <w:numFmt w:val="bullet"/>
      <w:lvlText w:val="•"/>
      <w:lvlJc w:val="left"/>
      <w:pPr>
        <w:ind w:left="4232" w:hanging="529"/>
      </w:pPr>
      <w:rPr>
        <w:rFonts w:hint="default"/>
        <w:lang w:val="en-US" w:eastAsia="zh-CN" w:bidi="ar-SA"/>
      </w:rPr>
    </w:lvl>
    <w:lvl w:ilvl="6" w:tentative="0">
      <w:start w:val="0"/>
      <w:numFmt w:val="bullet"/>
      <w:lvlText w:val="•"/>
      <w:lvlJc w:val="left"/>
      <w:pPr>
        <w:ind w:left="4915" w:hanging="529"/>
      </w:pPr>
      <w:rPr>
        <w:rFonts w:hint="default"/>
        <w:lang w:val="en-US" w:eastAsia="zh-CN" w:bidi="ar-SA"/>
      </w:rPr>
    </w:lvl>
    <w:lvl w:ilvl="7" w:tentative="0">
      <w:start w:val="0"/>
      <w:numFmt w:val="bullet"/>
      <w:lvlText w:val="•"/>
      <w:lvlJc w:val="left"/>
      <w:pPr>
        <w:ind w:left="5597" w:hanging="529"/>
      </w:pPr>
      <w:rPr>
        <w:rFonts w:hint="default"/>
        <w:lang w:val="en-US" w:eastAsia="zh-CN" w:bidi="ar-SA"/>
      </w:rPr>
    </w:lvl>
    <w:lvl w:ilvl="8" w:tentative="0">
      <w:start w:val="0"/>
      <w:numFmt w:val="bullet"/>
      <w:lvlText w:val="•"/>
      <w:lvlJc w:val="left"/>
      <w:pPr>
        <w:ind w:left="6280" w:hanging="529"/>
      </w:pPr>
      <w:rPr>
        <w:rFonts w:hint="default"/>
        <w:lang w:val="en-US" w:eastAsia="zh-CN" w:bidi="ar-SA"/>
      </w:rPr>
    </w:lvl>
  </w:abstractNum>
  <w:abstractNum w:abstractNumId="8">
    <w:nsid w:val="A0F05207"/>
    <w:multiLevelType w:val="multilevel"/>
    <w:tmpl w:val="A0F05207"/>
    <w:lvl w:ilvl="0" w:tentative="0">
      <w:start w:val="1"/>
      <w:numFmt w:val="decimal"/>
      <w:lvlText w:val="（%1）"/>
      <w:lvlJc w:val="left"/>
      <w:pPr>
        <w:ind w:left="3514"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202" w:hanging="529"/>
      </w:pPr>
      <w:rPr>
        <w:rFonts w:hint="default"/>
        <w:lang w:val="en-US" w:eastAsia="zh-CN" w:bidi="ar-SA"/>
      </w:rPr>
    </w:lvl>
    <w:lvl w:ilvl="2" w:tentative="0">
      <w:start w:val="0"/>
      <w:numFmt w:val="bullet"/>
      <w:lvlText w:val="•"/>
      <w:lvlJc w:val="left"/>
      <w:pPr>
        <w:ind w:left="4884" w:hanging="529"/>
      </w:pPr>
      <w:rPr>
        <w:rFonts w:hint="default"/>
        <w:lang w:val="en-US" w:eastAsia="zh-CN" w:bidi="ar-SA"/>
      </w:rPr>
    </w:lvl>
    <w:lvl w:ilvl="3" w:tentative="0">
      <w:start w:val="0"/>
      <w:numFmt w:val="bullet"/>
      <w:lvlText w:val="•"/>
      <w:lvlJc w:val="left"/>
      <w:pPr>
        <w:ind w:left="5567" w:hanging="529"/>
      </w:pPr>
      <w:rPr>
        <w:rFonts w:hint="default"/>
        <w:lang w:val="en-US" w:eastAsia="zh-CN" w:bidi="ar-SA"/>
      </w:rPr>
    </w:lvl>
    <w:lvl w:ilvl="4" w:tentative="0">
      <w:start w:val="0"/>
      <w:numFmt w:val="bullet"/>
      <w:lvlText w:val="•"/>
      <w:lvlJc w:val="left"/>
      <w:pPr>
        <w:ind w:left="6249" w:hanging="529"/>
      </w:pPr>
      <w:rPr>
        <w:rFonts w:hint="default"/>
        <w:lang w:val="en-US" w:eastAsia="zh-CN" w:bidi="ar-SA"/>
      </w:rPr>
    </w:lvl>
    <w:lvl w:ilvl="5" w:tentative="0">
      <w:start w:val="0"/>
      <w:numFmt w:val="bullet"/>
      <w:lvlText w:val="•"/>
      <w:lvlJc w:val="left"/>
      <w:pPr>
        <w:ind w:left="6932" w:hanging="529"/>
      </w:pPr>
      <w:rPr>
        <w:rFonts w:hint="default"/>
        <w:lang w:val="en-US" w:eastAsia="zh-CN" w:bidi="ar-SA"/>
      </w:rPr>
    </w:lvl>
    <w:lvl w:ilvl="6" w:tentative="0">
      <w:start w:val="0"/>
      <w:numFmt w:val="bullet"/>
      <w:lvlText w:val="•"/>
      <w:lvlJc w:val="left"/>
      <w:pPr>
        <w:ind w:left="7614" w:hanging="529"/>
      </w:pPr>
      <w:rPr>
        <w:rFonts w:hint="default"/>
        <w:lang w:val="en-US" w:eastAsia="zh-CN" w:bidi="ar-SA"/>
      </w:rPr>
    </w:lvl>
    <w:lvl w:ilvl="7" w:tentative="0">
      <w:start w:val="0"/>
      <w:numFmt w:val="bullet"/>
      <w:lvlText w:val="•"/>
      <w:lvlJc w:val="left"/>
      <w:pPr>
        <w:ind w:left="8296" w:hanging="529"/>
      </w:pPr>
      <w:rPr>
        <w:rFonts w:hint="default"/>
        <w:lang w:val="en-US" w:eastAsia="zh-CN" w:bidi="ar-SA"/>
      </w:rPr>
    </w:lvl>
    <w:lvl w:ilvl="8" w:tentative="0">
      <w:start w:val="0"/>
      <w:numFmt w:val="bullet"/>
      <w:lvlText w:val="•"/>
      <w:lvlJc w:val="left"/>
      <w:pPr>
        <w:ind w:left="8979" w:hanging="529"/>
      </w:pPr>
      <w:rPr>
        <w:rFonts w:hint="default"/>
        <w:lang w:val="en-US" w:eastAsia="zh-CN" w:bidi="ar-SA"/>
      </w:rPr>
    </w:lvl>
  </w:abstractNum>
  <w:abstractNum w:abstractNumId="9">
    <w:nsid w:val="B0F1ACD9"/>
    <w:multiLevelType w:val="multilevel"/>
    <w:tmpl w:val="B0F1ACD9"/>
    <w:lvl w:ilvl="0" w:tentative="0">
      <w:start w:val="1"/>
      <w:numFmt w:val="decimal"/>
      <w:lvlText w:val="（%1）"/>
      <w:lvlJc w:val="left"/>
      <w:pPr>
        <w:ind w:left="709"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383" w:hanging="529"/>
      </w:pPr>
      <w:rPr>
        <w:rFonts w:hint="default"/>
        <w:lang w:val="en-US" w:eastAsia="zh-CN" w:bidi="ar-SA"/>
      </w:rPr>
    </w:lvl>
    <w:lvl w:ilvl="2" w:tentative="0">
      <w:start w:val="0"/>
      <w:numFmt w:val="bullet"/>
      <w:lvlText w:val="•"/>
      <w:lvlJc w:val="left"/>
      <w:pPr>
        <w:ind w:left="2067" w:hanging="529"/>
      </w:pPr>
      <w:rPr>
        <w:rFonts w:hint="default"/>
        <w:lang w:val="en-US" w:eastAsia="zh-CN" w:bidi="ar-SA"/>
      </w:rPr>
    </w:lvl>
    <w:lvl w:ilvl="3" w:tentative="0">
      <w:start w:val="0"/>
      <w:numFmt w:val="bullet"/>
      <w:lvlText w:val="•"/>
      <w:lvlJc w:val="left"/>
      <w:pPr>
        <w:ind w:left="2751" w:hanging="529"/>
      </w:pPr>
      <w:rPr>
        <w:rFonts w:hint="default"/>
        <w:lang w:val="en-US" w:eastAsia="zh-CN" w:bidi="ar-SA"/>
      </w:rPr>
    </w:lvl>
    <w:lvl w:ilvl="4" w:tentative="0">
      <w:start w:val="0"/>
      <w:numFmt w:val="bullet"/>
      <w:lvlText w:val="•"/>
      <w:lvlJc w:val="left"/>
      <w:pPr>
        <w:ind w:left="3435" w:hanging="529"/>
      </w:pPr>
      <w:rPr>
        <w:rFonts w:hint="default"/>
        <w:lang w:val="en-US" w:eastAsia="zh-CN" w:bidi="ar-SA"/>
      </w:rPr>
    </w:lvl>
    <w:lvl w:ilvl="5" w:tentative="0">
      <w:start w:val="0"/>
      <w:numFmt w:val="bullet"/>
      <w:lvlText w:val="•"/>
      <w:lvlJc w:val="left"/>
      <w:pPr>
        <w:ind w:left="4119" w:hanging="529"/>
      </w:pPr>
      <w:rPr>
        <w:rFonts w:hint="default"/>
        <w:lang w:val="en-US" w:eastAsia="zh-CN" w:bidi="ar-SA"/>
      </w:rPr>
    </w:lvl>
    <w:lvl w:ilvl="6" w:tentative="0">
      <w:start w:val="0"/>
      <w:numFmt w:val="bullet"/>
      <w:lvlText w:val="•"/>
      <w:lvlJc w:val="left"/>
      <w:pPr>
        <w:ind w:left="4803" w:hanging="529"/>
      </w:pPr>
      <w:rPr>
        <w:rFonts w:hint="default"/>
        <w:lang w:val="en-US" w:eastAsia="zh-CN" w:bidi="ar-SA"/>
      </w:rPr>
    </w:lvl>
    <w:lvl w:ilvl="7" w:tentative="0">
      <w:start w:val="0"/>
      <w:numFmt w:val="bullet"/>
      <w:lvlText w:val="•"/>
      <w:lvlJc w:val="left"/>
      <w:pPr>
        <w:ind w:left="5487" w:hanging="529"/>
      </w:pPr>
      <w:rPr>
        <w:rFonts w:hint="default"/>
        <w:lang w:val="en-US" w:eastAsia="zh-CN" w:bidi="ar-SA"/>
      </w:rPr>
    </w:lvl>
    <w:lvl w:ilvl="8" w:tentative="0">
      <w:start w:val="0"/>
      <w:numFmt w:val="bullet"/>
      <w:lvlText w:val="•"/>
      <w:lvlJc w:val="left"/>
      <w:pPr>
        <w:ind w:left="6171" w:hanging="529"/>
      </w:pPr>
      <w:rPr>
        <w:rFonts w:hint="default"/>
        <w:lang w:val="en-US" w:eastAsia="zh-CN" w:bidi="ar-SA"/>
      </w:rPr>
    </w:lvl>
  </w:abstractNum>
  <w:abstractNum w:abstractNumId="10">
    <w:nsid w:val="B23A94A9"/>
    <w:multiLevelType w:val="multilevel"/>
    <w:tmpl w:val="B23A94A9"/>
    <w:lvl w:ilvl="0" w:tentative="0">
      <w:start w:val="1"/>
      <w:numFmt w:val="decimal"/>
      <w:lvlText w:val="（%1）"/>
      <w:lvlJc w:val="left"/>
      <w:pPr>
        <w:ind w:left="286" w:hanging="529"/>
        <w:jc w:val="left"/>
      </w:pPr>
      <w:rPr>
        <w:rFonts w:hint="default" w:ascii="宋体" w:hAnsi="宋体" w:eastAsia="宋体" w:cs="宋体"/>
        <w:b w:val="0"/>
        <w:bCs w:val="0"/>
        <w:i w:val="0"/>
        <w:iCs w:val="0"/>
        <w:spacing w:val="-19"/>
        <w:w w:val="100"/>
        <w:sz w:val="19"/>
        <w:szCs w:val="19"/>
        <w:lang w:val="en-US" w:eastAsia="zh-CN" w:bidi="ar-SA"/>
      </w:rPr>
    </w:lvl>
    <w:lvl w:ilvl="1" w:tentative="0">
      <w:start w:val="0"/>
      <w:numFmt w:val="bullet"/>
      <w:lvlText w:val="•"/>
      <w:lvlJc w:val="left"/>
      <w:pPr>
        <w:ind w:left="1016" w:hanging="529"/>
      </w:pPr>
      <w:rPr>
        <w:rFonts w:hint="default"/>
        <w:lang w:val="en-US" w:eastAsia="zh-CN" w:bidi="ar-SA"/>
      </w:rPr>
    </w:lvl>
    <w:lvl w:ilvl="2" w:tentative="0">
      <w:start w:val="0"/>
      <w:numFmt w:val="bullet"/>
      <w:lvlText w:val="•"/>
      <w:lvlJc w:val="left"/>
      <w:pPr>
        <w:ind w:left="1753" w:hanging="529"/>
      </w:pPr>
      <w:rPr>
        <w:rFonts w:hint="default"/>
        <w:lang w:val="en-US" w:eastAsia="zh-CN" w:bidi="ar-SA"/>
      </w:rPr>
    </w:lvl>
    <w:lvl w:ilvl="3" w:tentative="0">
      <w:start w:val="0"/>
      <w:numFmt w:val="bullet"/>
      <w:lvlText w:val="•"/>
      <w:lvlJc w:val="left"/>
      <w:pPr>
        <w:ind w:left="2489" w:hanging="529"/>
      </w:pPr>
      <w:rPr>
        <w:rFonts w:hint="default"/>
        <w:lang w:val="en-US" w:eastAsia="zh-CN" w:bidi="ar-SA"/>
      </w:rPr>
    </w:lvl>
    <w:lvl w:ilvl="4" w:tentative="0">
      <w:start w:val="0"/>
      <w:numFmt w:val="bullet"/>
      <w:lvlText w:val="•"/>
      <w:lvlJc w:val="left"/>
      <w:pPr>
        <w:ind w:left="3226" w:hanging="529"/>
      </w:pPr>
      <w:rPr>
        <w:rFonts w:hint="default"/>
        <w:lang w:val="en-US" w:eastAsia="zh-CN" w:bidi="ar-SA"/>
      </w:rPr>
    </w:lvl>
    <w:lvl w:ilvl="5" w:tentative="0">
      <w:start w:val="0"/>
      <w:numFmt w:val="bullet"/>
      <w:lvlText w:val="•"/>
      <w:lvlJc w:val="left"/>
      <w:pPr>
        <w:ind w:left="3962" w:hanging="529"/>
      </w:pPr>
      <w:rPr>
        <w:rFonts w:hint="default"/>
        <w:lang w:val="en-US" w:eastAsia="zh-CN" w:bidi="ar-SA"/>
      </w:rPr>
    </w:lvl>
    <w:lvl w:ilvl="6" w:tentative="0">
      <w:start w:val="0"/>
      <w:numFmt w:val="bullet"/>
      <w:lvlText w:val="•"/>
      <w:lvlJc w:val="left"/>
      <w:pPr>
        <w:ind w:left="4699" w:hanging="529"/>
      </w:pPr>
      <w:rPr>
        <w:rFonts w:hint="default"/>
        <w:lang w:val="en-US" w:eastAsia="zh-CN" w:bidi="ar-SA"/>
      </w:rPr>
    </w:lvl>
    <w:lvl w:ilvl="7" w:tentative="0">
      <w:start w:val="0"/>
      <w:numFmt w:val="bullet"/>
      <w:lvlText w:val="•"/>
      <w:lvlJc w:val="left"/>
      <w:pPr>
        <w:ind w:left="5435" w:hanging="529"/>
      </w:pPr>
      <w:rPr>
        <w:rFonts w:hint="default"/>
        <w:lang w:val="en-US" w:eastAsia="zh-CN" w:bidi="ar-SA"/>
      </w:rPr>
    </w:lvl>
    <w:lvl w:ilvl="8" w:tentative="0">
      <w:start w:val="0"/>
      <w:numFmt w:val="bullet"/>
      <w:lvlText w:val="•"/>
      <w:lvlJc w:val="left"/>
      <w:pPr>
        <w:ind w:left="6172" w:hanging="529"/>
      </w:pPr>
      <w:rPr>
        <w:rFonts w:hint="default"/>
        <w:lang w:val="en-US" w:eastAsia="zh-CN" w:bidi="ar-SA"/>
      </w:rPr>
    </w:lvl>
  </w:abstractNum>
  <w:abstractNum w:abstractNumId="11">
    <w:nsid w:val="B53F3350"/>
    <w:multiLevelType w:val="multilevel"/>
    <w:tmpl w:val="B53F3350"/>
    <w:lvl w:ilvl="0" w:tentative="0">
      <w:start w:val="3"/>
      <w:numFmt w:val="decimal"/>
      <w:lvlText w:val="（%1）"/>
      <w:lvlJc w:val="left"/>
      <w:pPr>
        <w:ind w:left="64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1" w:hanging="529"/>
      </w:pPr>
      <w:rPr>
        <w:rFonts w:hint="default"/>
        <w:lang w:val="en-US" w:eastAsia="zh-CN" w:bidi="ar-SA"/>
      </w:rPr>
    </w:lvl>
    <w:lvl w:ilvl="2" w:tentative="0">
      <w:start w:val="0"/>
      <w:numFmt w:val="bullet"/>
      <w:lvlText w:val="•"/>
      <w:lvlJc w:val="left"/>
      <w:pPr>
        <w:ind w:left="1902" w:hanging="529"/>
      </w:pPr>
      <w:rPr>
        <w:rFonts w:hint="default"/>
        <w:lang w:val="en-US" w:eastAsia="zh-CN" w:bidi="ar-SA"/>
      </w:rPr>
    </w:lvl>
    <w:lvl w:ilvl="3" w:tentative="0">
      <w:start w:val="0"/>
      <w:numFmt w:val="bullet"/>
      <w:lvlText w:val="•"/>
      <w:lvlJc w:val="left"/>
      <w:pPr>
        <w:ind w:left="2533" w:hanging="529"/>
      </w:pPr>
      <w:rPr>
        <w:rFonts w:hint="default"/>
        <w:lang w:val="en-US" w:eastAsia="zh-CN" w:bidi="ar-SA"/>
      </w:rPr>
    </w:lvl>
    <w:lvl w:ilvl="4" w:tentative="0">
      <w:start w:val="0"/>
      <w:numFmt w:val="bullet"/>
      <w:lvlText w:val="•"/>
      <w:lvlJc w:val="left"/>
      <w:pPr>
        <w:ind w:left="3165" w:hanging="529"/>
      </w:pPr>
      <w:rPr>
        <w:rFonts w:hint="default"/>
        <w:lang w:val="en-US" w:eastAsia="zh-CN" w:bidi="ar-SA"/>
      </w:rPr>
    </w:lvl>
    <w:lvl w:ilvl="5" w:tentative="0">
      <w:start w:val="0"/>
      <w:numFmt w:val="bullet"/>
      <w:lvlText w:val="•"/>
      <w:lvlJc w:val="left"/>
      <w:pPr>
        <w:ind w:left="3796" w:hanging="529"/>
      </w:pPr>
      <w:rPr>
        <w:rFonts w:hint="default"/>
        <w:lang w:val="en-US" w:eastAsia="zh-CN" w:bidi="ar-SA"/>
      </w:rPr>
    </w:lvl>
    <w:lvl w:ilvl="6" w:tentative="0">
      <w:start w:val="0"/>
      <w:numFmt w:val="bullet"/>
      <w:lvlText w:val="•"/>
      <w:lvlJc w:val="left"/>
      <w:pPr>
        <w:ind w:left="4427" w:hanging="529"/>
      </w:pPr>
      <w:rPr>
        <w:rFonts w:hint="default"/>
        <w:lang w:val="en-US" w:eastAsia="zh-CN" w:bidi="ar-SA"/>
      </w:rPr>
    </w:lvl>
    <w:lvl w:ilvl="7" w:tentative="0">
      <w:start w:val="0"/>
      <w:numFmt w:val="bullet"/>
      <w:lvlText w:val="•"/>
      <w:lvlJc w:val="left"/>
      <w:pPr>
        <w:ind w:left="5059" w:hanging="529"/>
      </w:pPr>
      <w:rPr>
        <w:rFonts w:hint="default"/>
        <w:lang w:val="en-US" w:eastAsia="zh-CN" w:bidi="ar-SA"/>
      </w:rPr>
    </w:lvl>
    <w:lvl w:ilvl="8" w:tentative="0">
      <w:start w:val="0"/>
      <w:numFmt w:val="bullet"/>
      <w:lvlText w:val="•"/>
      <w:lvlJc w:val="left"/>
      <w:pPr>
        <w:ind w:left="5690" w:hanging="529"/>
      </w:pPr>
      <w:rPr>
        <w:rFonts w:hint="default"/>
        <w:lang w:val="en-US" w:eastAsia="zh-CN" w:bidi="ar-SA"/>
      </w:rPr>
    </w:lvl>
  </w:abstractNum>
  <w:abstractNum w:abstractNumId="12">
    <w:nsid w:val="B5E306ED"/>
    <w:multiLevelType w:val="multilevel"/>
    <w:tmpl w:val="B5E306ED"/>
    <w:lvl w:ilvl="0" w:tentative="0">
      <w:start w:val="1"/>
      <w:numFmt w:val="decimal"/>
      <w:lvlText w:val="(%1)"/>
      <w:lvlJc w:val="left"/>
      <w:pPr>
        <w:ind w:left="3359" w:hanging="375"/>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4058" w:hanging="375"/>
      </w:pPr>
      <w:rPr>
        <w:rFonts w:hint="default"/>
        <w:lang w:val="en-US" w:eastAsia="zh-CN" w:bidi="ar-SA"/>
      </w:rPr>
    </w:lvl>
    <w:lvl w:ilvl="2" w:tentative="0">
      <w:start w:val="0"/>
      <w:numFmt w:val="bullet"/>
      <w:lvlText w:val="•"/>
      <w:lvlJc w:val="left"/>
      <w:pPr>
        <w:ind w:left="4756" w:hanging="375"/>
      </w:pPr>
      <w:rPr>
        <w:rFonts w:hint="default"/>
        <w:lang w:val="en-US" w:eastAsia="zh-CN" w:bidi="ar-SA"/>
      </w:rPr>
    </w:lvl>
    <w:lvl w:ilvl="3" w:tentative="0">
      <w:start w:val="0"/>
      <w:numFmt w:val="bullet"/>
      <w:lvlText w:val="•"/>
      <w:lvlJc w:val="left"/>
      <w:pPr>
        <w:ind w:left="5455" w:hanging="375"/>
      </w:pPr>
      <w:rPr>
        <w:rFonts w:hint="default"/>
        <w:lang w:val="en-US" w:eastAsia="zh-CN" w:bidi="ar-SA"/>
      </w:rPr>
    </w:lvl>
    <w:lvl w:ilvl="4" w:tentative="0">
      <w:start w:val="0"/>
      <w:numFmt w:val="bullet"/>
      <w:lvlText w:val="•"/>
      <w:lvlJc w:val="left"/>
      <w:pPr>
        <w:ind w:left="6153" w:hanging="375"/>
      </w:pPr>
      <w:rPr>
        <w:rFonts w:hint="default"/>
        <w:lang w:val="en-US" w:eastAsia="zh-CN" w:bidi="ar-SA"/>
      </w:rPr>
    </w:lvl>
    <w:lvl w:ilvl="5" w:tentative="0">
      <w:start w:val="0"/>
      <w:numFmt w:val="bullet"/>
      <w:lvlText w:val="•"/>
      <w:lvlJc w:val="left"/>
      <w:pPr>
        <w:ind w:left="6852" w:hanging="375"/>
      </w:pPr>
      <w:rPr>
        <w:rFonts w:hint="default"/>
        <w:lang w:val="en-US" w:eastAsia="zh-CN" w:bidi="ar-SA"/>
      </w:rPr>
    </w:lvl>
    <w:lvl w:ilvl="6" w:tentative="0">
      <w:start w:val="0"/>
      <w:numFmt w:val="bullet"/>
      <w:lvlText w:val="•"/>
      <w:lvlJc w:val="left"/>
      <w:pPr>
        <w:ind w:left="7550" w:hanging="375"/>
      </w:pPr>
      <w:rPr>
        <w:rFonts w:hint="default"/>
        <w:lang w:val="en-US" w:eastAsia="zh-CN" w:bidi="ar-SA"/>
      </w:rPr>
    </w:lvl>
    <w:lvl w:ilvl="7" w:tentative="0">
      <w:start w:val="0"/>
      <w:numFmt w:val="bullet"/>
      <w:lvlText w:val="•"/>
      <w:lvlJc w:val="left"/>
      <w:pPr>
        <w:ind w:left="8248" w:hanging="375"/>
      </w:pPr>
      <w:rPr>
        <w:rFonts w:hint="default"/>
        <w:lang w:val="en-US" w:eastAsia="zh-CN" w:bidi="ar-SA"/>
      </w:rPr>
    </w:lvl>
    <w:lvl w:ilvl="8" w:tentative="0">
      <w:start w:val="0"/>
      <w:numFmt w:val="bullet"/>
      <w:lvlText w:val="•"/>
      <w:lvlJc w:val="left"/>
      <w:pPr>
        <w:ind w:left="8947" w:hanging="375"/>
      </w:pPr>
      <w:rPr>
        <w:rFonts w:hint="default"/>
        <w:lang w:val="en-US" w:eastAsia="zh-CN" w:bidi="ar-SA"/>
      </w:rPr>
    </w:lvl>
  </w:abstractNum>
  <w:abstractNum w:abstractNumId="13">
    <w:nsid w:val="B8CEF35B"/>
    <w:multiLevelType w:val="multilevel"/>
    <w:tmpl w:val="B8CEF35B"/>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14">
    <w:nsid w:val="BB64CFA9"/>
    <w:multiLevelType w:val="multilevel"/>
    <w:tmpl w:val="BB64CFA9"/>
    <w:lvl w:ilvl="0" w:tentative="0">
      <w:start w:val="1"/>
      <w:numFmt w:val="decimal"/>
      <w:lvlText w:val="（%1）"/>
      <w:lvlJc w:val="left"/>
      <w:pPr>
        <w:ind w:left="18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915" w:hanging="529"/>
      </w:pPr>
      <w:rPr>
        <w:rFonts w:hint="default"/>
        <w:lang w:val="en-US" w:eastAsia="zh-CN" w:bidi="ar-SA"/>
      </w:rPr>
    </w:lvl>
    <w:lvl w:ilvl="2" w:tentative="0">
      <w:start w:val="0"/>
      <w:numFmt w:val="bullet"/>
      <w:lvlText w:val="•"/>
      <w:lvlJc w:val="left"/>
      <w:pPr>
        <w:ind w:left="1651" w:hanging="529"/>
      </w:pPr>
      <w:rPr>
        <w:rFonts w:hint="default"/>
        <w:lang w:val="en-US" w:eastAsia="zh-CN" w:bidi="ar-SA"/>
      </w:rPr>
    </w:lvl>
    <w:lvl w:ilvl="3" w:tentative="0">
      <w:start w:val="0"/>
      <w:numFmt w:val="bullet"/>
      <w:lvlText w:val="•"/>
      <w:lvlJc w:val="left"/>
      <w:pPr>
        <w:ind w:left="2387" w:hanging="529"/>
      </w:pPr>
      <w:rPr>
        <w:rFonts w:hint="default"/>
        <w:lang w:val="en-US" w:eastAsia="zh-CN" w:bidi="ar-SA"/>
      </w:rPr>
    </w:lvl>
    <w:lvl w:ilvl="4" w:tentative="0">
      <w:start w:val="0"/>
      <w:numFmt w:val="bullet"/>
      <w:lvlText w:val="•"/>
      <w:lvlJc w:val="left"/>
      <w:pPr>
        <w:ind w:left="3123" w:hanging="529"/>
      </w:pPr>
      <w:rPr>
        <w:rFonts w:hint="default"/>
        <w:lang w:val="en-US" w:eastAsia="zh-CN" w:bidi="ar-SA"/>
      </w:rPr>
    </w:lvl>
    <w:lvl w:ilvl="5" w:tentative="0">
      <w:start w:val="0"/>
      <w:numFmt w:val="bullet"/>
      <w:lvlText w:val="•"/>
      <w:lvlJc w:val="left"/>
      <w:pPr>
        <w:ind w:left="3859" w:hanging="529"/>
      </w:pPr>
      <w:rPr>
        <w:rFonts w:hint="default"/>
        <w:lang w:val="en-US" w:eastAsia="zh-CN" w:bidi="ar-SA"/>
      </w:rPr>
    </w:lvl>
    <w:lvl w:ilvl="6" w:tentative="0">
      <w:start w:val="0"/>
      <w:numFmt w:val="bullet"/>
      <w:lvlText w:val="•"/>
      <w:lvlJc w:val="left"/>
      <w:pPr>
        <w:ind w:left="4595" w:hanging="529"/>
      </w:pPr>
      <w:rPr>
        <w:rFonts w:hint="default"/>
        <w:lang w:val="en-US" w:eastAsia="zh-CN" w:bidi="ar-SA"/>
      </w:rPr>
    </w:lvl>
    <w:lvl w:ilvl="7" w:tentative="0">
      <w:start w:val="0"/>
      <w:numFmt w:val="bullet"/>
      <w:lvlText w:val="•"/>
      <w:lvlJc w:val="left"/>
      <w:pPr>
        <w:ind w:left="5331" w:hanging="529"/>
      </w:pPr>
      <w:rPr>
        <w:rFonts w:hint="default"/>
        <w:lang w:val="en-US" w:eastAsia="zh-CN" w:bidi="ar-SA"/>
      </w:rPr>
    </w:lvl>
    <w:lvl w:ilvl="8" w:tentative="0">
      <w:start w:val="0"/>
      <w:numFmt w:val="bullet"/>
      <w:lvlText w:val="•"/>
      <w:lvlJc w:val="left"/>
      <w:pPr>
        <w:ind w:left="6067" w:hanging="529"/>
      </w:pPr>
      <w:rPr>
        <w:rFonts w:hint="default"/>
        <w:lang w:val="en-US" w:eastAsia="zh-CN" w:bidi="ar-SA"/>
      </w:rPr>
    </w:lvl>
  </w:abstractNum>
  <w:abstractNum w:abstractNumId="15">
    <w:nsid w:val="BE923771"/>
    <w:multiLevelType w:val="multilevel"/>
    <w:tmpl w:val="BE923771"/>
    <w:lvl w:ilvl="0" w:tentative="0">
      <w:start w:val="1"/>
      <w:numFmt w:val="decimal"/>
      <w:lvlText w:val="（%1）"/>
      <w:lvlJc w:val="left"/>
      <w:pPr>
        <w:ind w:left="181" w:hanging="529"/>
        <w:jc w:val="left"/>
      </w:pPr>
      <w:rPr>
        <w:rFonts w:hint="default" w:ascii="宋体" w:hAnsi="宋体" w:eastAsia="宋体" w:cs="宋体"/>
        <w:b w:val="0"/>
        <w:bCs w:val="0"/>
        <w:i w:val="0"/>
        <w:iCs w:val="0"/>
        <w:spacing w:val="-48"/>
        <w:w w:val="100"/>
        <w:sz w:val="19"/>
        <w:szCs w:val="19"/>
        <w:lang w:val="en-US" w:eastAsia="zh-CN" w:bidi="ar-SA"/>
      </w:rPr>
    </w:lvl>
    <w:lvl w:ilvl="1" w:tentative="0">
      <w:start w:val="0"/>
      <w:numFmt w:val="bullet"/>
      <w:lvlText w:val="•"/>
      <w:lvlJc w:val="left"/>
      <w:pPr>
        <w:ind w:left="915" w:hanging="529"/>
      </w:pPr>
      <w:rPr>
        <w:rFonts w:hint="default"/>
        <w:lang w:val="en-US" w:eastAsia="zh-CN" w:bidi="ar-SA"/>
      </w:rPr>
    </w:lvl>
    <w:lvl w:ilvl="2" w:tentative="0">
      <w:start w:val="0"/>
      <w:numFmt w:val="bullet"/>
      <w:lvlText w:val="•"/>
      <w:lvlJc w:val="left"/>
      <w:pPr>
        <w:ind w:left="1651" w:hanging="529"/>
      </w:pPr>
      <w:rPr>
        <w:rFonts w:hint="default"/>
        <w:lang w:val="en-US" w:eastAsia="zh-CN" w:bidi="ar-SA"/>
      </w:rPr>
    </w:lvl>
    <w:lvl w:ilvl="3" w:tentative="0">
      <w:start w:val="0"/>
      <w:numFmt w:val="bullet"/>
      <w:lvlText w:val="•"/>
      <w:lvlJc w:val="left"/>
      <w:pPr>
        <w:ind w:left="2387" w:hanging="529"/>
      </w:pPr>
      <w:rPr>
        <w:rFonts w:hint="default"/>
        <w:lang w:val="en-US" w:eastAsia="zh-CN" w:bidi="ar-SA"/>
      </w:rPr>
    </w:lvl>
    <w:lvl w:ilvl="4" w:tentative="0">
      <w:start w:val="0"/>
      <w:numFmt w:val="bullet"/>
      <w:lvlText w:val="•"/>
      <w:lvlJc w:val="left"/>
      <w:pPr>
        <w:ind w:left="3123" w:hanging="529"/>
      </w:pPr>
      <w:rPr>
        <w:rFonts w:hint="default"/>
        <w:lang w:val="en-US" w:eastAsia="zh-CN" w:bidi="ar-SA"/>
      </w:rPr>
    </w:lvl>
    <w:lvl w:ilvl="5" w:tentative="0">
      <w:start w:val="0"/>
      <w:numFmt w:val="bullet"/>
      <w:lvlText w:val="•"/>
      <w:lvlJc w:val="left"/>
      <w:pPr>
        <w:ind w:left="3859" w:hanging="529"/>
      </w:pPr>
      <w:rPr>
        <w:rFonts w:hint="default"/>
        <w:lang w:val="en-US" w:eastAsia="zh-CN" w:bidi="ar-SA"/>
      </w:rPr>
    </w:lvl>
    <w:lvl w:ilvl="6" w:tentative="0">
      <w:start w:val="0"/>
      <w:numFmt w:val="bullet"/>
      <w:lvlText w:val="•"/>
      <w:lvlJc w:val="left"/>
      <w:pPr>
        <w:ind w:left="4595" w:hanging="529"/>
      </w:pPr>
      <w:rPr>
        <w:rFonts w:hint="default"/>
        <w:lang w:val="en-US" w:eastAsia="zh-CN" w:bidi="ar-SA"/>
      </w:rPr>
    </w:lvl>
    <w:lvl w:ilvl="7" w:tentative="0">
      <w:start w:val="0"/>
      <w:numFmt w:val="bullet"/>
      <w:lvlText w:val="•"/>
      <w:lvlJc w:val="left"/>
      <w:pPr>
        <w:ind w:left="5331" w:hanging="529"/>
      </w:pPr>
      <w:rPr>
        <w:rFonts w:hint="default"/>
        <w:lang w:val="en-US" w:eastAsia="zh-CN" w:bidi="ar-SA"/>
      </w:rPr>
    </w:lvl>
    <w:lvl w:ilvl="8" w:tentative="0">
      <w:start w:val="0"/>
      <w:numFmt w:val="bullet"/>
      <w:lvlText w:val="•"/>
      <w:lvlJc w:val="left"/>
      <w:pPr>
        <w:ind w:left="6067" w:hanging="529"/>
      </w:pPr>
      <w:rPr>
        <w:rFonts w:hint="default"/>
        <w:lang w:val="en-US" w:eastAsia="zh-CN" w:bidi="ar-SA"/>
      </w:rPr>
    </w:lvl>
  </w:abstractNum>
  <w:abstractNum w:abstractNumId="16">
    <w:nsid w:val="BF205925"/>
    <w:multiLevelType w:val="multilevel"/>
    <w:tmpl w:val="BF205925"/>
    <w:lvl w:ilvl="0" w:tentative="0">
      <w:start w:val="1"/>
      <w:numFmt w:val="decimal"/>
      <w:lvlText w:val="（%1）"/>
      <w:lvlJc w:val="left"/>
      <w:pPr>
        <w:ind w:left="815" w:hanging="529"/>
        <w:jc w:val="righ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502" w:hanging="529"/>
      </w:pPr>
      <w:rPr>
        <w:rFonts w:hint="default"/>
        <w:lang w:val="en-US" w:eastAsia="zh-CN" w:bidi="ar-SA"/>
      </w:rPr>
    </w:lvl>
    <w:lvl w:ilvl="2" w:tentative="0">
      <w:start w:val="0"/>
      <w:numFmt w:val="bullet"/>
      <w:lvlText w:val="•"/>
      <w:lvlJc w:val="left"/>
      <w:pPr>
        <w:ind w:left="2185" w:hanging="529"/>
      </w:pPr>
      <w:rPr>
        <w:rFonts w:hint="default"/>
        <w:lang w:val="en-US" w:eastAsia="zh-CN" w:bidi="ar-SA"/>
      </w:rPr>
    </w:lvl>
    <w:lvl w:ilvl="3" w:tentative="0">
      <w:start w:val="0"/>
      <w:numFmt w:val="bullet"/>
      <w:lvlText w:val="•"/>
      <w:lvlJc w:val="left"/>
      <w:pPr>
        <w:ind w:left="2867" w:hanging="529"/>
      </w:pPr>
      <w:rPr>
        <w:rFonts w:hint="default"/>
        <w:lang w:val="en-US" w:eastAsia="zh-CN" w:bidi="ar-SA"/>
      </w:rPr>
    </w:lvl>
    <w:lvl w:ilvl="4" w:tentative="0">
      <w:start w:val="0"/>
      <w:numFmt w:val="bullet"/>
      <w:lvlText w:val="•"/>
      <w:lvlJc w:val="left"/>
      <w:pPr>
        <w:ind w:left="3550" w:hanging="529"/>
      </w:pPr>
      <w:rPr>
        <w:rFonts w:hint="default"/>
        <w:lang w:val="en-US" w:eastAsia="zh-CN" w:bidi="ar-SA"/>
      </w:rPr>
    </w:lvl>
    <w:lvl w:ilvl="5" w:tentative="0">
      <w:start w:val="0"/>
      <w:numFmt w:val="bullet"/>
      <w:lvlText w:val="•"/>
      <w:lvlJc w:val="left"/>
      <w:pPr>
        <w:ind w:left="4232" w:hanging="529"/>
      </w:pPr>
      <w:rPr>
        <w:rFonts w:hint="default"/>
        <w:lang w:val="en-US" w:eastAsia="zh-CN" w:bidi="ar-SA"/>
      </w:rPr>
    </w:lvl>
    <w:lvl w:ilvl="6" w:tentative="0">
      <w:start w:val="0"/>
      <w:numFmt w:val="bullet"/>
      <w:lvlText w:val="•"/>
      <w:lvlJc w:val="left"/>
      <w:pPr>
        <w:ind w:left="4915" w:hanging="529"/>
      </w:pPr>
      <w:rPr>
        <w:rFonts w:hint="default"/>
        <w:lang w:val="en-US" w:eastAsia="zh-CN" w:bidi="ar-SA"/>
      </w:rPr>
    </w:lvl>
    <w:lvl w:ilvl="7" w:tentative="0">
      <w:start w:val="0"/>
      <w:numFmt w:val="bullet"/>
      <w:lvlText w:val="•"/>
      <w:lvlJc w:val="left"/>
      <w:pPr>
        <w:ind w:left="5597" w:hanging="529"/>
      </w:pPr>
      <w:rPr>
        <w:rFonts w:hint="default"/>
        <w:lang w:val="en-US" w:eastAsia="zh-CN" w:bidi="ar-SA"/>
      </w:rPr>
    </w:lvl>
    <w:lvl w:ilvl="8" w:tentative="0">
      <w:start w:val="0"/>
      <w:numFmt w:val="bullet"/>
      <w:lvlText w:val="•"/>
      <w:lvlJc w:val="left"/>
      <w:pPr>
        <w:ind w:left="6280" w:hanging="529"/>
      </w:pPr>
      <w:rPr>
        <w:rFonts w:hint="default"/>
        <w:lang w:val="en-US" w:eastAsia="zh-CN" w:bidi="ar-SA"/>
      </w:rPr>
    </w:lvl>
  </w:abstractNum>
  <w:abstractNum w:abstractNumId="17">
    <w:nsid w:val="C0915F4F"/>
    <w:multiLevelType w:val="multilevel"/>
    <w:tmpl w:val="C0915F4F"/>
    <w:lvl w:ilvl="0" w:tentative="0">
      <w:start w:val="1"/>
      <w:numFmt w:val="decimal"/>
      <w:lvlText w:val="（%1）"/>
      <w:lvlJc w:val="left"/>
      <w:pPr>
        <w:ind w:left="815"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502" w:hanging="529"/>
      </w:pPr>
      <w:rPr>
        <w:rFonts w:hint="default"/>
        <w:lang w:val="en-US" w:eastAsia="zh-CN" w:bidi="ar-SA"/>
      </w:rPr>
    </w:lvl>
    <w:lvl w:ilvl="2" w:tentative="0">
      <w:start w:val="0"/>
      <w:numFmt w:val="bullet"/>
      <w:lvlText w:val="•"/>
      <w:lvlJc w:val="left"/>
      <w:pPr>
        <w:ind w:left="2185" w:hanging="529"/>
      </w:pPr>
      <w:rPr>
        <w:rFonts w:hint="default"/>
        <w:lang w:val="en-US" w:eastAsia="zh-CN" w:bidi="ar-SA"/>
      </w:rPr>
    </w:lvl>
    <w:lvl w:ilvl="3" w:tentative="0">
      <w:start w:val="0"/>
      <w:numFmt w:val="bullet"/>
      <w:lvlText w:val="•"/>
      <w:lvlJc w:val="left"/>
      <w:pPr>
        <w:ind w:left="2867" w:hanging="529"/>
      </w:pPr>
      <w:rPr>
        <w:rFonts w:hint="default"/>
        <w:lang w:val="en-US" w:eastAsia="zh-CN" w:bidi="ar-SA"/>
      </w:rPr>
    </w:lvl>
    <w:lvl w:ilvl="4" w:tentative="0">
      <w:start w:val="0"/>
      <w:numFmt w:val="bullet"/>
      <w:lvlText w:val="•"/>
      <w:lvlJc w:val="left"/>
      <w:pPr>
        <w:ind w:left="3550" w:hanging="529"/>
      </w:pPr>
      <w:rPr>
        <w:rFonts w:hint="default"/>
        <w:lang w:val="en-US" w:eastAsia="zh-CN" w:bidi="ar-SA"/>
      </w:rPr>
    </w:lvl>
    <w:lvl w:ilvl="5" w:tentative="0">
      <w:start w:val="0"/>
      <w:numFmt w:val="bullet"/>
      <w:lvlText w:val="•"/>
      <w:lvlJc w:val="left"/>
      <w:pPr>
        <w:ind w:left="4232" w:hanging="529"/>
      </w:pPr>
      <w:rPr>
        <w:rFonts w:hint="default"/>
        <w:lang w:val="en-US" w:eastAsia="zh-CN" w:bidi="ar-SA"/>
      </w:rPr>
    </w:lvl>
    <w:lvl w:ilvl="6" w:tentative="0">
      <w:start w:val="0"/>
      <w:numFmt w:val="bullet"/>
      <w:lvlText w:val="•"/>
      <w:lvlJc w:val="left"/>
      <w:pPr>
        <w:ind w:left="4915" w:hanging="529"/>
      </w:pPr>
      <w:rPr>
        <w:rFonts w:hint="default"/>
        <w:lang w:val="en-US" w:eastAsia="zh-CN" w:bidi="ar-SA"/>
      </w:rPr>
    </w:lvl>
    <w:lvl w:ilvl="7" w:tentative="0">
      <w:start w:val="0"/>
      <w:numFmt w:val="bullet"/>
      <w:lvlText w:val="•"/>
      <w:lvlJc w:val="left"/>
      <w:pPr>
        <w:ind w:left="5597" w:hanging="529"/>
      </w:pPr>
      <w:rPr>
        <w:rFonts w:hint="default"/>
        <w:lang w:val="en-US" w:eastAsia="zh-CN" w:bidi="ar-SA"/>
      </w:rPr>
    </w:lvl>
    <w:lvl w:ilvl="8" w:tentative="0">
      <w:start w:val="0"/>
      <w:numFmt w:val="bullet"/>
      <w:lvlText w:val="•"/>
      <w:lvlJc w:val="left"/>
      <w:pPr>
        <w:ind w:left="6280" w:hanging="529"/>
      </w:pPr>
      <w:rPr>
        <w:rFonts w:hint="default"/>
        <w:lang w:val="en-US" w:eastAsia="zh-CN" w:bidi="ar-SA"/>
      </w:rPr>
    </w:lvl>
  </w:abstractNum>
  <w:abstractNum w:abstractNumId="18">
    <w:nsid w:val="C8879AEF"/>
    <w:multiLevelType w:val="multilevel"/>
    <w:tmpl w:val="C8879AEF"/>
    <w:lvl w:ilvl="0" w:tentative="0">
      <w:start w:val="1"/>
      <w:numFmt w:val="decimal"/>
      <w:lvlText w:val="（%1）"/>
      <w:lvlJc w:val="left"/>
      <w:pPr>
        <w:ind w:left="180" w:hanging="529"/>
        <w:jc w:val="right"/>
      </w:pPr>
      <w:rPr>
        <w:rFonts w:hint="default" w:ascii="宋体" w:hAnsi="宋体" w:eastAsia="宋体" w:cs="宋体"/>
        <w:b w:val="0"/>
        <w:bCs w:val="0"/>
        <w:i w:val="0"/>
        <w:iCs w:val="0"/>
        <w:spacing w:val="-24"/>
        <w:w w:val="100"/>
        <w:sz w:val="19"/>
        <w:szCs w:val="19"/>
        <w:lang w:val="en-US" w:eastAsia="zh-CN" w:bidi="ar-SA"/>
      </w:rPr>
    </w:lvl>
    <w:lvl w:ilvl="1" w:tentative="0">
      <w:start w:val="0"/>
      <w:numFmt w:val="bullet"/>
      <w:lvlText w:val="•"/>
      <w:lvlJc w:val="left"/>
      <w:pPr>
        <w:ind w:left="915" w:hanging="529"/>
      </w:pPr>
      <w:rPr>
        <w:rFonts w:hint="default"/>
        <w:lang w:val="en-US" w:eastAsia="zh-CN" w:bidi="ar-SA"/>
      </w:rPr>
    </w:lvl>
    <w:lvl w:ilvl="2" w:tentative="0">
      <w:start w:val="0"/>
      <w:numFmt w:val="bullet"/>
      <w:lvlText w:val="•"/>
      <w:lvlJc w:val="left"/>
      <w:pPr>
        <w:ind w:left="1651" w:hanging="529"/>
      </w:pPr>
      <w:rPr>
        <w:rFonts w:hint="default"/>
        <w:lang w:val="en-US" w:eastAsia="zh-CN" w:bidi="ar-SA"/>
      </w:rPr>
    </w:lvl>
    <w:lvl w:ilvl="3" w:tentative="0">
      <w:start w:val="0"/>
      <w:numFmt w:val="bullet"/>
      <w:lvlText w:val="•"/>
      <w:lvlJc w:val="left"/>
      <w:pPr>
        <w:ind w:left="2387" w:hanging="529"/>
      </w:pPr>
      <w:rPr>
        <w:rFonts w:hint="default"/>
        <w:lang w:val="en-US" w:eastAsia="zh-CN" w:bidi="ar-SA"/>
      </w:rPr>
    </w:lvl>
    <w:lvl w:ilvl="4" w:tentative="0">
      <w:start w:val="0"/>
      <w:numFmt w:val="bullet"/>
      <w:lvlText w:val="•"/>
      <w:lvlJc w:val="left"/>
      <w:pPr>
        <w:ind w:left="3123" w:hanging="529"/>
      </w:pPr>
      <w:rPr>
        <w:rFonts w:hint="default"/>
        <w:lang w:val="en-US" w:eastAsia="zh-CN" w:bidi="ar-SA"/>
      </w:rPr>
    </w:lvl>
    <w:lvl w:ilvl="5" w:tentative="0">
      <w:start w:val="0"/>
      <w:numFmt w:val="bullet"/>
      <w:lvlText w:val="•"/>
      <w:lvlJc w:val="left"/>
      <w:pPr>
        <w:ind w:left="3859" w:hanging="529"/>
      </w:pPr>
      <w:rPr>
        <w:rFonts w:hint="default"/>
        <w:lang w:val="en-US" w:eastAsia="zh-CN" w:bidi="ar-SA"/>
      </w:rPr>
    </w:lvl>
    <w:lvl w:ilvl="6" w:tentative="0">
      <w:start w:val="0"/>
      <w:numFmt w:val="bullet"/>
      <w:lvlText w:val="•"/>
      <w:lvlJc w:val="left"/>
      <w:pPr>
        <w:ind w:left="4595" w:hanging="529"/>
      </w:pPr>
      <w:rPr>
        <w:rFonts w:hint="default"/>
        <w:lang w:val="en-US" w:eastAsia="zh-CN" w:bidi="ar-SA"/>
      </w:rPr>
    </w:lvl>
    <w:lvl w:ilvl="7" w:tentative="0">
      <w:start w:val="0"/>
      <w:numFmt w:val="bullet"/>
      <w:lvlText w:val="•"/>
      <w:lvlJc w:val="left"/>
      <w:pPr>
        <w:ind w:left="5331" w:hanging="529"/>
      </w:pPr>
      <w:rPr>
        <w:rFonts w:hint="default"/>
        <w:lang w:val="en-US" w:eastAsia="zh-CN" w:bidi="ar-SA"/>
      </w:rPr>
    </w:lvl>
    <w:lvl w:ilvl="8" w:tentative="0">
      <w:start w:val="0"/>
      <w:numFmt w:val="bullet"/>
      <w:lvlText w:val="•"/>
      <w:lvlJc w:val="left"/>
      <w:pPr>
        <w:ind w:left="6067" w:hanging="529"/>
      </w:pPr>
      <w:rPr>
        <w:rFonts w:hint="default"/>
        <w:lang w:val="en-US" w:eastAsia="zh-CN" w:bidi="ar-SA"/>
      </w:rPr>
    </w:lvl>
  </w:abstractNum>
  <w:abstractNum w:abstractNumId="19">
    <w:nsid w:val="CF092B84"/>
    <w:multiLevelType w:val="multilevel"/>
    <w:tmpl w:val="CF092B84"/>
    <w:lvl w:ilvl="0" w:tentative="0">
      <w:start w:val="1"/>
      <w:numFmt w:val="decimal"/>
      <w:lvlText w:val="%1."/>
      <w:lvlJc w:val="left"/>
      <w:pPr>
        <w:ind w:left="1391" w:hanging="961"/>
        <w:jc w:val="left"/>
      </w:pPr>
      <w:rPr>
        <w:rFonts w:hint="default" w:ascii="Microsoft JhengHei" w:hAnsi="Microsoft JhengHei" w:eastAsia="Microsoft JhengHei" w:cs="Microsoft JhengHei"/>
        <w:b/>
        <w:bCs/>
        <w:i w:val="0"/>
        <w:iCs w:val="0"/>
        <w:w w:val="117"/>
        <w:sz w:val="24"/>
        <w:szCs w:val="24"/>
        <w:lang w:val="en-US" w:eastAsia="zh-CN" w:bidi="ar-SA"/>
      </w:rPr>
    </w:lvl>
    <w:lvl w:ilvl="1" w:tentative="0">
      <w:start w:val="1"/>
      <w:numFmt w:val="decimal"/>
      <w:lvlText w:val="%1.%2"/>
      <w:lvlJc w:val="left"/>
      <w:pPr>
        <w:ind w:left="2985" w:hanging="961"/>
        <w:jc w:val="left"/>
      </w:pPr>
      <w:rPr>
        <w:rFonts w:hint="default" w:ascii="Microsoft JhengHei" w:hAnsi="Microsoft JhengHei" w:eastAsia="Microsoft JhengHei" w:cs="Microsoft JhengHei"/>
        <w:b/>
        <w:bCs/>
        <w:i w:val="0"/>
        <w:iCs w:val="0"/>
        <w:w w:val="104"/>
        <w:sz w:val="21"/>
        <w:szCs w:val="21"/>
        <w:lang w:val="en-US" w:eastAsia="zh-CN" w:bidi="ar-SA"/>
      </w:rPr>
    </w:lvl>
    <w:lvl w:ilvl="2" w:tentative="0">
      <w:start w:val="1"/>
      <w:numFmt w:val="decimal"/>
      <w:lvlText w:val="%3."/>
      <w:lvlJc w:val="left"/>
      <w:pPr>
        <w:ind w:left="1391" w:hanging="428"/>
        <w:jc w:val="left"/>
      </w:pPr>
      <w:rPr>
        <w:rFonts w:hint="default" w:ascii="Microsoft JhengHei" w:hAnsi="Microsoft JhengHei" w:eastAsia="Microsoft JhengHei" w:cs="Microsoft JhengHei"/>
        <w:b/>
        <w:bCs/>
        <w:i w:val="0"/>
        <w:iCs w:val="0"/>
        <w:w w:val="118"/>
        <w:sz w:val="21"/>
        <w:szCs w:val="21"/>
        <w:lang w:val="en-US" w:eastAsia="zh-CN" w:bidi="ar-SA"/>
      </w:rPr>
    </w:lvl>
    <w:lvl w:ilvl="3" w:tentative="0">
      <w:start w:val="1"/>
      <w:numFmt w:val="decimal"/>
      <w:lvlText w:val="（%4）"/>
      <w:lvlJc w:val="left"/>
      <w:pPr>
        <w:ind w:left="3514" w:hanging="529"/>
        <w:jc w:val="left"/>
      </w:pPr>
      <w:rPr>
        <w:rFonts w:hint="default" w:ascii="宋体" w:hAnsi="宋体" w:eastAsia="宋体" w:cs="宋体"/>
        <w:b w:val="0"/>
        <w:bCs w:val="0"/>
        <w:i w:val="0"/>
        <w:iCs w:val="0"/>
        <w:w w:val="100"/>
        <w:sz w:val="19"/>
        <w:szCs w:val="19"/>
        <w:lang w:val="en-US" w:eastAsia="zh-CN" w:bidi="ar-SA"/>
      </w:rPr>
    </w:lvl>
    <w:lvl w:ilvl="4" w:tentative="0">
      <w:start w:val="0"/>
      <w:numFmt w:val="bullet"/>
      <w:lvlText w:val="•"/>
      <w:lvlJc w:val="left"/>
      <w:pPr>
        <w:ind w:left="5226" w:hanging="529"/>
      </w:pPr>
      <w:rPr>
        <w:rFonts w:hint="default"/>
        <w:lang w:val="en-US" w:eastAsia="zh-CN" w:bidi="ar-SA"/>
      </w:rPr>
    </w:lvl>
    <w:lvl w:ilvl="5" w:tentative="0">
      <w:start w:val="0"/>
      <w:numFmt w:val="bullet"/>
      <w:lvlText w:val="•"/>
      <w:lvlJc w:val="left"/>
      <w:pPr>
        <w:ind w:left="6079" w:hanging="529"/>
      </w:pPr>
      <w:rPr>
        <w:rFonts w:hint="default"/>
        <w:lang w:val="en-US" w:eastAsia="zh-CN" w:bidi="ar-SA"/>
      </w:rPr>
    </w:lvl>
    <w:lvl w:ilvl="6" w:tentative="0">
      <w:start w:val="0"/>
      <w:numFmt w:val="bullet"/>
      <w:lvlText w:val="•"/>
      <w:lvlJc w:val="left"/>
      <w:pPr>
        <w:ind w:left="6932" w:hanging="529"/>
      </w:pPr>
      <w:rPr>
        <w:rFonts w:hint="default"/>
        <w:lang w:val="en-US" w:eastAsia="zh-CN" w:bidi="ar-SA"/>
      </w:rPr>
    </w:lvl>
    <w:lvl w:ilvl="7" w:tentative="0">
      <w:start w:val="0"/>
      <w:numFmt w:val="bullet"/>
      <w:lvlText w:val="•"/>
      <w:lvlJc w:val="left"/>
      <w:pPr>
        <w:ind w:left="7785" w:hanging="529"/>
      </w:pPr>
      <w:rPr>
        <w:rFonts w:hint="default"/>
        <w:lang w:val="en-US" w:eastAsia="zh-CN" w:bidi="ar-SA"/>
      </w:rPr>
    </w:lvl>
    <w:lvl w:ilvl="8" w:tentative="0">
      <w:start w:val="0"/>
      <w:numFmt w:val="bullet"/>
      <w:lvlText w:val="•"/>
      <w:lvlJc w:val="left"/>
      <w:pPr>
        <w:ind w:left="8638" w:hanging="529"/>
      </w:pPr>
      <w:rPr>
        <w:rFonts w:hint="default"/>
        <w:lang w:val="en-US" w:eastAsia="zh-CN" w:bidi="ar-SA"/>
      </w:rPr>
    </w:lvl>
  </w:abstractNum>
  <w:abstractNum w:abstractNumId="20">
    <w:nsid w:val="D7D140E4"/>
    <w:multiLevelType w:val="multilevel"/>
    <w:tmpl w:val="D7D140E4"/>
    <w:lvl w:ilvl="0" w:tentative="0">
      <w:start w:val="1"/>
      <w:numFmt w:val="decimal"/>
      <w:lvlText w:val="（%1）"/>
      <w:lvlJc w:val="left"/>
      <w:pPr>
        <w:ind w:left="815" w:hanging="529"/>
        <w:jc w:val="left"/>
      </w:pPr>
      <w:rPr>
        <w:rFonts w:hint="default" w:ascii="宋体" w:hAnsi="宋体" w:eastAsia="宋体" w:cs="宋体"/>
        <w:b w:val="0"/>
        <w:bCs w:val="0"/>
        <w:i w:val="0"/>
        <w:iCs w:val="0"/>
        <w:w w:val="100"/>
        <w:sz w:val="19"/>
        <w:szCs w:val="19"/>
        <w:lang w:val="en-US" w:eastAsia="zh-CN" w:bidi="ar-SA"/>
      </w:rPr>
    </w:lvl>
    <w:lvl w:ilvl="1" w:tentative="0">
      <w:start w:val="2"/>
      <w:numFmt w:val="decimal"/>
      <w:lvlText w:val="（%2）"/>
      <w:lvlJc w:val="left"/>
      <w:pPr>
        <w:ind w:left="2985" w:hanging="529"/>
        <w:jc w:val="left"/>
      </w:pPr>
      <w:rPr>
        <w:rFonts w:hint="default" w:ascii="宋体" w:hAnsi="宋体" w:eastAsia="宋体" w:cs="宋体"/>
        <w:b w:val="0"/>
        <w:bCs w:val="0"/>
        <w:i w:val="0"/>
        <w:iCs w:val="0"/>
        <w:spacing w:val="-19"/>
        <w:w w:val="100"/>
        <w:sz w:val="19"/>
        <w:szCs w:val="19"/>
        <w:lang w:val="en-US" w:eastAsia="zh-CN" w:bidi="ar-SA"/>
      </w:rPr>
    </w:lvl>
    <w:lvl w:ilvl="2" w:tentative="0">
      <w:start w:val="0"/>
      <w:numFmt w:val="bullet"/>
      <w:lvlText w:val="•"/>
      <w:lvlJc w:val="left"/>
      <w:pPr>
        <w:ind w:left="3498" w:hanging="529"/>
      </w:pPr>
      <w:rPr>
        <w:rFonts w:hint="default"/>
        <w:lang w:val="en-US" w:eastAsia="zh-CN" w:bidi="ar-SA"/>
      </w:rPr>
    </w:lvl>
    <w:lvl w:ilvl="3" w:tentative="0">
      <w:start w:val="0"/>
      <w:numFmt w:val="bullet"/>
      <w:lvlText w:val="•"/>
      <w:lvlJc w:val="left"/>
      <w:pPr>
        <w:ind w:left="4016" w:hanging="529"/>
      </w:pPr>
      <w:rPr>
        <w:rFonts w:hint="default"/>
        <w:lang w:val="en-US" w:eastAsia="zh-CN" w:bidi="ar-SA"/>
      </w:rPr>
    </w:lvl>
    <w:lvl w:ilvl="4" w:tentative="0">
      <w:start w:val="0"/>
      <w:numFmt w:val="bullet"/>
      <w:lvlText w:val="•"/>
      <w:lvlJc w:val="left"/>
      <w:pPr>
        <w:ind w:left="4535" w:hanging="529"/>
      </w:pPr>
      <w:rPr>
        <w:rFonts w:hint="default"/>
        <w:lang w:val="en-US" w:eastAsia="zh-CN" w:bidi="ar-SA"/>
      </w:rPr>
    </w:lvl>
    <w:lvl w:ilvl="5" w:tentative="0">
      <w:start w:val="0"/>
      <w:numFmt w:val="bullet"/>
      <w:lvlText w:val="•"/>
      <w:lvlJc w:val="left"/>
      <w:pPr>
        <w:ind w:left="5053" w:hanging="529"/>
      </w:pPr>
      <w:rPr>
        <w:rFonts w:hint="default"/>
        <w:lang w:val="en-US" w:eastAsia="zh-CN" w:bidi="ar-SA"/>
      </w:rPr>
    </w:lvl>
    <w:lvl w:ilvl="6" w:tentative="0">
      <w:start w:val="0"/>
      <w:numFmt w:val="bullet"/>
      <w:lvlText w:val="•"/>
      <w:lvlJc w:val="left"/>
      <w:pPr>
        <w:ind w:left="5571" w:hanging="529"/>
      </w:pPr>
      <w:rPr>
        <w:rFonts w:hint="default"/>
        <w:lang w:val="en-US" w:eastAsia="zh-CN" w:bidi="ar-SA"/>
      </w:rPr>
    </w:lvl>
    <w:lvl w:ilvl="7" w:tentative="0">
      <w:start w:val="0"/>
      <w:numFmt w:val="bullet"/>
      <w:lvlText w:val="•"/>
      <w:lvlJc w:val="left"/>
      <w:pPr>
        <w:ind w:left="6090" w:hanging="529"/>
      </w:pPr>
      <w:rPr>
        <w:rFonts w:hint="default"/>
        <w:lang w:val="en-US" w:eastAsia="zh-CN" w:bidi="ar-SA"/>
      </w:rPr>
    </w:lvl>
    <w:lvl w:ilvl="8" w:tentative="0">
      <w:start w:val="0"/>
      <w:numFmt w:val="bullet"/>
      <w:lvlText w:val="•"/>
      <w:lvlJc w:val="left"/>
      <w:pPr>
        <w:ind w:left="6608" w:hanging="529"/>
      </w:pPr>
      <w:rPr>
        <w:rFonts w:hint="default"/>
        <w:lang w:val="en-US" w:eastAsia="zh-CN" w:bidi="ar-SA"/>
      </w:rPr>
    </w:lvl>
  </w:abstractNum>
  <w:abstractNum w:abstractNumId="21">
    <w:nsid w:val="D7F9FE59"/>
    <w:multiLevelType w:val="multilevel"/>
    <w:tmpl w:val="D7F9FE59"/>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1"/>
      <w:numFmt w:val="decimal"/>
      <w:lvlText w:val="（%2）"/>
      <w:lvlJc w:val="left"/>
      <w:pPr>
        <w:ind w:left="815" w:hanging="529"/>
        <w:jc w:val="left"/>
      </w:pPr>
      <w:rPr>
        <w:rFonts w:hint="default" w:ascii="宋体" w:hAnsi="宋体" w:eastAsia="宋体" w:cs="宋体"/>
        <w:b w:val="0"/>
        <w:bCs w:val="0"/>
        <w:i w:val="0"/>
        <w:iCs w:val="0"/>
        <w:w w:val="100"/>
        <w:sz w:val="19"/>
        <w:szCs w:val="19"/>
        <w:lang w:val="en-US" w:eastAsia="zh-CN" w:bidi="ar-SA"/>
      </w:rPr>
    </w:lvl>
    <w:lvl w:ilvl="2" w:tentative="0">
      <w:start w:val="0"/>
      <w:numFmt w:val="bullet"/>
      <w:lvlText w:val="•"/>
      <w:lvlJc w:val="left"/>
      <w:pPr>
        <w:ind w:left="1566" w:hanging="529"/>
      </w:pPr>
      <w:rPr>
        <w:rFonts w:hint="default"/>
        <w:lang w:val="en-US" w:eastAsia="zh-CN" w:bidi="ar-SA"/>
      </w:rPr>
    </w:lvl>
    <w:lvl w:ilvl="3" w:tentative="0">
      <w:start w:val="0"/>
      <w:numFmt w:val="bullet"/>
      <w:lvlText w:val="•"/>
      <w:lvlJc w:val="left"/>
      <w:pPr>
        <w:ind w:left="2313" w:hanging="529"/>
      </w:pPr>
      <w:rPr>
        <w:rFonts w:hint="default"/>
        <w:lang w:val="en-US" w:eastAsia="zh-CN" w:bidi="ar-SA"/>
      </w:rPr>
    </w:lvl>
    <w:lvl w:ilvl="4" w:tentative="0">
      <w:start w:val="0"/>
      <w:numFmt w:val="bullet"/>
      <w:lvlText w:val="•"/>
      <w:lvlJc w:val="left"/>
      <w:pPr>
        <w:ind w:left="3059" w:hanging="529"/>
      </w:pPr>
      <w:rPr>
        <w:rFonts w:hint="default"/>
        <w:lang w:val="en-US" w:eastAsia="zh-CN" w:bidi="ar-SA"/>
      </w:rPr>
    </w:lvl>
    <w:lvl w:ilvl="5" w:tentative="0">
      <w:start w:val="0"/>
      <w:numFmt w:val="bullet"/>
      <w:lvlText w:val="•"/>
      <w:lvlJc w:val="left"/>
      <w:pPr>
        <w:ind w:left="3806" w:hanging="529"/>
      </w:pPr>
      <w:rPr>
        <w:rFonts w:hint="default"/>
        <w:lang w:val="en-US" w:eastAsia="zh-CN" w:bidi="ar-SA"/>
      </w:rPr>
    </w:lvl>
    <w:lvl w:ilvl="6" w:tentative="0">
      <w:start w:val="0"/>
      <w:numFmt w:val="bullet"/>
      <w:lvlText w:val="•"/>
      <w:lvlJc w:val="left"/>
      <w:pPr>
        <w:ind w:left="4553" w:hanging="529"/>
      </w:pPr>
      <w:rPr>
        <w:rFonts w:hint="default"/>
        <w:lang w:val="en-US" w:eastAsia="zh-CN" w:bidi="ar-SA"/>
      </w:rPr>
    </w:lvl>
    <w:lvl w:ilvl="7" w:tentative="0">
      <w:start w:val="0"/>
      <w:numFmt w:val="bullet"/>
      <w:lvlText w:val="•"/>
      <w:lvlJc w:val="left"/>
      <w:pPr>
        <w:ind w:left="5299" w:hanging="529"/>
      </w:pPr>
      <w:rPr>
        <w:rFonts w:hint="default"/>
        <w:lang w:val="en-US" w:eastAsia="zh-CN" w:bidi="ar-SA"/>
      </w:rPr>
    </w:lvl>
    <w:lvl w:ilvl="8" w:tentative="0">
      <w:start w:val="0"/>
      <w:numFmt w:val="bullet"/>
      <w:lvlText w:val="•"/>
      <w:lvlJc w:val="left"/>
      <w:pPr>
        <w:ind w:left="6046" w:hanging="529"/>
      </w:pPr>
      <w:rPr>
        <w:rFonts w:hint="default"/>
        <w:lang w:val="en-US" w:eastAsia="zh-CN" w:bidi="ar-SA"/>
      </w:rPr>
    </w:lvl>
  </w:abstractNum>
  <w:abstractNum w:abstractNumId="22">
    <w:nsid w:val="DCBA6B53"/>
    <w:multiLevelType w:val="multilevel"/>
    <w:tmpl w:val="DCBA6B53"/>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23">
    <w:nsid w:val="E093A4B0"/>
    <w:multiLevelType w:val="multilevel"/>
    <w:tmpl w:val="E093A4B0"/>
    <w:lvl w:ilvl="0" w:tentative="0">
      <w:start w:val="1"/>
      <w:numFmt w:val="decimal"/>
      <w:lvlText w:val="（%1）"/>
      <w:lvlJc w:val="left"/>
      <w:pPr>
        <w:ind w:left="2985" w:hanging="539"/>
        <w:jc w:val="left"/>
      </w:pPr>
      <w:rPr>
        <w:rFonts w:hint="default" w:ascii="宋体" w:hAnsi="宋体" w:eastAsia="宋体" w:cs="宋体"/>
        <w:b w:val="0"/>
        <w:bCs w:val="0"/>
        <w:i w:val="0"/>
        <w:iCs w:val="0"/>
        <w:spacing w:val="0"/>
        <w:w w:val="100"/>
        <w:sz w:val="19"/>
        <w:szCs w:val="19"/>
        <w:lang w:val="en-US" w:eastAsia="zh-CN" w:bidi="ar-SA"/>
      </w:rPr>
    </w:lvl>
    <w:lvl w:ilvl="1" w:tentative="0">
      <w:start w:val="0"/>
      <w:numFmt w:val="bullet"/>
      <w:lvlText w:val="•"/>
      <w:lvlJc w:val="left"/>
      <w:pPr>
        <w:ind w:left="3716" w:hanging="539"/>
      </w:pPr>
      <w:rPr>
        <w:rFonts w:hint="default"/>
        <w:lang w:val="en-US" w:eastAsia="zh-CN" w:bidi="ar-SA"/>
      </w:rPr>
    </w:lvl>
    <w:lvl w:ilvl="2" w:tentative="0">
      <w:start w:val="0"/>
      <w:numFmt w:val="bullet"/>
      <w:lvlText w:val="•"/>
      <w:lvlJc w:val="left"/>
      <w:pPr>
        <w:ind w:left="4452" w:hanging="539"/>
      </w:pPr>
      <w:rPr>
        <w:rFonts w:hint="default"/>
        <w:lang w:val="en-US" w:eastAsia="zh-CN" w:bidi="ar-SA"/>
      </w:rPr>
    </w:lvl>
    <w:lvl w:ilvl="3" w:tentative="0">
      <w:start w:val="0"/>
      <w:numFmt w:val="bullet"/>
      <w:lvlText w:val="•"/>
      <w:lvlJc w:val="left"/>
      <w:pPr>
        <w:ind w:left="5189" w:hanging="539"/>
      </w:pPr>
      <w:rPr>
        <w:rFonts w:hint="default"/>
        <w:lang w:val="en-US" w:eastAsia="zh-CN" w:bidi="ar-SA"/>
      </w:rPr>
    </w:lvl>
    <w:lvl w:ilvl="4" w:tentative="0">
      <w:start w:val="0"/>
      <w:numFmt w:val="bullet"/>
      <w:lvlText w:val="•"/>
      <w:lvlJc w:val="left"/>
      <w:pPr>
        <w:ind w:left="5925" w:hanging="539"/>
      </w:pPr>
      <w:rPr>
        <w:rFonts w:hint="default"/>
        <w:lang w:val="en-US" w:eastAsia="zh-CN" w:bidi="ar-SA"/>
      </w:rPr>
    </w:lvl>
    <w:lvl w:ilvl="5" w:tentative="0">
      <w:start w:val="0"/>
      <w:numFmt w:val="bullet"/>
      <w:lvlText w:val="•"/>
      <w:lvlJc w:val="left"/>
      <w:pPr>
        <w:ind w:left="6662" w:hanging="539"/>
      </w:pPr>
      <w:rPr>
        <w:rFonts w:hint="default"/>
        <w:lang w:val="en-US" w:eastAsia="zh-CN" w:bidi="ar-SA"/>
      </w:rPr>
    </w:lvl>
    <w:lvl w:ilvl="6" w:tentative="0">
      <w:start w:val="0"/>
      <w:numFmt w:val="bullet"/>
      <w:lvlText w:val="•"/>
      <w:lvlJc w:val="left"/>
      <w:pPr>
        <w:ind w:left="7398" w:hanging="539"/>
      </w:pPr>
      <w:rPr>
        <w:rFonts w:hint="default"/>
        <w:lang w:val="en-US" w:eastAsia="zh-CN" w:bidi="ar-SA"/>
      </w:rPr>
    </w:lvl>
    <w:lvl w:ilvl="7" w:tentative="0">
      <w:start w:val="0"/>
      <w:numFmt w:val="bullet"/>
      <w:lvlText w:val="•"/>
      <w:lvlJc w:val="left"/>
      <w:pPr>
        <w:ind w:left="8134" w:hanging="539"/>
      </w:pPr>
      <w:rPr>
        <w:rFonts w:hint="default"/>
        <w:lang w:val="en-US" w:eastAsia="zh-CN" w:bidi="ar-SA"/>
      </w:rPr>
    </w:lvl>
    <w:lvl w:ilvl="8" w:tentative="0">
      <w:start w:val="0"/>
      <w:numFmt w:val="bullet"/>
      <w:lvlText w:val="•"/>
      <w:lvlJc w:val="left"/>
      <w:pPr>
        <w:ind w:left="8871" w:hanging="539"/>
      </w:pPr>
      <w:rPr>
        <w:rFonts w:hint="default"/>
        <w:lang w:val="en-US" w:eastAsia="zh-CN" w:bidi="ar-SA"/>
      </w:rPr>
    </w:lvl>
  </w:abstractNum>
  <w:abstractNum w:abstractNumId="24">
    <w:nsid w:val="F0E89278"/>
    <w:multiLevelType w:val="multilevel"/>
    <w:tmpl w:val="F0E89278"/>
    <w:lvl w:ilvl="0" w:tentative="0">
      <w:start w:val="1"/>
      <w:numFmt w:val="decimal"/>
      <w:lvlText w:val="（%1）"/>
      <w:lvlJc w:val="left"/>
      <w:pPr>
        <w:ind w:left="3514"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202" w:hanging="529"/>
      </w:pPr>
      <w:rPr>
        <w:rFonts w:hint="default"/>
        <w:lang w:val="en-US" w:eastAsia="zh-CN" w:bidi="ar-SA"/>
      </w:rPr>
    </w:lvl>
    <w:lvl w:ilvl="2" w:tentative="0">
      <w:start w:val="0"/>
      <w:numFmt w:val="bullet"/>
      <w:lvlText w:val="•"/>
      <w:lvlJc w:val="left"/>
      <w:pPr>
        <w:ind w:left="4884" w:hanging="529"/>
      </w:pPr>
      <w:rPr>
        <w:rFonts w:hint="default"/>
        <w:lang w:val="en-US" w:eastAsia="zh-CN" w:bidi="ar-SA"/>
      </w:rPr>
    </w:lvl>
    <w:lvl w:ilvl="3" w:tentative="0">
      <w:start w:val="0"/>
      <w:numFmt w:val="bullet"/>
      <w:lvlText w:val="•"/>
      <w:lvlJc w:val="left"/>
      <w:pPr>
        <w:ind w:left="5567" w:hanging="529"/>
      </w:pPr>
      <w:rPr>
        <w:rFonts w:hint="default"/>
        <w:lang w:val="en-US" w:eastAsia="zh-CN" w:bidi="ar-SA"/>
      </w:rPr>
    </w:lvl>
    <w:lvl w:ilvl="4" w:tentative="0">
      <w:start w:val="0"/>
      <w:numFmt w:val="bullet"/>
      <w:lvlText w:val="•"/>
      <w:lvlJc w:val="left"/>
      <w:pPr>
        <w:ind w:left="6249" w:hanging="529"/>
      </w:pPr>
      <w:rPr>
        <w:rFonts w:hint="default"/>
        <w:lang w:val="en-US" w:eastAsia="zh-CN" w:bidi="ar-SA"/>
      </w:rPr>
    </w:lvl>
    <w:lvl w:ilvl="5" w:tentative="0">
      <w:start w:val="0"/>
      <w:numFmt w:val="bullet"/>
      <w:lvlText w:val="•"/>
      <w:lvlJc w:val="left"/>
      <w:pPr>
        <w:ind w:left="6932" w:hanging="529"/>
      </w:pPr>
      <w:rPr>
        <w:rFonts w:hint="default"/>
        <w:lang w:val="en-US" w:eastAsia="zh-CN" w:bidi="ar-SA"/>
      </w:rPr>
    </w:lvl>
    <w:lvl w:ilvl="6" w:tentative="0">
      <w:start w:val="0"/>
      <w:numFmt w:val="bullet"/>
      <w:lvlText w:val="•"/>
      <w:lvlJc w:val="left"/>
      <w:pPr>
        <w:ind w:left="7614" w:hanging="529"/>
      </w:pPr>
      <w:rPr>
        <w:rFonts w:hint="default"/>
        <w:lang w:val="en-US" w:eastAsia="zh-CN" w:bidi="ar-SA"/>
      </w:rPr>
    </w:lvl>
    <w:lvl w:ilvl="7" w:tentative="0">
      <w:start w:val="0"/>
      <w:numFmt w:val="bullet"/>
      <w:lvlText w:val="•"/>
      <w:lvlJc w:val="left"/>
      <w:pPr>
        <w:ind w:left="8296" w:hanging="529"/>
      </w:pPr>
      <w:rPr>
        <w:rFonts w:hint="default"/>
        <w:lang w:val="en-US" w:eastAsia="zh-CN" w:bidi="ar-SA"/>
      </w:rPr>
    </w:lvl>
    <w:lvl w:ilvl="8" w:tentative="0">
      <w:start w:val="0"/>
      <w:numFmt w:val="bullet"/>
      <w:lvlText w:val="•"/>
      <w:lvlJc w:val="left"/>
      <w:pPr>
        <w:ind w:left="8979" w:hanging="529"/>
      </w:pPr>
      <w:rPr>
        <w:rFonts w:hint="default"/>
        <w:lang w:val="en-US" w:eastAsia="zh-CN" w:bidi="ar-SA"/>
      </w:rPr>
    </w:lvl>
  </w:abstractNum>
  <w:abstractNum w:abstractNumId="25">
    <w:nsid w:val="F4B5D9F5"/>
    <w:multiLevelType w:val="multilevel"/>
    <w:tmpl w:val="F4B5D9F5"/>
    <w:lvl w:ilvl="0" w:tentative="0">
      <w:start w:val="1"/>
      <w:numFmt w:val="decimal"/>
      <w:lvlText w:val="（%1）"/>
      <w:lvlJc w:val="left"/>
      <w:pPr>
        <w:ind w:left="181" w:hanging="529"/>
        <w:jc w:val="left"/>
      </w:pPr>
      <w:rPr>
        <w:rFonts w:hint="default" w:ascii="宋体" w:hAnsi="宋体" w:eastAsia="宋体" w:cs="宋体"/>
        <w:b w:val="0"/>
        <w:bCs w:val="0"/>
        <w:i w:val="0"/>
        <w:iCs w:val="0"/>
        <w:w w:val="100"/>
        <w:sz w:val="19"/>
        <w:szCs w:val="19"/>
        <w:lang w:val="en-US" w:eastAsia="zh-CN" w:bidi="ar-SA"/>
      </w:rPr>
    </w:lvl>
    <w:lvl w:ilvl="1" w:tentative="0">
      <w:start w:val="1"/>
      <w:numFmt w:val="decimal"/>
      <w:lvlText w:val="（%2）"/>
      <w:lvlJc w:val="left"/>
      <w:pPr>
        <w:ind w:left="815" w:hanging="529"/>
        <w:jc w:val="left"/>
      </w:pPr>
      <w:rPr>
        <w:rFonts w:hint="default" w:ascii="宋体" w:hAnsi="宋体" w:eastAsia="宋体" w:cs="宋体"/>
        <w:b w:val="0"/>
        <w:bCs w:val="0"/>
        <w:i w:val="0"/>
        <w:iCs w:val="0"/>
        <w:spacing w:val="-24"/>
        <w:w w:val="100"/>
        <w:sz w:val="19"/>
        <w:szCs w:val="19"/>
        <w:lang w:val="en-US" w:eastAsia="zh-CN" w:bidi="ar-SA"/>
      </w:rPr>
    </w:lvl>
    <w:lvl w:ilvl="2" w:tentative="0">
      <w:start w:val="0"/>
      <w:numFmt w:val="bullet"/>
      <w:lvlText w:val="•"/>
      <w:lvlJc w:val="left"/>
      <w:pPr>
        <w:ind w:left="1566" w:hanging="529"/>
      </w:pPr>
      <w:rPr>
        <w:rFonts w:hint="default"/>
        <w:lang w:val="en-US" w:eastAsia="zh-CN" w:bidi="ar-SA"/>
      </w:rPr>
    </w:lvl>
    <w:lvl w:ilvl="3" w:tentative="0">
      <w:start w:val="0"/>
      <w:numFmt w:val="bullet"/>
      <w:lvlText w:val="•"/>
      <w:lvlJc w:val="left"/>
      <w:pPr>
        <w:ind w:left="2313" w:hanging="529"/>
      </w:pPr>
      <w:rPr>
        <w:rFonts w:hint="default"/>
        <w:lang w:val="en-US" w:eastAsia="zh-CN" w:bidi="ar-SA"/>
      </w:rPr>
    </w:lvl>
    <w:lvl w:ilvl="4" w:tentative="0">
      <w:start w:val="0"/>
      <w:numFmt w:val="bullet"/>
      <w:lvlText w:val="•"/>
      <w:lvlJc w:val="left"/>
      <w:pPr>
        <w:ind w:left="3059" w:hanging="529"/>
      </w:pPr>
      <w:rPr>
        <w:rFonts w:hint="default"/>
        <w:lang w:val="en-US" w:eastAsia="zh-CN" w:bidi="ar-SA"/>
      </w:rPr>
    </w:lvl>
    <w:lvl w:ilvl="5" w:tentative="0">
      <w:start w:val="0"/>
      <w:numFmt w:val="bullet"/>
      <w:lvlText w:val="•"/>
      <w:lvlJc w:val="left"/>
      <w:pPr>
        <w:ind w:left="3806" w:hanging="529"/>
      </w:pPr>
      <w:rPr>
        <w:rFonts w:hint="default"/>
        <w:lang w:val="en-US" w:eastAsia="zh-CN" w:bidi="ar-SA"/>
      </w:rPr>
    </w:lvl>
    <w:lvl w:ilvl="6" w:tentative="0">
      <w:start w:val="0"/>
      <w:numFmt w:val="bullet"/>
      <w:lvlText w:val="•"/>
      <w:lvlJc w:val="left"/>
      <w:pPr>
        <w:ind w:left="4553" w:hanging="529"/>
      </w:pPr>
      <w:rPr>
        <w:rFonts w:hint="default"/>
        <w:lang w:val="en-US" w:eastAsia="zh-CN" w:bidi="ar-SA"/>
      </w:rPr>
    </w:lvl>
    <w:lvl w:ilvl="7" w:tentative="0">
      <w:start w:val="0"/>
      <w:numFmt w:val="bullet"/>
      <w:lvlText w:val="•"/>
      <w:lvlJc w:val="left"/>
      <w:pPr>
        <w:ind w:left="5299" w:hanging="529"/>
      </w:pPr>
      <w:rPr>
        <w:rFonts w:hint="default"/>
        <w:lang w:val="en-US" w:eastAsia="zh-CN" w:bidi="ar-SA"/>
      </w:rPr>
    </w:lvl>
    <w:lvl w:ilvl="8" w:tentative="0">
      <w:start w:val="0"/>
      <w:numFmt w:val="bullet"/>
      <w:lvlText w:val="•"/>
      <w:lvlJc w:val="left"/>
      <w:pPr>
        <w:ind w:left="6046" w:hanging="529"/>
      </w:pPr>
      <w:rPr>
        <w:rFonts w:hint="default"/>
        <w:lang w:val="en-US" w:eastAsia="zh-CN" w:bidi="ar-SA"/>
      </w:rPr>
    </w:lvl>
  </w:abstractNum>
  <w:abstractNum w:abstractNumId="26">
    <w:nsid w:val="F689643B"/>
    <w:multiLevelType w:val="multilevel"/>
    <w:tmpl w:val="F689643B"/>
    <w:lvl w:ilvl="0" w:tentative="0">
      <w:start w:val="8"/>
      <w:numFmt w:val="decimal"/>
      <w:lvlText w:val="%1"/>
      <w:lvlJc w:val="left"/>
      <w:pPr>
        <w:ind w:left="1391" w:hanging="961"/>
        <w:jc w:val="left"/>
      </w:pPr>
      <w:rPr>
        <w:rFonts w:hint="default"/>
        <w:lang w:val="en-US" w:eastAsia="zh-CN" w:bidi="ar-SA"/>
      </w:rPr>
    </w:lvl>
    <w:lvl w:ilvl="1" w:tentative="0">
      <w:start w:val="39"/>
      <w:numFmt w:val="decimal"/>
      <w:lvlText w:val="%1.%2"/>
      <w:lvlJc w:val="left"/>
      <w:pPr>
        <w:ind w:left="1391" w:hanging="961"/>
        <w:jc w:val="left"/>
      </w:pPr>
      <w:rPr>
        <w:rFonts w:hint="default" w:ascii="Microsoft JhengHei" w:hAnsi="Microsoft JhengHei" w:eastAsia="Microsoft JhengHei" w:cs="Microsoft JhengHei"/>
        <w:b/>
        <w:bCs/>
        <w:i w:val="0"/>
        <w:iCs w:val="0"/>
        <w:w w:val="84"/>
        <w:sz w:val="21"/>
        <w:szCs w:val="21"/>
        <w:lang w:val="en-US" w:eastAsia="zh-CN" w:bidi="ar-SA"/>
      </w:rPr>
    </w:lvl>
    <w:lvl w:ilvl="2" w:tentative="0">
      <w:start w:val="0"/>
      <w:numFmt w:val="bullet"/>
      <w:lvlText w:val="•"/>
      <w:lvlJc w:val="left"/>
      <w:pPr>
        <w:ind w:left="3188" w:hanging="961"/>
      </w:pPr>
      <w:rPr>
        <w:rFonts w:hint="default"/>
        <w:lang w:val="en-US" w:eastAsia="zh-CN" w:bidi="ar-SA"/>
      </w:rPr>
    </w:lvl>
    <w:lvl w:ilvl="3" w:tentative="0">
      <w:start w:val="0"/>
      <w:numFmt w:val="bullet"/>
      <w:lvlText w:val="•"/>
      <w:lvlJc w:val="left"/>
      <w:pPr>
        <w:ind w:left="4083" w:hanging="961"/>
      </w:pPr>
      <w:rPr>
        <w:rFonts w:hint="default"/>
        <w:lang w:val="en-US" w:eastAsia="zh-CN" w:bidi="ar-SA"/>
      </w:rPr>
    </w:lvl>
    <w:lvl w:ilvl="4" w:tentative="0">
      <w:start w:val="0"/>
      <w:numFmt w:val="bullet"/>
      <w:lvlText w:val="•"/>
      <w:lvlJc w:val="left"/>
      <w:pPr>
        <w:ind w:left="4977" w:hanging="961"/>
      </w:pPr>
      <w:rPr>
        <w:rFonts w:hint="default"/>
        <w:lang w:val="en-US" w:eastAsia="zh-CN" w:bidi="ar-SA"/>
      </w:rPr>
    </w:lvl>
    <w:lvl w:ilvl="5" w:tentative="0">
      <w:start w:val="0"/>
      <w:numFmt w:val="bullet"/>
      <w:lvlText w:val="•"/>
      <w:lvlJc w:val="left"/>
      <w:pPr>
        <w:ind w:left="5872" w:hanging="961"/>
      </w:pPr>
      <w:rPr>
        <w:rFonts w:hint="default"/>
        <w:lang w:val="en-US" w:eastAsia="zh-CN" w:bidi="ar-SA"/>
      </w:rPr>
    </w:lvl>
    <w:lvl w:ilvl="6" w:tentative="0">
      <w:start w:val="0"/>
      <w:numFmt w:val="bullet"/>
      <w:lvlText w:val="•"/>
      <w:lvlJc w:val="left"/>
      <w:pPr>
        <w:ind w:left="6766" w:hanging="961"/>
      </w:pPr>
      <w:rPr>
        <w:rFonts w:hint="default"/>
        <w:lang w:val="en-US" w:eastAsia="zh-CN" w:bidi="ar-SA"/>
      </w:rPr>
    </w:lvl>
    <w:lvl w:ilvl="7" w:tentative="0">
      <w:start w:val="0"/>
      <w:numFmt w:val="bullet"/>
      <w:lvlText w:val="•"/>
      <w:lvlJc w:val="left"/>
      <w:pPr>
        <w:ind w:left="7660" w:hanging="961"/>
      </w:pPr>
      <w:rPr>
        <w:rFonts w:hint="default"/>
        <w:lang w:val="en-US" w:eastAsia="zh-CN" w:bidi="ar-SA"/>
      </w:rPr>
    </w:lvl>
    <w:lvl w:ilvl="8" w:tentative="0">
      <w:start w:val="0"/>
      <w:numFmt w:val="bullet"/>
      <w:lvlText w:val="•"/>
      <w:lvlJc w:val="left"/>
      <w:pPr>
        <w:ind w:left="8555" w:hanging="961"/>
      </w:pPr>
      <w:rPr>
        <w:rFonts w:hint="default"/>
        <w:lang w:val="en-US" w:eastAsia="zh-CN" w:bidi="ar-SA"/>
      </w:rPr>
    </w:lvl>
  </w:abstractNum>
  <w:abstractNum w:abstractNumId="27">
    <w:nsid w:val="F7735DC9"/>
    <w:multiLevelType w:val="multilevel"/>
    <w:tmpl w:val="F7735DC9"/>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2"/>
      <w:numFmt w:val="decimal"/>
      <w:lvlText w:val="（%2）"/>
      <w:lvlJc w:val="left"/>
      <w:pPr>
        <w:ind w:left="2985" w:hanging="529"/>
        <w:jc w:val="left"/>
      </w:pPr>
      <w:rPr>
        <w:rFonts w:hint="default" w:ascii="宋体" w:hAnsi="宋体" w:eastAsia="宋体" w:cs="宋体"/>
        <w:b w:val="0"/>
        <w:bCs w:val="0"/>
        <w:i w:val="0"/>
        <w:iCs w:val="0"/>
        <w:spacing w:val="-48"/>
        <w:w w:val="100"/>
        <w:sz w:val="19"/>
        <w:szCs w:val="19"/>
        <w:lang w:val="en-US" w:eastAsia="zh-CN" w:bidi="ar-SA"/>
      </w:rPr>
    </w:lvl>
    <w:lvl w:ilvl="2" w:tentative="0">
      <w:start w:val="0"/>
      <w:numFmt w:val="bullet"/>
      <w:lvlText w:val="•"/>
      <w:lvlJc w:val="left"/>
      <w:pPr>
        <w:ind w:left="3486" w:hanging="529"/>
      </w:pPr>
      <w:rPr>
        <w:rFonts w:hint="default"/>
        <w:lang w:val="en-US" w:eastAsia="zh-CN" w:bidi="ar-SA"/>
      </w:rPr>
    </w:lvl>
    <w:lvl w:ilvl="3" w:tentative="0">
      <w:start w:val="0"/>
      <w:numFmt w:val="bullet"/>
      <w:lvlText w:val="•"/>
      <w:lvlJc w:val="left"/>
      <w:pPr>
        <w:ind w:left="3993" w:hanging="529"/>
      </w:pPr>
      <w:rPr>
        <w:rFonts w:hint="default"/>
        <w:lang w:val="en-US" w:eastAsia="zh-CN" w:bidi="ar-SA"/>
      </w:rPr>
    </w:lvl>
    <w:lvl w:ilvl="4" w:tentative="0">
      <w:start w:val="0"/>
      <w:numFmt w:val="bullet"/>
      <w:lvlText w:val="•"/>
      <w:lvlJc w:val="left"/>
      <w:pPr>
        <w:ind w:left="4499" w:hanging="529"/>
      </w:pPr>
      <w:rPr>
        <w:rFonts w:hint="default"/>
        <w:lang w:val="en-US" w:eastAsia="zh-CN" w:bidi="ar-SA"/>
      </w:rPr>
    </w:lvl>
    <w:lvl w:ilvl="5" w:tentative="0">
      <w:start w:val="0"/>
      <w:numFmt w:val="bullet"/>
      <w:lvlText w:val="•"/>
      <w:lvlJc w:val="left"/>
      <w:pPr>
        <w:ind w:left="5006" w:hanging="529"/>
      </w:pPr>
      <w:rPr>
        <w:rFonts w:hint="default"/>
        <w:lang w:val="en-US" w:eastAsia="zh-CN" w:bidi="ar-SA"/>
      </w:rPr>
    </w:lvl>
    <w:lvl w:ilvl="6" w:tentative="0">
      <w:start w:val="0"/>
      <w:numFmt w:val="bullet"/>
      <w:lvlText w:val="•"/>
      <w:lvlJc w:val="left"/>
      <w:pPr>
        <w:ind w:left="5513" w:hanging="529"/>
      </w:pPr>
      <w:rPr>
        <w:rFonts w:hint="default"/>
        <w:lang w:val="en-US" w:eastAsia="zh-CN" w:bidi="ar-SA"/>
      </w:rPr>
    </w:lvl>
    <w:lvl w:ilvl="7" w:tentative="0">
      <w:start w:val="0"/>
      <w:numFmt w:val="bullet"/>
      <w:lvlText w:val="•"/>
      <w:lvlJc w:val="left"/>
      <w:pPr>
        <w:ind w:left="6019" w:hanging="529"/>
      </w:pPr>
      <w:rPr>
        <w:rFonts w:hint="default"/>
        <w:lang w:val="en-US" w:eastAsia="zh-CN" w:bidi="ar-SA"/>
      </w:rPr>
    </w:lvl>
    <w:lvl w:ilvl="8" w:tentative="0">
      <w:start w:val="0"/>
      <w:numFmt w:val="bullet"/>
      <w:lvlText w:val="•"/>
      <w:lvlJc w:val="left"/>
      <w:pPr>
        <w:ind w:left="6526" w:hanging="529"/>
      </w:pPr>
      <w:rPr>
        <w:rFonts w:hint="default"/>
        <w:lang w:val="en-US" w:eastAsia="zh-CN" w:bidi="ar-SA"/>
      </w:rPr>
    </w:lvl>
  </w:abstractNum>
  <w:abstractNum w:abstractNumId="28">
    <w:nsid w:val="FEC2EA36"/>
    <w:multiLevelType w:val="multilevel"/>
    <w:tmpl w:val="FEC2EA36"/>
    <w:lvl w:ilvl="0" w:tentative="0">
      <w:start w:val="1"/>
      <w:numFmt w:val="decimal"/>
      <w:lvlText w:val="（%1）"/>
      <w:lvlJc w:val="left"/>
      <w:pPr>
        <w:ind w:left="815"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502" w:hanging="529"/>
      </w:pPr>
      <w:rPr>
        <w:rFonts w:hint="default"/>
        <w:lang w:val="en-US" w:eastAsia="zh-CN" w:bidi="ar-SA"/>
      </w:rPr>
    </w:lvl>
    <w:lvl w:ilvl="2" w:tentative="0">
      <w:start w:val="0"/>
      <w:numFmt w:val="bullet"/>
      <w:lvlText w:val="•"/>
      <w:lvlJc w:val="left"/>
      <w:pPr>
        <w:ind w:left="2185" w:hanging="529"/>
      </w:pPr>
      <w:rPr>
        <w:rFonts w:hint="default"/>
        <w:lang w:val="en-US" w:eastAsia="zh-CN" w:bidi="ar-SA"/>
      </w:rPr>
    </w:lvl>
    <w:lvl w:ilvl="3" w:tentative="0">
      <w:start w:val="0"/>
      <w:numFmt w:val="bullet"/>
      <w:lvlText w:val="•"/>
      <w:lvlJc w:val="left"/>
      <w:pPr>
        <w:ind w:left="2867" w:hanging="529"/>
      </w:pPr>
      <w:rPr>
        <w:rFonts w:hint="default"/>
        <w:lang w:val="en-US" w:eastAsia="zh-CN" w:bidi="ar-SA"/>
      </w:rPr>
    </w:lvl>
    <w:lvl w:ilvl="4" w:tentative="0">
      <w:start w:val="0"/>
      <w:numFmt w:val="bullet"/>
      <w:lvlText w:val="•"/>
      <w:lvlJc w:val="left"/>
      <w:pPr>
        <w:ind w:left="3550" w:hanging="529"/>
      </w:pPr>
      <w:rPr>
        <w:rFonts w:hint="default"/>
        <w:lang w:val="en-US" w:eastAsia="zh-CN" w:bidi="ar-SA"/>
      </w:rPr>
    </w:lvl>
    <w:lvl w:ilvl="5" w:tentative="0">
      <w:start w:val="0"/>
      <w:numFmt w:val="bullet"/>
      <w:lvlText w:val="•"/>
      <w:lvlJc w:val="left"/>
      <w:pPr>
        <w:ind w:left="4232" w:hanging="529"/>
      </w:pPr>
      <w:rPr>
        <w:rFonts w:hint="default"/>
        <w:lang w:val="en-US" w:eastAsia="zh-CN" w:bidi="ar-SA"/>
      </w:rPr>
    </w:lvl>
    <w:lvl w:ilvl="6" w:tentative="0">
      <w:start w:val="0"/>
      <w:numFmt w:val="bullet"/>
      <w:lvlText w:val="•"/>
      <w:lvlJc w:val="left"/>
      <w:pPr>
        <w:ind w:left="4915" w:hanging="529"/>
      </w:pPr>
      <w:rPr>
        <w:rFonts w:hint="default"/>
        <w:lang w:val="en-US" w:eastAsia="zh-CN" w:bidi="ar-SA"/>
      </w:rPr>
    </w:lvl>
    <w:lvl w:ilvl="7" w:tentative="0">
      <w:start w:val="0"/>
      <w:numFmt w:val="bullet"/>
      <w:lvlText w:val="•"/>
      <w:lvlJc w:val="left"/>
      <w:pPr>
        <w:ind w:left="5597" w:hanging="529"/>
      </w:pPr>
      <w:rPr>
        <w:rFonts w:hint="default"/>
        <w:lang w:val="en-US" w:eastAsia="zh-CN" w:bidi="ar-SA"/>
      </w:rPr>
    </w:lvl>
    <w:lvl w:ilvl="8" w:tentative="0">
      <w:start w:val="0"/>
      <w:numFmt w:val="bullet"/>
      <w:lvlText w:val="•"/>
      <w:lvlJc w:val="left"/>
      <w:pPr>
        <w:ind w:left="6280" w:hanging="529"/>
      </w:pPr>
      <w:rPr>
        <w:rFonts w:hint="default"/>
        <w:lang w:val="en-US" w:eastAsia="zh-CN" w:bidi="ar-SA"/>
      </w:rPr>
    </w:lvl>
  </w:abstractNum>
  <w:abstractNum w:abstractNumId="29">
    <w:nsid w:val="0053208E"/>
    <w:multiLevelType w:val="multilevel"/>
    <w:tmpl w:val="0053208E"/>
    <w:lvl w:ilvl="0" w:tentative="0">
      <w:start w:val="0"/>
      <w:numFmt w:val="bullet"/>
      <w:lvlText w:val=""/>
      <w:lvlJc w:val="left"/>
      <w:pPr>
        <w:ind w:left="532" w:hanging="423"/>
      </w:pPr>
      <w:rPr>
        <w:rFonts w:hint="default" w:ascii="Wingdings" w:hAnsi="Wingdings" w:eastAsia="Wingdings" w:cs="Wingdings"/>
        <w:b w:val="0"/>
        <w:bCs w:val="0"/>
        <w:i w:val="0"/>
        <w:iCs w:val="0"/>
        <w:w w:val="100"/>
        <w:sz w:val="21"/>
        <w:szCs w:val="21"/>
        <w:lang w:val="en-US" w:eastAsia="zh-CN" w:bidi="ar-SA"/>
      </w:rPr>
    </w:lvl>
    <w:lvl w:ilvl="1" w:tentative="0">
      <w:start w:val="0"/>
      <w:numFmt w:val="bullet"/>
      <w:lvlText w:val="•"/>
      <w:lvlJc w:val="left"/>
      <w:pPr>
        <w:ind w:left="1479" w:hanging="423"/>
      </w:pPr>
      <w:rPr>
        <w:rFonts w:hint="default"/>
        <w:lang w:val="en-US" w:eastAsia="zh-CN" w:bidi="ar-SA"/>
      </w:rPr>
    </w:lvl>
    <w:lvl w:ilvl="2" w:tentative="0">
      <w:start w:val="0"/>
      <w:numFmt w:val="bullet"/>
      <w:lvlText w:val="•"/>
      <w:lvlJc w:val="left"/>
      <w:pPr>
        <w:ind w:left="2419" w:hanging="423"/>
      </w:pPr>
      <w:rPr>
        <w:rFonts w:hint="default"/>
        <w:lang w:val="en-US" w:eastAsia="zh-CN" w:bidi="ar-SA"/>
      </w:rPr>
    </w:lvl>
    <w:lvl w:ilvl="3" w:tentative="0">
      <w:start w:val="0"/>
      <w:numFmt w:val="bullet"/>
      <w:lvlText w:val="•"/>
      <w:lvlJc w:val="left"/>
      <w:pPr>
        <w:ind w:left="3358" w:hanging="423"/>
      </w:pPr>
      <w:rPr>
        <w:rFonts w:hint="default"/>
        <w:lang w:val="en-US" w:eastAsia="zh-CN" w:bidi="ar-SA"/>
      </w:rPr>
    </w:lvl>
    <w:lvl w:ilvl="4" w:tentative="0">
      <w:start w:val="0"/>
      <w:numFmt w:val="bullet"/>
      <w:lvlText w:val="•"/>
      <w:lvlJc w:val="left"/>
      <w:pPr>
        <w:ind w:left="4298" w:hanging="423"/>
      </w:pPr>
      <w:rPr>
        <w:rFonts w:hint="default"/>
        <w:lang w:val="en-US" w:eastAsia="zh-CN" w:bidi="ar-SA"/>
      </w:rPr>
    </w:lvl>
    <w:lvl w:ilvl="5" w:tentative="0">
      <w:start w:val="0"/>
      <w:numFmt w:val="bullet"/>
      <w:lvlText w:val="•"/>
      <w:lvlJc w:val="left"/>
      <w:pPr>
        <w:ind w:left="5237" w:hanging="423"/>
      </w:pPr>
      <w:rPr>
        <w:rFonts w:hint="default"/>
        <w:lang w:val="en-US" w:eastAsia="zh-CN" w:bidi="ar-SA"/>
      </w:rPr>
    </w:lvl>
    <w:lvl w:ilvl="6" w:tentative="0">
      <w:start w:val="0"/>
      <w:numFmt w:val="bullet"/>
      <w:lvlText w:val="•"/>
      <w:lvlJc w:val="left"/>
      <w:pPr>
        <w:ind w:left="6177" w:hanging="423"/>
      </w:pPr>
      <w:rPr>
        <w:rFonts w:hint="default"/>
        <w:lang w:val="en-US" w:eastAsia="zh-CN" w:bidi="ar-SA"/>
      </w:rPr>
    </w:lvl>
    <w:lvl w:ilvl="7" w:tentative="0">
      <w:start w:val="0"/>
      <w:numFmt w:val="bullet"/>
      <w:lvlText w:val="•"/>
      <w:lvlJc w:val="left"/>
      <w:pPr>
        <w:ind w:left="7116" w:hanging="423"/>
      </w:pPr>
      <w:rPr>
        <w:rFonts w:hint="default"/>
        <w:lang w:val="en-US" w:eastAsia="zh-CN" w:bidi="ar-SA"/>
      </w:rPr>
    </w:lvl>
    <w:lvl w:ilvl="8" w:tentative="0">
      <w:start w:val="0"/>
      <w:numFmt w:val="bullet"/>
      <w:lvlText w:val="•"/>
      <w:lvlJc w:val="left"/>
      <w:pPr>
        <w:ind w:left="8056" w:hanging="423"/>
      </w:pPr>
      <w:rPr>
        <w:rFonts w:hint="default"/>
        <w:lang w:val="en-US" w:eastAsia="zh-CN" w:bidi="ar-SA"/>
      </w:rPr>
    </w:lvl>
  </w:abstractNum>
  <w:abstractNum w:abstractNumId="30">
    <w:nsid w:val="0248C179"/>
    <w:multiLevelType w:val="multilevel"/>
    <w:tmpl w:val="0248C179"/>
    <w:lvl w:ilvl="0" w:tentative="0">
      <w:start w:val="4"/>
      <w:numFmt w:val="decimal"/>
      <w:lvlText w:val="%1."/>
      <w:lvlJc w:val="left"/>
      <w:pPr>
        <w:ind w:left="1391" w:hanging="961"/>
        <w:jc w:val="left"/>
      </w:pPr>
      <w:rPr>
        <w:rFonts w:hint="default" w:ascii="Microsoft JhengHei" w:hAnsi="Microsoft JhengHei" w:eastAsia="Microsoft JhengHei" w:cs="Microsoft JhengHei"/>
        <w:b/>
        <w:bCs/>
        <w:i w:val="0"/>
        <w:iCs w:val="0"/>
        <w:w w:val="117"/>
        <w:sz w:val="24"/>
        <w:szCs w:val="24"/>
        <w:lang w:val="en-US" w:eastAsia="zh-CN" w:bidi="ar-SA"/>
      </w:rPr>
    </w:lvl>
    <w:lvl w:ilvl="1" w:tentative="0">
      <w:start w:val="1"/>
      <w:numFmt w:val="decimal"/>
      <w:lvlText w:val="%1.%2"/>
      <w:lvlJc w:val="left"/>
      <w:pPr>
        <w:ind w:left="1391" w:hanging="961"/>
        <w:jc w:val="left"/>
      </w:pPr>
      <w:rPr>
        <w:rFonts w:hint="default" w:ascii="Microsoft JhengHei" w:hAnsi="Microsoft JhengHei" w:eastAsia="Microsoft JhengHei" w:cs="Microsoft JhengHei"/>
        <w:b/>
        <w:bCs/>
        <w:i w:val="0"/>
        <w:iCs w:val="0"/>
        <w:w w:val="104"/>
        <w:sz w:val="21"/>
        <w:szCs w:val="21"/>
        <w:lang w:val="en-US" w:eastAsia="zh-CN" w:bidi="ar-SA"/>
      </w:rPr>
    </w:lvl>
    <w:lvl w:ilvl="2" w:tentative="0">
      <w:start w:val="1"/>
      <w:numFmt w:val="decimal"/>
      <w:lvlText w:val="（%3）"/>
      <w:lvlJc w:val="left"/>
      <w:pPr>
        <w:ind w:left="2985" w:hanging="529"/>
        <w:jc w:val="left"/>
      </w:pPr>
      <w:rPr>
        <w:rFonts w:hint="default" w:ascii="宋体" w:hAnsi="宋体" w:eastAsia="宋体" w:cs="宋体"/>
        <w:b w:val="0"/>
        <w:bCs w:val="0"/>
        <w:i w:val="0"/>
        <w:iCs w:val="0"/>
        <w:spacing w:val="-48"/>
        <w:w w:val="100"/>
        <w:sz w:val="19"/>
        <w:szCs w:val="19"/>
        <w:lang w:val="en-US" w:eastAsia="zh-CN" w:bidi="ar-SA"/>
      </w:rPr>
    </w:lvl>
    <w:lvl w:ilvl="3" w:tentative="0">
      <w:start w:val="0"/>
      <w:numFmt w:val="bullet"/>
      <w:lvlText w:val="•"/>
      <w:lvlJc w:val="left"/>
      <w:pPr>
        <w:ind w:left="2908" w:hanging="529"/>
      </w:pPr>
      <w:rPr>
        <w:rFonts w:hint="default"/>
        <w:lang w:val="en-US" w:eastAsia="zh-CN" w:bidi="ar-SA"/>
      </w:rPr>
    </w:lvl>
    <w:lvl w:ilvl="4" w:tentative="0">
      <w:start w:val="0"/>
      <w:numFmt w:val="bullet"/>
      <w:lvlText w:val="•"/>
      <w:lvlJc w:val="left"/>
      <w:pPr>
        <w:ind w:left="2872" w:hanging="529"/>
      </w:pPr>
      <w:rPr>
        <w:rFonts w:hint="default"/>
        <w:lang w:val="en-US" w:eastAsia="zh-CN" w:bidi="ar-SA"/>
      </w:rPr>
    </w:lvl>
    <w:lvl w:ilvl="5" w:tentative="0">
      <w:start w:val="0"/>
      <w:numFmt w:val="bullet"/>
      <w:lvlText w:val="•"/>
      <w:lvlJc w:val="left"/>
      <w:pPr>
        <w:ind w:left="2837" w:hanging="529"/>
      </w:pPr>
      <w:rPr>
        <w:rFonts w:hint="default"/>
        <w:lang w:val="en-US" w:eastAsia="zh-CN" w:bidi="ar-SA"/>
      </w:rPr>
    </w:lvl>
    <w:lvl w:ilvl="6" w:tentative="0">
      <w:start w:val="0"/>
      <w:numFmt w:val="bullet"/>
      <w:lvlText w:val="•"/>
      <w:lvlJc w:val="left"/>
      <w:pPr>
        <w:ind w:left="2801" w:hanging="529"/>
      </w:pPr>
      <w:rPr>
        <w:rFonts w:hint="default"/>
        <w:lang w:val="en-US" w:eastAsia="zh-CN" w:bidi="ar-SA"/>
      </w:rPr>
    </w:lvl>
    <w:lvl w:ilvl="7" w:tentative="0">
      <w:start w:val="0"/>
      <w:numFmt w:val="bullet"/>
      <w:lvlText w:val="•"/>
      <w:lvlJc w:val="left"/>
      <w:pPr>
        <w:ind w:left="2765" w:hanging="529"/>
      </w:pPr>
      <w:rPr>
        <w:rFonts w:hint="default"/>
        <w:lang w:val="en-US" w:eastAsia="zh-CN" w:bidi="ar-SA"/>
      </w:rPr>
    </w:lvl>
    <w:lvl w:ilvl="8" w:tentative="0">
      <w:start w:val="0"/>
      <w:numFmt w:val="bullet"/>
      <w:lvlText w:val="•"/>
      <w:lvlJc w:val="left"/>
      <w:pPr>
        <w:ind w:left="2730" w:hanging="529"/>
      </w:pPr>
      <w:rPr>
        <w:rFonts w:hint="default"/>
        <w:lang w:val="en-US" w:eastAsia="zh-CN" w:bidi="ar-SA"/>
      </w:rPr>
    </w:lvl>
  </w:abstractNum>
  <w:abstractNum w:abstractNumId="31">
    <w:nsid w:val="03A63A41"/>
    <w:multiLevelType w:val="multilevel"/>
    <w:tmpl w:val="03A63A41"/>
    <w:lvl w:ilvl="0" w:tentative="0">
      <w:start w:val="8"/>
      <w:numFmt w:val="decimal"/>
      <w:lvlText w:val="%1"/>
      <w:lvlJc w:val="left"/>
      <w:pPr>
        <w:ind w:left="2985" w:hanging="961"/>
        <w:jc w:val="left"/>
      </w:pPr>
      <w:rPr>
        <w:rFonts w:hint="default"/>
        <w:lang w:val="en-US" w:eastAsia="zh-CN" w:bidi="ar-SA"/>
      </w:rPr>
    </w:lvl>
    <w:lvl w:ilvl="1" w:tentative="0">
      <w:start w:val="3"/>
      <w:numFmt w:val="decimal"/>
      <w:lvlText w:val="%1.%2"/>
      <w:lvlJc w:val="left"/>
      <w:pPr>
        <w:ind w:left="2985" w:hanging="961"/>
        <w:jc w:val="left"/>
      </w:pPr>
      <w:rPr>
        <w:rFonts w:hint="default"/>
        <w:w w:val="84"/>
        <w:lang w:val="en-US" w:eastAsia="zh-CN" w:bidi="ar-SA"/>
      </w:rPr>
    </w:lvl>
    <w:lvl w:ilvl="2" w:tentative="0">
      <w:start w:val="1"/>
      <w:numFmt w:val="decimal"/>
      <w:lvlText w:val="（%3）"/>
      <w:lvlJc w:val="left"/>
      <w:pPr>
        <w:ind w:left="2985" w:hanging="529"/>
        <w:jc w:val="left"/>
      </w:pPr>
      <w:rPr>
        <w:rFonts w:hint="default" w:ascii="宋体" w:hAnsi="宋体" w:eastAsia="宋体" w:cs="宋体"/>
        <w:b w:val="0"/>
        <w:bCs w:val="0"/>
        <w:i w:val="0"/>
        <w:iCs w:val="0"/>
        <w:spacing w:val="-29"/>
        <w:w w:val="100"/>
        <w:sz w:val="19"/>
        <w:szCs w:val="19"/>
        <w:lang w:val="en-US" w:eastAsia="zh-CN" w:bidi="ar-SA"/>
      </w:rPr>
    </w:lvl>
    <w:lvl w:ilvl="3" w:tentative="0">
      <w:start w:val="0"/>
      <w:numFmt w:val="bullet"/>
      <w:lvlText w:val="•"/>
      <w:lvlJc w:val="left"/>
      <w:pPr>
        <w:ind w:left="5189" w:hanging="529"/>
      </w:pPr>
      <w:rPr>
        <w:rFonts w:hint="default"/>
        <w:lang w:val="en-US" w:eastAsia="zh-CN" w:bidi="ar-SA"/>
      </w:rPr>
    </w:lvl>
    <w:lvl w:ilvl="4" w:tentative="0">
      <w:start w:val="0"/>
      <w:numFmt w:val="bullet"/>
      <w:lvlText w:val="•"/>
      <w:lvlJc w:val="left"/>
      <w:pPr>
        <w:ind w:left="5925" w:hanging="529"/>
      </w:pPr>
      <w:rPr>
        <w:rFonts w:hint="default"/>
        <w:lang w:val="en-US" w:eastAsia="zh-CN" w:bidi="ar-SA"/>
      </w:rPr>
    </w:lvl>
    <w:lvl w:ilvl="5" w:tentative="0">
      <w:start w:val="0"/>
      <w:numFmt w:val="bullet"/>
      <w:lvlText w:val="•"/>
      <w:lvlJc w:val="left"/>
      <w:pPr>
        <w:ind w:left="6662" w:hanging="529"/>
      </w:pPr>
      <w:rPr>
        <w:rFonts w:hint="default"/>
        <w:lang w:val="en-US" w:eastAsia="zh-CN" w:bidi="ar-SA"/>
      </w:rPr>
    </w:lvl>
    <w:lvl w:ilvl="6" w:tentative="0">
      <w:start w:val="0"/>
      <w:numFmt w:val="bullet"/>
      <w:lvlText w:val="•"/>
      <w:lvlJc w:val="left"/>
      <w:pPr>
        <w:ind w:left="7398" w:hanging="529"/>
      </w:pPr>
      <w:rPr>
        <w:rFonts w:hint="default"/>
        <w:lang w:val="en-US" w:eastAsia="zh-CN" w:bidi="ar-SA"/>
      </w:rPr>
    </w:lvl>
    <w:lvl w:ilvl="7" w:tentative="0">
      <w:start w:val="0"/>
      <w:numFmt w:val="bullet"/>
      <w:lvlText w:val="•"/>
      <w:lvlJc w:val="left"/>
      <w:pPr>
        <w:ind w:left="8134" w:hanging="529"/>
      </w:pPr>
      <w:rPr>
        <w:rFonts w:hint="default"/>
        <w:lang w:val="en-US" w:eastAsia="zh-CN" w:bidi="ar-SA"/>
      </w:rPr>
    </w:lvl>
    <w:lvl w:ilvl="8" w:tentative="0">
      <w:start w:val="0"/>
      <w:numFmt w:val="bullet"/>
      <w:lvlText w:val="•"/>
      <w:lvlJc w:val="left"/>
      <w:pPr>
        <w:ind w:left="8871" w:hanging="529"/>
      </w:pPr>
      <w:rPr>
        <w:rFonts w:hint="default"/>
        <w:lang w:val="en-US" w:eastAsia="zh-CN" w:bidi="ar-SA"/>
      </w:rPr>
    </w:lvl>
  </w:abstractNum>
  <w:abstractNum w:abstractNumId="32">
    <w:nsid w:val="03D62ECE"/>
    <w:multiLevelType w:val="multilevel"/>
    <w:tmpl w:val="03D62ECE"/>
    <w:lvl w:ilvl="0" w:tentative="0">
      <w:start w:val="19"/>
      <w:numFmt w:val="decimal"/>
      <w:lvlText w:val="(%1)"/>
      <w:lvlJc w:val="left"/>
      <w:pPr>
        <w:ind w:left="75" w:hanging="481"/>
        <w:jc w:val="left"/>
      </w:pPr>
      <w:rPr>
        <w:rFonts w:hint="default" w:ascii="宋体" w:hAnsi="宋体" w:eastAsia="宋体" w:cs="宋体"/>
        <w:b w:val="0"/>
        <w:bCs w:val="0"/>
        <w:i w:val="0"/>
        <w:iCs w:val="0"/>
        <w:w w:val="100"/>
        <w:sz w:val="21"/>
        <w:szCs w:val="21"/>
        <w:lang w:val="en-US" w:eastAsia="zh-CN" w:bidi="ar-SA"/>
      </w:rPr>
    </w:lvl>
    <w:lvl w:ilvl="1" w:tentative="0">
      <w:start w:val="0"/>
      <w:numFmt w:val="bullet"/>
      <w:lvlText w:val="•"/>
      <w:lvlJc w:val="left"/>
      <w:pPr>
        <w:ind w:left="763" w:hanging="481"/>
      </w:pPr>
      <w:rPr>
        <w:rFonts w:hint="default"/>
        <w:lang w:val="en-US" w:eastAsia="zh-CN" w:bidi="ar-SA"/>
      </w:rPr>
    </w:lvl>
    <w:lvl w:ilvl="2" w:tentative="0">
      <w:start w:val="0"/>
      <w:numFmt w:val="bullet"/>
      <w:lvlText w:val="•"/>
      <w:lvlJc w:val="left"/>
      <w:pPr>
        <w:ind w:left="1447" w:hanging="481"/>
      </w:pPr>
      <w:rPr>
        <w:rFonts w:hint="default"/>
        <w:lang w:val="en-US" w:eastAsia="zh-CN" w:bidi="ar-SA"/>
      </w:rPr>
    </w:lvl>
    <w:lvl w:ilvl="3" w:tentative="0">
      <w:start w:val="0"/>
      <w:numFmt w:val="bullet"/>
      <w:lvlText w:val="•"/>
      <w:lvlJc w:val="left"/>
      <w:pPr>
        <w:ind w:left="2131" w:hanging="481"/>
      </w:pPr>
      <w:rPr>
        <w:rFonts w:hint="default"/>
        <w:lang w:val="en-US" w:eastAsia="zh-CN" w:bidi="ar-SA"/>
      </w:rPr>
    </w:lvl>
    <w:lvl w:ilvl="4" w:tentative="0">
      <w:start w:val="0"/>
      <w:numFmt w:val="bullet"/>
      <w:lvlText w:val="•"/>
      <w:lvlJc w:val="left"/>
      <w:pPr>
        <w:ind w:left="2814" w:hanging="481"/>
      </w:pPr>
      <w:rPr>
        <w:rFonts w:hint="default"/>
        <w:lang w:val="en-US" w:eastAsia="zh-CN" w:bidi="ar-SA"/>
      </w:rPr>
    </w:lvl>
    <w:lvl w:ilvl="5" w:tentative="0">
      <w:start w:val="0"/>
      <w:numFmt w:val="bullet"/>
      <w:lvlText w:val="•"/>
      <w:lvlJc w:val="left"/>
      <w:pPr>
        <w:ind w:left="3498" w:hanging="481"/>
      </w:pPr>
      <w:rPr>
        <w:rFonts w:hint="default"/>
        <w:lang w:val="en-US" w:eastAsia="zh-CN" w:bidi="ar-SA"/>
      </w:rPr>
    </w:lvl>
    <w:lvl w:ilvl="6" w:tentative="0">
      <w:start w:val="0"/>
      <w:numFmt w:val="bullet"/>
      <w:lvlText w:val="•"/>
      <w:lvlJc w:val="left"/>
      <w:pPr>
        <w:ind w:left="4182" w:hanging="481"/>
      </w:pPr>
      <w:rPr>
        <w:rFonts w:hint="default"/>
        <w:lang w:val="en-US" w:eastAsia="zh-CN" w:bidi="ar-SA"/>
      </w:rPr>
    </w:lvl>
    <w:lvl w:ilvl="7" w:tentative="0">
      <w:start w:val="0"/>
      <w:numFmt w:val="bullet"/>
      <w:lvlText w:val="•"/>
      <w:lvlJc w:val="left"/>
      <w:pPr>
        <w:ind w:left="4865" w:hanging="481"/>
      </w:pPr>
      <w:rPr>
        <w:rFonts w:hint="default"/>
        <w:lang w:val="en-US" w:eastAsia="zh-CN" w:bidi="ar-SA"/>
      </w:rPr>
    </w:lvl>
    <w:lvl w:ilvl="8" w:tentative="0">
      <w:start w:val="0"/>
      <w:numFmt w:val="bullet"/>
      <w:lvlText w:val="•"/>
      <w:lvlJc w:val="left"/>
      <w:pPr>
        <w:ind w:left="5549" w:hanging="481"/>
      </w:pPr>
      <w:rPr>
        <w:rFonts w:hint="default"/>
        <w:lang w:val="en-US" w:eastAsia="zh-CN" w:bidi="ar-SA"/>
      </w:rPr>
    </w:lvl>
  </w:abstractNum>
  <w:abstractNum w:abstractNumId="33">
    <w:nsid w:val="0709FD3E"/>
    <w:multiLevelType w:val="multilevel"/>
    <w:tmpl w:val="0709FD3E"/>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34">
    <w:nsid w:val="0CEF100B"/>
    <w:multiLevelType w:val="multilevel"/>
    <w:tmpl w:val="0CEF100B"/>
    <w:lvl w:ilvl="0" w:tentative="0">
      <w:start w:val="1"/>
      <w:numFmt w:val="decimal"/>
      <w:lvlText w:val="（%1）"/>
      <w:lvlJc w:val="left"/>
      <w:pPr>
        <w:ind w:left="181" w:hanging="529"/>
        <w:jc w:val="left"/>
      </w:pPr>
      <w:rPr>
        <w:rFonts w:hint="default" w:ascii="宋体" w:hAnsi="宋体" w:eastAsia="宋体" w:cs="宋体"/>
        <w:b w:val="0"/>
        <w:bCs w:val="0"/>
        <w:i w:val="0"/>
        <w:iCs w:val="0"/>
        <w:spacing w:val="-48"/>
        <w:w w:val="100"/>
        <w:sz w:val="19"/>
        <w:szCs w:val="19"/>
        <w:lang w:val="en-US" w:eastAsia="zh-CN" w:bidi="ar-SA"/>
      </w:rPr>
    </w:lvl>
    <w:lvl w:ilvl="1" w:tentative="0">
      <w:start w:val="1"/>
      <w:numFmt w:val="decimal"/>
      <w:lvlText w:val="（%2）"/>
      <w:lvlJc w:val="left"/>
      <w:pPr>
        <w:ind w:left="815" w:hanging="529"/>
        <w:jc w:val="left"/>
      </w:pPr>
      <w:rPr>
        <w:rFonts w:hint="default" w:ascii="宋体" w:hAnsi="宋体" w:eastAsia="宋体" w:cs="宋体"/>
        <w:b w:val="0"/>
        <w:bCs w:val="0"/>
        <w:i w:val="0"/>
        <w:iCs w:val="0"/>
        <w:w w:val="100"/>
        <w:sz w:val="19"/>
        <w:szCs w:val="19"/>
        <w:lang w:val="en-US" w:eastAsia="zh-CN" w:bidi="ar-SA"/>
      </w:rPr>
    </w:lvl>
    <w:lvl w:ilvl="2" w:tentative="0">
      <w:start w:val="0"/>
      <w:numFmt w:val="bullet"/>
      <w:lvlText w:val="•"/>
      <w:lvlJc w:val="left"/>
      <w:pPr>
        <w:ind w:left="1566" w:hanging="529"/>
      </w:pPr>
      <w:rPr>
        <w:rFonts w:hint="default"/>
        <w:lang w:val="en-US" w:eastAsia="zh-CN" w:bidi="ar-SA"/>
      </w:rPr>
    </w:lvl>
    <w:lvl w:ilvl="3" w:tentative="0">
      <w:start w:val="0"/>
      <w:numFmt w:val="bullet"/>
      <w:lvlText w:val="•"/>
      <w:lvlJc w:val="left"/>
      <w:pPr>
        <w:ind w:left="2313" w:hanging="529"/>
      </w:pPr>
      <w:rPr>
        <w:rFonts w:hint="default"/>
        <w:lang w:val="en-US" w:eastAsia="zh-CN" w:bidi="ar-SA"/>
      </w:rPr>
    </w:lvl>
    <w:lvl w:ilvl="4" w:tentative="0">
      <w:start w:val="0"/>
      <w:numFmt w:val="bullet"/>
      <w:lvlText w:val="•"/>
      <w:lvlJc w:val="left"/>
      <w:pPr>
        <w:ind w:left="3059" w:hanging="529"/>
      </w:pPr>
      <w:rPr>
        <w:rFonts w:hint="default"/>
        <w:lang w:val="en-US" w:eastAsia="zh-CN" w:bidi="ar-SA"/>
      </w:rPr>
    </w:lvl>
    <w:lvl w:ilvl="5" w:tentative="0">
      <w:start w:val="0"/>
      <w:numFmt w:val="bullet"/>
      <w:lvlText w:val="•"/>
      <w:lvlJc w:val="left"/>
      <w:pPr>
        <w:ind w:left="3806" w:hanging="529"/>
      </w:pPr>
      <w:rPr>
        <w:rFonts w:hint="default"/>
        <w:lang w:val="en-US" w:eastAsia="zh-CN" w:bidi="ar-SA"/>
      </w:rPr>
    </w:lvl>
    <w:lvl w:ilvl="6" w:tentative="0">
      <w:start w:val="0"/>
      <w:numFmt w:val="bullet"/>
      <w:lvlText w:val="•"/>
      <w:lvlJc w:val="left"/>
      <w:pPr>
        <w:ind w:left="4553" w:hanging="529"/>
      </w:pPr>
      <w:rPr>
        <w:rFonts w:hint="default"/>
        <w:lang w:val="en-US" w:eastAsia="zh-CN" w:bidi="ar-SA"/>
      </w:rPr>
    </w:lvl>
    <w:lvl w:ilvl="7" w:tentative="0">
      <w:start w:val="0"/>
      <w:numFmt w:val="bullet"/>
      <w:lvlText w:val="•"/>
      <w:lvlJc w:val="left"/>
      <w:pPr>
        <w:ind w:left="5299" w:hanging="529"/>
      </w:pPr>
      <w:rPr>
        <w:rFonts w:hint="default"/>
        <w:lang w:val="en-US" w:eastAsia="zh-CN" w:bidi="ar-SA"/>
      </w:rPr>
    </w:lvl>
    <w:lvl w:ilvl="8" w:tentative="0">
      <w:start w:val="0"/>
      <w:numFmt w:val="bullet"/>
      <w:lvlText w:val="•"/>
      <w:lvlJc w:val="left"/>
      <w:pPr>
        <w:ind w:left="6046" w:hanging="529"/>
      </w:pPr>
      <w:rPr>
        <w:rFonts w:hint="default"/>
        <w:lang w:val="en-US" w:eastAsia="zh-CN" w:bidi="ar-SA"/>
      </w:rPr>
    </w:lvl>
  </w:abstractNum>
  <w:abstractNum w:abstractNumId="35">
    <w:nsid w:val="0E640482"/>
    <w:multiLevelType w:val="multilevel"/>
    <w:tmpl w:val="0E640482"/>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36">
    <w:nsid w:val="0F9F9CCA"/>
    <w:multiLevelType w:val="multilevel"/>
    <w:tmpl w:val="0F9F9CCA"/>
    <w:lvl w:ilvl="0" w:tentative="0">
      <w:start w:val="1"/>
      <w:numFmt w:val="decimal"/>
      <w:lvlText w:val="（%1）"/>
      <w:lvlJc w:val="left"/>
      <w:pPr>
        <w:ind w:left="64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1" w:hanging="529"/>
      </w:pPr>
      <w:rPr>
        <w:rFonts w:hint="default"/>
        <w:lang w:val="en-US" w:eastAsia="zh-CN" w:bidi="ar-SA"/>
      </w:rPr>
    </w:lvl>
    <w:lvl w:ilvl="2" w:tentative="0">
      <w:start w:val="0"/>
      <w:numFmt w:val="bullet"/>
      <w:lvlText w:val="•"/>
      <w:lvlJc w:val="left"/>
      <w:pPr>
        <w:ind w:left="1902" w:hanging="529"/>
      </w:pPr>
      <w:rPr>
        <w:rFonts w:hint="default"/>
        <w:lang w:val="en-US" w:eastAsia="zh-CN" w:bidi="ar-SA"/>
      </w:rPr>
    </w:lvl>
    <w:lvl w:ilvl="3" w:tentative="0">
      <w:start w:val="0"/>
      <w:numFmt w:val="bullet"/>
      <w:lvlText w:val="•"/>
      <w:lvlJc w:val="left"/>
      <w:pPr>
        <w:ind w:left="2533" w:hanging="529"/>
      </w:pPr>
      <w:rPr>
        <w:rFonts w:hint="default"/>
        <w:lang w:val="en-US" w:eastAsia="zh-CN" w:bidi="ar-SA"/>
      </w:rPr>
    </w:lvl>
    <w:lvl w:ilvl="4" w:tentative="0">
      <w:start w:val="0"/>
      <w:numFmt w:val="bullet"/>
      <w:lvlText w:val="•"/>
      <w:lvlJc w:val="left"/>
      <w:pPr>
        <w:ind w:left="3165" w:hanging="529"/>
      </w:pPr>
      <w:rPr>
        <w:rFonts w:hint="default"/>
        <w:lang w:val="en-US" w:eastAsia="zh-CN" w:bidi="ar-SA"/>
      </w:rPr>
    </w:lvl>
    <w:lvl w:ilvl="5" w:tentative="0">
      <w:start w:val="0"/>
      <w:numFmt w:val="bullet"/>
      <w:lvlText w:val="•"/>
      <w:lvlJc w:val="left"/>
      <w:pPr>
        <w:ind w:left="3796" w:hanging="529"/>
      </w:pPr>
      <w:rPr>
        <w:rFonts w:hint="default"/>
        <w:lang w:val="en-US" w:eastAsia="zh-CN" w:bidi="ar-SA"/>
      </w:rPr>
    </w:lvl>
    <w:lvl w:ilvl="6" w:tentative="0">
      <w:start w:val="0"/>
      <w:numFmt w:val="bullet"/>
      <w:lvlText w:val="•"/>
      <w:lvlJc w:val="left"/>
      <w:pPr>
        <w:ind w:left="4427" w:hanging="529"/>
      </w:pPr>
      <w:rPr>
        <w:rFonts w:hint="default"/>
        <w:lang w:val="en-US" w:eastAsia="zh-CN" w:bidi="ar-SA"/>
      </w:rPr>
    </w:lvl>
    <w:lvl w:ilvl="7" w:tentative="0">
      <w:start w:val="0"/>
      <w:numFmt w:val="bullet"/>
      <w:lvlText w:val="•"/>
      <w:lvlJc w:val="left"/>
      <w:pPr>
        <w:ind w:left="5059" w:hanging="529"/>
      </w:pPr>
      <w:rPr>
        <w:rFonts w:hint="default"/>
        <w:lang w:val="en-US" w:eastAsia="zh-CN" w:bidi="ar-SA"/>
      </w:rPr>
    </w:lvl>
    <w:lvl w:ilvl="8" w:tentative="0">
      <w:start w:val="0"/>
      <w:numFmt w:val="bullet"/>
      <w:lvlText w:val="•"/>
      <w:lvlJc w:val="left"/>
      <w:pPr>
        <w:ind w:left="5690" w:hanging="529"/>
      </w:pPr>
      <w:rPr>
        <w:rFonts w:hint="default"/>
        <w:lang w:val="en-US" w:eastAsia="zh-CN" w:bidi="ar-SA"/>
      </w:rPr>
    </w:lvl>
  </w:abstractNum>
  <w:abstractNum w:abstractNumId="37">
    <w:nsid w:val="12EADF99"/>
    <w:multiLevelType w:val="multilevel"/>
    <w:tmpl w:val="12EADF99"/>
    <w:lvl w:ilvl="0" w:tentative="0">
      <w:start w:val="1"/>
      <w:numFmt w:val="decimal"/>
      <w:lvlText w:val="（%1）"/>
      <w:lvlJc w:val="left"/>
      <w:pPr>
        <w:ind w:left="3514"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202" w:hanging="529"/>
      </w:pPr>
      <w:rPr>
        <w:rFonts w:hint="default"/>
        <w:lang w:val="en-US" w:eastAsia="zh-CN" w:bidi="ar-SA"/>
      </w:rPr>
    </w:lvl>
    <w:lvl w:ilvl="2" w:tentative="0">
      <w:start w:val="0"/>
      <w:numFmt w:val="bullet"/>
      <w:lvlText w:val="•"/>
      <w:lvlJc w:val="left"/>
      <w:pPr>
        <w:ind w:left="4884" w:hanging="529"/>
      </w:pPr>
      <w:rPr>
        <w:rFonts w:hint="default"/>
        <w:lang w:val="en-US" w:eastAsia="zh-CN" w:bidi="ar-SA"/>
      </w:rPr>
    </w:lvl>
    <w:lvl w:ilvl="3" w:tentative="0">
      <w:start w:val="0"/>
      <w:numFmt w:val="bullet"/>
      <w:lvlText w:val="•"/>
      <w:lvlJc w:val="left"/>
      <w:pPr>
        <w:ind w:left="5567" w:hanging="529"/>
      </w:pPr>
      <w:rPr>
        <w:rFonts w:hint="default"/>
        <w:lang w:val="en-US" w:eastAsia="zh-CN" w:bidi="ar-SA"/>
      </w:rPr>
    </w:lvl>
    <w:lvl w:ilvl="4" w:tentative="0">
      <w:start w:val="0"/>
      <w:numFmt w:val="bullet"/>
      <w:lvlText w:val="•"/>
      <w:lvlJc w:val="left"/>
      <w:pPr>
        <w:ind w:left="6249" w:hanging="529"/>
      </w:pPr>
      <w:rPr>
        <w:rFonts w:hint="default"/>
        <w:lang w:val="en-US" w:eastAsia="zh-CN" w:bidi="ar-SA"/>
      </w:rPr>
    </w:lvl>
    <w:lvl w:ilvl="5" w:tentative="0">
      <w:start w:val="0"/>
      <w:numFmt w:val="bullet"/>
      <w:lvlText w:val="•"/>
      <w:lvlJc w:val="left"/>
      <w:pPr>
        <w:ind w:left="6932" w:hanging="529"/>
      </w:pPr>
      <w:rPr>
        <w:rFonts w:hint="default"/>
        <w:lang w:val="en-US" w:eastAsia="zh-CN" w:bidi="ar-SA"/>
      </w:rPr>
    </w:lvl>
    <w:lvl w:ilvl="6" w:tentative="0">
      <w:start w:val="0"/>
      <w:numFmt w:val="bullet"/>
      <w:lvlText w:val="•"/>
      <w:lvlJc w:val="left"/>
      <w:pPr>
        <w:ind w:left="7614" w:hanging="529"/>
      </w:pPr>
      <w:rPr>
        <w:rFonts w:hint="default"/>
        <w:lang w:val="en-US" w:eastAsia="zh-CN" w:bidi="ar-SA"/>
      </w:rPr>
    </w:lvl>
    <w:lvl w:ilvl="7" w:tentative="0">
      <w:start w:val="0"/>
      <w:numFmt w:val="bullet"/>
      <w:lvlText w:val="•"/>
      <w:lvlJc w:val="left"/>
      <w:pPr>
        <w:ind w:left="8296" w:hanging="529"/>
      </w:pPr>
      <w:rPr>
        <w:rFonts w:hint="default"/>
        <w:lang w:val="en-US" w:eastAsia="zh-CN" w:bidi="ar-SA"/>
      </w:rPr>
    </w:lvl>
    <w:lvl w:ilvl="8" w:tentative="0">
      <w:start w:val="0"/>
      <w:numFmt w:val="bullet"/>
      <w:lvlText w:val="•"/>
      <w:lvlJc w:val="left"/>
      <w:pPr>
        <w:ind w:left="8979" w:hanging="529"/>
      </w:pPr>
      <w:rPr>
        <w:rFonts w:hint="default"/>
        <w:lang w:val="en-US" w:eastAsia="zh-CN" w:bidi="ar-SA"/>
      </w:rPr>
    </w:lvl>
  </w:abstractNum>
  <w:abstractNum w:abstractNumId="38">
    <w:nsid w:val="1ACDE60F"/>
    <w:multiLevelType w:val="multilevel"/>
    <w:tmpl w:val="1ACDE60F"/>
    <w:lvl w:ilvl="0" w:tentative="0">
      <w:start w:val="1"/>
      <w:numFmt w:val="decimal"/>
      <w:lvlText w:val="（%1）"/>
      <w:lvlJc w:val="left"/>
      <w:pPr>
        <w:ind w:left="180" w:hanging="529"/>
        <w:jc w:val="left"/>
      </w:pPr>
      <w:rPr>
        <w:rFonts w:hint="default" w:ascii="宋体" w:hAnsi="宋体" w:eastAsia="宋体" w:cs="宋体"/>
        <w:b w:val="0"/>
        <w:bCs w:val="0"/>
        <w:i w:val="0"/>
        <w:iCs w:val="0"/>
        <w:spacing w:val="-24"/>
        <w:w w:val="100"/>
        <w:sz w:val="19"/>
        <w:szCs w:val="19"/>
        <w:lang w:val="en-US" w:eastAsia="zh-CN" w:bidi="ar-SA"/>
      </w:rPr>
    </w:lvl>
    <w:lvl w:ilvl="1" w:tentative="0">
      <w:start w:val="0"/>
      <w:numFmt w:val="bullet"/>
      <w:lvlText w:val="•"/>
      <w:lvlJc w:val="left"/>
      <w:pPr>
        <w:ind w:left="915" w:hanging="529"/>
      </w:pPr>
      <w:rPr>
        <w:rFonts w:hint="default"/>
        <w:lang w:val="en-US" w:eastAsia="zh-CN" w:bidi="ar-SA"/>
      </w:rPr>
    </w:lvl>
    <w:lvl w:ilvl="2" w:tentative="0">
      <w:start w:val="0"/>
      <w:numFmt w:val="bullet"/>
      <w:lvlText w:val="•"/>
      <w:lvlJc w:val="left"/>
      <w:pPr>
        <w:ind w:left="1651" w:hanging="529"/>
      </w:pPr>
      <w:rPr>
        <w:rFonts w:hint="default"/>
        <w:lang w:val="en-US" w:eastAsia="zh-CN" w:bidi="ar-SA"/>
      </w:rPr>
    </w:lvl>
    <w:lvl w:ilvl="3" w:tentative="0">
      <w:start w:val="0"/>
      <w:numFmt w:val="bullet"/>
      <w:lvlText w:val="•"/>
      <w:lvlJc w:val="left"/>
      <w:pPr>
        <w:ind w:left="2387" w:hanging="529"/>
      </w:pPr>
      <w:rPr>
        <w:rFonts w:hint="default"/>
        <w:lang w:val="en-US" w:eastAsia="zh-CN" w:bidi="ar-SA"/>
      </w:rPr>
    </w:lvl>
    <w:lvl w:ilvl="4" w:tentative="0">
      <w:start w:val="0"/>
      <w:numFmt w:val="bullet"/>
      <w:lvlText w:val="•"/>
      <w:lvlJc w:val="left"/>
      <w:pPr>
        <w:ind w:left="3123" w:hanging="529"/>
      </w:pPr>
      <w:rPr>
        <w:rFonts w:hint="default"/>
        <w:lang w:val="en-US" w:eastAsia="zh-CN" w:bidi="ar-SA"/>
      </w:rPr>
    </w:lvl>
    <w:lvl w:ilvl="5" w:tentative="0">
      <w:start w:val="0"/>
      <w:numFmt w:val="bullet"/>
      <w:lvlText w:val="•"/>
      <w:lvlJc w:val="left"/>
      <w:pPr>
        <w:ind w:left="3859" w:hanging="529"/>
      </w:pPr>
      <w:rPr>
        <w:rFonts w:hint="default"/>
        <w:lang w:val="en-US" w:eastAsia="zh-CN" w:bidi="ar-SA"/>
      </w:rPr>
    </w:lvl>
    <w:lvl w:ilvl="6" w:tentative="0">
      <w:start w:val="0"/>
      <w:numFmt w:val="bullet"/>
      <w:lvlText w:val="•"/>
      <w:lvlJc w:val="left"/>
      <w:pPr>
        <w:ind w:left="4595" w:hanging="529"/>
      </w:pPr>
      <w:rPr>
        <w:rFonts w:hint="default"/>
        <w:lang w:val="en-US" w:eastAsia="zh-CN" w:bidi="ar-SA"/>
      </w:rPr>
    </w:lvl>
    <w:lvl w:ilvl="7" w:tentative="0">
      <w:start w:val="0"/>
      <w:numFmt w:val="bullet"/>
      <w:lvlText w:val="•"/>
      <w:lvlJc w:val="left"/>
      <w:pPr>
        <w:ind w:left="5331" w:hanging="529"/>
      </w:pPr>
      <w:rPr>
        <w:rFonts w:hint="default"/>
        <w:lang w:val="en-US" w:eastAsia="zh-CN" w:bidi="ar-SA"/>
      </w:rPr>
    </w:lvl>
    <w:lvl w:ilvl="8" w:tentative="0">
      <w:start w:val="0"/>
      <w:numFmt w:val="bullet"/>
      <w:lvlText w:val="•"/>
      <w:lvlJc w:val="left"/>
      <w:pPr>
        <w:ind w:left="6067" w:hanging="529"/>
      </w:pPr>
      <w:rPr>
        <w:rFonts w:hint="default"/>
        <w:lang w:val="en-US" w:eastAsia="zh-CN" w:bidi="ar-SA"/>
      </w:rPr>
    </w:lvl>
  </w:abstractNum>
  <w:abstractNum w:abstractNumId="39">
    <w:nsid w:val="1C257C7B"/>
    <w:multiLevelType w:val="multilevel"/>
    <w:tmpl w:val="1C257C7B"/>
    <w:lvl w:ilvl="0" w:tentative="0">
      <w:start w:val="1"/>
      <w:numFmt w:val="decimal"/>
      <w:lvlText w:val="（%1）"/>
      <w:lvlJc w:val="left"/>
      <w:pPr>
        <w:ind w:left="815"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502" w:hanging="529"/>
      </w:pPr>
      <w:rPr>
        <w:rFonts w:hint="default"/>
        <w:lang w:val="en-US" w:eastAsia="zh-CN" w:bidi="ar-SA"/>
      </w:rPr>
    </w:lvl>
    <w:lvl w:ilvl="2" w:tentative="0">
      <w:start w:val="0"/>
      <w:numFmt w:val="bullet"/>
      <w:lvlText w:val="•"/>
      <w:lvlJc w:val="left"/>
      <w:pPr>
        <w:ind w:left="2185" w:hanging="529"/>
      </w:pPr>
      <w:rPr>
        <w:rFonts w:hint="default"/>
        <w:lang w:val="en-US" w:eastAsia="zh-CN" w:bidi="ar-SA"/>
      </w:rPr>
    </w:lvl>
    <w:lvl w:ilvl="3" w:tentative="0">
      <w:start w:val="0"/>
      <w:numFmt w:val="bullet"/>
      <w:lvlText w:val="•"/>
      <w:lvlJc w:val="left"/>
      <w:pPr>
        <w:ind w:left="2867" w:hanging="529"/>
      </w:pPr>
      <w:rPr>
        <w:rFonts w:hint="default"/>
        <w:lang w:val="en-US" w:eastAsia="zh-CN" w:bidi="ar-SA"/>
      </w:rPr>
    </w:lvl>
    <w:lvl w:ilvl="4" w:tentative="0">
      <w:start w:val="0"/>
      <w:numFmt w:val="bullet"/>
      <w:lvlText w:val="•"/>
      <w:lvlJc w:val="left"/>
      <w:pPr>
        <w:ind w:left="3550" w:hanging="529"/>
      </w:pPr>
      <w:rPr>
        <w:rFonts w:hint="default"/>
        <w:lang w:val="en-US" w:eastAsia="zh-CN" w:bidi="ar-SA"/>
      </w:rPr>
    </w:lvl>
    <w:lvl w:ilvl="5" w:tentative="0">
      <w:start w:val="0"/>
      <w:numFmt w:val="bullet"/>
      <w:lvlText w:val="•"/>
      <w:lvlJc w:val="left"/>
      <w:pPr>
        <w:ind w:left="4232" w:hanging="529"/>
      </w:pPr>
      <w:rPr>
        <w:rFonts w:hint="default"/>
        <w:lang w:val="en-US" w:eastAsia="zh-CN" w:bidi="ar-SA"/>
      </w:rPr>
    </w:lvl>
    <w:lvl w:ilvl="6" w:tentative="0">
      <w:start w:val="0"/>
      <w:numFmt w:val="bullet"/>
      <w:lvlText w:val="•"/>
      <w:lvlJc w:val="left"/>
      <w:pPr>
        <w:ind w:left="4915" w:hanging="529"/>
      </w:pPr>
      <w:rPr>
        <w:rFonts w:hint="default"/>
        <w:lang w:val="en-US" w:eastAsia="zh-CN" w:bidi="ar-SA"/>
      </w:rPr>
    </w:lvl>
    <w:lvl w:ilvl="7" w:tentative="0">
      <w:start w:val="0"/>
      <w:numFmt w:val="bullet"/>
      <w:lvlText w:val="•"/>
      <w:lvlJc w:val="left"/>
      <w:pPr>
        <w:ind w:left="5597" w:hanging="529"/>
      </w:pPr>
      <w:rPr>
        <w:rFonts w:hint="default"/>
        <w:lang w:val="en-US" w:eastAsia="zh-CN" w:bidi="ar-SA"/>
      </w:rPr>
    </w:lvl>
    <w:lvl w:ilvl="8" w:tentative="0">
      <w:start w:val="0"/>
      <w:numFmt w:val="bullet"/>
      <w:lvlText w:val="•"/>
      <w:lvlJc w:val="left"/>
      <w:pPr>
        <w:ind w:left="6280" w:hanging="529"/>
      </w:pPr>
      <w:rPr>
        <w:rFonts w:hint="default"/>
        <w:lang w:val="en-US" w:eastAsia="zh-CN" w:bidi="ar-SA"/>
      </w:rPr>
    </w:lvl>
  </w:abstractNum>
  <w:abstractNum w:abstractNumId="40">
    <w:nsid w:val="23E97754"/>
    <w:multiLevelType w:val="multilevel"/>
    <w:tmpl w:val="23E97754"/>
    <w:lvl w:ilvl="0" w:tentative="0">
      <w:start w:val="1"/>
      <w:numFmt w:val="decimal"/>
      <w:lvlText w:val="（%1）"/>
      <w:lvlJc w:val="left"/>
      <w:pPr>
        <w:ind w:left="3514"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202" w:hanging="529"/>
      </w:pPr>
      <w:rPr>
        <w:rFonts w:hint="default"/>
        <w:lang w:val="en-US" w:eastAsia="zh-CN" w:bidi="ar-SA"/>
      </w:rPr>
    </w:lvl>
    <w:lvl w:ilvl="2" w:tentative="0">
      <w:start w:val="0"/>
      <w:numFmt w:val="bullet"/>
      <w:lvlText w:val="•"/>
      <w:lvlJc w:val="left"/>
      <w:pPr>
        <w:ind w:left="4884" w:hanging="529"/>
      </w:pPr>
      <w:rPr>
        <w:rFonts w:hint="default"/>
        <w:lang w:val="en-US" w:eastAsia="zh-CN" w:bidi="ar-SA"/>
      </w:rPr>
    </w:lvl>
    <w:lvl w:ilvl="3" w:tentative="0">
      <w:start w:val="0"/>
      <w:numFmt w:val="bullet"/>
      <w:lvlText w:val="•"/>
      <w:lvlJc w:val="left"/>
      <w:pPr>
        <w:ind w:left="5567" w:hanging="529"/>
      </w:pPr>
      <w:rPr>
        <w:rFonts w:hint="default"/>
        <w:lang w:val="en-US" w:eastAsia="zh-CN" w:bidi="ar-SA"/>
      </w:rPr>
    </w:lvl>
    <w:lvl w:ilvl="4" w:tentative="0">
      <w:start w:val="0"/>
      <w:numFmt w:val="bullet"/>
      <w:lvlText w:val="•"/>
      <w:lvlJc w:val="left"/>
      <w:pPr>
        <w:ind w:left="6249" w:hanging="529"/>
      </w:pPr>
      <w:rPr>
        <w:rFonts w:hint="default"/>
        <w:lang w:val="en-US" w:eastAsia="zh-CN" w:bidi="ar-SA"/>
      </w:rPr>
    </w:lvl>
    <w:lvl w:ilvl="5" w:tentative="0">
      <w:start w:val="0"/>
      <w:numFmt w:val="bullet"/>
      <w:lvlText w:val="•"/>
      <w:lvlJc w:val="left"/>
      <w:pPr>
        <w:ind w:left="6932" w:hanging="529"/>
      </w:pPr>
      <w:rPr>
        <w:rFonts w:hint="default"/>
        <w:lang w:val="en-US" w:eastAsia="zh-CN" w:bidi="ar-SA"/>
      </w:rPr>
    </w:lvl>
    <w:lvl w:ilvl="6" w:tentative="0">
      <w:start w:val="0"/>
      <w:numFmt w:val="bullet"/>
      <w:lvlText w:val="•"/>
      <w:lvlJc w:val="left"/>
      <w:pPr>
        <w:ind w:left="7614" w:hanging="529"/>
      </w:pPr>
      <w:rPr>
        <w:rFonts w:hint="default"/>
        <w:lang w:val="en-US" w:eastAsia="zh-CN" w:bidi="ar-SA"/>
      </w:rPr>
    </w:lvl>
    <w:lvl w:ilvl="7" w:tentative="0">
      <w:start w:val="0"/>
      <w:numFmt w:val="bullet"/>
      <w:lvlText w:val="•"/>
      <w:lvlJc w:val="left"/>
      <w:pPr>
        <w:ind w:left="8296" w:hanging="529"/>
      </w:pPr>
      <w:rPr>
        <w:rFonts w:hint="default"/>
        <w:lang w:val="en-US" w:eastAsia="zh-CN" w:bidi="ar-SA"/>
      </w:rPr>
    </w:lvl>
    <w:lvl w:ilvl="8" w:tentative="0">
      <w:start w:val="0"/>
      <w:numFmt w:val="bullet"/>
      <w:lvlText w:val="•"/>
      <w:lvlJc w:val="left"/>
      <w:pPr>
        <w:ind w:left="8979" w:hanging="529"/>
      </w:pPr>
      <w:rPr>
        <w:rFonts w:hint="default"/>
        <w:lang w:val="en-US" w:eastAsia="zh-CN" w:bidi="ar-SA"/>
      </w:rPr>
    </w:lvl>
  </w:abstractNum>
  <w:abstractNum w:abstractNumId="41">
    <w:nsid w:val="243FCF68"/>
    <w:multiLevelType w:val="multilevel"/>
    <w:tmpl w:val="243FCF68"/>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42">
    <w:nsid w:val="2470EC97"/>
    <w:multiLevelType w:val="multilevel"/>
    <w:tmpl w:val="2470EC97"/>
    <w:lvl w:ilvl="0" w:tentative="0">
      <w:start w:val="1"/>
      <w:numFmt w:val="decimal"/>
      <w:lvlText w:val="（%1）"/>
      <w:lvlJc w:val="left"/>
      <w:pPr>
        <w:ind w:left="815"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502" w:hanging="529"/>
      </w:pPr>
      <w:rPr>
        <w:rFonts w:hint="default"/>
        <w:lang w:val="en-US" w:eastAsia="zh-CN" w:bidi="ar-SA"/>
      </w:rPr>
    </w:lvl>
    <w:lvl w:ilvl="2" w:tentative="0">
      <w:start w:val="0"/>
      <w:numFmt w:val="bullet"/>
      <w:lvlText w:val="•"/>
      <w:lvlJc w:val="left"/>
      <w:pPr>
        <w:ind w:left="2185" w:hanging="529"/>
      </w:pPr>
      <w:rPr>
        <w:rFonts w:hint="default"/>
        <w:lang w:val="en-US" w:eastAsia="zh-CN" w:bidi="ar-SA"/>
      </w:rPr>
    </w:lvl>
    <w:lvl w:ilvl="3" w:tentative="0">
      <w:start w:val="0"/>
      <w:numFmt w:val="bullet"/>
      <w:lvlText w:val="•"/>
      <w:lvlJc w:val="left"/>
      <w:pPr>
        <w:ind w:left="2867" w:hanging="529"/>
      </w:pPr>
      <w:rPr>
        <w:rFonts w:hint="default"/>
        <w:lang w:val="en-US" w:eastAsia="zh-CN" w:bidi="ar-SA"/>
      </w:rPr>
    </w:lvl>
    <w:lvl w:ilvl="4" w:tentative="0">
      <w:start w:val="0"/>
      <w:numFmt w:val="bullet"/>
      <w:lvlText w:val="•"/>
      <w:lvlJc w:val="left"/>
      <w:pPr>
        <w:ind w:left="3550" w:hanging="529"/>
      </w:pPr>
      <w:rPr>
        <w:rFonts w:hint="default"/>
        <w:lang w:val="en-US" w:eastAsia="zh-CN" w:bidi="ar-SA"/>
      </w:rPr>
    </w:lvl>
    <w:lvl w:ilvl="5" w:tentative="0">
      <w:start w:val="0"/>
      <w:numFmt w:val="bullet"/>
      <w:lvlText w:val="•"/>
      <w:lvlJc w:val="left"/>
      <w:pPr>
        <w:ind w:left="4232" w:hanging="529"/>
      </w:pPr>
      <w:rPr>
        <w:rFonts w:hint="default"/>
        <w:lang w:val="en-US" w:eastAsia="zh-CN" w:bidi="ar-SA"/>
      </w:rPr>
    </w:lvl>
    <w:lvl w:ilvl="6" w:tentative="0">
      <w:start w:val="0"/>
      <w:numFmt w:val="bullet"/>
      <w:lvlText w:val="•"/>
      <w:lvlJc w:val="left"/>
      <w:pPr>
        <w:ind w:left="4915" w:hanging="529"/>
      </w:pPr>
      <w:rPr>
        <w:rFonts w:hint="default"/>
        <w:lang w:val="en-US" w:eastAsia="zh-CN" w:bidi="ar-SA"/>
      </w:rPr>
    </w:lvl>
    <w:lvl w:ilvl="7" w:tentative="0">
      <w:start w:val="0"/>
      <w:numFmt w:val="bullet"/>
      <w:lvlText w:val="•"/>
      <w:lvlJc w:val="left"/>
      <w:pPr>
        <w:ind w:left="5597" w:hanging="529"/>
      </w:pPr>
      <w:rPr>
        <w:rFonts w:hint="default"/>
        <w:lang w:val="en-US" w:eastAsia="zh-CN" w:bidi="ar-SA"/>
      </w:rPr>
    </w:lvl>
    <w:lvl w:ilvl="8" w:tentative="0">
      <w:start w:val="0"/>
      <w:numFmt w:val="bullet"/>
      <w:lvlText w:val="•"/>
      <w:lvlJc w:val="left"/>
      <w:pPr>
        <w:ind w:left="6280" w:hanging="529"/>
      </w:pPr>
      <w:rPr>
        <w:rFonts w:hint="default"/>
        <w:lang w:val="en-US" w:eastAsia="zh-CN" w:bidi="ar-SA"/>
      </w:rPr>
    </w:lvl>
  </w:abstractNum>
  <w:abstractNum w:abstractNumId="43">
    <w:nsid w:val="25B654F3"/>
    <w:multiLevelType w:val="multilevel"/>
    <w:tmpl w:val="25B654F3"/>
    <w:lvl w:ilvl="0" w:tentative="0">
      <w:start w:val="1"/>
      <w:numFmt w:val="decimal"/>
      <w:lvlText w:val="（%1）"/>
      <w:lvlJc w:val="left"/>
      <w:pPr>
        <w:ind w:left="604"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31" w:hanging="529"/>
      </w:pPr>
      <w:rPr>
        <w:rFonts w:hint="default"/>
        <w:lang w:val="en-US" w:eastAsia="zh-CN" w:bidi="ar-SA"/>
      </w:rPr>
    </w:lvl>
    <w:lvl w:ilvl="2" w:tentative="0">
      <w:start w:val="0"/>
      <w:numFmt w:val="bullet"/>
      <w:lvlText w:val="•"/>
      <w:lvlJc w:val="left"/>
      <w:pPr>
        <w:ind w:left="1863" w:hanging="529"/>
      </w:pPr>
      <w:rPr>
        <w:rFonts w:hint="default"/>
        <w:lang w:val="en-US" w:eastAsia="zh-CN" w:bidi="ar-SA"/>
      </w:rPr>
    </w:lvl>
    <w:lvl w:ilvl="3" w:tentative="0">
      <w:start w:val="0"/>
      <w:numFmt w:val="bullet"/>
      <w:lvlText w:val="•"/>
      <w:lvlJc w:val="left"/>
      <w:pPr>
        <w:ind w:left="2495" w:hanging="529"/>
      </w:pPr>
      <w:rPr>
        <w:rFonts w:hint="default"/>
        <w:lang w:val="en-US" w:eastAsia="zh-CN" w:bidi="ar-SA"/>
      </w:rPr>
    </w:lvl>
    <w:lvl w:ilvl="4" w:tentative="0">
      <w:start w:val="0"/>
      <w:numFmt w:val="bullet"/>
      <w:lvlText w:val="•"/>
      <w:lvlJc w:val="left"/>
      <w:pPr>
        <w:ind w:left="3126" w:hanging="529"/>
      </w:pPr>
      <w:rPr>
        <w:rFonts w:hint="default"/>
        <w:lang w:val="en-US" w:eastAsia="zh-CN" w:bidi="ar-SA"/>
      </w:rPr>
    </w:lvl>
    <w:lvl w:ilvl="5" w:tentative="0">
      <w:start w:val="0"/>
      <w:numFmt w:val="bullet"/>
      <w:lvlText w:val="•"/>
      <w:lvlJc w:val="left"/>
      <w:pPr>
        <w:ind w:left="3758" w:hanging="529"/>
      </w:pPr>
      <w:rPr>
        <w:rFonts w:hint="default"/>
        <w:lang w:val="en-US" w:eastAsia="zh-CN" w:bidi="ar-SA"/>
      </w:rPr>
    </w:lvl>
    <w:lvl w:ilvl="6" w:tentative="0">
      <w:start w:val="0"/>
      <w:numFmt w:val="bullet"/>
      <w:lvlText w:val="•"/>
      <w:lvlJc w:val="left"/>
      <w:pPr>
        <w:ind w:left="4390" w:hanging="529"/>
      </w:pPr>
      <w:rPr>
        <w:rFonts w:hint="default"/>
        <w:lang w:val="en-US" w:eastAsia="zh-CN" w:bidi="ar-SA"/>
      </w:rPr>
    </w:lvl>
    <w:lvl w:ilvl="7" w:tentative="0">
      <w:start w:val="0"/>
      <w:numFmt w:val="bullet"/>
      <w:lvlText w:val="•"/>
      <w:lvlJc w:val="left"/>
      <w:pPr>
        <w:ind w:left="5021" w:hanging="529"/>
      </w:pPr>
      <w:rPr>
        <w:rFonts w:hint="default"/>
        <w:lang w:val="en-US" w:eastAsia="zh-CN" w:bidi="ar-SA"/>
      </w:rPr>
    </w:lvl>
    <w:lvl w:ilvl="8" w:tentative="0">
      <w:start w:val="0"/>
      <w:numFmt w:val="bullet"/>
      <w:lvlText w:val="•"/>
      <w:lvlJc w:val="left"/>
      <w:pPr>
        <w:ind w:left="5653" w:hanging="529"/>
      </w:pPr>
      <w:rPr>
        <w:rFonts w:hint="default"/>
        <w:lang w:val="en-US" w:eastAsia="zh-CN" w:bidi="ar-SA"/>
      </w:rPr>
    </w:lvl>
  </w:abstractNum>
  <w:abstractNum w:abstractNumId="44">
    <w:nsid w:val="2A8F537B"/>
    <w:multiLevelType w:val="multilevel"/>
    <w:tmpl w:val="2A8F537B"/>
    <w:lvl w:ilvl="0" w:tentative="0">
      <w:start w:val="1"/>
      <w:numFmt w:val="decimal"/>
      <w:lvlText w:val="(%1)"/>
      <w:lvlJc w:val="left"/>
      <w:pPr>
        <w:ind w:left="286" w:hanging="318"/>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016" w:hanging="318"/>
      </w:pPr>
      <w:rPr>
        <w:rFonts w:hint="default"/>
        <w:lang w:val="en-US" w:eastAsia="zh-CN" w:bidi="ar-SA"/>
      </w:rPr>
    </w:lvl>
    <w:lvl w:ilvl="2" w:tentative="0">
      <w:start w:val="0"/>
      <w:numFmt w:val="bullet"/>
      <w:lvlText w:val="•"/>
      <w:lvlJc w:val="left"/>
      <w:pPr>
        <w:ind w:left="1753" w:hanging="318"/>
      </w:pPr>
      <w:rPr>
        <w:rFonts w:hint="default"/>
        <w:lang w:val="en-US" w:eastAsia="zh-CN" w:bidi="ar-SA"/>
      </w:rPr>
    </w:lvl>
    <w:lvl w:ilvl="3" w:tentative="0">
      <w:start w:val="0"/>
      <w:numFmt w:val="bullet"/>
      <w:lvlText w:val="•"/>
      <w:lvlJc w:val="left"/>
      <w:pPr>
        <w:ind w:left="2489" w:hanging="318"/>
      </w:pPr>
      <w:rPr>
        <w:rFonts w:hint="default"/>
        <w:lang w:val="en-US" w:eastAsia="zh-CN" w:bidi="ar-SA"/>
      </w:rPr>
    </w:lvl>
    <w:lvl w:ilvl="4" w:tentative="0">
      <w:start w:val="0"/>
      <w:numFmt w:val="bullet"/>
      <w:lvlText w:val="•"/>
      <w:lvlJc w:val="left"/>
      <w:pPr>
        <w:ind w:left="3226" w:hanging="318"/>
      </w:pPr>
      <w:rPr>
        <w:rFonts w:hint="default"/>
        <w:lang w:val="en-US" w:eastAsia="zh-CN" w:bidi="ar-SA"/>
      </w:rPr>
    </w:lvl>
    <w:lvl w:ilvl="5" w:tentative="0">
      <w:start w:val="0"/>
      <w:numFmt w:val="bullet"/>
      <w:lvlText w:val="•"/>
      <w:lvlJc w:val="left"/>
      <w:pPr>
        <w:ind w:left="3962" w:hanging="318"/>
      </w:pPr>
      <w:rPr>
        <w:rFonts w:hint="default"/>
        <w:lang w:val="en-US" w:eastAsia="zh-CN" w:bidi="ar-SA"/>
      </w:rPr>
    </w:lvl>
    <w:lvl w:ilvl="6" w:tentative="0">
      <w:start w:val="0"/>
      <w:numFmt w:val="bullet"/>
      <w:lvlText w:val="•"/>
      <w:lvlJc w:val="left"/>
      <w:pPr>
        <w:ind w:left="4699" w:hanging="318"/>
      </w:pPr>
      <w:rPr>
        <w:rFonts w:hint="default"/>
        <w:lang w:val="en-US" w:eastAsia="zh-CN" w:bidi="ar-SA"/>
      </w:rPr>
    </w:lvl>
    <w:lvl w:ilvl="7" w:tentative="0">
      <w:start w:val="0"/>
      <w:numFmt w:val="bullet"/>
      <w:lvlText w:val="•"/>
      <w:lvlJc w:val="left"/>
      <w:pPr>
        <w:ind w:left="5435" w:hanging="318"/>
      </w:pPr>
      <w:rPr>
        <w:rFonts w:hint="default"/>
        <w:lang w:val="en-US" w:eastAsia="zh-CN" w:bidi="ar-SA"/>
      </w:rPr>
    </w:lvl>
    <w:lvl w:ilvl="8" w:tentative="0">
      <w:start w:val="0"/>
      <w:numFmt w:val="bullet"/>
      <w:lvlText w:val="•"/>
      <w:lvlJc w:val="left"/>
      <w:pPr>
        <w:ind w:left="6172" w:hanging="318"/>
      </w:pPr>
      <w:rPr>
        <w:rFonts w:hint="default"/>
        <w:lang w:val="en-US" w:eastAsia="zh-CN" w:bidi="ar-SA"/>
      </w:rPr>
    </w:lvl>
  </w:abstractNum>
  <w:abstractNum w:abstractNumId="45">
    <w:nsid w:val="30A0AC00"/>
    <w:multiLevelType w:val="multilevel"/>
    <w:tmpl w:val="30A0AC00"/>
    <w:lvl w:ilvl="0" w:tentative="0">
      <w:start w:val="0"/>
      <w:numFmt w:val="decimal"/>
      <w:lvlText w:val="%1"/>
      <w:lvlJc w:val="left"/>
      <w:pPr>
        <w:ind w:left="3196" w:hanging="212"/>
        <w:jc w:val="left"/>
      </w:pPr>
      <w:rPr>
        <w:rFonts w:hint="default" w:ascii="Times New Roman" w:hAnsi="Times New Roman" w:eastAsia="Times New Roman" w:cs="Times New Roman"/>
        <w:b w:val="0"/>
        <w:bCs w:val="0"/>
        <w:i w:val="0"/>
        <w:iCs w:val="0"/>
        <w:w w:val="100"/>
        <w:sz w:val="21"/>
        <w:szCs w:val="21"/>
        <w:lang w:val="en-US" w:eastAsia="zh-CN" w:bidi="ar-SA"/>
      </w:rPr>
    </w:lvl>
    <w:lvl w:ilvl="1" w:tentative="0">
      <w:start w:val="0"/>
      <w:numFmt w:val="bullet"/>
      <w:lvlText w:val="•"/>
      <w:lvlJc w:val="left"/>
      <w:pPr>
        <w:ind w:left="3914" w:hanging="212"/>
      </w:pPr>
      <w:rPr>
        <w:rFonts w:hint="default"/>
        <w:lang w:val="en-US" w:eastAsia="zh-CN" w:bidi="ar-SA"/>
      </w:rPr>
    </w:lvl>
    <w:lvl w:ilvl="2" w:tentative="0">
      <w:start w:val="0"/>
      <w:numFmt w:val="bullet"/>
      <w:lvlText w:val="•"/>
      <w:lvlJc w:val="left"/>
      <w:pPr>
        <w:ind w:left="4628" w:hanging="212"/>
      </w:pPr>
      <w:rPr>
        <w:rFonts w:hint="default"/>
        <w:lang w:val="en-US" w:eastAsia="zh-CN" w:bidi="ar-SA"/>
      </w:rPr>
    </w:lvl>
    <w:lvl w:ilvl="3" w:tentative="0">
      <w:start w:val="0"/>
      <w:numFmt w:val="bullet"/>
      <w:lvlText w:val="•"/>
      <w:lvlJc w:val="left"/>
      <w:pPr>
        <w:ind w:left="5343" w:hanging="212"/>
      </w:pPr>
      <w:rPr>
        <w:rFonts w:hint="default"/>
        <w:lang w:val="en-US" w:eastAsia="zh-CN" w:bidi="ar-SA"/>
      </w:rPr>
    </w:lvl>
    <w:lvl w:ilvl="4" w:tentative="0">
      <w:start w:val="0"/>
      <w:numFmt w:val="bullet"/>
      <w:lvlText w:val="•"/>
      <w:lvlJc w:val="left"/>
      <w:pPr>
        <w:ind w:left="6057" w:hanging="212"/>
      </w:pPr>
      <w:rPr>
        <w:rFonts w:hint="default"/>
        <w:lang w:val="en-US" w:eastAsia="zh-CN" w:bidi="ar-SA"/>
      </w:rPr>
    </w:lvl>
    <w:lvl w:ilvl="5" w:tentative="0">
      <w:start w:val="0"/>
      <w:numFmt w:val="bullet"/>
      <w:lvlText w:val="•"/>
      <w:lvlJc w:val="left"/>
      <w:pPr>
        <w:ind w:left="6772" w:hanging="212"/>
      </w:pPr>
      <w:rPr>
        <w:rFonts w:hint="default"/>
        <w:lang w:val="en-US" w:eastAsia="zh-CN" w:bidi="ar-SA"/>
      </w:rPr>
    </w:lvl>
    <w:lvl w:ilvl="6" w:tentative="0">
      <w:start w:val="0"/>
      <w:numFmt w:val="bullet"/>
      <w:lvlText w:val="•"/>
      <w:lvlJc w:val="left"/>
      <w:pPr>
        <w:ind w:left="7486" w:hanging="212"/>
      </w:pPr>
      <w:rPr>
        <w:rFonts w:hint="default"/>
        <w:lang w:val="en-US" w:eastAsia="zh-CN" w:bidi="ar-SA"/>
      </w:rPr>
    </w:lvl>
    <w:lvl w:ilvl="7" w:tentative="0">
      <w:start w:val="0"/>
      <w:numFmt w:val="bullet"/>
      <w:lvlText w:val="•"/>
      <w:lvlJc w:val="left"/>
      <w:pPr>
        <w:ind w:left="8200" w:hanging="212"/>
      </w:pPr>
      <w:rPr>
        <w:rFonts w:hint="default"/>
        <w:lang w:val="en-US" w:eastAsia="zh-CN" w:bidi="ar-SA"/>
      </w:rPr>
    </w:lvl>
    <w:lvl w:ilvl="8" w:tentative="0">
      <w:start w:val="0"/>
      <w:numFmt w:val="bullet"/>
      <w:lvlText w:val="•"/>
      <w:lvlJc w:val="left"/>
      <w:pPr>
        <w:ind w:left="8915" w:hanging="212"/>
      </w:pPr>
      <w:rPr>
        <w:rFonts w:hint="default"/>
        <w:lang w:val="en-US" w:eastAsia="zh-CN" w:bidi="ar-SA"/>
      </w:rPr>
    </w:lvl>
  </w:abstractNum>
  <w:abstractNum w:abstractNumId="46">
    <w:nsid w:val="30FC5B15"/>
    <w:multiLevelType w:val="multilevel"/>
    <w:tmpl w:val="30FC5B15"/>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47">
    <w:nsid w:val="322D85CA"/>
    <w:multiLevelType w:val="multilevel"/>
    <w:tmpl w:val="322D85CA"/>
    <w:lvl w:ilvl="0" w:tentative="0">
      <w:start w:val="1"/>
      <w:numFmt w:val="decimal"/>
      <w:lvlText w:val="（%1）"/>
      <w:lvlJc w:val="left"/>
      <w:pPr>
        <w:ind w:left="181" w:hanging="529"/>
        <w:jc w:val="left"/>
      </w:pPr>
      <w:rPr>
        <w:rFonts w:hint="default" w:ascii="宋体" w:hAnsi="宋体" w:eastAsia="宋体" w:cs="宋体"/>
        <w:b w:val="0"/>
        <w:bCs w:val="0"/>
        <w:i w:val="0"/>
        <w:iCs w:val="0"/>
        <w:spacing w:val="-48"/>
        <w:w w:val="100"/>
        <w:sz w:val="19"/>
        <w:szCs w:val="19"/>
        <w:lang w:val="en-US" w:eastAsia="zh-CN" w:bidi="ar-SA"/>
      </w:rPr>
    </w:lvl>
    <w:lvl w:ilvl="1" w:tentative="0">
      <w:start w:val="0"/>
      <w:numFmt w:val="bullet"/>
      <w:lvlText w:val="•"/>
      <w:lvlJc w:val="left"/>
      <w:pPr>
        <w:ind w:left="915" w:hanging="529"/>
      </w:pPr>
      <w:rPr>
        <w:rFonts w:hint="default"/>
        <w:lang w:val="en-US" w:eastAsia="zh-CN" w:bidi="ar-SA"/>
      </w:rPr>
    </w:lvl>
    <w:lvl w:ilvl="2" w:tentative="0">
      <w:start w:val="0"/>
      <w:numFmt w:val="bullet"/>
      <w:lvlText w:val="•"/>
      <w:lvlJc w:val="left"/>
      <w:pPr>
        <w:ind w:left="1651" w:hanging="529"/>
      </w:pPr>
      <w:rPr>
        <w:rFonts w:hint="default"/>
        <w:lang w:val="en-US" w:eastAsia="zh-CN" w:bidi="ar-SA"/>
      </w:rPr>
    </w:lvl>
    <w:lvl w:ilvl="3" w:tentative="0">
      <w:start w:val="0"/>
      <w:numFmt w:val="bullet"/>
      <w:lvlText w:val="•"/>
      <w:lvlJc w:val="left"/>
      <w:pPr>
        <w:ind w:left="2387" w:hanging="529"/>
      </w:pPr>
      <w:rPr>
        <w:rFonts w:hint="default"/>
        <w:lang w:val="en-US" w:eastAsia="zh-CN" w:bidi="ar-SA"/>
      </w:rPr>
    </w:lvl>
    <w:lvl w:ilvl="4" w:tentative="0">
      <w:start w:val="0"/>
      <w:numFmt w:val="bullet"/>
      <w:lvlText w:val="•"/>
      <w:lvlJc w:val="left"/>
      <w:pPr>
        <w:ind w:left="3123" w:hanging="529"/>
      </w:pPr>
      <w:rPr>
        <w:rFonts w:hint="default"/>
        <w:lang w:val="en-US" w:eastAsia="zh-CN" w:bidi="ar-SA"/>
      </w:rPr>
    </w:lvl>
    <w:lvl w:ilvl="5" w:tentative="0">
      <w:start w:val="0"/>
      <w:numFmt w:val="bullet"/>
      <w:lvlText w:val="•"/>
      <w:lvlJc w:val="left"/>
      <w:pPr>
        <w:ind w:left="3859" w:hanging="529"/>
      </w:pPr>
      <w:rPr>
        <w:rFonts w:hint="default"/>
        <w:lang w:val="en-US" w:eastAsia="zh-CN" w:bidi="ar-SA"/>
      </w:rPr>
    </w:lvl>
    <w:lvl w:ilvl="6" w:tentative="0">
      <w:start w:val="0"/>
      <w:numFmt w:val="bullet"/>
      <w:lvlText w:val="•"/>
      <w:lvlJc w:val="left"/>
      <w:pPr>
        <w:ind w:left="4595" w:hanging="529"/>
      </w:pPr>
      <w:rPr>
        <w:rFonts w:hint="default"/>
        <w:lang w:val="en-US" w:eastAsia="zh-CN" w:bidi="ar-SA"/>
      </w:rPr>
    </w:lvl>
    <w:lvl w:ilvl="7" w:tentative="0">
      <w:start w:val="0"/>
      <w:numFmt w:val="bullet"/>
      <w:lvlText w:val="•"/>
      <w:lvlJc w:val="left"/>
      <w:pPr>
        <w:ind w:left="5331" w:hanging="529"/>
      </w:pPr>
      <w:rPr>
        <w:rFonts w:hint="default"/>
        <w:lang w:val="en-US" w:eastAsia="zh-CN" w:bidi="ar-SA"/>
      </w:rPr>
    </w:lvl>
    <w:lvl w:ilvl="8" w:tentative="0">
      <w:start w:val="0"/>
      <w:numFmt w:val="bullet"/>
      <w:lvlText w:val="•"/>
      <w:lvlJc w:val="left"/>
      <w:pPr>
        <w:ind w:left="6067" w:hanging="529"/>
      </w:pPr>
      <w:rPr>
        <w:rFonts w:hint="default"/>
        <w:lang w:val="en-US" w:eastAsia="zh-CN" w:bidi="ar-SA"/>
      </w:rPr>
    </w:lvl>
  </w:abstractNum>
  <w:abstractNum w:abstractNumId="48">
    <w:nsid w:val="32A7AF2D"/>
    <w:multiLevelType w:val="multilevel"/>
    <w:tmpl w:val="32A7AF2D"/>
    <w:lvl w:ilvl="0" w:tentative="0">
      <w:start w:val="1"/>
      <w:numFmt w:val="decimal"/>
      <w:lvlText w:val="（%1）"/>
      <w:lvlJc w:val="left"/>
      <w:pPr>
        <w:ind w:left="815"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502" w:hanging="529"/>
      </w:pPr>
      <w:rPr>
        <w:rFonts w:hint="default"/>
        <w:lang w:val="en-US" w:eastAsia="zh-CN" w:bidi="ar-SA"/>
      </w:rPr>
    </w:lvl>
    <w:lvl w:ilvl="2" w:tentative="0">
      <w:start w:val="0"/>
      <w:numFmt w:val="bullet"/>
      <w:lvlText w:val="•"/>
      <w:lvlJc w:val="left"/>
      <w:pPr>
        <w:ind w:left="2185" w:hanging="529"/>
      </w:pPr>
      <w:rPr>
        <w:rFonts w:hint="default"/>
        <w:lang w:val="en-US" w:eastAsia="zh-CN" w:bidi="ar-SA"/>
      </w:rPr>
    </w:lvl>
    <w:lvl w:ilvl="3" w:tentative="0">
      <w:start w:val="0"/>
      <w:numFmt w:val="bullet"/>
      <w:lvlText w:val="•"/>
      <w:lvlJc w:val="left"/>
      <w:pPr>
        <w:ind w:left="2867" w:hanging="529"/>
      </w:pPr>
      <w:rPr>
        <w:rFonts w:hint="default"/>
        <w:lang w:val="en-US" w:eastAsia="zh-CN" w:bidi="ar-SA"/>
      </w:rPr>
    </w:lvl>
    <w:lvl w:ilvl="4" w:tentative="0">
      <w:start w:val="0"/>
      <w:numFmt w:val="bullet"/>
      <w:lvlText w:val="•"/>
      <w:lvlJc w:val="left"/>
      <w:pPr>
        <w:ind w:left="3550" w:hanging="529"/>
      </w:pPr>
      <w:rPr>
        <w:rFonts w:hint="default"/>
        <w:lang w:val="en-US" w:eastAsia="zh-CN" w:bidi="ar-SA"/>
      </w:rPr>
    </w:lvl>
    <w:lvl w:ilvl="5" w:tentative="0">
      <w:start w:val="0"/>
      <w:numFmt w:val="bullet"/>
      <w:lvlText w:val="•"/>
      <w:lvlJc w:val="left"/>
      <w:pPr>
        <w:ind w:left="4232" w:hanging="529"/>
      </w:pPr>
      <w:rPr>
        <w:rFonts w:hint="default"/>
        <w:lang w:val="en-US" w:eastAsia="zh-CN" w:bidi="ar-SA"/>
      </w:rPr>
    </w:lvl>
    <w:lvl w:ilvl="6" w:tentative="0">
      <w:start w:val="0"/>
      <w:numFmt w:val="bullet"/>
      <w:lvlText w:val="•"/>
      <w:lvlJc w:val="left"/>
      <w:pPr>
        <w:ind w:left="4915" w:hanging="529"/>
      </w:pPr>
      <w:rPr>
        <w:rFonts w:hint="default"/>
        <w:lang w:val="en-US" w:eastAsia="zh-CN" w:bidi="ar-SA"/>
      </w:rPr>
    </w:lvl>
    <w:lvl w:ilvl="7" w:tentative="0">
      <w:start w:val="0"/>
      <w:numFmt w:val="bullet"/>
      <w:lvlText w:val="•"/>
      <w:lvlJc w:val="left"/>
      <w:pPr>
        <w:ind w:left="5597" w:hanging="529"/>
      </w:pPr>
      <w:rPr>
        <w:rFonts w:hint="default"/>
        <w:lang w:val="en-US" w:eastAsia="zh-CN" w:bidi="ar-SA"/>
      </w:rPr>
    </w:lvl>
    <w:lvl w:ilvl="8" w:tentative="0">
      <w:start w:val="0"/>
      <w:numFmt w:val="bullet"/>
      <w:lvlText w:val="•"/>
      <w:lvlJc w:val="left"/>
      <w:pPr>
        <w:ind w:left="6280" w:hanging="529"/>
      </w:pPr>
      <w:rPr>
        <w:rFonts w:hint="default"/>
        <w:lang w:val="en-US" w:eastAsia="zh-CN" w:bidi="ar-SA"/>
      </w:rPr>
    </w:lvl>
  </w:abstractNum>
  <w:abstractNum w:abstractNumId="49">
    <w:nsid w:val="35E83B33"/>
    <w:multiLevelType w:val="multilevel"/>
    <w:tmpl w:val="35E83B33"/>
    <w:lvl w:ilvl="0" w:tentative="0">
      <w:start w:val="1"/>
      <w:numFmt w:val="decimal"/>
      <w:lvlText w:val="（%1）"/>
      <w:lvlJc w:val="left"/>
      <w:pPr>
        <w:ind w:left="111" w:hanging="529"/>
        <w:jc w:val="left"/>
      </w:pPr>
      <w:rPr>
        <w:rFonts w:hint="default" w:ascii="宋体" w:hAnsi="宋体" w:eastAsia="宋体" w:cs="宋体"/>
        <w:b w:val="0"/>
        <w:bCs w:val="0"/>
        <w:i w:val="0"/>
        <w:iCs w:val="0"/>
        <w:spacing w:val="-48"/>
        <w:w w:val="100"/>
        <w:sz w:val="19"/>
        <w:szCs w:val="19"/>
        <w:lang w:val="en-US" w:eastAsia="zh-CN" w:bidi="ar-SA"/>
      </w:rPr>
    </w:lvl>
    <w:lvl w:ilvl="1" w:tentative="0">
      <w:start w:val="0"/>
      <w:numFmt w:val="bullet"/>
      <w:lvlText w:val="•"/>
      <w:lvlJc w:val="left"/>
      <w:pPr>
        <w:ind w:left="803" w:hanging="529"/>
      </w:pPr>
      <w:rPr>
        <w:rFonts w:hint="default"/>
        <w:lang w:val="en-US" w:eastAsia="zh-CN" w:bidi="ar-SA"/>
      </w:rPr>
    </w:lvl>
    <w:lvl w:ilvl="2" w:tentative="0">
      <w:start w:val="0"/>
      <w:numFmt w:val="bullet"/>
      <w:lvlText w:val="•"/>
      <w:lvlJc w:val="left"/>
      <w:pPr>
        <w:ind w:left="1486" w:hanging="529"/>
      </w:pPr>
      <w:rPr>
        <w:rFonts w:hint="default"/>
        <w:lang w:val="en-US" w:eastAsia="zh-CN" w:bidi="ar-SA"/>
      </w:rPr>
    </w:lvl>
    <w:lvl w:ilvl="3" w:tentative="0">
      <w:start w:val="0"/>
      <w:numFmt w:val="bullet"/>
      <w:lvlText w:val="•"/>
      <w:lvlJc w:val="left"/>
      <w:pPr>
        <w:ind w:left="2169" w:hanging="529"/>
      </w:pPr>
      <w:rPr>
        <w:rFonts w:hint="default"/>
        <w:lang w:val="en-US" w:eastAsia="zh-CN" w:bidi="ar-SA"/>
      </w:rPr>
    </w:lvl>
    <w:lvl w:ilvl="4" w:tentative="0">
      <w:start w:val="0"/>
      <w:numFmt w:val="bullet"/>
      <w:lvlText w:val="•"/>
      <w:lvlJc w:val="left"/>
      <w:pPr>
        <w:ind w:left="2853" w:hanging="529"/>
      </w:pPr>
      <w:rPr>
        <w:rFonts w:hint="default"/>
        <w:lang w:val="en-US" w:eastAsia="zh-CN" w:bidi="ar-SA"/>
      </w:rPr>
    </w:lvl>
    <w:lvl w:ilvl="5" w:tentative="0">
      <w:start w:val="0"/>
      <w:numFmt w:val="bullet"/>
      <w:lvlText w:val="•"/>
      <w:lvlJc w:val="left"/>
      <w:pPr>
        <w:ind w:left="3536" w:hanging="529"/>
      </w:pPr>
      <w:rPr>
        <w:rFonts w:hint="default"/>
        <w:lang w:val="en-US" w:eastAsia="zh-CN" w:bidi="ar-SA"/>
      </w:rPr>
    </w:lvl>
    <w:lvl w:ilvl="6" w:tentative="0">
      <w:start w:val="0"/>
      <w:numFmt w:val="bullet"/>
      <w:lvlText w:val="•"/>
      <w:lvlJc w:val="left"/>
      <w:pPr>
        <w:ind w:left="4219" w:hanging="529"/>
      </w:pPr>
      <w:rPr>
        <w:rFonts w:hint="default"/>
        <w:lang w:val="en-US" w:eastAsia="zh-CN" w:bidi="ar-SA"/>
      </w:rPr>
    </w:lvl>
    <w:lvl w:ilvl="7" w:tentative="0">
      <w:start w:val="0"/>
      <w:numFmt w:val="bullet"/>
      <w:lvlText w:val="•"/>
      <w:lvlJc w:val="left"/>
      <w:pPr>
        <w:ind w:left="4903" w:hanging="529"/>
      </w:pPr>
      <w:rPr>
        <w:rFonts w:hint="default"/>
        <w:lang w:val="en-US" w:eastAsia="zh-CN" w:bidi="ar-SA"/>
      </w:rPr>
    </w:lvl>
    <w:lvl w:ilvl="8" w:tentative="0">
      <w:start w:val="0"/>
      <w:numFmt w:val="bullet"/>
      <w:lvlText w:val="•"/>
      <w:lvlJc w:val="left"/>
      <w:pPr>
        <w:ind w:left="5586" w:hanging="529"/>
      </w:pPr>
      <w:rPr>
        <w:rFonts w:hint="default"/>
        <w:lang w:val="en-US" w:eastAsia="zh-CN" w:bidi="ar-SA"/>
      </w:rPr>
    </w:lvl>
  </w:abstractNum>
  <w:abstractNum w:abstractNumId="50">
    <w:nsid w:val="39A0D9AC"/>
    <w:multiLevelType w:val="multilevel"/>
    <w:tmpl w:val="39A0D9AC"/>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51">
    <w:nsid w:val="3B8127DF"/>
    <w:multiLevelType w:val="multilevel"/>
    <w:tmpl w:val="3B8127DF"/>
    <w:lvl w:ilvl="0" w:tentative="0">
      <w:start w:val="8"/>
      <w:numFmt w:val="decimal"/>
      <w:lvlText w:val="%1"/>
      <w:lvlJc w:val="left"/>
      <w:pPr>
        <w:ind w:left="2985" w:hanging="951"/>
        <w:jc w:val="left"/>
      </w:pPr>
      <w:rPr>
        <w:rFonts w:hint="default"/>
        <w:lang w:val="en-US" w:eastAsia="zh-CN" w:bidi="ar-SA"/>
      </w:rPr>
    </w:lvl>
    <w:lvl w:ilvl="1" w:tentative="0">
      <w:start w:val="24"/>
      <w:numFmt w:val="decimal"/>
      <w:lvlText w:val="%1.%2"/>
      <w:lvlJc w:val="left"/>
      <w:pPr>
        <w:ind w:left="2985" w:hanging="951"/>
        <w:jc w:val="left"/>
      </w:pPr>
      <w:rPr>
        <w:rFonts w:hint="default" w:ascii="Microsoft JhengHei" w:hAnsi="Microsoft JhengHei" w:eastAsia="Microsoft JhengHei" w:cs="Microsoft JhengHei"/>
        <w:b/>
        <w:bCs/>
        <w:i w:val="0"/>
        <w:iCs w:val="0"/>
        <w:w w:val="84"/>
        <w:sz w:val="21"/>
        <w:szCs w:val="21"/>
        <w:lang w:val="en-US" w:eastAsia="zh-CN" w:bidi="ar-SA"/>
      </w:rPr>
    </w:lvl>
    <w:lvl w:ilvl="2" w:tentative="0">
      <w:start w:val="0"/>
      <w:numFmt w:val="bullet"/>
      <w:lvlText w:val="•"/>
      <w:lvlJc w:val="left"/>
      <w:pPr>
        <w:ind w:left="4452" w:hanging="951"/>
      </w:pPr>
      <w:rPr>
        <w:rFonts w:hint="default"/>
        <w:lang w:val="en-US" w:eastAsia="zh-CN" w:bidi="ar-SA"/>
      </w:rPr>
    </w:lvl>
    <w:lvl w:ilvl="3" w:tentative="0">
      <w:start w:val="0"/>
      <w:numFmt w:val="bullet"/>
      <w:lvlText w:val="•"/>
      <w:lvlJc w:val="left"/>
      <w:pPr>
        <w:ind w:left="5189" w:hanging="951"/>
      </w:pPr>
      <w:rPr>
        <w:rFonts w:hint="default"/>
        <w:lang w:val="en-US" w:eastAsia="zh-CN" w:bidi="ar-SA"/>
      </w:rPr>
    </w:lvl>
    <w:lvl w:ilvl="4" w:tentative="0">
      <w:start w:val="0"/>
      <w:numFmt w:val="bullet"/>
      <w:lvlText w:val="•"/>
      <w:lvlJc w:val="left"/>
      <w:pPr>
        <w:ind w:left="5925" w:hanging="951"/>
      </w:pPr>
      <w:rPr>
        <w:rFonts w:hint="default"/>
        <w:lang w:val="en-US" w:eastAsia="zh-CN" w:bidi="ar-SA"/>
      </w:rPr>
    </w:lvl>
    <w:lvl w:ilvl="5" w:tentative="0">
      <w:start w:val="0"/>
      <w:numFmt w:val="bullet"/>
      <w:lvlText w:val="•"/>
      <w:lvlJc w:val="left"/>
      <w:pPr>
        <w:ind w:left="6662" w:hanging="951"/>
      </w:pPr>
      <w:rPr>
        <w:rFonts w:hint="default"/>
        <w:lang w:val="en-US" w:eastAsia="zh-CN" w:bidi="ar-SA"/>
      </w:rPr>
    </w:lvl>
    <w:lvl w:ilvl="6" w:tentative="0">
      <w:start w:val="0"/>
      <w:numFmt w:val="bullet"/>
      <w:lvlText w:val="•"/>
      <w:lvlJc w:val="left"/>
      <w:pPr>
        <w:ind w:left="7398" w:hanging="951"/>
      </w:pPr>
      <w:rPr>
        <w:rFonts w:hint="default"/>
        <w:lang w:val="en-US" w:eastAsia="zh-CN" w:bidi="ar-SA"/>
      </w:rPr>
    </w:lvl>
    <w:lvl w:ilvl="7" w:tentative="0">
      <w:start w:val="0"/>
      <w:numFmt w:val="bullet"/>
      <w:lvlText w:val="•"/>
      <w:lvlJc w:val="left"/>
      <w:pPr>
        <w:ind w:left="8134" w:hanging="951"/>
      </w:pPr>
      <w:rPr>
        <w:rFonts w:hint="default"/>
        <w:lang w:val="en-US" w:eastAsia="zh-CN" w:bidi="ar-SA"/>
      </w:rPr>
    </w:lvl>
    <w:lvl w:ilvl="8" w:tentative="0">
      <w:start w:val="0"/>
      <w:numFmt w:val="bullet"/>
      <w:lvlText w:val="•"/>
      <w:lvlJc w:val="left"/>
      <w:pPr>
        <w:ind w:left="8871" w:hanging="951"/>
      </w:pPr>
      <w:rPr>
        <w:rFonts w:hint="default"/>
        <w:lang w:val="en-US" w:eastAsia="zh-CN" w:bidi="ar-SA"/>
      </w:rPr>
    </w:lvl>
  </w:abstractNum>
  <w:abstractNum w:abstractNumId="52">
    <w:nsid w:val="40B249F9"/>
    <w:multiLevelType w:val="multilevel"/>
    <w:tmpl w:val="40B249F9"/>
    <w:lvl w:ilvl="0" w:tentative="0">
      <w:start w:val="1"/>
      <w:numFmt w:val="decimal"/>
      <w:lvlText w:val="（%1）"/>
      <w:lvlJc w:val="left"/>
      <w:pPr>
        <w:ind w:left="64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271" w:hanging="529"/>
      </w:pPr>
      <w:rPr>
        <w:rFonts w:hint="default"/>
        <w:lang w:val="en-US" w:eastAsia="zh-CN" w:bidi="ar-SA"/>
      </w:rPr>
    </w:lvl>
    <w:lvl w:ilvl="2" w:tentative="0">
      <w:start w:val="0"/>
      <w:numFmt w:val="bullet"/>
      <w:lvlText w:val="•"/>
      <w:lvlJc w:val="left"/>
      <w:pPr>
        <w:ind w:left="1902" w:hanging="529"/>
      </w:pPr>
      <w:rPr>
        <w:rFonts w:hint="default"/>
        <w:lang w:val="en-US" w:eastAsia="zh-CN" w:bidi="ar-SA"/>
      </w:rPr>
    </w:lvl>
    <w:lvl w:ilvl="3" w:tentative="0">
      <w:start w:val="0"/>
      <w:numFmt w:val="bullet"/>
      <w:lvlText w:val="•"/>
      <w:lvlJc w:val="left"/>
      <w:pPr>
        <w:ind w:left="2533" w:hanging="529"/>
      </w:pPr>
      <w:rPr>
        <w:rFonts w:hint="default"/>
        <w:lang w:val="en-US" w:eastAsia="zh-CN" w:bidi="ar-SA"/>
      </w:rPr>
    </w:lvl>
    <w:lvl w:ilvl="4" w:tentative="0">
      <w:start w:val="0"/>
      <w:numFmt w:val="bullet"/>
      <w:lvlText w:val="•"/>
      <w:lvlJc w:val="left"/>
      <w:pPr>
        <w:ind w:left="3165" w:hanging="529"/>
      </w:pPr>
      <w:rPr>
        <w:rFonts w:hint="default"/>
        <w:lang w:val="en-US" w:eastAsia="zh-CN" w:bidi="ar-SA"/>
      </w:rPr>
    </w:lvl>
    <w:lvl w:ilvl="5" w:tentative="0">
      <w:start w:val="0"/>
      <w:numFmt w:val="bullet"/>
      <w:lvlText w:val="•"/>
      <w:lvlJc w:val="left"/>
      <w:pPr>
        <w:ind w:left="3796" w:hanging="529"/>
      </w:pPr>
      <w:rPr>
        <w:rFonts w:hint="default"/>
        <w:lang w:val="en-US" w:eastAsia="zh-CN" w:bidi="ar-SA"/>
      </w:rPr>
    </w:lvl>
    <w:lvl w:ilvl="6" w:tentative="0">
      <w:start w:val="0"/>
      <w:numFmt w:val="bullet"/>
      <w:lvlText w:val="•"/>
      <w:lvlJc w:val="left"/>
      <w:pPr>
        <w:ind w:left="4427" w:hanging="529"/>
      </w:pPr>
      <w:rPr>
        <w:rFonts w:hint="default"/>
        <w:lang w:val="en-US" w:eastAsia="zh-CN" w:bidi="ar-SA"/>
      </w:rPr>
    </w:lvl>
    <w:lvl w:ilvl="7" w:tentative="0">
      <w:start w:val="0"/>
      <w:numFmt w:val="bullet"/>
      <w:lvlText w:val="•"/>
      <w:lvlJc w:val="left"/>
      <w:pPr>
        <w:ind w:left="5059" w:hanging="529"/>
      </w:pPr>
      <w:rPr>
        <w:rFonts w:hint="default"/>
        <w:lang w:val="en-US" w:eastAsia="zh-CN" w:bidi="ar-SA"/>
      </w:rPr>
    </w:lvl>
    <w:lvl w:ilvl="8" w:tentative="0">
      <w:start w:val="0"/>
      <w:numFmt w:val="bullet"/>
      <w:lvlText w:val="•"/>
      <w:lvlJc w:val="left"/>
      <w:pPr>
        <w:ind w:left="5690" w:hanging="529"/>
      </w:pPr>
      <w:rPr>
        <w:rFonts w:hint="default"/>
        <w:lang w:val="en-US" w:eastAsia="zh-CN" w:bidi="ar-SA"/>
      </w:rPr>
    </w:lvl>
  </w:abstractNum>
  <w:abstractNum w:abstractNumId="53">
    <w:nsid w:val="46A08BB8"/>
    <w:multiLevelType w:val="multilevel"/>
    <w:tmpl w:val="46A08BB8"/>
    <w:lvl w:ilvl="0" w:tentative="0">
      <w:start w:val="1"/>
      <w:numFmt w:val="decimal"/>
      <w:lvlText w:val="（%1）"/>
      <w:lvlJc w:val="left"/>
      <w:pPr>
        <w:ind w:left="18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915" w:hanging="529"/>
      </w:pPr>
      <w:rPr>
        <w:rFonts w:hint="default"/>
        <w:lang w:val="en-US" w:eastAsia="zh-CN" w:bidi="ar-SA"/>
      </w:rPr>
    </w:lvl>
    <w:lvl w:ilvl="2" w:tentative="0">
      <w:start w:val="0"/>
      <w:numFmt w:val="bullet"/>
      <w:lvlText w:val="•"/>
      <w:lvlJc w:val="left"/>
      <w:pPr>
        <w:ind w:left="1651" w:hanging="529"/>
      </w:pPr>
      <w:rPr>
        <w:rFonts w:hint="default"/>
        <w:lang w:val="en-US" w:eastAsia="zh-CN" w:bidi="ar-SA"/>
      </w:rPr>
    </w:lvl>
    <w:lvl w:ilvl="3" w:tentative="0">
      <w:start w:val="0"/>
      <w:numFmt w:val="bullet"/>
      <w:lvlText w:val="•"/>
      <w:lvlJc w:val="left"/>
      <w:pPr>
        <w:ind w:left="2387" w:hanging="529"/>
      </w:pPr>
      <w:rPr>
        <w:rFonts w:hint="default"/>
        <w:lang w:val="en-US" w:eastAsia="zh-CN" w:bidi="ar-SA"/>
      </w:rPr>
    </w:lvl>
    <w:lvl w:ilvl="4" w:tentative="0">
      <w:start w:val="0"/>
      <w:numFmt w:val="bullet"/>
      <w:lvlText w:val="•"/>
      <w:lvlJc w:val="left"/>
      <w:pPr>
        <w:ind w:left="3123" w:hanging="529"/>
      </w:pPr>
      <w:rPr>
        <w:rFonts w:hint="default"/>
        <w:lang w:val="en-US" w:eastAsia="zh-CN" w:bidi="ar-SA"/>
      </w:rPr>
    </w:lvl>
    <w:lvl w:ilvl="5" w:tentative="0">
      <w:start w:val="0"/>
      <w:numFmt w:val="bullet"/>
      <w:lvlText w:val="•"/>
      <w:lvlJc w:val="left"/>
      <w:pPr>
        <w:ind w:left="3859" w:hanging="529"/>
      </w:pPr>
      <w:rPr>
        <w:rFonts w:hint="default"/>
        <w:lang w:val="en-US" w:eastAsia="zh-CN" w:bidi="ar-SA"/>
      </w:rPr>
    </w:lvl>
    <w:lvl w:ilvl="6" w:tentative="0">
      <w:start w:val="0"/>
      <w:numFmt w:val="bullet"/>
      <w:lvlText w:val="•"/>
      <w:lvlJc w:val="left"/>
      <w:pPr>
        <w:ind w:left="4595" w:hanging="529"/>
      </w:pPr>
      <w:rPr>
        <w:rFonts w:hint="default"/>
        <w:lang w:val="en-US" w:eastAsia="zh-CN" w:bidi="ar-SA"/>
      </w:rPr>
    </w:lvl>
    <w:lvl w:ilvl="7" w:tentative="0">
      <w:start w:val="0"/>
      <w:numFmt w:val="bullet"/>
      <w:lvlText w:val="•"/>
      <w:lvlJc w:val="left"/>
      <w:pPr>
        <w:ind w:left="5331" w:hanging="529"/>
      </w:pPr>
      <w:rPr>
        <w:rFonts w:hint="default"/>
        <w:lang w:val="en-US" w:eastAsia="zh-CN" w:bidi="ar-SA"/>
      </w:rPr>
    </w:lvl>
    <w:lvl w:ilvl="8" w:tentative="0">
      <w:start w:val="0"/>
      <w:numFmt w:val="bullet"/>
      <w:lvlText w:val="•"/>
      <w:lvlJc w:val="left"/>
      <w:pPr>
        <w:ind w:left="6067" w:hanging="529"/>
      </w:pPr>
      <w:rPr>
        <w:rFonts w:hint="default"/>
        <w:lang w:val="en-US" w:eastAsia="zh-CN" w:bidi="ar-SA"/>
      </w:rPr>
    </w:lvl>
  </w:abstractNum>
  <w:abstractNum w:abstractNumId="54">
    <w:nsid w:val="4C1BAE26"/>
    <w:multiLevelType w:val="multilevel"/>
    <w:tmpl w:val="4C1BAE26"/>
    <w:lvl w:ilvl="0" w:tentative="0">
      <w:start w:val="1"/>
      <w:numFmt w:val="decimal"/>
      <w:lvlText w:val="（%1）"/>
      <w:lvlJc w:val="left"/>
      <w:pPr>
        <w:ind w:left="709"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383" w:hanging="529"/>
      </w:pPr>
      <w:rPr>
        <w:rFonts w:hint="default"/>
        <w:lang w:val="en-US" w:eastAsia="zh-CN" w:bidi="ar-SA"/>
      </w:rPr>
    </w:lvl>
    <w:lvl w:ilvl="2" w:tentative="0">
      <w:start w:val="0"/>
      <w:numFmt w:val="bullet"/>
      <w:lvlText w:val="•"/>
      <w:lvlJc w:val="left"/>
      <w:pPr>
        <w:ind w:left="2067" w:hanging="529"/>
      </w:pPr>
      <w:rPr>
        <w:rFonts w:hint="default"/>
        <w:lang w:val="en-US" w:eastAsia="zh-CN" w:bidi="ar-SA"/>
      </w:rPr>
    </w:lvl>
    <w:lvl w:ilvl="3" w:tentative="0">
      <w:start w:val="0"/>
      <w:numFmt w:val="bullet"/>
      <w:lvlText w:val="•"/>
      <w:lvlJc w:val="left"/>
      <w:pPr>
        <w:ind w:left="2751" w:hanging="529"/>
      </w:pPr>
      <w:rPr>
        <w:rFonts w:hint="default"/>
        <w:lang w:val="en-US" w:eastAsia="zh-CN" w:bidi="ar-SA"/>
      </w:rPr>
    </w:lvl>
    <w:lvl w:ilvl="4" w:tentative="0">
      <w:start w:val="0"/>
      <w:numFmt w:val="bullet"/>
      <w:lvlText w:val="•"/>
      <w:lvlJc w:val="left"/>
      <w:pPr>
        <w:ind w:left="3435" w:hanging="529"/>
      </w:pPr>
      <w:rPr>
        <w:rFonts w:hint="default"/>
        <w:lang w:val="en-US" w:eastAsia="zh-CN" w:bidi="ar-SA"/>
      </w:rPr>
    </w:lvl>
    <w:lvl w:ilvl="5" w:tentative="0">
      <w:start w:val="0"/>
      <w:numFmt w:val="bullet"/>
      <w:lvlText w:val="•"/>
      <w:lvlJc w:val="left"/>
      <w:pPr>
        <w:ind w:left="4119" w:hanging="529"/>
      </w:pPr>
      <w:rPr>
        <w:rFonts w:hint="default"/>
        <w:lang w:val="en-US" w:eastAsia="zh-CN" w:bidi="ar-SA"/>
      </w:rPr>
    </w:lvl>
    <w:lvl w:ilvl="6" w:tentative="0">
      <w:start w:val="0"/>
      <w:numFmt w:val="bullet"/>
      <w:lvlText w:val="•"/>
      <w:lvlJc w:val="left"/>
      <w:pPr>
        <w:ind w:left="4803" w:hanging="529"/>
      </w:pPr>
      <w:rPr>
        <w:rFonts w:hint="default"/>
        <w:lang w:val="en-US" w:eastAsia="zh-CN" w:bidi="ar-SA"/>
      </w:rPr>
    </w:lvl>
    <w:lvl w:ilvl="7" w:tentative="0">
      <w:start w:val="0"/>
      <w:numFmt w:val="bullet"/>
      <w:lvlText w:val="•"/>
      <w:lvlJc w:val="left"/>
      <w:pPr>
        <w:ind w:left="5487" w:hanging="529"/>
      </w:pPr>
      <w:rPr>
        <w:rFonts w:hint="default"/>
        <w:lang w:val="en-US" w:eastAsia="zh-CN" w:bidi="ar-SA"/>
      </w:rPr>
    </w:lvl>
    <w:lvl w:ilvl="8" w:tentative="0">
      <w:start w:val="0"/>
      <w:numFmt w:val="bullet"/>
      <w:lvlText w:val="•"/>
      <w:lvlJc w:val="left"/>
      <w:pPr>
        <w:ind w:left="6171" w:hanging="529"/>
      </w:pPr>
      <w:rPr>
        <w:rFonts w:hint="default"/>
        <w:lang w:val="en-US" w:eastAsia="zh-CN" w:bidi="ar-SA"/>
      </w:rPr>
    </w:lvl>
  </w:abstractNum>
  <w:abstractNum w:abstractNumId="55">
    <w:nsid w:val="4C3D7A74"/>
    <w:multiLevelType w:val="multilevel"/>
    <w:tmpl w:val="4C3D7A74"/>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56">
    <w:nsid w:val="4D4DC07F"/>
    <w:multiLevelType w:val="multilevel"/>
    <w:tmpl w:val="4D4DC07F"/>
    <w:lvl w:ilvl="0" w:tentative="0">
      <w:start w:val="1"/>
      <w:numFmt w:val="lowerLetter"/>
      <w:lvlText w:val="%1."/>
      <w:lvlJc w:val="left"/>
      <w:pPr>
        <w:ind w:left="180" w:hanging="213"/>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915" w:hanging="213"/>
      </w:pPr>
      <w:rPr>
        <w:rFonts w:hint="default"/>
        <w:lang w:val="en-US" w:eastAsia="zh-CN" w:bidi="ar-SA"/>
      </w:rPr>
    </w:lvl>
    <w:lvl w:ilvl="2" w:tentative="0">
      <w:start w:val="0"/>
      <w:numFmt w:val="bullet"/>
      <w:lvlText w:val="•"/>
      <w:lvlJc w:val="left"/>
      <w:pPr>
        <w:ind w:left="1651" w:hanging="213"/>
      </w:pPr>
      <w:rPr>
        <w:rFonts w:hint="default"/>
        <w:lang w:val="en-US" w:eastAsia="zh-CN" w:bidi="ar-SA"/>
      </w:rPr>
    </w:lvl>
    <w:lvl w:ilvl="3" w:tentative="0">
      <w:start w:val="0"/>
      <w:numFmt w:val="bullet"/>
      <w:lvlText w:val="•"/>
      <w:lvlJc w:val="left"/>
      <w:pPr>
        <w:ind w:left="2387" w:hanging="213"/>
      </w:pPr>
      <w:rPr>
        <w:rFonts w:hint="default"/>
        <w:lang w:val="en-US" w:eastAsia="zh-CN" w:bidi="ar-SA"/>
      </w:rPr>
    </w:lvl>
    <w:lvl w:ilvl="4" w:tentative="0">
      <w:start w:val="0"/>
      <w:numFmt w:val="bullet"/>
      <w:lvlText w:val="•"/>
      <w:lvlJc w:val="left"/>
      <w:pPr>
        <w:ind w:left="3123" w:hanging="213"/>
      </w:pPr>
      <w:rPr>
        <w:rFonts w:hint="default"/>
        <w:lang w:val="en-US" w:eastAsia="zh-CN" w:bidi="ar-SA"/>
      </w:rPr>
    </w:lvl>
    <w:lvl w:ilvl="5" w:tentative="0">
      <w:start w:val="0"/>
      <w:numFmt w:val="bullet"/>
      <w:lvlText w:val="•"/>
      <w:lvlJc w:val="left"/>
      <w:pPr>
        <w:ind w:left="3859" w:hanging="213"/>
      </w:pPr>
      <w:rPr>
        <w:rFonts w:hint="default"/>
        <w:lang w:val="en-US" w:eastAsia="zh-CN" w:bidi="ar-SA"/>
      </w:rPr>
    </w:lvl>
    <w:lvl w:ilvl="6" w:tentative="0">
      <w:start w:val="0"/>
      <w:numFmt w:val="bullet"/>
      <w:lvlText w:val="•"/>
      <w:lvlJc w:val="left"/>
      <w:pPr>
        <w:ind w:left="4595" w:hanging="213"/>
      </w:pPr>
      <w:rPr>
        <w:rFonts w:hint="default"/>
        <w:lang w:val="en-US" w:eastAsia="zh-CN" w:bidi="ar-SA"/>
      </w:rPr>
    </w:lvl>
    <w:lvl w:ilvl="7" w:tentative="0">
      <w:start w:val="0"/>
      <w:numFmt w:val="bullet"/>
      <w:lvlText w:val="•"/>
      <w:lvlJc w:val="left"/>
      <w:pPr>
        <w:ind w:left="5331" w:hanging="213"/>
      </w:pPr>
      <w:rPr>
        <w:rFonts w:hint="default"/>
        <w:lang w:val="en-US" w:eastAsia="zh-CN" w:bidi="ar-SA"/>
      </w:rPr>
    </w:lvl>
    <w:lvl w:ilvl="8" w:tentative="0">
      <w:start w:val="0"/>
      <w:numFmt w:val="bullet"/>
      <w:lvlText w:val="•"/>
      <w:lvlJc w:val="left"/>
      <w:pPr>
        <w:ind w:left="6067" w:hanging="213"/>
      </w:pPr>
      <w:rPr>
        <w:rFonts w:hint="default"/>
        <w:lang w:val="en-US" w:eastAsia="zh-CN" w:bidi="ar-SA"/>
      </w:rPr>
    </w:lvl>
  </w:abstractNum>
  <w:abstractNum w:abstractNumId="57">
    <w:nsid w:val="4D94DA66"/>
    <w:multiLevelType w:val="multilevel"/>
    <w:tmpl w:val="4D94DA66"/>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58">
    <w:nsid w:val="58765686"/>
    <w:multiLevelType w:val="multilevel"/>
    <w:tmpl w:val="58765686"/>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59">
    <w:nsid w:val="59ADCABA"/>
    <w:multiLevelType w:val="multilevel"/>
    <w:tmpl w:val="59ADCABA"/>
    <w:lvl w:ilvl="0" w:tentative="0">
      <w:start w:val="1"/>
      <w:numFmt w:val="decimal"/>
      <w:lvlText w:val="（%1）"/>
      <w:lvlJc w:val="left"/>
      <w:pPr>
        <w:ind w:left="815"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502" w:hanging="529"/>
      </w:pPr>
      <w:rPr>
        <w:rFonts w:hint="default"/>
        <w:lang w:val="en-US" w:eastAsia="zh-CN" w:bidi="ar-SA"/>
      </w:rPr>
    </w:lvl>
    <w:lvl w:ilvl="2" w:tentative="0">
      <w:start w:val="0"/>
      <w:numFmt w:val="bullet"/>
      <w:lvlText w:val="•"/>
      <w:lvlJc w:val="left"/>
      <w:pPr>
        <w:ind w:left="2185" w:hanging="529"/>
      </w:pPr>
      <w:rPr>
        <w:rFonts w:hint="default"/>
        <w:lang w:val="en-US" w:eastAsia="zh-CN" w:bidi="ar-SA"/>
      </w:rPr>
    </w:lvl>
    <w:lvl w:ilvl="3" w:tentative="0">
      <w:start w:val="0"/>
      <w:numFmt w:val="bullet"/>
      <w:lvlText w:val="•"/>
      <w:lvlJc w:val="left"/>
      <w:pPr>
        <w:ind w:left="2867" w:hanging="529"/>
      </w:pPr>
      <w:rPr>
        <w:rFonts w:hint="default"/>
        <w:lang w:val="en-US" w:eastAsia="zh-CN" w:bidi="ar-SA"/>
      </w:rPr>
    </w:lvl>
    <w:lvl w:ilvl="4" w:tentative="0">
      <w:start w:val="0"/>
      <w:numFmt w:val="bullet"/>
      <w:lvlText w:val="•"/>
      <w:lvlJc w:val="left"/>
      <w:pPr>
        <w:ind w:left="3550" w:hanging="529"/>
      </w:pPr>
      <w:rPr>
        <w:rFonts w:hint="default"/>
        <w:lang w:val="en-US" w:eastAsia="zh-CN" w:bidi="ar-SA"/>
      </w:rPr>
    </w:lvl>
    <w:lvl w:ilvl="5" w:tentative="0">
      <w:start w:val="0"/>
      <w:numFmt w:val="bullet"/>
      <w:lvlText w:val="•"/>
      <w:lvlJc w:val="left"/>
      <w:pPr>
        <w:ind w:left="4232" w:hanging="529"/>
      </w:pPr>
      <w:rPr>
        <w:rFonts w:hint="default"/>
        <w:lang w:val="en-US" w:eastAsia="zh-CN" w:bidi="ar-SA"/>
      </w:rPr>
    </w:lvl>
    <w:lvl w:ilvl="6" w:tentative="0">
      <w:start w:val="0"/>
      <w:numFmt w:val="bullet"/>
      <w:lvlText w:val="•"/>
      <w:lvlJc w:val="left"/>
      <w:pPr>
        <w:ind w:left="4915" w:hanging="529"/>
      </w:pPr>
      <w:rPr>
        <w:rFonts w:hint="default"/>
        <w:lang w:val="en-US" w:eastAsia="zh-CN" w:bidi="ar-SA"/>
      </w:rPr>
    </w:lvl>
    <w:lvl w:ilvl="7" w:tentative="0">
      <w:start w:val="0"/>
      <w:numFmt w:val="bullet"/>
      <w:lvlText w:val="•"/>
      <w:lvlJc w:val="left"/>
      <w:pPr>
        <w:ind w:left="5597" w:hanging="529"/>
      </w:pPr>
      <w:rPr>
        <w:rFonts w:hint="default"/>
        <w:lang w:val="en-US" w:eastAsia="zh-CN" w:bidi="ar-SA"/>
      </w:rPr>
    </w:lvl>
    <w:lvl w:ilvl="8" w:tentative="0">
      <w:start w:val="0"/>
      <w:numFmt w:val="bullet"/>
      <w:lvlText w:val="•"/>
      <w:lvlJc w:val="left"/>
      <w:pPr>
        <w:ind w:left="6280" w:hanging="529"/>
      </w:pPr>
      <w:rPr>
        <w:rFonts w:hint="default"/>
        <w:lang w:val="en-US" w:eastAsia="zh-CN" w:bidi="ar-SA"/>
      </w:rPr>
    </w:lvl>
  </w:abstractNum>
  <w:abstractNum w:abstractNumId="60">
    <w:nsid w:val="5A241D34"/>
    <w:multiLevelType w:val="multilevel"/>
    <w:tmpl w:val="5A241D34"/>
    <w:lvl w:ilvl="0" w:tentative="0">
      <w:start w:val="7"/>
      <w:numFmt w:val="decimal"/>
      <w:lvlText w:val="%1"/>
      <w:lvlJc w:val="left"/>
      <w:pPr>
        <w:ind w:left="1391" w:hanging="961"/>
        <w:jc w:val="left"/>
      </w:pPr>
      <w:rPr>
        <w:rFonts w:hint="default" w:ascii="Microsoft JhengHei" w:hAnsi="Microsoft JhengHei" w:eastAsia="Microsoft JhengHei" w:cs="Microsoft JhengHei"/>
        <w:b/>
        <w:bCs/>
        <w:i w:val="0"/>
        <w:iCs w:val="0"/>
        <w:w w:val="83"/>
        <w:sz w:val="24"/>
        <w:szCs w:val="24"/>
        <w:lang w:val="en-US" w:eastAsia="zh-CN" w:bidi="ar-SA"/>
      </w:rPr>
    </w:lvl>
    <w:lvl w:ilvl="1" w:tentative="0">
      <w:start w:val="1"/>
      <w:numFmt w:val="decimal"/>
      <w:lvlText w:val="%1.%2"/>
      <w:lvlJc w:val="left"/>
      <w:pPr>
        <w:ind w:left="2985" w:hanging="961"/>
        <w:jc w:val="left"/>
      </w:pPr>
      <w:rPr>
        <w:rFonts w:hint="default" w:ascii="Microsoft JhengHei" w:hAnsi="Microsoft JhengHei" w:eastAsia="Microsoft JhengHei" w:cs="Microsoft JhengHei"/>
        <w:b/>
        <w:bCs/>
        <w:i w:val="0"/>
        <w:iCs w:val="0"/>
        <w:w w:val="104"/>
        <w:sz w:val="21"/>
        <w:szCs w:val="21"/>
        <w:lang w:val="en-US" w:eastAsia="zh-CN" w:bidi="ar-SA"/>
      </w:rPr>
    </w:lvl>
    <w:lvl w:ilvl="2" w:tentative="0">
      <w:start w:val="1"/>
      <w:numFmt w:val="decimal"/>
      <w:lvlText w:val="%3."/>
      <w:lvlJc w:val="left"/>
      <w:pPr>
        <w:ind w:left="1708" w:hanging="317"/>
        <w:jc w:val="left"/>
      </w:pPr>
      <w:rPr>
        <w:rFonts w:hint="default" w:ascii="Microsoft JhengHei" w:hAnsi="Microsoft JhengHei" w:eastAsia="Microsoft JhengHei" w:cs="Microsoft JhengHei"/>
        <w:b/>
        <w:bCs/>
        <w:i w:val="0"/>
        <w:iCs w:val="0"/>
        <w:w w:val="104"/>
        <w:sz w:val="21"/>
        <w:szCs w:val="21"/>
        <w:lang w:val="en-US" w:eastAsia="zh-CN" w:bidi="ar-SA"/>
      </w:rPr>
    </w:lvl>
    <w:lvl w:ilvl="3" w:tentative="0">
      <w:start w:val="1"/>
      <w:numFmt w:val="decimal"/>
      <w:lvlText w:val="（%4）"/>
      <w:lvlJc w:val="left"/>
      <w:pPr>
        <w:ind w:left="3514" w:hanging="529"/>
        <w:jc w:val="left"/>
      </w:pPr>
      <w:rPr>
        <w:rFonts w:hint="default" w:ascii="宋体" w:hAnsi="宋体" w:eastAsia="宋体" w:cs="宋体"/>
        <w:b w:val="0"/>
        <w:bCs w:val="0"/>
        <w:i w:val="0"/>
        <w:iCs w:val="0"/>
        <w:w w:val="100"/>
        <w:sz w:val="19"/>
        <w:szCs w:val="19"/>
        <w:lang w:val="en-US" w:eastAsia="zh-CN" w:bidi="ar-SA"/>
      </w:rPr>
    </w:lvl>
    <w:lvl w:ilvl="4" w:tentative="0">
      <w:start w:val="0"/>
      <w:numFmt w:val="bullet"/>
      <w:lvlText w:val="•"/>
      <w:lvlJc w:val="left"/>
      <w:pPr>
        <w:ind w:left="3412" w:hanging="529"/>
      </w:pPr>
      <w:rPr>
        <w:rFonts w:hint="default"/>
        <w:lang w:val="en-US" w:eastAsia="zh-CN" w:bidi="ar-SA"/>
      </w:rPr>
    </w:lvl>
    <w:lvl w:ilvl="5" w:tentative="0">
      <w:start w:val="0"/>
      <w:numFmt w:val="bullet"/>
      <w:lvlText w:val="•"/>
      <w:lvlJc w:val="left"/>
      <w:pPr>
        <w:ind w:left="3304" w:hanging="529"/>
      </w:pPr>
      <w:rPr>
        <w:rFonts w:hint="default"/>
        <w:lang w:val="en-US" w:eastAsia="zh-CN" w:bidi="ar-SA"/>
      </w:rPr>
    </w:lvl>
    <w:lvl w:ilvl="6" w:tentative="0">
      <w:start w:val="0"/>
      <w:numFmt w:val="bullet"/>
      <w:lvlText w:val="•"/>
      <w:lvlJc w:val="left"/>
      <w:pPr>
        <w:ind w:left="3196" w:hanging="529"/>
      </w:pPr>
      <w:rPr>
        <w:rFonts w:hint="default"/>
        <w:lang w:val="en-US" w:eastAsia="zh-CN" w:bidi="ar-SA"/>
      </w:rPr>
    </w:lvl>
    <w:lvl w:ilvl="7" w:tentative="0">
      <w:start w:val="0"/>
      <w:numFmt w:val="bullet"/>
      <w:lvlText w:val="•"/>
      <w:lvlJc w:val="left"/>
      <w:pPr>
        <w:ind w:left="3088" w:hanging="529"/>
      </w:pPr>
      <w:rPr>
        <w:rFonts w:hint="default"/>
        <w:lang w:val="en-US" w:eastAsia="zh-CN" w:bidi="ar-SA"/>
      </w:rPr>
    </w:lvl>
    <w:lvl w:ilvl="8" w:tentative="0">
      <w:start w:val="0"/>
      <w:numFmt w:val="bullet"/>
      <w:lvlText w:val="•"/>
      <w:lvlJc w:val="left"/>
      <w:pPr>
        <w:ind w:left="2980" w:hanging="529"/>
      </w:pPr>
      <w:rPr>
        <w:rFonts w:hint="default"/>
        <w:lang w:val="en-US" w:eastAsia="zh-CN" w:bidi="ar-SA"/>
      </w:rPr>
    </w:lvl>
  </w:abstractNum>
  <w:abstractNum w:abstractNumId="61">
    <w:nsid w:val="5E29AB5A"/>
    <w:multiLevelType w:val="multilevel"/>
    <w:tmpl w:val="5E29AB5A"/>
    <w:lvl w:ilvl="0" w:tentative="0">
      <w:start w:val="1"/>
      <w:numFmt w:val="decimal"/>
      <w:lvlText w:val="（%1）"/>
      <w:lvlJc w:val="left"/>
      <w:pPr>
        <w:ind w:left="181" w:hanging="529"/>
        <w:jc w:val="left"/>
      </w:pPr>
      <w:rPr>
        <w:rFonts w:hint="default" w:ascii="宋体" w:hAnsi="宋体" w:eastAsia="宋体" w:cs="宋体"/>
        <w:b w:val="0"/>
        <w:bCs w:val="0"/>
        <w:i w:val="0"/>
        <w:iCs w:val="0"/>
        <w:spacing w:val="-91"/>
        <w:w w:val="100"/>
        <w:sz w:val="19"/>
        <w:szCs w:val="19"/>
        <w:lang w:val="en-US" w:eastAsia="zh-CN" w:bidi="ar-SA"/>
      </w:rPr>
    </w:lvl>
    <w:lvl w:ilvl="1" w:tentative="0">
      <w:start w:val="0"/>
      <w:numFmt w:val="bullet"/>
      <w:lvlText w:val="•"/>
      <w:lvlJc w:val="left"/>
      <w:pPr>
        <w:ind w:left="915" w:hanging="529"/>
      </w:pPr>
      <w:rPr>
        <w:rFonts w:hint="default"/>
        <w:lang w:val="en-US" w:eastAsia="zh-CN" w:bidi="ar-SA"/>
      </w:rPr>
    </w:lvl>
    <w:lvl w:ilvl="2" w:tentative="0">
      <w:start w:val="0"/>
      <w:numFmt w:val="bullet"/>
      <w:lvlText w:val="•"/>
      <w:lvlJc w:val="left"/>
      <w:pPr>
        <w:ind w:left="1651" w:hanging="529"/>
      </w:pPr>
      <w:rPr>
        <w:rFonts w:hint="default"/>
        <w:lang w:val="en-US" w:eastAsia="zh-CN" w:bidi="ar-SA"/>
      </w:rPr>
    </w:lvl>
    <w:lvl w:ilvl="3" w:tentative="0">
      <w:start w:val="0"/>
      <w:numFmt w:val="bullet"/>
      <w:lvlText w:val="•"/>
      <w:lvlJc w:val="left"/>
      <w:pPr>
        <w:ind w:left="2387" w:hanging="529"/>
      </w:pPr>
      <w:rPr>
        <w:rFonts w:hint="default"/>
        <w:lang w:val="en-US" w:eastAsia="zh-CN" w:bidi="ar-SA"/>
      </w:rPr>
    </w:lvl>
    <w:lvl w:ilvl="4" w:tentative="0">
      <w:start w:val="0"/>
      <w:numFmt w:val="bullet"/>
      <w:lvlText w:val="•"/>
      <w:lvlJc w:val="left"/>
      <w:pPr>
        <w:ind w:left="3123" w:hanging="529"/>
      </w:pPr>
      <w:rPr>
        <w:rFonts w:hint="default"/>
        <w:lang w:val="en-US" w:eastAsia="zh-CN" w:bidi="ar-SA"/>
      </w:rPr>
    </w:lvl>
    <w:lvl w:ilvl="5" w:tentative="0">
      <w:start w:val="0"/>
      <w:numFmt w:val="bullet"/>
      <w:lvlText w:val="•"/>
      <w:lvlJc w:val="left"/>
      <w:pPr>
        <w:ind w:left="3859" w:hanging="529"/>
      </w:pPr>
      <w:rPr>
        <w:rFonts w:hint="default"/>
        <w:lang w:val="en-US" w:eastAsia="zh-CN" w:bidi="ar-SA"/>
      </w:rPr>
    </w:lvl>
    <w:lvl w:ilvl="6" w:tentative="0">
      <w:start w:val="0"/>
      <w:numFmt w:val="bullet"/>
      <w:lvlText w:val="•"/>
      <w:lvlJc w:val="left"/>
      <w:pPr>
        <w:ind w:left="4595" w:hanging="529"/>
      </w:pPr>
      <w:rPr>
        <w:rFonts w:hint="default"/>
        <w:lang w:val="en-US" w:eastAsia="zh-CN" w:bidi="ar-SA"/>
      </w:rPr>
    </w:lvl>
    <w:lvl w:ilvl="7" w:tentative="0">
      <w:start w:val="0"/>
      <w:numFmt w:val="bullet"/>
      <w:lvlText w:val="•"/>
      <w:lvlJc w:val="left"/>
      <w:pPr>
        <w:ind w:left="5331" w:hanging="529"/>
      </w:pPr>
      <w:rPr>
        <w:rFonts w:hint="default"/>
        <w:lang w:val="en-US" w:eastAsia="zh-CN" w:bidi="ar-SA"/>
      </w:rPr>
    </w:lvl>
    <w:lvl w:ilvl="8" w:tentative="0">
      <w:start w:val="0"/>
      <w:numFmt w:val="bullet"/>
      <w:lvlText w:val="•"/>
      <w:lvlJc w:val="left"/>
      <w:pPr>
        <w:ind w:left="6067" w:hanging="529"/>
      </w:pPr>
      <w:rPr>
        <w:rFonts w:hint="default"/>
        <w:lang w:val="en-US" w:eastAsia="zh-CN" w:bidi="ar-SA"/>
      </w:rPr>
    </w:lvl>
  </w:abstractNum>
  <w:abstractNum w:abstractNumId="62">
    <w:nsid w:val="5FFFB1A7"/>
    <w:multiLevelType w:val="multilevel"/>
    <w:tmpl w:val="5FFFB1A7"/>
    <w:lvl w:ilvl="0" w:tentative="0">
      <w:start w:val="1"/>
      <w:numFmt w:val="decimal"/>
      <w:lvlText w:val="（%1）"/>
      <w:lvlJc w:val="left"/>
      <w:pPr>
        <w:ind w:left="181" w:hanging="529"/>
        <w:jc w:val="left"/>
      </w:pPr>
      <w:rPr>
        <w:rFonts w:hint="default" w:ascii="宋体" w:hAnsi="宋体" w:eastAsia="宋体" w:cs="宋体"/>
        <w:b w:val="0"/>
        <w:bCs w:val="0"/>
        <w:i w:val="0"/>
        <w:iCs w:val="0"/>
        <w:spacing w:val="-48"/>
        <w:w w:val="100"/>
        <w:sz w:val="19"/>
        <w:szCs w:val="19"/>
        <w:lang w:val="en-US" w:eastAsia="zh-CN" w:bidi="ar-SA"/>
      </w:rPr>
    </w:lvl>
    <w:lvl w:ilvl="1" w:tentative="0">
      <w:start w:val="0"/>
      <w:numFmt w:val="bullet"/>
      <w:lvlText w:val="•"/>
      <w:lvlJc w:val="left"/>
      <w:pPr>
        <w:ind w:left="915" w:hanging="529"/>
      </w:pPr>
      <w:rPr>
        <w:rFonts w:hint="default"/>
        <w:lang w:val="en-US" w:eastAsia="zh-CN" w:bidi="ar-SA"/>
      </w:rPr>
    </w:lvl>
    <w:lvl w:ilvl="2" w:tentative="0">
      <w:start w:val="0"/>
      <w:numFmt w:val="bullet"/>
      <w:lvlText w:val="•"/>
      <w:lvlJc w:val="left"/>
      <w:pPr>
        <w:ind w:left="1651" w:hanging="529"/>
      </w:pPr>
      <w:rPr>
        <w:rFonts w:hint="default"/>
        <w:lang w:val="en-US" w:eastAsia="zh-CN" w:bidi="ar-SA"/>
      </w:rPr>
    </w:lvl>
    <w:lvl w:ilvl="3" w:tentative="0">
      <w:start w:val="0"/>
      <w:numFmt w:val="bullet"/>
      <w:lvlText w:val="•"/>
      <w:lvlJc w:val="left"/>
      <w:pPr>
        <w:ind w:left="2387" w:hanging="529"/>
      </w:pPr>
      <w:rPr>
        <w:rFonts w:hint="default"/>
        <w:lang w:val="en-US" w:eastAsia="zh-CN" w:bidi="ar-SA"/>
      </w:rPr>
    </w:lvl>
    <w:lvl w:ilvl="4" w:tentative="0">
      <w:start w:val="0"/>
      <w:numFmt w:val="bullet"/>
      <w:lvlText w:val="•"/>
      <w:lvlJc w:val="left"/>
      <w:pPr>
        <w:ind w:left="3123" w:hanging="529"/>
      </w:pPr>
      <w:rPr>
        <w:rFonts w:hint="default"/>
        <w:lang w:val="en-US" w:eastAsia="zh-CN" w:bidi="ar-SA"/>
      </w:rPr>
    </w:lvl>
    <w:lvl w:ilvl="5" w:tentative="0">
      <w:start w:val="0"/>
      <w:numFmt w:val="bullet"/>
      <w:lvlText w:val="•"/>
      <w:lvlJc w:val="left"/>
      <w:pPr>
        <w:ind w:left="3859" w:hanging="529"/>
      </w:pPr>
      <w:rPr>
        <w:rFonts w:hint="default"/>
        <w:lang w:val="en-US" w:eastAsia="zh-CN" w:bidi="ar-SA"/>
      </w:rPr>
    </w:lvl>
    <w:lvl w:ilvl="6" w:tentative="0">
      <w:start w:val="0"/>
      <w:numFmt w:val="bullet"/>
      <w:lvlText w:val="•"/>
      <w:lvlJc w:val="left"/>
      <w:pPr>
        <w:ind w:left="4595" w:hanging="529"/>
      </w:pPr>
      <w:rPr>
        <w:rFonts w:hint="default"/>
        <w:lang w:val="en-US" w:eastAsia="zh-CN" w:bidi="ar-SA"/>
      </w:rPr>
    </w:lvl>
    <w:lvl w:ilvl="7" w:tentative="0">
      <w:start w:val="0"/>
      <w:numFmt w:val="bullet"/>
      <w:lvlText w:val="•"/>
      <w:lvlJc w:val="left"/>
      <w:pPr>
        <w:ind w:left="5331" w:hanging="529"/>
      </w:pPr>
      <w:rPr>
        <w:rFonts w:hint="default"/>
        <w:lang w:val="en-US" w:eastAsia="zh-CN" w:bidi="ar-SA"/>
      </w:rPr>
    </w:lvl>
    <w:lvl w:ilvl="8" w:tentative="0">
      <w:start w:val="0"/>
      <w:numFmt w:val="bullet"/>
      <w:lvlText w:val="•"/>
      <w:lvlJc w:val="left"/>
      <w:pPr>
        <w:ind w:left="6067" w:hanging="529"/>
      </w:pPr>
      <w:rPr>
        <w:rFonts w:hint="default"/>
        <w:lang w:val="en-US" w:eastAsia="zh-CN" w:bidi="ar-SA"/>
      </w:rPr>
    </w:lvl>
  </w:abstractNum>
  <w:abstractNum w:abstractNumId="63">
    <w:nsid w:val="60382F6E"/>
    <w:multiLevelType w:val="multilevel"/>
    <w:tmpl w:val="60382F6E"/>
    <w:lvl w:ilvl="0" w:tentative="0">
      <w:start w:val="1"/>
      <w:numFmt w:val="decimal"/>
      <w:lvlText w:val="（%1）"/>
      <w:lvlJc w:val="left"/>
      <w:pPr>
        <w:ind w:left="181"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915" w:hanging="529"/>
      </w:pPr>
      <w:rPr>
        <w:rFonts w:hint="default"/>
        <w:lang w:val="en-US" w:eastAsia="zh-CN" w:bidi="ar-SA"/>
      </w:rPr>
    </w:lvl>
    <w:lvl w:ilvl="2" w:tentative="0">
      <w:start w:val="0"/>
      <w:numFmt w:val="bullet"/>
      <w:lvlText w:val="•"/>
      <w:lvlJc w:val="left"/>
      <w:pPr>
        <w:ind w:left="1651" w:hanging="529"/>
      </w:pPr>
      <w:rPr>
        <w:rFonts w:hint="default"/>
        <w:lang w:val="en-US" w:eastAsia="zh-CN" w:bidi="ar-SA"/>
      </w:rPr>
    </w:lvl>
    <w:lvl w:ilvl="3" w:tentative="0">
      <w:start w:val="0"/>
      <w:numFmt w:val="bullet"/>
      <w:lvlText w:val="•"/>
      <w:lvlJc w:val="left"/>
      <w:pPr>
        <w:ind w:left="2387" w:hanging="529"/>
      </w:pPr>
      <w:rPr>
        <w:rFonts w:hint="default"/>
        <w:lang w:val="en-US" w:eastAsia="zh-CN" w:bidi="ar-SA"/>
      </w:rPr>
    </w:lvl>
    <w:lvl w:ilvl="4" w:tentative="0">
      <w:start w:val="0"/>
      <w:numFmt w:val="bullet"/>
      <w:lvlText w:val="•"/>
      <w:lvlJc w:val="left"/>
      <w:pPr>
        <w:ind w:left="3123" w:hanging="529"/>
      </w:pPr>
      <w:rPr>
        <w:rFonts w:hint="default"/>
        <w:lang w:val="en-US" w:eastAsia="zh-CN" w:bidi="ar-SA"/>
      </w:rPr>
    </w:lvl>
    <w:lvl w:ilvl="5" w:tentative="0">
      <w:start w:val="0"/>
      <w:numFmt w:val="bullet"/>
      <w:lvlText w:val="•"/>
      <w:lvlJc w:val="left"/>
      <w:pPr>
        <w:ind w:left="3859" w:hanging="529"/>
      </w:pPr>
      <w:rPr>
        <w:rFonts w:hint="default"/>
        <w:lang w:val="en-US" w:eastAsia="zh-CN" w:bidi="ar-SA"/>
      </w:rPr>
    </w:lvl>
    <w:lvl w:ilvl="6" w:tentative="0">
      <w:start w:val="0"/>
      <w:numFmt w:val="bullet"/>
      <w:lvlText w:val="•"/>
      <w:lvlJc w:val="left"/>
      <w:pPr>
        <w:ind w:left="4595" w:hanging="529"/>
      </w:pPr>
      <w:rPr>
        <w:rFonts w:hint="default"/>
        <w:lang w:val="en-US" w:eastAsia="zh-CN" w:bidi="ar-SA"/>
      </w:rPr>
    </w:lvl>
    <w:lvl w:ilvl="7" w:tentative="0">
      <w:start w:val="0"/>
      <w:numFmt w:val="bullet"/>
      <w:lvlText w:val="•"/>
      <w:lvlJc w:val="left"/>
      <w:pPr>
        <w:ind w:left="5331" w:hanging="529"/>
      </w:pPr>
      <w:rPr>
        <w:rFonts w:hint="default"/>
        <w:lang w:val="en-US" w:eastAsia="zh-CN" w:bidi="ar-SA"/>
      </w:rPr>
    </w:lvl>
    <w:lvl w:ilvl="8" w:tentative="0">
      <w:start w:val="0"/>
      <w:numFmt w:val="bullet"/>
      <w:lvlText w:val="•"/>
      <w:lvlJc w:val="left"/>
      <w:pPr>
        <w:ind w:left="6067" w:hanging="529"/>
      </w:pPr>
      <w:rPr>
        <w:rFonts w:hint="default"/>
        <w:lang w:val="en-US" w:eastAsia="zh-CN" w:bidi="ar-SA"/>
      </w:rPr>
    </w:lvl>
  </w:abstractNum>
  <w:abstractNum w:abstractNumId="64">
    <w:nsid w:val="629F7852"/>
    <w:multiLevelType w:val="multilevel"/>
    <w:tmpl w:val="629F7852"/>
    <w:lvl w:ilvl="0" w:tentative="0">
      <w:start w:val="1"/>
      <w:numFmt w:val="decimal"/>
      <w:lvlText w:val="（%1）"/>
      <w:lvlJc w:val="left"/>
      <w:pPr>
        <w:ind w:left="709"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383" w:hanging="529"/>
      </w:pPr>
      <w:rPr>
        <w:rFonts w:hint="default"/>
        <w:lang w:val="en-US" w:eastAsia="zh-CN" w:bidi="ar-SA"/>
      </w:rPr>
    </w:lvl>
    <w:lvl w:ilvl="2" w:tentative="0">
      <w:start w:val="0"/>
      <w:numFmt w:val="bullet"/>
      <w:lvlText w:val="•"/>
      <w:lvlJc w:val="left"/>
      <w:pPr>
        <w:ind w:left="2067" w:hanging="529"/>
      </w:pPr>
      <w:rPr>
        <w:rFonts w:hint="default"/>
        <w:lang w:val="en-US" w:eastAsia="zh-CN" w:bidi="ar-SA"/>
      </w:rPr>
    </w:lvl>
    <w:lvl w:ilvl="3" w:tentative="0">
      <w:start w:val="0"/>
      <w:numFmt w:val="bullet"/>
      <w:lvlText w:val="•"/>
      <w:lvlJc w:val="left"/>
      <w:pPr>
        <w:ind w:left="2751" w:hanging="529"/>
      </w:pPr>
      <w:rPr>
        <w:rFonts w:hint="default"/>
        <w:lang w:val="en-US" w:eastAsia="zh-CN" w:bidi="ar-SA"/>
      </w:rPr>
    </w:lvl>
    <w:lvl w:ilvl="4" w:tentative="0">
      <w:start w:val="0"/>
      <w:numFmt w:val="bullet"/>
      <w:lvlText w:val="•"/>
      <w:lvlJc w:val="left"/>
      <w:pPr>
        <w:ind w:left="3435" w:hanging="529"/>
      </w:pPr>
      <w:rPr>
        <w:rFonts w:hint="default"/>
        <w:lang w:val="en-US" w:eastAsia="zh-CN" w:bidi="ar-SA"/>
      </w:rPr>
    </w:lvl>
    <w:lvl w:ilvl="5" w:tentative="0">
      <w:start w:val="0"/>
      <w:numFmt w:val="bullet"/>
      <w:lvlText w:val="•"/>
      <w:lvlJc w:val="left"/>
      <w:pPr>
        <w:ind w:left="4119" w:hanging="529"/>
      </w:pPr>
      <w:rPr>
        <w:rFonts w:hint="default"/>
        <w:lang w:val="en-US" w:eastAsia="zh-CN" w:bidi="ar-SA"/>
      </w:rPr>
    </w:lvl>
    <w:lvl w:ilvl="6" w:tentative="0">
      <w:start w:val="0"/>
      <w:numFmt w:val="bullet"/>
      <w:lvlText w:val="•"/>
      <w:lvlJc w:val="left"/>
      <w:pPr>
        <w:ind w:left="4803" w:hanging="529"/>
      </w:pPr>
      <w:rPr>
        <w:rFonts w:hint="default"/>
        <w:lang w:val="en-US" w:eastAsia="zh-CN" w:bidi="ar-SA"/>
      </w:rPr>
    </w:lvl>
    <w:lvl w:ilvl="7" w:tentative="0">
      <w:start w:val="0"/>
      <w:numFmt w:val="bullet"/>
      <w:lvlText w:val="•"/>
      <w:lvlJc w:val="left"/>
      <w:pPr>
        <w:ind w:left="5487" w:hanging="529"/>
      </w:pPr>
      <w:rPr>
        <w:rFonts w:hint="default"/>
        <w:lang w:val="en-US" w:eastAsia="zh-CN" w:bidi="ar-SA"/>
      </w:rPr>
    </w:lvl>
    <w:lvl w:ilvl="8" w:tentative="0">
      <w:start w:val="0"/>
      <w:numFmt w:val="bullet"/>
      <w:lvlText w:val="•"/>
      <w:lvlJc w:val="left"/>
      <w:pPr>
        <w:ind w:left="6171" w:hanging="529"/>
      </w:pPr>
      <w:rPr>
        <w:rFonts w:hint="default"/>
        <w:lang w:val="en-US" w:eastAsia="zh-CN" w:bidi="ar-SA"/>
      </w:rPr>
    </w:lvl>
  </w:abstractNum>
  <w:abstractNum w:abstractNumId="65">
    <w:nsid w:val="65CD0074"/>
    <w:multiLevelType w:val="multilevel"/>
    <w:tmpl w:val="65CD0074"/>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66">
    <w:nsid w:val="72183CF9"/>
    <w:multiLevelType w:val="multilevel"/>
    <w:tmpl w:val="72183CF9"/>
    <w:lvl w:ilvl="0" w:tentative="0">
      <w:start w:val="3"/>
      <w:numFmt w:val="decimal"/>
      <w:lvlText w:val="%1"/>
      <w:lvlJc w:val="left"/>
      <w:pPr>
        <w:ind w:left="2985" w:hanging="961"/>
        <w:jc w:val="left"/>
      </w:pPr>
      <w:rPr>
        <w:rFonts w:hint="default"/>
        <w:lang w:val="en-US" w:eastAsia="zh-CN" w:bidi="ar-SA"/>
      </w:rPr>
    </w:lvl>
    <w:lvl w:ilvl="1" w:tentative="0">
      <w:start w:val="4"/>
      <w:numFmt w:val="decimal"/>
      <w:lvlText w:val="%1.%2"/>
      <w:lvlJc w:val="left"/>
      <w:pPr>
        <w:ind w:left="2985" w:hanging="961"/>
        <w:jc w:val="left"/>
      </w:pPr>
      <w:rPr>
        <w:rFonts w:hint="default" w:ascii="Microsoft JhengHei" w:hAnsi="Microsoft JhengHei" w:eastAsia="Microsoft JhengHei" w:cs="Microsoft JhengHei"/>
        <w:b/>
        <w:bCs/>
        <w:i w:val="0"/>
        <w:iCs w:val="0"/>
        <w:w w:val="104"/>
        <w:sz w:val="21"/>
        <w:szCs w:val="21"/>
        <w:lang w:val="en-US" w:eastAsia="zh-CN" w:bidi="ar-SA"/>
      </w:rPr>
    </w:lvl>
    <w:lvl w:ilvl="2" w:tentative="0">
      <w:start w:val="0"/>
      <w:numFmt w:val="bullet"/>
      <w:lvlText w:val="•"/>
      <w:lvlJc w:val="left"/>
      <w:pPr>
        <w:ind w:left="4452" w:hanging="961"/>
      </w:pPr>
      <w:rPr>
        <w:rFonts w:hint="default"/>
        <w:lang w:val="en-US" w:eastAsia="zh-CN" w:bidi="ar-SA"/>
      </w:rPr>
    </w:lvl>
    <w:lvl w:ilvl="3" w:tentative="0">
      <w:start w:val="0"/>
      <w:numFmt w:val="bullet"/>
      <w:lvlText w:val="•"/>
      <w:lvlJc w:val="left"/>
      <w:pPr>
        <w:ind w:left="5189" w:hanging="961"/>
      </w:pPr>
      <w:rPr>
        <w:rFonts w:hint="default"/>
        <w:lang w:val="en-US" w:eastAsia="zh-CN" w:bidi="ar-SA"/>
      </w:rPr>
    </w:lvl>
    <w:lvl w:ilvl="4" w:tentative="0">
      <w:start w:val="0"/>
      <w:numFmt w:val="bullet"/>
      <w:lvlText w:val="•"/>
      <w:lvlJc w:val="left"/>
      <w:pPr>
        <w:ind w:left="5925" w:hanging="961"/>
      </w:pPr>
      <w:rPr>
        <w:rFonts w:hint="default"/>
        <w:lang w:val="en-US" w:eastAsia="zh-CN" w:bidi="ar-SA"/>
      </w:rPr>
    </w:lvl>
    <w:lvl w:ilvl="5" w:tentative="0">
      <w:start w:val="0"/>
      <w:numFmt w:val="bullet"/>
      <w:lvlText w:val="•"/>
      <w:lvlJc w:val="left"/>
      <w:pPr>
        <w:ind w:left="6662" w:hanging="961"/>
      </w:pPr>
      <w:rPr>
        <w:rFonts w:hint="default"/>
        <w:lang w:val="en-US" w:eastAsia="zh-CN" w:bidi="ar-SA"/>
      </w:rPr>
    </w:lvl>
    <w:lvl w:ilvl="6" w:tentative="0">
      <w:start w:val="0"/>
      <w:numFmt w:val="bullet"/>
      <w:lvlText w:val="•"/>
      <w:lvlJc w:val="left"/>
      <w:pPr>
        <w:ind w:left="7398" w:hanging="961"/>
      </w:pPr>
      <w:rPr>
        <w:rFonts w:hint="default"/>
        <w:lang w:val="en-US" w:eastAsia="zh-CN" w:bidi="ar-SA"/>
      </w:rPr>
    </w:lvl>
    <w:lvl w:ilvl="7" w:tentative="0">
      <w:start w:val="0"/>
      <w:numFmt w:val="bullet"/>
      <w:lvlText w:val="•"/>
      <w:lvlJc w:val="left"/>
      <w:pPr>
        <w:ind w:left="8134" w:hanging="961"/>
      </w:pPr>
      <w:rPr>
        <w:rFonts w:hint="default"/>
        <w:lang w:val="en-US" w:eastAsia="zh-CN" w:bidi="ar-SA"/>
      </w:rPr>
    </w:lvl>
    <w:lvl w:ilvl="8" w:tentative="0">
      <w:start w:val="0"/>
      <w:numFmt w:val="bullet"/>
      <w:lvlText w:val="•"/>
      <w:lvlJc w:val="left"/>
      <w:pPr>
        <w:ind w:left="8871" w:hanging="961"/>
      </w:pPr>
      <w:rPr>
        <w:rFonts w:hint="default"/>
        <w:lang w:val="en-US" w:eastAsia="zh-CN" w:bidi="ar-SA"/>
      </w:rPr>
    </w:lvl>
  </w:abstractNum>
  <w:abstractNum w:abstractNumId="67">
    <w:nsid w:val="74C28B35"/>
    <w:multiLevelType w:val="multilevel"/>
    <w:tmpl w:val="74C28B35"/>
    <w:lvl w:ilvl="0" w:tentative="0">
      <w:start w:val="1"/>
      <w:numFmt w:val="decimal"/>
      <w:lvlText w:val="（%1）"/>
      <w:lvlJc w:val="left"/>
      <w:pPr>
        <w:ind w:left="181" w:hanging="529"/>
        <w:jc w:val="left"/>
      </w:pPr>
      <w:rPr>
        <w:rFonts w:hint="default" w:ascii="宋体" w:hAnsi="宋体" w:eastAsia="宋体" w:cs="宋体"/>
        <w:b w:val="0"/>
        <w:bCs w:val="0"/>
        <w:i w:val="0"/>
        <w:iCs w:val="0"/>
        <w:spacing w:val="-91"/>
        <w:w w:val="100"/>
        <w:sz w:val="19"/>
        <w:szCs w:val="19"/>
        <w:lang w:val="en-US" w:eastAsia="zh-CN" w:bidi="ar-SA"/>
      </w:rPr>
    </w:lvl>
    <w:lvl w:ilvl="1" w:tentative="0">
      <w:start w:val="0"/>
      <w:numFmt w:val="bullet"/>
      <w:lvlText w:val="•"/>
      <w:lvlJc w:val="left"/>
      <w:pPr>
        <w:ind w:left="915" w:hanging="529"/>
      </w:pPr>
      <w:rPr>
        <w:rFonts w:hint="default"/>
        <w:lang w:val="en-US" w:eastAsia="zh-CN" w:bidi="ar-SA"/>
      </w:rPr>
    </w:lvl>
    <w:lvl w:ilvl="2" w:tentative="0">
      <w:start w:val="0"/>
      <w:numFmt w:val="bullet"/>
      <w:lvlText w:val="•"/>
      <w:lvlJc w:val="left"/>
      <w:pPr>
        <w:ind w:left="1651" w:hanging="529"/>
      </w:pPr>
      <w:rPr>
        <w:rFonts w:hint="default"/>
        <w:lang w:val="en-US" w:eastAsia="zh-CN" w:bidi="ar-SA"/>
      </w:rPr>
    </w:lvl>
    <w:lvl w:ilvl="3" w:tentative="0">
      <w:start w:val="0"/>
      <w:numFmt w:val="bullet"/>
      <w:lvlText w:val="•"/>
      <w:lvlJc w:val="left"/>
      <w:pPr>
        <w:ind w:left="2387" w:hanging="529"/>
      </w:pPr>
      <w:rPr>
        <w:rFonts w:hint="default"/>
        <w:lang w:val="en-US" w:eastAsia="zh-CN" w:bidi="ar-SA"/>
      </w:rPr>
    </w:lvl>
    <w:lvl w:ilvl="4" w:tentative="0">
      <w:start w:val="0"/>
      <w:numFmt w:val="bullet"/>
      <w:lvlText w:val="•"/>
      <w:lvlJc w:val="left"/>
      <w:pPr>
        <w:ind w:left="3123" w:hanging="529"/>
      </w:pPr>
      <w:rPr>
        <w:rFonts w:hint="default"/>
        <w:lang w:val="en-US" w:eastAsia="zh-CN" w:bidi="ar-SA"/>
      </w:rPr>
    </w:lvl>
    <w:lvl w:ilvl="5" w:tentative="0">
      <w:start w:val="0"/>
      <w:numFmt w:val="bullet"/>
      <w:lvlText w:val="•"/>
      <w:lvlJc w:val="left"/>
      <w:pPr>
        <w:ind w:left="3859" w:hanging="529"/>
      </w:pPr>
      <w:rPr>
        <w:rFonts w:hint="default"/>
        <w:lang w:val="en-US" w:eastAsia="zh-CN" w:bidi="ar-SA"/>
      </w:rPr>
    </w:lvl>
    <w:lvl w:ilvl="6" w:tentative="0">
      <w:start w:val="0"/>
      <w:numFmt w:val="bullet"/>
      <w:lvlText w:val="•"/>
      <w:lvlJc w:val="left"/>
      <w:pPr>
        <w:ind w:left="4595" w:hanging="529"/>
      </w:pPr>
      <w:rPr>
        <w:rFonts w:hint="default"/>
        <w:lang w:val="en-US" w:eastAsia="zh-CN" w:bidi="ar-SA"/>
      </w:rPr>
    </w:lvl>
    <w:lvl w:ilvl="7" w:tentative="0">
      <w:start w:val="0"/>
      <w:numFmt w:val="bullet"/>
      <w:lvlText w:val="•"/>
      <w:lvlJc w:val="left"/>
      <w:pPr>
        <w:ind w:left="5331" w:hanging="529"/>
      </w:pPr>
      <w:rPr>
        <w:rFonts w:hint="default"/>
        <w:lang w:val="en-US" w:eastAsia="zh-CN" w:bidi="ar-SA"/>
      </w:rPr>
    </w:lvl>
    <w:lvl w:ilvl="8" w:tentative="0">
      <w:start w:val="0"/>
      <w:numFmt w:val="bullet"/>
      <w:lvlText w:val="•"/>
      <w:lvlJc w:val="left"/>
      <w:pPr>
        <w:ind w:left="6067" w:hanging="529"/>
      </w:pPr>
      <w:rPr>
        <w:rFonts w:hint="default"/>
        <w:lang w:val="en-US" w:eastAsia="zh-CN" w:bidi="ar-SA"/>
      </w:rPr>
    </w:lvl>
  </w:abstractNum>
  <w:abstractNum w:abstractNumId="68">
    <w:nsid w:val="77ECEA79"/>
    <w:multiLevelType w:val="multilevel"/>
    <w:tmpl w:val="77ECEA79"/>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69">
    <w:nsid w:val="79AA4FA4"/>
    <w:multiLevelType w:val="multilevel"/>
    <w:tmpl w:val="79AA4FA4"/>
    <w:lvl w:ilvl="0" w:tentative="0">
      <w:start w:val="1"/>
      <w:numFmt w:val="decimal"/>
      <w:lvlText w:val="（%1）"/>
      <w:lvlJc w:val="left"/>
      <w:pPr>
        <w:ind w:left="3514"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4202" w:hanging="529"/>
      </w:pPr>
      <w:rPr>
        <w:rFonts w:hint="default"/>
        <w:lang w:val="en-US" w:eastAsia="zh-CN" w:bidi="ar-SA"/>
      </w:rPr>
    </w:lvl>
    <w:lvl w:ilvl="2" w:tentative="0">
      <w:start w:val="0"/>
      <w:numFmt w:val="bullet"/>
      <w:lvlText w:val="•"/>
      <w:lvlJc w:val="left"/>
      <w:pPr>
        <w:ind w:left="4884" w:hanging="529"/>
      </w:pPr>
      <w:rPr>
        <w:rFonts w:hint="default"/>
        <w:lang w:val="en-US" w:eastAsia="zh-CN" w:bidi="ar-SA"/>
      </w:rPr>
    </w:lvl>
    <w:lvl w:ilvl="3" w:tentative="0">
      <w:start w:val="0"/>
      <w:numFmt w:val="bullet"/>
      <w:lvlText w:val="•"/>
      <w:lvlJc w:val="left"/>
      <w:pPr>
        <w:ind w:left="5567" w:hanging="529"/>
      </w:pPr>
      <w:rPr>
        <w:rFonts w:hint="default"/>
        <w:lang w:val="en-US" w:eastAsia="zh-CN" w:bidi="ar-SA"/>
      </w:rPr>
    </w:lvl>
    <w:lvl w:ilvl="4" w:tentative="0">
      <w:start w:val="0"/>
      <w:numFmt w:val="bullet"/>
      <w:lvlText w:val="•"/>
      <w:lvlJc w:val="left"/>
      <w:pPr>
        <w:ind w:left="6249" w:hanging="529"/>
      </w:pPr>
      <w:rPr>
        <w:rFonts w:hint="default"/>
        <w:lang w:val="en-US" w:eastAsia="zh-CN" w:bidi="ar-SA"/>
      </w:rPr>
    </w:lvl>
    <w:lvl w:ilvl="5" w:tentative="0">
      <w:start w:val="0"/>
      <w:numFmt w:val="bullet"/>
      <w:lvlText w:val="•"/>
      <w:lvlJc w:val="left"/>
      <w:pPr>
        <w:ind w:left="6932" w:hanging="529"/>
      </w:pPr>
      <w:rPr>
        <w:rFonts w:hint="default"/>
        <w:lang w:val="en-US" w:eastAsia="zh-CN" w:bidi="ar-SA"/>
      </w:rPr>
    </w:lvl>
    <w:lvl w:ilvl="6" w:tentative="0">
      <w:start w:val="0"/>
      <w:numFmt w:val="bullet"/>
      <w:lvlText w:val="•"/>
      <w:lvlJc w:val="left"/>
      <w:pPr>
        <w:ind w:left="7614" w:hanging="529"/>
      </w:pPr>
      <w:rPr>
        <w:rFonts w:hint="default"/>
        <w:lang w:val="en-US" w:eastAsia="zh-CN" w:bidi="ar-SA"/>
      </w:rPr>
    </w:lvl>
    <w:lvl w:ilvl="7" w:tentative="0">
      <w:start w:val="0"/>
      <w:numFmt w:val="bullet"/>
      <w:lvlText w:val="•"/>
      <w:lvlJc w:val="left"/>
      <w:pPr>
        <w:ind w:left="8296" w:hanging="529"/>
      </w:pPr>
      <w:rPr>
        <w:rFonts w:hint="default"/>
        <w:lang w:val="en-US" w:eastAsia="zh-CN" w:bidi="ar-SA"/>
      </w:rPr>
    </w:lvl>
    <w:lvl w:ilvl="8" w:tentative="0">
      <w:start w:val="0"/>
      <w:numFmt w:val="bullet"/>
      <w:lvlText w:val="•"/>
      <w:lvlJc w:val="left"/>
      <w:pPr>
        <w:ind w:left="8979" w:hanging="529"/>
      </w:pPr>
      <w:rPr>
        <w:rFonts w:hint="default"/>
        <w:lang w:val="en-US" w:eastAsia="zh-CN" w:bidi="ar-SA"/>
      </w:rPr>
    </w:lvl>
  </w:abstractNum>
  <w:abstractNum w:abstractNumId="70">
    <w:nsid w:val="7C246926"/>
    <w:multiLevelType w:val="multilevel"/>
    <w:tmpl w:val="7C246926"/>
    <w:lvl w:ilvl="0" w:tentative="0">
      <w:start w:val="1"/>
      <w:numFmt w:val="decimal"/>
      <w:lvlText w:val="（%1）"/>
      <w:lvlJc w:val="left"/>
      <w:pPr>
        <w:ind w:left="710" w:hanging="529"/>
        <w:jc w:val="left"/>
      </w:pPr>
      <w:rPr>
        <w:rFonts w:hint="default" w:ascii="宋体" w:hAnsi="宋体" w:eastAsia="宋体" w:cs="宋体"/>
        <w:b w:val="0"/>
        <w:bCs w:val="0"/>
        <w:i w:val="0"/>
        <w:iCs w:val="0"/>
        <w:w w:val="100"/>
        <w:sz w:val="19"/>
        <w:szCs w:val="19"/>
        <w:lang w:val="en-US" w:eastAsia="zh-CN" w:bidi="ar-SA"/>
      </w:rPr>
    </w:lvl>
    <w:lvl w:ilvl="1" w:tentative="0">
      <w:start w:val="0"/>
      <w:numFmt w:val="bullet"/>
      <w:lvlText w:val="•"/>
      <w:lvlJc w:val="left"/>
      <w:pPr>
        <w:ind w:left="1401" w:hanging="529"/>
      </w:pPr>
      <w:rPr>
        <w:rFonts w:hint="default"/>
        <w:lang w:val="en-US" w:eastAsia="zh-CN" w:bidi="ar-SA"/>
      </w:rPr>
    </w:lvl>
    <w:lvl w:ilvl="2" w:tentative="0">
      <w:start w:val="0"/>
      <w:numFmt w:val="bullet"/>
      <w:lvlText w:val="•"/>
      <w:lvlJc w:val="left"/>
      <w:pPr>
        <w:ind w:left="2083" w:hanging="529"/>
      </w:pPr>
      <w:rPr>
        <w:rFonts w:hint="default"/>
        <w:lang w:val="en-US" w:eastAsia="zh-CN" w:bidi="ar-SA"/>
      </w:rPr>
    </w:lvl>
    <w:lvl w:ilvl="3" w:tentative="0">
      <w:start w:val="0"/>
      <w:numFmt w:val="bullet"/>
      <w:lvlText w:val="•"/>
      <w:lvlJc w:val="left"/>
      <w:pPr>
        <w:ind w:left="2765" w:hanging="529"/>
      </w:pPr>
      <w:rPr>
        <w:rFonts w:hint="default"/>
        <w:lang w:val="en-US" w:eastAsia="zh-CN" w:bidi="ar-SA"/>
      </w:rPr>
    </w:lvl>
    <w:lvl w:ilvl="4" w:tentative="0">
      <w:start w:val="0"/>
      <w:numFmt w:val="bullet"/>
      <w:lvlText w:val="•"/>
      <w:lvlJc w:val="left"/>
      <w:pPr>
        <w:ind w:left="3447" w:hanging="529"/>
      </w:pPr>
      <w:rPr>
        <w:rFonts w:hint="default"/>
        <w:lang w:val="en-US" w:eastAsia="zh-CN" w:bidi="ar-SA"/>
      </w:rPr>
    </w:lvl>
    <w:lvl w:ilvl="5" w:tentative="0">
      <w:start w:val="0"/>
      <w:numFmt w:val="bullet"/>
      <w:lvlText w:val="•"/>
      <w:lvlJc w:val="left"/>
      <w:pPr>
        <w:ind w:left="4129" w:hanging="529"/>
      </w:pPr>
      <w:rPr>
        <w:rFonts w:hint="default"/>
        <w:lang w:val="en-US" w:eastAsia="zh-CN" w:bidi="ar-SA"/>
      </w:rPr>
    </w:lvl>
    <w:lvl w:ilvl="6" w:tentative="0">
      <w:start w:val="0"/>
      <w:numFmt w:val="bullet"/>
      <w:lvlText w:val="•"/>
      <w:lvlJc w:val="left"/>
      <w:pPr>
        <w:ind w:left="4811" w:hanging="529"/>
      </w:pPr>
      <w:rPr>
        <w:rFonts w:hint="default"/>
        <w:lang w:val="en-US" w:eastAsia="zh-CN" w:bidi="ar-SA"/>
      </w:rPr>
    </w:lvl>
    <w:lvl w:ilvl="7" w:tentative="0">
      <w:start w:val="0"/>
      <w:numFmt w:val="bullet"/>
      <w:lvlText w:val="•"/>
      <w:lvlJc w:val="left"/>
      <w:pPr>
        <w:ind w:left="5493" w:hanging="529"/>
      </w:pPr>
      <w:rPr>
        <w:rFonts w:hint="default"/>
        <w:lang w:val="en-US" w:eastAsia="zh-CN" w:bidi="ar-SA"/>
      </w:rPr>
    </w:lvl>
    <w:lvl w:ilvl="8" w:tentative="0">
      <w:start w:val="0"/>
      <w:numFmt w:val="bullet"/>
      <w:lvlText w:val="•"/>
      <w:lvlJc w:val="left"/>
      <w:pPr>
        <w:ind w:left="6175" w:hanging="529"/>
      </w:pPr>
      <w:rPr>
        <w:rFonts w:hint="default"/>
        <w:lang w:val="en-US" w:eastAsia="zh-CN" w:bidi="ar-SA"/>
      </w:rPr>
    </w:lvl>
  </w:abstractNum>
  <w:abstractNum w:abstractNumId="71">
    <w:nsid w:val="7DEC2089"/>
    <w:multiLevelType w:val="multilevel"/>
    <w:tmpl w:val="7DEC2089"/>
    <w:lvl w:ilvl="0" w:tentative="0">
      <w:start w:val="1"/>
      <w:numFmt w:val="decimal"/>
      <w:lvlText w:val="（%1）"/>
      <w:lvlJc w:val="left"/>
      <w:pPr>
        <w:ind w:left="2985" w:hanging="529"/>
        <w:jc w:val="left"/>
      </w:pPr>
      <w:rPr>
        <w:rFonts w:hint="default" w:ascii="宋体" w:hAnsi="宋体" w:eastAsia="宋体" w:cs="宋体"/>
        <w:b w:val="0"/>
        <w:bCs w:val="0"/>
        <w:i w:val="0"/>
        <w:iCs w:val="0"/>
        <w:spacing w:val="-38"/>
        <w:w w:val="100"/>
        <w:sz w:val="19"/>
        <w:szCs w:val="19"/>
        <w:lang w:val="en-US" w:eastAsia="zh-CN" w:bidi="ar-SA"/>
      </w:rPr>
    </w:lvl>
    <w:lvl w:ilvl="1" w:tentative="0">
      <w:start w:val="0"/>
      <w:numFmt w:val="bullet"/>
      <w:lvlText w:val="•"/>
      <w:lvlJc w:val="left"/>
      <w:pPr>
        <w:ind w:left="3716" w:hanging="529"/>
      </w:pPr>
      <w:rPr>
        <w:rFonts w:hint="default"/>
        <w:lang w:val="en-US" w:eastAsia="zh-CN" w:bidi="ar-SA"/>
      </w:rPr>
    </w:lvl>
    <w:lvl w:ilvl="2" w:tentative="0">
      <w:start w:val="0"/>
      <w:numFmt w:val="bullet"/>
      <w:lvlText w:val="•"/>
      <w:lvlJc w:val="left"/>
      <w:pPr>
        <w:ind w:left="4452" w:hanging="529"/>
      </w:pPr>
      <w:rPr>
        <w:rFonts w:hint="default"/>
        <w:lang w:val="en-US" w:eastAsia="zh-CN" w:bidi="ar-SA"/>
      </w:rPr>
    </w:lvl>
    <w:lvl w:ilvl="3" w:tentative="0">
      <w:start w:val="0"/>
      <w:numFmt w:val="bullet"/>
      <w:lvlText w:val="•"/>
      <w:lvlJc w:val="left"/>
      <w:pPr>
        <w:ind w:left="5189" w:hanging="529"/>
      </w:pPr>
      <w:rPr>
        <w:rFonts w:hint="default"/>
        <w:lang w:val="en-US" w:eastAsia="zh-CN" w:bidi="ar-SA"/>
      </w:rPr>
    </w:lvl>
    <w:lvl w:ilvl="4" w:tentative="0">
      <w:start w:val="0"/>
      <w:numFmt w:val="bullet"/>
      <w:lvlText w:val="•"/>
      <w:lvlJc w:val="left"/>
      <w:pPr>
        <w:ind w:left="5925" w:hanging="529"/>
      </w:pPr>
      <w:rPr>
        <w:rFonts w:hint="default"/>
        <w:lang w:val="en-US" w:eastAsia="zh-CN" w:bidi="ar-SA"/>
      </w:rPr>
    </w:lvl>
    <w:lvl w:ilvl="5" w:tentative="0">
      <w:start w:val="0"/>
      <w:numFmt w:val="bullet"/>
      <w:lvlText w:val="•"/>
      <w:lvlJc w:val="left"/>
      <w:pPr>
        <w:ind w:left="6662" w:hanging="529"/>
      </w:pPr>
      <w:rPr>
        <w:rFonts w:hint="default"/>
        <w:lang w:val="en-US" w:eastAsia="zh-CN" w:bidi="ar-SA"/>
      </w:rPr>
    </w:lvl>
    <w:lvl w:ilvl="6" w:tentative="0">
      <w:start w:val="0"/>
      <w:numFmt w:val="bullet"/>
      <w:lvlText w:val="•"/>
      <w:lvlJc w:val="left"/>
      <w:pPr>
        <w:ind w:left="7398" w:hanging="529"/>
      </w:pPr>
      <w:rPr>
        <w:rFonts w:hint="default"/>
        <w:lang w:val="en-US" w:eastAsia="zh-CN" w:bidi="ar-SA"/>
      </w:rPr>
    </w:lvl>
    <w:lvl w:ilvl="7" w:tentative="0">
      <w:start w:val="0"/>
      <w:numFmt w:val="bullet"/>
      <w:lvlText w:val="•"/>
      <w:lvlJc w:val="left"/>
      <w:pPr>
        <w:ind w:left="8134" w:hanging="529"/>
      </w:pPr>
      <w:rPr>
        <w:rFonts w:hint="default"/>
        <w:lang w:val="en-US" w:eastAsia="zh-CN" w:bidi="ar-SA"/>
      </w:rPr>
    </w:lvl>
    <w:lvl w:ilvl="8" w:tentative="0">
      <w:start w:val="0"/>
      <w:numFmt w:val="bullet"/>
      <w:lvlText w:val="•"/>
      <w:lvlJc w:val="left"/>
      <w:pPr>
        <w:ind w:left="8871" w:hanging="529"/>
      </w:pPr>
      <w:rPr>
        <w:rFonts w:hint="default"/>
        <w:lang w:val="en-US" w:eastAsia="zh-CN" w:bidi="ar-SA"/>
      </w:rPr>
    </w:lvl>
  </w:abstractNum>
  <w:num w:numId="1">
    <w:abstractNumId w:val="29"/>
  </w:num>
  <w:num w:numId="2">
    <w:abstractNumId w:val="19"/>
  </w:num>
  <w:num w:numId="3">
    <w:abstractNumId w:val="59"/>
  </w:num>
  <w:num w:numId="4">
    <w:abstractNumId w:val="16"/>
  </w:num>
  <w:num w:numId="5">
    <w:abstractNumId w:val="12"/>
  </w:num>
  <w:num w:numId="6">
    <w:abstractNumId w:val="32"/>
  </w:num>
  <w:num w:numId="7">
    <w:abstractNumId w:val="43"/>
  </w:num>
  <w:num w:numId="8">
    <w:abstractNumId w:val="66"/>
  </w:num>
  <w:num w:numId="9">
    <w:abstractNumId w:val="30"/>
  </w:num>
  <w:num w:numId="10">
    <w:abstractNumId w:val="5"/>
  </w:num>
  <w:num w:numId="11">
    <w:abstractNumId w:val="44"/>
  </w:num>
  <w:num w:numId="12">
    <w:abstractNumId w:val="60"/>
  </w:num>
  <w:num w:numId="13">
    <w:abstractNumId w:val="18"/>
  </w:num>
  <w:num w:numId="14">
    <w:abstractNumId w:val="56"/>
  </w:num>
  <w:num w:numId="15">
    <w:abstractNumId w:val="25"/>
  </w:num>
  <w:num w:numId="16">
    <w:abstractNumId w:val="42"/>
  </w:num>
  <w:num w:numId="17">
    <w:abstractNumId w:val="22"/>
  </w:num>
  <w:num w:numId="18">
    <w:abstractNumId w:val="21"/>
  </w:num>
  <w:num w:numId="19">
    <w:abstractNumId w:val="7"/>
  </w:num>
  <w:num w:numId="20">
    <w:abstractNumId w:val="54"/>
  </w:num>
  <w:num w:numId="21">
    <w:abstractNumId w:val="63"/>
  </w:num>
  <w:num w:numId="22">
    <w:abstractNumId w:val="35"/>
  </w:num>
  <w:num w:numId="23">
    <w:abstractNumId w:val="53"/>
  </w:num>
  <w:num w:numId="24">
    <w:abstractNumId w:val="9"/>
  </w:num>
  <w:num w:numId="25">
    <w:abstractNumId w:val="70"/>
  </w:num>
  <w:num w:numId="26">
    <w:abstractNumId w:val="68"/>
  </w:num>
  <w:num w:numId="27">
    <w:abstractNumId w:val="15"/>
  </w:num>
  <w:num w:numId="28">
    <w:abstractNumId w:val="64"/>
  </w:num>
  <w:num w:numId="29">
    <w:abstractNumId w:val="6"/>
  </w:num>
  <w:num w:numId="30">
    <w:abstractNumId w:val="50"/>
  </w:num>
  <w:num w:numId="31">
    <w:abstractNumId w:val="2"/>
  </w:num>
  <w:num w:numId="32">
    <w:abstractNumId w:val="58"/>
  </w:num>
  <w:num w:numId="33">
    <w:abstractNumId w:val="71"/>
  </w:num>
  <w:num w:numId="34">
    <w:abstractNumId w:val="0"/>
  </w:num>
  <w:num w:numId="35">
    <w:abstractNumId w:val="41"/>
  </w:num>
  <w:num w:numId="36">
    <w:abstractNumId w:val="57"/>
  </w:num>
  <w:num w:numId="37">
    <w:abstractNumId w:val="27"/>
  </w:num>
  <w:num w:numId="38">
    <w:abstractNumId w:val="23"/>
  </w:num>
  <w:num w:numId="39">
    <w:abstractNumId w:val="46"/>
  </w:num>
  <w:num w:numId="40">
    <w:abstractNumId w:val="69"/>
  </w:num>
  <w:num w:numId="41">
    <w:abstractNumId w:val="14"/>
  </w:num>
  <w:num w:numId="42">
    <w:abstractNumId w:val="4"/>
  </w:num>
  <w:num w:numId="43">
    <w:abstractNumId w:val="13"/>
  </w:num>
  <w:num w:numId="44">
    <w:abstractNumId w:val="61"/>
  </w:num>
  <w:num w:numId="45">
    <w:abstractNumId w:val="1"/>
  </w:num>
  <w:num w:numId="46">
    <w:abstractNumId w:val="38"/>
  </w:num>
  <w:num w:numId="47">
    <w:abstractNumId w:val="3"/>
  </w:num>
  <w:num w:numId="48">
    <w:abstractNumId w:val="62"/>
  </w:num>
  <w:num w:numId="49">
    <w:abstractNumId w:val="67"/>
  </w:num>
  <w:num w:numId="50">
    <w:abstractNumId w:val="55"/>
  </w:num>
  <w:num w:numId="51">
    <w:abstractNumId w:val="47"/>
  </w:num>
  <w:num w:numId="52">
    <w:abstractNumId w:val="65"/>
  </w:num>
  <w:num w:numId="53">
    <w:abstractNumId w:val="33"/>
  </w:num>
  <w:num w:numId="54">
    <w:abstractNumId w:val="34"/>
  </w:num>
  <w:num w:numId="55">
    <w:abstractNumId w:val="20"/>
  </w:num>
  <w:num w:numId="56">
    <w:abstractNumId w:val="48"/>
  </w:num>
  <w:num w:numId="57">
    <w:abstractNumId w:val="39"/>
  </w:num>
  <w:num w:numId="58">
    <w:abstractNumId w:val="24"/>
  </w:num>
  <w:num w:numId="59">
    <w:abstractNumId w:val="40"/>
  </w:num>
  <w:num w:numId="60">
    <w:abstractNumId w:val="11"/>
  </w:num>
  <w:num w:numId="61">
    <w:abstractNumId w:val="52"/>
  </w:num>
  <w:num w:numId="62">
    <w:abstractNumId w:val="36"/>
  </w:num>
  <w:num w:numId="63">
    <w:abstractNumId w:val="49"/>
  </w:num>
  <w:num w:numId="64">
    <w:abstractNumId w:val="31"/>
  </w:num>
  <w:num w:numId="65">
    <w:abstractNumId w:val="17"/>
  </w:num>
  <w:num w:numId="66">
    <w:abstractNumId w:val="37"/>
  </w:num>
  <w:num w:numId="67">
    <w:abstractNumId w:val="10"/>
  </w:num>
  <w:num w:numId="68">
    <w:abstractNumId w:val="51"/>
  </w:num>
  <w:num w:numId="69">
    <w:abstractNumId w:val="8"/>
  </w:num>
  <w:num w:numId="70">
    <w:abstractNumId w:val="26"/>
  </w:num>
  <w:num w:numId="71">
    <w:abstractNumId w:val="45"/>
  </w:num>
  <w:num w:numId="72">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documentProtection w:enforcement="0"/>
  <w:defaultTabStop w:val="720"/>
  <w:drawingGridHorizontalSpacing w:val="110"/>
  <w:displayHorizontalDrawingGridEvery w:val="2"/>
  <w:characterSpacingControl w:val="doNotCompress"/>
  <w:hdrShapeDefaults>
    <o:shapelayout v:ext="edit">
      <o:idmap v:ext="edit" data="2"/>
    </o:shapelayout>
  </w:hdrShapeDefaults>
  <w:footnotePr>
    <w:footnote w:id="0"/>
    <w:footnote w:id="1"/>
  </w:footnotePr>
  <w:endnotePr>
    <w:endnote w:id="0"/>
    <w:endnote w:id="1"/>
  </w:endnotePr>
  <w:compat>
    <w:ulTrailSpace/>
    <w:shapeLayoutLikeWW8/>
    <w:useFELayout/>
    <w:compatSetting w:name="compatibilityMode" w:uri="http://schemas.microsoft.com/office/word" w:val="12"/>
  </w:compat>
  <w:docVars>
    <w:docVar w:name="commondata" w:val="eyJoZGlkIjoiNDA5YjcwNjgxNzNhYjExMDgzZWI2NGI0YmE1ODUyYmMifQ=="/>
  </w:docVars>
  <w:rsids>
    <w:rsidRoot w:val="00000000"/>
    <w:rsid w:val="3C6307E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next w:val="1"/>
    <w:qFormat/>
    <w:uiPriority w:val="1"/>
    <w:pPr>
      <w:ind w:left="1391" w:hanging="962"/>
      <w:outlineLvl w:val="1"/>
    </w:pPr>
    <w:rPr>
      <w:rFonts w:ascii="Microsoft JhengHei" w:hAnsi="Microsoft JhengHei" w:eastAsia="Microsoft JhengHei" w:cs="Microsoft JhengHei"/>
      <w:b/>
      <w:bCs/>
      <w:sz w:val="24"/>
      <w:szCs w:val="24"/>
      <w:lang w:val="en-US" w:eastAsia="zh-CN" w:bidi="ar-SA"/>
    </w:rPr>
  </w:style>
  <w:style w:type="paragraph" w:styleId="3">
    <w:name w:val="heading 2"/>
    <w:basedOn w:val="1"/>
    <w:next w:val="1"/>
    <w:qFormat/>
    <w:uiPriority w:val="1"/>
    <w:pPr>
      <w:spacing w:before="58"/>
      <w:ind w:left="1391"/>
      <w:outlineLvl w:val="2"/>
    </w:pPr>
    <w:rPr>
      <w:rFonts w:ascii="Microsoft JhengHei" w:hAnsi="Microsoft JhengHei" w:eastAsia="Microsoft JhengHei" w:cs="Microsoft JhengHei"/>
      <w:b/>
      <w:bCs/>
      <w:sz w:val="21"/>
      <w:szCs w:val="21"/>
      <w:lang w:val="en-US" w:eastAsia="zh-CN" w:bidi="ar-SA"/>
    </w:rPr>
  </w:style>
  <w:style w:type="character" w:default="1" w:styleId="6">
    <w:name w:val="Default Paragraph Font"/>
    <w:semiHidden/>
    <w:unhideWhenUsed/>
    <w:uiPriority w:val="1"/>
  </w:style>
  <w:style w:type="table" w:default="1" w:styleId="5">
    <w:name w:val="Normal Table"/>
    <w:semiHidden/>
    <w:uiPriority w:val="0"/>
    <w:tblPr>
      <w:tblCellMar>
        <w:top w:w="0" w:type="dxa"/>
        <w:left w:w="108" w:type="dxa"/>
        <w:bottom w:w="0" w:type="dxa"/>
        <w:right w:w="108" w:type="dxa"/>
      </w:tblCellMar>
    </w:tblPr>
  </w:style>
  <w:style w:type="paragraph" w:styleId="4">
    <w:name w:val="Body Text"/>
    <w:basedOn w:val="1"/>
    <w:qFormat/>
    <w:uiPriority w:val="1"/>
    <w:rPr>
      <w:rFonts w:ascii="宋体" w:hAnsi="宋体" w:eastAsia="宋体" w:cs="宋体"/>
      <w:sz w:val="21"/>
      <w:szCs w:val="21"/>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1391"/>
    </w:pPr>
    <w:rPr>
      <w:rFonts w:ascii="宋体" w:hAnsi="宋体" w:eastAsia="宋体" w:cs="宋体"/>
      <w:lang w:val="en-US" w:eastAsia="zh-CN" w:bidi="ar-SA"/>
    </w:rPr>
  </w:style>
  <w:style w:type="paragraph" w:customStyle="1" w:styleId="9">
    <w:name w:val="Table Paragraph"/>
    <w:basedOn w:val="1"/>
    <w:qFormat/>
    <w:uiPriority w:val="1"/>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35</Pages>
  <Words>32954</Words>
  <Characters>34270</Characters>
  <TotalTime>0</TotalTime>
  <ScaleCrop>false</ScaleCrop>
  <LinksUpToDate>false</LinksUpToDate>
  <CharactersWithSpaces>34841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2023-06-02T06:08:00Z</dcterms:created>
  <dc:creator>木木</dc:creator>
  <cp:lastModifiedBy>木木</cp:lastModifiedBy>
  <dcterms:modified xsi:type="dcterms:W3CDTF">2023-06-02T06:40:57Z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y fmtid="{D5CDD505-2E9C-101B-9397-08002B2CF9AE}" pid="5" name="KSOProductBuildVer">
    <vt:lpwstr>2052-11.1.0.14309</vt:lpwstr>
  </property>
  <property fmtid="{D5CDD505-2E9C-101B-9397-08002B2CF9AE}" pid="6" name="ICV">
    <vt:lpwstr>7A01047990D146589FA15EBD9F7A40EF_12</vt:lpwstr>
  </property>
</Properties>
</file>