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59"/>
      </w:pPr>
      <w:r>
        <w:rPr>
          <w:spacing w:val="-2"/>
        </w:rPr>
        <w:t>瑞泰人寿</w:t>
      </w:r>
      <w:r>
        <w:rPr>
          <w:rFonts w:ascii="Calibri" w:eastAsia="Calibri"/>
          <w:spacing w:val="-2"/>
        </w:rPr>
        <w:t>[2021]</w:t>
      </w:r>
      <w:r>
        <w:rPr>
          <w:spacing w:val="-12"/>
        </w:rPr>
        <w:t>定期寿险 </w:t>
      </w:r>
      <w:r>
        <w:rPr>
          <w:rFonts w:ascii="Calibri" w:eastAsia="Calibri"/>
          <w:spacing w:val="-2"/>
        </w:rPr>
        <w:t>004</w:t>
      </w:r>
      <w:r>
        <w:rPr>
          <w:rFonts w:ascii="Calibri" w:eastAsia="Calibri"/>
          <w:spacing w:val="12"/>
        </w:rPr>
        <w:t> </w:t>
      </w:r>
      <w:r>
        <w:rPr>
          <w:spacing w:val="-10"/>
        </w:rPr>
        <w:t>号</w:t>
      </w:r>
    </w:p>
    <w:p>
      <w:pPr>
        <w:pStyle w:val="BodyText"/>
        <w:spacing w:before="12"/>
        <w:rPr>
          <w:sz w:val="3"/>
        </w:rPr>
      </w:pPr>
      <w:r>
        <w:rPr/>
        <w:drawing>
          <wp:anchor distT="0" distB="0" distL="0" distR="0" allowOverlap="1" layoutInCell="1" locked="0" behindDoc="0" simplePos="0" relativeHeight="0">
            <wp:simplePos x="0" y="0"/>
            <wp:positionH relativeFrom="page">
              <wp:posOffset>5190490</wp:posOffset>
            </wp:positionH>
            <wp:positionV relativeFrom="paragraph">
              <wp:posOffset>47331</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7"/>
        <w:ind w:right="5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p>
      <w:pPr>
        <w:pStyle w:val="Title"/>
        <w:spacing w:line="266" w:lineRule="auto"/>
      </w:pPr>
      <w:r>
        <w:rPr/>
        <w:t>瑞</w:t>
      </w:r>
      <w:r>
        <w:rPr/>
        <w:t>泰</w:t>
      </w:r>
      <w:r>
        <w:rPr/>
        <w:t>瑞</w:t>
      </w:r>
      <w:r>
        <w:rPr>
          <w:spacing w:val="-53"/>
        </w:rPr>
        <w:t>和 </w:t>
      </w:r>
      <w:r>
        <w:rPr>
          <w:rFonts w:ascii="Calibri" w:eastAsia="Calibri"/>
        </w:rPr>
        <w:t>2021</w:t>
      </w:r>
      <w:r>
        <w:rPr>
          <w:rFonts w:ascii="Calibri" w:eastAsia="Calibri"/>
          <w:spacing w:val="-25"/>
        </w:rPr>
        <w:t> </w:t>
      </w:r>
      <w:r>
        <w:rPr/>
        <w:t>定</w:t>
      </w:r>
      <w:r>
        <w:rPr/>
        <w:t>期</w:t>
      </w:r>
      <w:r>
        <w:rPr/>
        <w:t>寿</w:t>
      </w:r>
      <w:r>
        <w:rPr/>
        <w:t>险</w:t>
      </w:r>
      <w:r>
        <w:rPr>
          <w:spacing w:val="-4"/>
        </w:rPr>
        <w:t>合</w:t>
      </w:r>
      <w:r>
        <w:rPr>
          <w:spacing w:val="-4"/>
        </w:rPr>
        <w:t>同</w:t>
      </w:r>
      <w:r>
        <w:rPr>
          <w:spacing w:val="-4"/>
        </w:rPr>
        <w:t>条</w:t>
      </w:r>
      <w:r>
        <w:rPr>
          <w:spacing w:val="-4"/>
        </w:rPr>
        <w:t>款</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spacing w:before="4"/>
        <w:rPr>
          <w:b/>
          <w:sz w:val="50"/>
        </w:rPr>
      </w:pPr>
    </w:p>
    <w:p>
      <w:pPr>
        <w:pStyle w:val="Heading1"/>
      </w:pPr>
      <w:r>
        <w:rPr>
          <w:w w:val="95"/>
        </w:rPr>
        <w:t>瑞</w:t>
      </w:r>
      <w:r>
        <w:rPr>
          <w:w w:val="95"/>
        </w:rPr>
        <w:t>泰</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after="0"/>
        <w:sectPr>
          <w:footerReference w:type="default" r:id="rId5"/>
          <w:type w:val="continuous"/>
          <w:pgSz w:w="11910" w:h="16840"/>
          <w:pgMar w:footer="1005" w:header="0" w:top="1400" w:bottom="1200" w:left="1680" w:right="1580"/>
          <w:pgNumType w:start="1"/>
        </w:sectPr>
      </w:pPr>
    </w:p>
    <w:p>
      <w:pPr>
        <w:spacing w:before="41"/>
        <w:ind w:left="1949" w:right="2042" w:firstLine="0"/>
        <w:jc w:val="center"/>
        <w:rPr>
          <w:b/>
          <w:sz w:val="24"/>
        </w:rPr>
      </w:pPr>
      <w:r>
        <w:rPr>
          <w:b/>
          <w:w w:val="95"/>
          <w:sz w:val="24"/>
        </w:rPr>
        <w:t>目</w:t>
      </w:r>
      <w:r>
        <w:rPr>
          <w:b/>
          <w:spacing w:val="-10"/>
          <w:sz w:val="24"/>
        </w:rPr>
        <w:t>录</w:t>
      </w:r>
    </w:p>
    <w:sdt>
      <w:sdtPr>
        <w:docPartObj>
          <w:docPartGallery w:val="Table of Contents"/>
          <w:docPartUnique/>
        </w:docPartObj>
      </w:sdtPr>
      <w:sdtEndPr/>
      <w:sdtContent>
        <w:p>
          <w:pPr>
            <w:pStyle w:val="TOC1"/>
            <w:tabs>
              <w:tab w:pos="839" w:val="left" w:leader="none"/>
              <w:tab w:pos="8192" w:val="left" w:leader="dot"/>
            </w:tabs>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3"/>
            <w:numPr>
              <w:ilvl w:val="0"/>
              <w:numId w:val="1"/>
            </w:numPr>
            <w:tabs>
              <w:tab w:pos="972" w:val="left" w:leader="none"/>
              <w:tab w:pos="973" w:val="left" w:leader="none"/>
              <w:tab w:pos="8313" w:val="left" w:leader="dot"/>
            </w:tabs>
            <w:spacing w:line="240" w:lineRule="auto" w:before="43" w:after="0"/>
            <w:ind w:left="972" w:right="0" w:hanging="433"/>
            <w:jc w:val="left"/>
            <w:rPr>
              <w:rFonts w:ascii="Calibri" w:hAnsi="Calibri" w:eastAsia="Calibri"/>
            </w:rPr>
          </w:pPr>
          <w:hyperlink w:history="true" w:anchor="_bookmark1">
            <w:r>
              <w:rPr/>
              <w:t>关于瑞泰瑞和</w:t>
            </w:r>
            <w:r>
              <w:rPr>
                <w:spacing w:val="-53"/>
              </w:rPr>
              <w:t> </w:t>
            </w:r>
            <w:r>
              <w:rPr>
                <w:rFonts w:ascii="Calibri" w:hAnsi="Calibri" w:eastAsia="Calibri"/>
              </w:rPr>
              <w:t>2021</w:t>
            </w:r>
            <w:r>
              <w:rPr>
                <w:rFonts w:ascii="Calibri" w:hAnsi="Calibri" w:eastAsia="Calibri"/>
                <w:spacing w:val="-10"/>
              </w:rPr>
              <w:t> </w:t>
            </w:r>
            <w:r>
              <w:rPr/>
              <w:t>定期寿险合同（以下简称</w:t>
            </w:r>
            <w:r>
              <w:rPr>
                <w:rFonts w:ascii="Calibri" w:hAnsi="Calibri" w:eastAsia="Calibri"/>
              </w:rPr>
              <w:t>“</w:t>
            </w:r>
            <w:r>
              <w:rPr/>
              <w:t>本合同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2" w:val="left" w:leader="none"/>
              <w:tab w:pos="973" w:val="left" w:leader="none"/>
              <w:tab w:pos="8313" w:val="left" w:leader="dot"/>
            </w:tabs>
            <w:spacing w:line="240" w:lineRule="auto" w:before="42" w:after="0"/>
            <w:ind w:left="9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4"/>
            <w:numPr>
              <w:ilvl w:val="0"/>
              <w:numId w:val="1"/>
            </w:numPr>
            <w:tabs>
              <w:tab w:pos="972" w:val="left" w:leader="none"/>
              <w:tab w:pos="973" w:val="left" w:leader="none"/>
              <w:tab w:pos="8313" w:val="left" w:leader="dot"/>
            </w:tabs>
            <w:spacing w:line="240" w:lineRule="auto" w:before="44" w:after="0"/>
            <w:ind w:left="972" w:right="0" w:hanging="433"/>
            <w:jc w:val="left"/>
            <w:rPr>
              <w:rFonts w:ascii="Calibri" w:eastAsia="Calibri"/>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6</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7</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7</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7</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10"/>
                <w:sz w:val="21"/>
              </w:rPr>
              <w:t>9</w:t>
            </w:r>
          </w:hyperlink>
        </w:p>
        <w:p>
          <w:pPr>
            <w:pStyle w:val="TOC4"/>
            <w:numPr>
              <w:ilvl w:val="0"/>
              <w:numId w:val="1"/>
            </w:numPr>
            <w:tabs>
              <w:tab w:pos="973" w:val="left" w:leader="none"/>
              <w:tab w:pos="8313" w:val="left" w:leader="dot"/>
            </w:tabs>
            <w:spacing w:line="240" w:lineRule="auto" w:before="42" w:after="0"/>
            <w:ind w:left="972" w:right="0" w:hanging="433"/>
            <w:jc w:val="left"/>
            <w:rPr>
              <w:rFonts w:ascii="Calibri" w:eastAsia="Calibri"/>
              <w:i w:val="0"/>
              <w:sz w:val="21"/>
            </w:rPr>
          </w:pPr>
          <w:hyperlink w:history="true" w:anchor="_bookmark18">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10"/>
                <w:sz w:val="21"/>
              </w:rPr>
              <w:t>9</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9">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10"/>
                <w:sz w:val="21"/>
              </w:rPr>
              <w:t>9</w:t>
            </w:r>
          </w:hyperlink>
        </w:p>
        <w:p>
          <w:pPr>
            <w:pStyle w:val="TOC2"/>
            <w:tabs>
              <w:tab w:pos="960" w:val="left" w:leader="none"/>
              <w:tab w:pos="8313" w:val="left" w:leader="dot"/>
            </w:tabs>
            <w:rPr>
              <w:rFonts w:ascii="Times New Roman" w:eastAsia="Times New Roman"/>
            </w:rPr>
          </w:pPr>
          <w:hyperlink w:history="true" w:anchor="_bookmark20">
            <w:r>
              <w:rPr/>
              <w:t>四</w:t>
            </w:r>
            <w:r>
              <w:rPr>
                <w:spacing w:val="-10"/>
              </w:rPr>
              <w:t>、</w:t>
            </w:r>
            <w:r>
              <w:rPr/>
              <w:tab/>
              <w:t>其</w:t>
            </w:r>
            <w:r>
              <w:rPr>
                <w:spacing w:val="-10"/>
              </w:rPr>
              <w:t>他</w:t>
            </w:r>
            <w:r>
              <w:rPr>
                <w:rFonts w:ascii="Times New Roman" w:eastAsia="Times New Roman"/>
              </w:rPr>
              <w:tab/>
            </w:r>
            <w:r>
              <w:rPr>
                <w:rFonts w:ascii="Times New Roman" w:eastAsia="Times New Roman"/>
                <w:spacing w:val="-10"/>
              </w:rPr>
              <w:t>9</w:t>
            </w:r>
          </w:hyperlink>
        </w:p>
        <w:p>
          <w:pPr>
            <w:pStyle w:val="TOC3"/>
            <w:numPr>
              <w:ilvl w:val="0"/>
              <w:numId w:val="1"/>
            </w:numPr>
            <w:tabs>
              <w:tab w:pos="973" w:val="left" w:leader="none"/>
              <w:tab w:pos="8313" w:val="left" w:leader="dot"/>
            </w:tabs>
            <w:spacing w:line="240" w:lineRule="auto" w:before="43" w:after="0"/>
            <w:ind w:left="972" w:right="0" w:hanging="433"/>
            <w:jc w:val="left"/>
            <w:rPr>
              <w:rFonts w:ascii="Calibri" w:eastAsia="Calibri"/>
            </w:rPr>
          </w:pPr>
          <w:hyperlink w:history="true" w:anchor="_bookmark21">
            <w:r>
              <w:rPr/>
              <w:t>明确说明与如实告</w:t>
            </w:r>
            <w:r>
              <w:rPr>
                <w:spacing w:val="-10"/>
              </w:rPr>
              <w:t>知</w:t>
            </w:r>
            <w:r>
              <w:rPr>
                <w:rFonts w:ascii="Times New Roman" w:eastAsia="Times New Roman"/>
                <w:b w:val="0"/>
              </w:rPr>
              <w:tab/>
            </w:r>
            <w:r>
              <w:rPr>
                <w:rFonts w:ascii="Times New Roman" w:eastAsia="Times New Roman"/>
                <w:b w:val="0"/>
                <w:spacing w:val="-10"/>
              </w:rPr>
              <w:t>9</w:t>
            </w:r>
          </w:hyperlink>
        </w:p>
        <w:p>
          <w:pPr>
            <w:pStyle w:val="TOC3"/>
            <w:numPr>
              <w:ilvl w:val="0"/>
              <w:numId w:val="1"/>
            </w:numPr>
            <w:tabs>
              <w:tab w:pos="973" w:val="left" w:leader="none"/>
              <w:tab w:pos="8207" w:val="left" w:leader="dot"/>
            </w:tabs>
            <w:spacing w:line="240" w:lineRule="auto" w:before="43" w:after="0"/>
            <w:ind w:left="972" w:right="0" w:hanging="433"/>
            <w:jc w:val="left"/>
            <w:rPr>
              <w:rFonts w:ascii="Calibri" w:eastAsia="Calibri"/>
            </w:rPr>
          </w:pPr>
          <w:hyperlink w:history="true" w:anchor="_bookmark22">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5"/>
              </w:rPr>
              <w:t>10</w:t>
            </w:r>
          </w:hyperlink>
        </w:p>
        <w:p>
          <w:pPr>
            <w:pStyle w:val="TOC4"/>
            <w:numPr>
              <w:ilvl w:val="0"/>
              <w:numId w:val="1"/>
            </w:numPr>
            <w:tabs>
              <w:tab w:pos="973" w:val="left" w:leader="none"/>
              <w:tab w:pos="8207" w:val="left" w:leader="dot"/>
            </w:tabs>
            <w:spacing w:line="240" w:lineRule="auto" w:before="44" w:after="0"/>
            <w:ind w:left="972" w:right="0" w:hanging="433"/>
            <w:jc w:val="left"/>
            <w:rPr>
              <w:rFonts w:ascii="Calibri" w:eastAsia="Calibri"/>
              <w:i w:val="0"/>
              <w:sz w:val="21"/>
            </w:rPr>
          </w:pPr>
          <w:hyperlink w:history="true" w:anchor="_bookmark23">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10</w:t>
            </w:r>
          </w:hyperlink>
        </w:p>
        <w:p>
          <w:pPr>
            <w:pStyle w:val="TOC4"/>
            <w:numPr>
              <w:ilvl w:val="0"/>
              <w:numId w:val="1"/>
            </w:numPr>
            <w:tabs>
              <w:tab w:pos="973" w:val="left" w:leader="none"/>
              <w:tab w:pos="8217" w:val="left" w:leader="dot"/>
            </w:tabs>
            <w:spacing w:line="240" w:lineRule="auto" w:before="43" w:after="0"/>
            <w:ind w:left="972" w:right="0" w:hanging="433"/>
            <w:jc w:val="left"/>
            <w:rPr>
              <w:rFonts w:ascii="Calibri" w:eastAsia="Calibri"/>
              <w:i w:val="0"/>
              <w:sz w:val="21"/>
            </w:rPr>
          </w:pPr>
          <w:hyperlink w:history="true" w:anchor="_bookmark24">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11</w:t>
            </w:r>
          </w:hyperlink>
        </w:p>
        <w:p>
          <w:pPr>
            <w:pStyle w:val="TOC4"/>
            <w:numPr>
              <w:ilvl w:val="0"/>
              <w:numId w:val="1"/>
            </w:numPr>
            <w:tabs>
              <w:tab w:pos="973" w:val="left" w:leader="none"/>
              <w:tab w:pos="8217" w:val="left" w:leader="dot"/>
            </w:tabs>
            <w:spacing w:line="240" w:lineRule="auto" w:before="42" w:after="0"/>
            <w:ind w:left="972" w:right="0" w:hanging="433"/>
            <w:jc w:val="left"/>
            <w:rPr>
              <w:rFonts w:ascii="Calibri" w:eastAsia="Calibri"/>
              <w:i w:val="0"/>
              <w:sz w:val="21"/>
            </w:rPr>
          </w:pPr>
          <w:hyperlink w:history="true" w:anchor="_bookmark25">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11</w:t>
            </w:r>
          </w:hyperlink>
        </w:p>
        <w:p>
          <w:pPr>
            <w:pStyle w:val="TOC4"/>
            <w:numPr>
              <w:ilvl w:val="0"/>
              <w:numId w:val="1"/>
            </w:numPr>
            <w:tabs>
              <w:tab w:pos="973" w:val="left" w:leader="none"/>
              <w:tab w:pos="8217" w:val="left" w:leader="dot"/>
            </w:tabs>
            <w:spacing w:line="240" w:lineRule="auto" w:before="43" w:after="0"/>
            <w:ind w:left="972" w:right="0" w:hanging="433"/>
            <w:jc w:val="left"/>
            <w:rPr>
              <w:rFonts w:ascii="Calibri" w:eastAsia="Calibri"/>
              <w:i w:val="0"/>
              <w:sz w:val="21"/>
            </w:rPr>
          </w:pPr>
          <w:hyperlink w:history="true" w:anchor="_bookmark26">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11</w:t>
            </w:r>
          </w:hyperlink>
        </w:p>
        <w:p>
          <w:pPr>
            <w:pStyle w:val="TOC4"/>
            <w:numPr>
              <w:ilvl w:val="0"/>
              <w:numId w:val="1"/>
            </w:numPr>
            <w:tabs>
              <w:tab w:pos="973" w:val="left" w:leader="none"/>
              <w:tab w:pos="8217" w:val="left" w:leader="dot"/>
            </w:tabs>
            <w:spacing w:line="240" w:lineRule="auto" w:before="43" w:after="0"/>
            <w:ind w:left="972" w:right="0" w:hanging="433"/>
            <w:jc w:val="left"/>
            <w:rPr>
              <w:rFonts w:ascii="Calibri" w:eastAsia="Calibri"/>
              <w:i w:val="0"/>
              <w:sz w:val="21"/>
            </w:rPr>
          </w:pPr>
          <w:hyperlink w:history="true" w:anchor="_bookmark27">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11</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8">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9">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0">
            <w:r>
              <w:rPr>
                <w:i w:val="0"/>
                <w:sz w:val="21"/>
              </w:rPr>
              <w:t>伤残鉴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1">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2">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13</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3">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13</w:t>
            </w:r>
          </w:hyperlink>
        </w:p>
        <w:p>
          <w:pPr>
            <w:pStyle w:val="TOC2"/>
            <w:tabs>
              <w:tab w:pos="8207" w:val="left" w:leader="dot"/>
            </w:tabs>
            <w:rPr>
              <w:rFonts w:ascii="Times New Roman" w:eastAsia="Times New Roman"/>
            </w:rPr>
          </w:pPr>
          <w:hyperlink w:history="true" w:anchor="_bookmark34">
            <w:r>
              <w:rPr/>
              <w:t>释</w:t>
            </w:r>
            <w:r>
              <w:rPr>
                <w:spacing w:val="-10"/>
              </w:rPr>
              <w:t>义</w:t>
            </w:r>
            <w:r>
              <w:rPr>
                <w:rFonts w:ascii="Times New Roman" w:eastAsia="Times New Roman"/>
              </w:rPr>
              <w:tab/>
            </w:r>
            <w:r>
              <w:rPr>
                <w:rFonts w:ascii="Times New Roman" w:eastAsia="Times New Roman"/>
                <w:spacing w:val="-5"/>
              </w:rPr>
              <w:t>13</w:t>
            </w:r>
          </w:hyperlink>
        </w:p>
      </w:sdtContent>
    </w:sdt>
    <w:p>
      <w:pPr>
        <w:spacing w:after="0"/>
        <w:rPr>
          <w:rFonts w:ascii="Times New Roman" w:eastAsia="Times New Roman"/>
        </w:rPr>
        <w:sectPr>
          <w:pgSz w:w="11910" w:h="16840"/>
          <w:pgMar w:header="0" w:footer="1005" w:top="1380" w:bottom="1200" w:left="1680" w:right="1580"/>
        </w:sectPr>
      </w:pPr>
    </w:p>
    <w:p>
      <w:pPr>
        <w:pStyle w:val="Heading1"/>
        <w:spacing w:before="34"/>
        <w:ind w:right="2044"/>
      </w:pPr>
      <w:r>
        <w:rPr>
          <w:w w:val="95"/>
        </w:rPr>
        <w:t>瑞</w:t>
      </w:r>
      <w:r>
        <w:rPr>
          <w:w w:val="95"/>
        </w:rPr>
        <w:t>泰</w:t>
      </w:r>
      <w:r>
        <w:rPr>
          <w:w w:val="95"/>
        </w:rPr>
        <w:t>瑞和</w:t>
      </w:r>
      <w:r>
        <w:rPr>
          <w:spacing w:val="10"/>
        </w:rPr>
        <w:t> </w:t>
      </w:r>
      <w:r>
        <w:rPr>
          <w:rFonts w:ascii="Calibri" w:eastAsia="Calibri"/>
          <w:w w:val="95"/>
        </w:rPr>
        <w:t>2021</w:t>
      </w:r>
      <w:r>
        <w:rPr>
          <w:rFonts w:ascii="Calibri" w:eastAsia="Calibri"/>
          <w:spacing w:val="78"/>
        </w:rPr>
        <w:t> </w:t>
      </w:r>
      <w:r>
        <w:rPr>
          <w:w w:val="95"/>
        </w:rPr>
        <w:t>定</w:t>
      </w:r>
      <w:r>
        <w:rPr>
          <w:w w:val="95"/>
        </w:rPr>
        <w:t>期</w:t>
      </w:r>
      <w:r>
        <w:rPr>
          <w:w w:val="95"/>
        </w:rPr>
        <w:t>寿</w:t>
      </w:r>
      <w:r>
        <w:rPr>
          <w:w w:val="95"/>
        </w:rPr>
        <w:t>险</w:t>
      </w:r>
      <w:r>
        <w:rPr>
          <w:w w:val="95"/>
        </w:rPr>
        <w:t>合</w:t>
      </w:r>
      <w:r>
        <w:rPr>
          <w:w w:val="95"/>
        </w:rPr>
        <w:t>同</w:t>
      </w:r>
      <w:r>
        <w:rPr>
          <w:w w:val="95"/>
        </w:rPr>
        <w:t>条</w:t>
      </w:r>
      <w:r>
        <w:rPr>
          <w:spacing w:val="-10"/>
          <w:w w:val="95"/>
        </w:rPr>
        <w:t>款</w:t>
      </w:r>
    </w:p>
    <w:p>
      <w:pPr>
        <w:pStyle w:val="BodyText"/>
        <w:rPr>
          <w:b/>
          <w:sz w:val="30"/>
        </w:rPr>
      </w:pPr>
    </w:p>
    <w:p>
      <w:pPr>
        <w:pStyle w:val="BodyText"/>
        <w:spacing w:before="3"/>
        <w:rPr>
          <w:b/>
          <w:sz w:val="27"/>
        </w:rPr>
      </w:pPr>
    </w:p>
    <w:p>
      <w:pPr>
        <w:pStyle w:val="Heading1"/>
      </w:pPr>
      <w:bookmarkStart w:name="_bookmark0" w:id="1"/>
      <w:bookmarkEnd w:id="1"/>
      <w:r>
        <w:rPr>
          <w:b w:val="0"/>
        </w:rPr>
      </w:r>
      <w:r>
        <w:rPr/>
        <w:t>一</w:t>
      </w:r>
      <w:r>
        <w:rPr/>
        <w:t>、</w:t>
      </w:r>
      <w:r>
        <w:rPr>
          <w:spacing w:val="62"/>
        </w:rPr>
        <w:t> 基</w:t>
      </w:r>
      <w:r>
        <w:rPr/>
        <w:t>本</w:t>
      </w:r>
      <w:r>
        <w:rPr>
          <w:spacing w:val="-5"/>
        </w:rPr>
        <w:t>条款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1" w:after="0"/>
        <w:ind w:left="480" w:right="0" w:hanging="361"/>
        <w:jc w:val="left"/>
        <w:rPr>
          <w:rFonts w:ascii="Calibri" w:hAnsi="Calibri" w:eastAsia="Calibri"/>
        </w:rPr>
      </w:pPr>
      <w:bookmarkStart w:name="_bookmark1" w:id="2"/>
      <w:bookmarkEnd w:id="2"/>
      <w:r>
        <w:rPr>
          <w:b w:val="0"/>
        </w:rPr>
      </w:r>
      <w:bookmarkStart w:name="_bookmark1" w:id="3"/>
      <w:bookmarkEnd w:id="3"/>
      <w:r>
        <w:rPr>
          <w:spacing w:val="-8"/>
        </w:rPr>
        <w:t>关于瑞泰瑞和 </w:t>
      </w:r>
      <w:r>
        <w:rPr>
          <w:rFonts w:ascii="Calibri" w:hAnsi="Calibri" w:eastAsia="Calibri"/>
        </w:rPr>
        <w:t>2021</w:t>
      </w:r>
      <w:r>
        <w:rPr>
          <w:rFonts w:ascii="Calibri" w:hAnsi="Calibri" w:eastAsia="Calibri"/>
          <w:spacing w:val="-8"/>
        </w:rPr>
        <w:t> </w:t>
      </w:r>
      <w:r>
        <w:rPr/>
        <w:t>定期寿险合同（以下简称</w:t>
      </w:r>
      <w:r>
        <w:rPr>
          <w:rFonts w:ascii="Calibri" w:hAnsi="Calibri" w:eastAsia="Calibri"/>
        </w:rPr>
        <w:t>“</w:t>
      </w:r>
      <w:r>
        <w:rPr/>
        <w:t>本合同</w:t>
      </w:r>
      <w:r>
        <w:rPr>
          <w:rFonts w:ascii="Calibri" w:hAnsi="Calibri" w:eastAsia="Calibri"/>
          <w:spacing w:val="-5"/>
        </w:rPr>
        <w:t>”</w:t>
      </w:r>
      <w:r>
        <w:rPr>
          <w:spacing w:val="-5"/>
        </w:rPr>
        <w:t>）</w:t>
      </w:r>
    </w:p>
    <w:p>
      <w:pPr>
        <w:pStyle w:val="BodyText"/>
        <w:spacing w:before="6"/>
        <w:rPr>
          <w:b/>
          <w:sz w:val="15"/>
        </w:rPr>
      </w:pPr>
    </w:p>
    <w:p>
      <w:pPr>
        <w:pStyle w:val="BodyText"/>
        <w:spacing w:line="417" w:lineRule="auto"/>
        <w:ind w:left="120" w:right="2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before="7"/>
        <w:rPr>
          <w:b/>
          <w:sz w:val="15"/>
        </w:rPr>
      </w:pPr>
    </w:p>
    <w:p>
      <w:pPr>
        <w:pStyle w:val="BodyText"/>
        <w:spacing w:line="417" w:lineRule="auto"/>
        <w:ind w:left="120" w:right="2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BodyText"/>
        <w:spacing w:before="6"/>
        <w:rPr>
          <w:b/>
          <w:sz w:val="15"/>
        </w:rPr>
      </w:pPr>
    </w:p>
    <w:p>
      <w:pPr>
        <w:pStyle w:val="ListParagraph"/>
        <w:numPr>
          <w:ilvl w:val="1"/>
          <w:numId w:val="2"/>
        </w:numPr>
        <w:tabs>
          <w:tab w:pos="961" w:val="left" w:leader="none"/>
        </w:tabs>
        <w:spacing w:line="240" w:lineRule="auto" w:before="0" w:after="0"/>
        <w:ind w:left="960" w:right="0" w:hanging="421"/>
        <w:jc w:val="left"/>
        <w:rPr>
          <w:rFonts w:ascii="Calibri" w:eastAsia="Calibri"/>
          <w:sz w:val="21"/>
        </w:rPr>
      </w:pPr>
      <w:r>
        <w:rPr>
          <w:spacing w:val="-4"/>
          <w:sz w:val="21"/>
        </w:rPr>
        <w:t>投保人</w:t>
      </w:r>
    </w:p>
    <w:p>
      <w:pPr>
        <w:pStyle w:val="BodyText"/>
        <w:spacing w:before="7"/>
        <w:rPr>
          <w:sz w:val="15"/>
        </w:rPr>
      </w:pPr>
    </w:p>
    <w:p>
      <w:pPr>
        <w:pStyle w:val="BodyText"/>
        <w:spacing w:line="417" w:lineRule="auto"/>
        <w:ind w:left="120" w:right="213" w:firstLine="419"/>
      </w:pPr>
      <w:r>
        <w:rPr>
          <w:spacing w:val="-7"/>
        </w:rPr>
        <w:t>您作为投保人，必须是年龄大于或等于 </w:t>
      </w:r>
      <w:r>
        <w:rPr>
          <w:rFonts w:ascii="Calibri" w:eastAsia="Calibri"/>
          <w:spacing w:val="-4"/>
        </w:rPr>
        <w:t>18</w:t>
      </w:r>
      <w:r>
        <w:rPr>
          <w:rFonts w:ascii="Calibri" w:eastAsia="Calibri"/>
          <w:spacing w:val="-8"/>
        </w:rPr>
        <w:t> </w:t>
      </w:r>
      <w:r>
        <w:rPr>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961" w:val="left" w:leader="none"/>
        </w:tabs>
        <w:spacing w:line="240" w:lineRule="auto" w:before="0" w:after="0"/>
        <w:ind w:left="960" w:right="0" w:hanging="421"/>
        <w:jc w:val="left"/>
        <w:rPr>
          <w:rFonts w:ascii="Calibri" w:eastAsia="Calibri"/>
          <w:sz w:val="21"/>
        </w:rPr>
      </w:pPr>
      <w:r>
        <w:rPr>
          <w:spacing w:val="-4"/>
          <w:sz w:val="21"/>
        </w:rPr>
        <w:t>被保险人</w:t>
      </w:r>
    </w:p>
    <w:p>
      <w:pPr>
        <w:pStyle w:val="BodyText"/>
        <w:spacing w:before="7"/>
        <w:rPr>
          <w:sz w:val="15"/>
        </w:rPr>
      </w:pPr>
    </w:p>
    <w:p>
      <w:pPr>
        <w:pStyle w:val="BodyText"/>
        <w:ind w:left="540"/>
      </w:pPr>
      <w:r>
        <w:rPr>
          <w:spacing w:val="-6"/>
        </w:rPr>
        <w:t>被保险人的年龄应在 </w:t>
      </w:r>
      <w:r>
        <w:rPr>
          <w:rFonts w:ascii="Calibri" w:eastAsia="Calibri"/>
        </w:rPr>
        <w:t>18</w:t>
      </w:r>
      <w:r>
        <w:rPr>
          <w:rFonts w:ascii="Calibri" w:eastAsia="Calibri"/>
          <w:spacing w:val="-12"/>
        </w:rPr>
        <w:t> </w:t>
      </w:r>
      <w:r>
        <w:rPr/>
        <w:t>周岁（含）</w:t>
      </w:r>
      <w:r>
        <w:rPr>
          <w:spacing w:val="-27"/>
        </w:rPr>
        <w:t>至 </w:t>
      </w:r>
      <w:r>
        <w:rPr>
          <w:rFonts w:ascii="Calibri" w:eastAsia="Calibri"/>
        </w:rPr>
        <w:t>60</w:t>
      </w:r>
      <w:r>
        <w:rPr>
          <w:rFonts w:ascii="Calibri" w:eastAsia="Calibri"/>
          <w:spacing w:val="-10"/>
        </w:rPr>
        <w:t> </w:t>
      </w:r>
      <w:r>
        <w:rPr/>
        <w:t>周岁（含）</w:t>
      </w:r>
      <w:r>
        <w:rPr>
          <w:spacing w:val="-4"/>
        </w:rPr>
        <w:t>之间。</w:t>
      </w:r>
    </w:p>
    <w:p>
      <w:pPr>
        <w:pStyle w:val="BodyText"/>
        <w:rPr>
          <w:sz w:val="22"/>
        </w:rPr>
      </w:pPr>
    </w:p>
    <w:p>
      <w:pPr>
        <w:pStyle w:val="BodyText"/>
        <w:rPr>
          <w:sz w:val="30"/>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6"/>
        <w:rPr>
          <w:b/>
          <w:sz w:val="15"/>
        </w:rPr>
      </w:pPr>
    </w:p>
    <w:p>
      <w:pPr>
        <w:pStyle w:val="BodyText"/>
        <w:ind w:left="540"/>
      </w:pPr>
      <w:r>
        <w:rPr>
          <w:spacing w:val="-3"/>
        </w:rPr>
        <w:t>您向我们完整提交投保单等相关投保文件、我们同意承保，本合同成立。</w:t>
      </w:r>
    </w:p>
    <w:p>
      <w:pPr>
        <w:pStyle w:val="BodyText"/>
        <w:spacing w:before="7"/>
        <w:rPr>
          <w:sz w:val="15"/>
        </w:rPr>
      </w:pPr>
    </w:p>
    <w:p>
      <w:pPr>
        <w:pStyle w:val="BodyText"/>
        <w:spacing w:line="417" w:lineRule="auto"/>
        <w:ind w:left="120" w:right="2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pStyle w:val="BodyText"/>
        <w:spacing w:line="417" w:lineRule="auto"/>
        <w:ind w:left="120" w:right="211" w:firstLine="419"/>
        <w:jc w:val="both"/>
      </w:pPr>
      <w:r>
        <w:rPr>
          <w:w w:val="95"/>
        </w:rPr>
        <w:t>本</w:t>
      </w:r>
      <w:r>
        <w:rPr>
          <w:w w:val="95"/>
        </w:rPr>
        <w:t>合</w:t>
      </w:r>
      <w:r>
        <w:rPr>
          <w:w w:val="95"/>
        </w:rPr>
        <w:t>同</w:t>
      </w:r>
      <w:r>
        <w:rPr>
          <w:w w:val="95"/>
        </w:rPr>
        <w:t>的</w:t>
      </w:r>
      <w:r>
        <w:rPr>
          <w:b/>
          <w:w w:val="95"/>
        </w:rPr>
        <w:t>保</w:t>
      </w:r>
      <w:r>
        <w:rPr>
          <w:b/>
          <w:w w:val="95"/>
        </w:rPr>
        <w:t>单</w:t>
      </w:r>
      <w:r>
        <w:rPr>
          <w:b/>
          <w:w w:val="95"/>
        </w:rPr>
        <w:t>周</w:t>
      </w:r>
      <w:r>
        <w:rPr>
          <w:b/>
          <w:w w:val="95"/>
        </w:rPr>
        <w:t>年</w:t>
      </w:r>
      <w:r>
        <w:rPr>
          <w:b/>
          <w:w w:val="95"/>
        </w:rPr>
        <w:t>日</w:t>
      </w:r>
      <w:r>
        <w:rPr>
          <w:w w:val="95"/>
        </w:rPr>
        <w:t>（</w:t>
      </w:r>
      <w:r>
        <w:rPr>
          <w:w w:val="95"/>
        </w:rPr>
        <w:t>释</w:t>
      </w:r>
      <w:r>
        <w:rPr>
          <w:w w:val="95"/>
        </w:rPr>
        <w:t>义</w:t>
      </w:r>
      <w:r>
        <w:rPr>
          <w:spacing w:val="37"/>
        </w:rPr>
        <w:t> </w:t>
      </w:r>
      <w:r>
        <w:rPr>
          <w:rFonts w:ascii="Calibri" w:eastAsia="Calibri"/>
          <w:spacing w:val="-2"/>
          <w:w w:val="95"/>
        </w:rPr>
        <w:t>2</w:t>
      </w:r>
      <w:r>
        <w:rPr>
          <w:spacing w:val="-106"/>
          <w:w w:val="95"/>
        </w:rPr>
        <w:t>）</w:t>
      </w:r>
      <w:r>
        <w:rPr>
          <w:w w:val="95"/>
        </w:rPr>
        <w:t>、</w:t>
      </w:r>
      <w:r>
        <w:rPr>
          <w:b/>
          <w:w w:val="95"/>
        </w:rPr>
        <w:t>保</w:t>
      </w:r>
      <w:r>
        <w:rPr>
          <w:b/>
          <w:w w:val="95"/>
        </w:rPr>
        <w:t>单</w:t>
      </w:r>
      <w:r>
        <w:rPr>
          <w:b/>
          <w:w w:val="95"/>
        </w:rPr>
        <w:t>年</w:t>
      </w:r>
      <w:r>
        <w:rPr>
          <w:b/>
          <w:w w:val="95"/>
        </w:rPr>
        <w:t>度</w:t>
      </w:r>
      <w:r>
        <w:rPr>
          <w:w w:val="95"/>
        </w:rPr>
        <w:t>（</w:t>
      </w:r>
      <w:r>
        <w:rPr>
          <w:w w:val="95"/>
        </w:rPr>
        <w:t>释</w:t>
      </w:r>
      <w:r>
        <w:rPr>
          <w:w w:val="95"/>
        </w:rPr>
        <w:t>义</w:t>
      </w:r>
      <w:r>
        <w:rPr>
          <w:spacing w:val="40"/>
        </w:rPr>
        <w:t> </w:t>
      </w:r>
      <w:r>
        <w:rPr>
          <w:rFonts w:ascii="Calibri" w:eastAsia="Calibri"/>
          <w:w w:val="95"/>
        </w:rPr>
        <w:t>3</w:t>
      </w:r>
      <w:r>
        <w:rPr>
          <w:spacing w:val="-108"/>
          <w:w w:val="95"/>
        </w:rPr>
        <w:t>）</w:t>
      </w:r>
      <w:r>
        <w:rPr>
          <w:w w:val="95"/>
        </w:rPr>
        <w:t>、</w:t>
      </w:r>
      <w:r>
        <w:rPr>
          <w:b/>
          <w:w w:val="95"/>
        </w:rPr>
        <w:t>保</w:t>
      </w:r>
      <w:r>
        <w:rPr>
          <w:b/>
          <w:w w:val="95"/>
        </w:rPr>
        <w:t>险</w:t>
      </w:r>
      <w:r>
        <w:rPr>
          <w:b/>
          <w:w w:val="95"/>
        </w:rPr>
        <w:t>费</w:t>
      </w:r>
      <w:r>
        <w:rPr>
          <w:b/>
          <w:w w:val="95"/>
        </w:rPr>
        <w:t>约</w:t>
      </w:r>
      <w:r>
        <w:rPr>
          <w:b/>
          <w:w w:val="95"/>
        </w:rPr>
        <w:t>定</w:t>
      </w:r>
      <w:r>
        <w:rPr>
          <w:b/>
          <w:w w:val="95"/>
        </w:rPr>
        <w:t>交</w:t>
      </w:r>
      <w:r>
        <w:rPr>
          <w:b/>
          <w:w w:val="95"/>
        </w:rPr>
        <w:t>纳</w:t>
      </w:r>
      <w:r>
        <w:rPr>
          <w:b/>
          <w:w w:val="95"/>
        </w:rPr>
        <w:t>日</w:t>
      </w:r>
      <w:r>
        <w:rPr>
          <w:w w:val="95"/>
        </w:rPr>
        <w:t>（</w:t>
      </w:r>
      <w:r>
        <w:rPr>
          <w:w w:val="95"/>
        </w:rPr>
        <w:t>释</w:t>
      </w:r>
      <w:r>
        <w:rPr>
          <w:w w:val="95"/>
        </w:rPr>
        <w:t>义</w:t>
      </w:r>
      <w:r>
        <w:rPr>
          <w:spacing w:val="40"/>
        </w:rPr>
        <w:t> </w:t>
      </w:r>
      <w:r>
        <w:rPr>
          <w:rFonts w:ascii="Calibri" w:eastAsia="Calibri"/>
          <w:spacing w:val="-2"/>
          <w:w w:val="95"/>
        </w:rPr>
        <w:t>4</w:t>
      </w:r>
      <w:r>
        <w:rPr>
          <w:spacing w:val="-106"/>
          <w:w w:val="95"/>
        </w:rPr>
        <w:t>）</w:t>
      </w:r>
      <w:r>
        <w:rPr>
          <w:w w:val="95"/>
        </w:rPr>
        <w:t>、</w:t>
      </w:r>
      <w:r>
        <w:rPr>
          <w:w w:val="95"/>
        </w:rPr>
        <w:t>保</w:t>
      </w:r>
      <w:r>
        <w:rPr>
          <w:spacing w:val="-4"/>
        </w:rPr>
        <w:t>险合同满期日均以保单中载明的生效日期为准计算。如果当月无对应的同一日，则以该月最</w:t>
      </w:r>
      <w:r>
        <w:rPr>
          <w:spacing w:val="-2"/>
        </w:rPr>
        <w:t>后一日为对应日。</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spacing w:after="0" w:line="240" w:lineRule="auto"/>
        <w:jc w:val="left"/>
        <w:rPr>
          <w:rFonts w:ascii="Calibri" w:eastAsia="Calibri"/>
        </w:rPr>
        <w:sectPr>
          <w:pgSz w:w="11910" w:h="16840"/>
          <w:pgMar w:header="0" w:footer="1005" w:top="1520" w:bottom="1200" w:left="1680" w:right="1580"/>
        </w:sectPr>
      </w:pPr>
    </w:p>
    <w:p>
      <w:pPr>
        <w:pStyle w:val="BodyText"/>
        <w:spacing w:before="61"/>
        <w:ind w:left="540"/>
      </w:pPr>
      <w:r>
        <w:rPr>
          <w:spacing w:val="-3"/>
        </w:rPr>
        <w:t>本合同的保险期间由您在投保时与我们约定，该保险期间在保单中载明。</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5" w:after="0"/>
        <w:ind w:left="480" w:right="0" w:hanging="361"/>
        <w:jc w:val="both"/>
        <w:rPr>
          <w:rFonts w:ascii="Calibri" w:eastAsia="Calibri"/>
        </w:rPr>
      </w:pPr>
      <w:bookmarkStart w:name="_bookmark6" w:id="12"/>
      <w:bookmarkEnd w:id="12"/>
      <w:r>
        <w:rPr>
          <w:b w:val="0"/>
        </w:rPr>
      </w:r>
      <w:bookmarkStart w:name="_bookmark6" w:id="13"/>
      <w:bookmarkEnd w:id="13"/>
      <w:r>
        <w:rPr>
          <w:spacing w:val="-4"/>
        </w:rPr>
        <w:t>犹豫期</w:t>
      </w:r>
    </w:p>
    <w:p>
      <w:pPr>
        <w:pStyle w:val="BodyText"/>
        <w:spacing w:before="6"/>
        <w:rPr>
          <w:b/>
          <w:sz w:val="15"/>
        </w:rPr>
      </w:pPr>
    </w:p>
    <w:p>
      <w:pPr>
        <w:spacing w:line="417" w:lineRule="auto" w:before="0"/>
        <w:ind w:left="120" w:right="211" w:firstLine="419"/>
        <w:jc w:val="right"/>
        <w:rPr>
          <w:b/>
          <w:sz w:val="21"/>
        </w:rPr>
      </w:pPr>
      <w:r>
        <w:rPr>
          <w:spacing w:val="-1"/>
          <w:sz w:val="21"/>
        </w:rPr>
        <w:t>自您收到本合同并书面签收或以我们认可的其他方式对本合同进行确认之日起，有 </w:t>
      </w:r>
      <w:r>
        <w:rPr>
          <w:rFonts w:ascii="Calibri" w:eastAsia="Calibri"/>
          <w:sz w:val="21"/>
        </w:rPr>
        <w:t>20</w:t>
      </w:r>
      <w:r>
        <w:rPr>
          <w:spacing w:val="-4"/>
          <w:sz w:val="21"/>
        </w:rPr>
        <w:t>日的犹豫期。在此期间请您认真审视本合同，如果您认为本合同与您的需求不相符，您可以</w:t>
      </w:r>
      <w:r>
        <w:rPr>
          <w:spacing w:val="-4"/>
          <w:sz w:val="21"/>
        </w:rPr>
        <w:t>在此期间提出解除本合同，我们将无息退还您所支付的全部保险费</w:t>
      </w:r>
      <w:r>
        <w:rPr>
          <w:spacing w:val="-2"/>
          <w:sz w:val="21"/>
        </w:rPr>
        <w:t>（我们可以扣除保单工本</w:t>
      </w:r>
      <w:r>
        <w:rPr>
          <w:spacing w:val="-2"/>
          <w:sz w:val="21"/>
        </w:rPr>
        <w:t>费</w:t>
      </w:r>
      <w:r>
        <w:rPr>
          <w:spacing w:val="-106"/>
          <w:sz w:val="21"/>
        </w:rPr>
        <w:t>）</w:t>
      </w:r>
      <w:r>
        <w:rPr>
          <w:spacing w:val="-80"/>
          <w:sz w:val="21"/>
        </w:rPr>
        <w:t>。</w:t>
      </w:r>
      <w:r>
        <w:rPr>
          <w:b/>
          <w:spacing w:val="-10"/>
          <w:sz w:val="21"/>
        </w:rPr>
        <w:t>自我们收到您解除合同的书面申请时起，本合同即被解除，我们自始不承担保险责任。</w:t>
      </w:r>
      <w:r>
        <w:rPr>
          <w:b/>
          <w:spacing w:val="-2"/>
          <w:sz w:val="21"/>
        </w:rPr>
        <w:t>由于不可抗力或您本人的原因导致犹豫期无法起算或计算错误的，我们将协助您及时</w:t>
      </w:r>
    </w:p>
    <w:p>
      <w:pPr>
        <w:spacing w:line="269" w:lineRule="exact" w:before="0"/>
        <w:ind w:left="120" w:right="0" w:firstLine="0"/>
        <w:jc w:val="left"/>
        <w:rPr>
          <w:sz w:val="21"/>
        </w:rPr>
      </w:pPr>
      <w:r>
        <w:rPr>
          <w:b/>
          <w:spacing w:val="-2"/>
          <w:sz w:val="21"/>
        </w:rPr>
        <w:t>予以解决，但不承担损失赔偿责任</w:t>
      </w:r>
      <w:r>
        <w:rPr>
          <w:spacing w:val="-10"/>
          <w:sz w:val="21"/>
        </w:rPr>
        <w:t>。</w:t>
      </w:r>
    </w:p>
    <w:p>
      <w:pPr>
        <w:pStyle w:val="BodyText"/>
        <w:rPr>
          <w:sz w:val="20"/>
        </w:rPr>
      </w:pPr>
    </w:p>
    <w:p>
      <w:pPr>
        <w:pStyle w:val="BodyText"/>
        <w:rPr>
          <w:sz w:val="20"/>
        </w:rPr>
      </w:pPr>
    </w:p>
    <w:p>
      <w:pPr>
        <w:pStyle w:val="BodyText"/>
        <w:spacing w:before="9"/>
        <w:rPr>
          <w:sz w:val="14"/>
        </w:rPr>
      </w:pPr>
    </w:p>
    <w:p>
      <w:pPr>
        <w:pStyle w:val="Heading1"/>
        <w:ind w:right="2047"/>
      </w:pPr>
      <w:bookmarkStart w:name="_bookmark7" w:id="14"/>
      <w:bookmarkEnd w:id="14"/>
      <w:r>
        <w:rPr>
          <w:b w:val="0"/>
        </w:rPr>
      </w:r>
      <w:r>
        <w:rPr/>
        <w:t>二</w:t>
      </w:r>
      <w:r>
        <w:rPr/>
        <w:t>、</w:t>
      </w:r>
      <w:r>
        <w:rPr>
          <w:spacing w:val="61"/>
        </w:rPr>
        <w:t> 保</w:t>
      </w:r>
      <w:r>
        <w:rPr/>
        <w:t>险</w:t>
      </w:r>
      <w:r>
        <w:rPr/>
        <w:t>费</w:t>
      </w:r>
      <w:r>
        <w:rPr/>
        <w:t>条</w:t>
      </w:r>
      <w:r>
        <w:rPr>
          <w:spacing w:val="-10"/>
        </w:rPr>
        <w:t>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6"/>
        <w:rPr>
          <w:b/>
          <w:sz w:val="15"/>
        </w:rPr>
      </w:pPr>
    </w:p>
    <w:p>
      <w:pPr>
        <w:pStyle w:val="BodyText"/>
        <w:spacing w:before="1"/>
        <w:ind w:left="540"/>
      </w:pPr>
      <w:r>
        <w:rPr>
          <w:spacing w:val="-3"/>
        </w:rPr>
        <w:t>本合同的交费方式和交费期间由您和我们约定，并在保单中载明。</w:t>
      </w:r>
    </w:p>
    <w:p>
      <w:pPr>
        <w:pStyle w:val="BodyText"/>
        <w:spacing w:before="6"/>
        <w:rPr>
          <w:sz w:val="15"/>
        </w:rPr>
      </w:pPr>
    </w:p>
    <w:p>
      <w:pPr>
        <w:pStyle w:val="BodyText"/>
        <w:spacing w:line="417" w:lineRule="auto"/>
        <w:ind w:left="120" w:right="2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9" w:id="17"/>
      <w:bookmarkEnd w:id="17"/>
      <w:r>
        <w:rPr>
          <w:b w:val="0"/>
        </w:rPr>
      </w:r>
      <w:bookmarkStart w:name="_bookmark9" w:id="18"/>
      <w:bookmarkEnd w:id="18"/>
      <w:r>
        <w:rPr>
          <w:spacing w:val="-4"/>
        </w:rPr>
        <w:t>宽限期</w:t>
      </w:r>
    </w:p>
    <w:p>
      <w:pPr>
        <w:pStyle w:val="BodyText"/>
        <w:spacing w:before="7"/>
        <w:rPr>
          <w:b/>
          <w:sz w:val="15"/>
        </w:rPr>
      </w:pPr>
    </w:p>
    <w:p>
      <w:pPr>
        <w:spacing w:line="417" w:lineRule="auto" w:before="0"/>
        <w:ind w:left="120" w:right="211" w:firstLine="419"/>
        <w:jc w:val="both"/>
        <w:rPr>
          <w:b/>
          <w:sz w:val="21"/>
        </w:rPr>
      </w:pPr>
      <w:r>
        <w:rPr>
          <w:spacing w:val="-4"/>
          <w:sz w:val="21"/>
        </w:rPr>
        <w:t>分期交纳保险费的，您交纳首期保险费后，除本合同另有约定外，如果您到期未交纳保</w:t>
      </w:r>
      <w:r>
        <w:rPr>
          <w:spacing w:val="-4"/>
          <w:sz w:val="21"/>
        </w:rPr>
        <w:t>险费，自保险费约定交纳日的次日零时起 </w:t>
      </w:r>
      <w:r>
        <w:rPr>
          <w:rFonts w:ascii="Calibri" w:eastAsia="Calibri"/>
          <w:spacing w:val="-2"/>
          <w:sz w:val="21"/>
        </w:rPr>
        <w:t>60</w:t>
      </w:r>
      <w:r>
        <w:rPr>
          <w:rFonts w:ascii="Calibri" w:eastAsia="Calibri"/>
          <w:spacing w:val="26"/>
          <w:sz w:val="21"/>
        </w:rPr>
        <w:t> </w:t>
      </w:r>
      <w:r>
        <w:rPr>
          <w:spacing w:val="-2"/>
          <w:sz w:val="21"/>
        </w:rPr>
        <w:t>日为宽限期。</w:t>
      </w:r>
      <w:r>
        <w:rPr>
          <w:b/>
          <w:spacing w:val="-2"/>
          <w:sz w:val="21"/>
        </w:rPr>
        <w:t>宽限期内发生的保险事故，我们</w:t>
      </w:r>
      <w:r>
        <w:rPr>
          <w:b/>
          <w:spacing w:val="-2"/>
          <w:sz w:val="21"/>
        </w:rPr>
        <w:t>仍会承担保险责任，但在给付保险金时会扣减您欠交的保险费。</w:t>
      </w:r>
    </w:p>
    <w:p>
      <w:pPr>
        <w:spacing w:line="269" w:lineRule="exact" w:before="0"/>
        <w:ind w:left="542" w:right="0" w:firstLine="0"/>
        <w:jc w:val="left"/>
        <w:rPr>
          <w:b/>
          <w:sz w:val="21"/>
        </w:rPr>
      </w:pPr>
      <w:r>
        <w:rPr>
          <w:b/>
          <w:spacing w:val="-3"/>
          <w:sz w:val="21"/>
        </w:rPr>
        <w:t>如果您宽限期结束之后仍未交纳保险费，则本合同自宽限期满的次日零时起效力中止。</w:t>
      </w:r>
    </w:p>
    <w:p>
      <w:pPr>
        <w:pStyle w:val="BodyText"/>
        <w:rPr>
          <w:b/>
          <w:sz w:val="20"/>
        </w:rPr>
      </w:pPr>
    </w:p>
    <w:p>
      <w:pPr>
        <w:pStyle w:val="BodyText"/>
        <w:rPr>
          <w:b/>
          <w:sz w:val="20"/>
        </w:rPr>
      </w:pPr>
    </w:p>
    <w:p>
      <w:pPr>
        <w:pStyle w:val="BodyText"/>
        <w:spacing w:before="9"/>
        <w:rPr>
          <w:b/>
          <w:sz w:val="14"/>
        </w:rPr>
      </w:pPr>
    </w:p>
    <w:p>
      <w:pPr>
        <w:pStyle w:val="Heading1"/>
      </w:pPr>
      <w:bookmarkStart w:name="_bookmark10" w:id="19"/>
      <w:bookmarkEnd w:id="19"/>
      <w:r>
        <w:rPr>
          <w:b w:val="0"/>
        </w:rPr>
      </w:r>
      <w:r>
        <w:rPr/>
        <w:t>三</w:t>
      </w:r>
      <w:r>
        <w:rPr/>
        <w:t>、</w:t>
      </w:r>
      <w:r>
        <w:rPr>
          <w:spacing w:val="62"/>
        </w:rPr>
        <w:t> 保</w:t>
      </w:r>
      <w:r>
        <w:rPr/>
        <w:t>障</w:t>
      </w:r>
      <w:r>
        <w:rPr>
          <w:spacing w:val="-5"/>
        </w:rPr>
        <w:t>条款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7"/>
        <w:rPr>
          <w:b/>
          <w:sz w:val="15"/>
        </w:rPr>
      </w:pPr>
    </w:p>
    <w:p>
      <w:pPr>
        <w:pStyle w:val="BodyText"/>
        <w:ind w:left="540"/>
      </w:pPr>
      <w:r>
        <w:rPr>
          <w:spacing w:val="-3"/>
        </w:rPr>
        <w:t>本合同的基本保险金额由您和我们约定，并在保单中载明。</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both"/>
        <w:rPr>
          <w:rFonts w:ascii="Calibri" w:eastAsia="Calibri"/>
        </w:rPr>
      </w:pPr>
      <w:bookmarkStart w:name="_bookmark12" w:id="22"/>
      <w:bookmarkEnd w:id="22"/>
      <w:r>
        <w:rPr>
          <w:b w:val="0"/>
        </w:rPr>
      </w:r>
      <w:bookmarkStart w:name="_bookmark12" w:id="23"/>
      <w:bookmarkEnd w:id="23"/>
      <w:r>
        <w:rPr>
          <w:spacing w:val="-3"/>
        </w:rPr>
        <w:t>保险责任</w:t>
      </w:r>
    </w:p>
    <w:p>
      <w:pPr>
        <w:spacing w:after="0" w:line="240" w:lineRule="auto"/>
        <w:jc w:val="both"/>
        <w:rPr>
          <w:rFonts w:ascii="Calibri" w:eastAsia="Calibri"/>
        </w:rPr>
        <w:sectPr>
          <w:pgSz w:w="11910" w:h="16840"/>
          <w:pgMar w:header="0" w:footer="1005" w:top="1460" w:bottom="1200" w:left="1680" w:right="1580"/>
        </w:sectPr>
      </w:pPr>
    </w:p>
    <w:p>
      <w:pPr>
        <w:pStyle w:val="BodyText"/>
        <w:spacing w:line="417" w:lineRule="auto" w:before="61"/>
        <w:ind w:left="120" w:right="211" w:firstLine="419"/>
      </w:pPr>
      <w:r>
        <w:rPr>
          <w:spacing w:val="-7"/>
        </w:rPr>
        <w:t>本合同的保险责任分为必选责任与可选责任。在本合同有效期内，我们根据投保人的选</w:t>
      </w:r>
      <w:r>
        <w:rPr>
          <w:spacing w:val="-2"/>
        </w:rPr>
        <w:t>择承担相应的保险责任：</w:t>
      </w:r>
    </w:p>
    <w:p>
      <w:pPr>
        <w:pStyle w:val="BodyText"/>
        <w:ind w:left="540"/>
        <w:rPr>
          <w:rFonts w:ascii="黑体" w:eastAsia="黑体"/>
        </w:rPr>
      </w:pPr>
      <w:r>
        <w:rPr>
          <w:rFonts w:ascii="黑体" w:eastAsia="黑体"/>
          <w:spacing w:val="-4"/>
        </w:rPr>
        <w:t>必选责任</w:t>
      </w:r>
    </w:p>
    <w:p>
      <w:pPr>
        <w:pStyle w:val="BodyText"/>
        <w:spacing w:before="7"/>
        <w:rPr>
          <w:rFonts w:ascii="黑体"/>
          <w:sz w:val="15"/>
        </w:rPr>
      </w:pPr>
    </w:p>
    <w:p>
      <w:pPr>
        <w:pStyle w:val="ListParagraph"/>
        <w:numPr>
          <w:ilvl w:val="1"/>
          <w:numId w:val="2"/>
        </w:numPr>
        <w:tabs>
          <w:tab w:pos="1114" w:val="left" w:leader="none"/>
        </w:tabs>
        <w:spacing w:line="417" w:lineRule="auto" w:before="0" w:after="0"/>
        <w:ind w:left="540" w:right="5427" w:firstLine="0"/>
        <w:jc w:val="both"/>
        <w:rPr>
          <w:rFonts w:ascii="Calibri" w:eastAsia="Calibri"/>
          <w:sz w:val="21"/>
        </w:rPr>
      </w:pPr>
      <w:r>
        <w:rPr>
          <w:spacing w:val="-2"/>
          <w:sz w:val="21"/>
        </w:rPr>
        <w:t>一般身故或全残保险金</w:t>
      </w:r>
      <w:r>
        <w:rPr>
          <w:spacing w:val="-2"/>
          <w:sz w:val="21"/>
        </w:rPr>
        <w:t>本项责任为必选责任。</w:t>
      </w:r>
    </w:p>
    <w:p>
      <w:pPr>
        <w:pStyle w:val="BodyText"/>
        <w:spacing w:line="417" w:lineRule="auto"/>
        <w:ind w:left="120" w:right="213" w:firstLine="419"/>
        <w:jc w:val="both"/>
      </w:pPr>
      <w:r>
        <w:rPr>
          <w:spacing w:val="-4"/>
        </w:rPr>
        <w:t>若被保险人于本合同生效（或最后一次复效）</w:t>
      </w:r>
      <w:r>
        <w:rPr>
          <w:spacing w:val="-9"/>
        </w:rPr>
        <w:t>之日起 </w:t>
      </w:r>
      <w:r>
        <w:rPr>
          <w:rFonts w:ascii="Calibri" w:eastAsia="Calibri"/>
          <w:spacing w:val="-4"/>
        </w:rPr>
        <w:t>180</w:t>
      </w:r>
      <w:r>
        <w:rPr>
          <w:rFonts w:ascii="Calibri" w:eastAsia="Calibri"/>
          <w:spacing w:val="-8"/>
        </w:rPr>
        <w:t> </w:t>
      </w:r>
      <w:r>
        <w:rPr>
          <w:spacing w:val="-4"/>
        </w:rPr>
        <w:t>日内（</w:t>
      </w:r>
      <w:r>
        <w:rPr>
          <w:spacing w:val="-10"/>
        </w:rPr>
        <w:t>含第 </w:t>
      </w:r>
      <w:r>
        <w:rPr>
          <w:rFonts w:ascii="Calibri" w:eastAsia="Calibri"/>
          <w:spacing w:val="-4"/>
        </w:rPr>
        <w:t>180</w:t>
      </w:r>
      <w:r>
        <w:rPr>
          <w:rFonts w:ascii="Calibri" w:eastAsia="Calibri"/>
          <w:spacing w:val="-8"/>
        </w:rPr>
        <w:t> </w:t>
      </w:r>
      <w:r>
        <w:rPr>
          <w:spacing w:val="-4"/>
        </w:rPr>
        <w:t>日）因</w:t>
      </w:r>
      <w:r>
        <w:rPr>
          <w:b/>
          <w:spacing w:val="-4"/>
        </w:rPr>
        <w:t>意外伤</w:t>
      </w:r>
      <w:r>
        <w:rPr>
          <w:b/>
          <w:spacing w:val="-53"/>
          <w:w w:val="95"/>
        </w:rPr>
        <w:t>害</w:t>
      </w:r>
      <w:r>
        <w:rPr>
          <w:w w:val="95"/>
        </w:rPr>
        <w:t>（释义</w:t>
      </w:r>
      <w:r>
        <w:rPr>
          <w:spacing w:val="40"/>
        </w:rPr>
        <w:t> </w:t>
      </w:r>
      <w:r>
        <w:rPr>
          <w:rFonts w:ascii="Calibri" w:eastAsia="Calibri"/>
          <w:w w:val="95"/>
        </w:rPr>
        <w:t>5</w:t>
      </w:r>
      <w:r>
        <w:rPr>
          <w:w w:val="95"/>
        </w:rPr>
        <w:t>）以外的原因导</w:t>
      </w:r>
      <w:r>
        <w:rPr>
          <w:w w:val="95"/>
        </w:rPr>
        <w:t>致</w:t>
      </w:r>
      <w:r>
        <w:rPr>
          <w:w w:val="95"/>
        </w:rPr>
        <w:t>身</w:t>
      </w:r>
      <w:r>
        <w:rPr>
          <w:w w:val="95"/>
        </w:rPr>
        <w:t>故</w:t>
      </w:r>
      <w:r>
        <w:rPr>
          <w:w w:val="95"/>
        </w:rPr>
        <w:t>或</w:t>
      </w:r>
      <w:r>
        <w:rPr>
          <w:b/>
          <w:spacing w:val="-27"/>
          <w:w w:val="95"/>
        </w:rPr>
        <w:t>全残</w:t>
      </w:r>
      <w:r>
        <w:rPr>
          <w:w w:val="95"/>
        </w:rPr>
        <w:t>（释义</w:t>
      </w:r>
      <w:r>
        <w:rPr>
          <w:spacing w:val="35"/>
        </w:rPr>
        <w:t> </w:t>
      </w:r>
      <w:r>
        <w:rPr>
          <w:rFonts w:ascii="Calibri" w:eastAsia="Calibri"/>
          <w:w w:val="95"/>
        </w:rPr>
        <w:t>6</w:t>
      </w:r>
      <w:r>
        <w:rPr>
          <w:spacing w:val="-106"/>
          <w:w w:val="95"/>
        </w:rPr>
        <w:t>）</w:t>
      </w:r>
      <w:r>
        <w:rPr>
          <w:spacing w:val="-55"/>
          <w:w w:val="95"/>
        </w:rPr>
        <w:t>，</w:t>
      </w:r>
      <w:r>
        <w:rPr>
          <w:rFonts w:ascii="黑体" w:eastAsia="黑体"/>
          <w:w w:val="95"/>
        </w:rPr>
        <w:t>我</w:t>
      </w:r>
      <w:r>
        <w:rPr>
          <w:rFonts w:ascii="黑体" w:eastAsia="黑体"/>
          <w:w w:val="95"/>
        </w:rPr>
        <w:t>们</w:t>
      </w:r>
      <w:r>
        <w:rPr>
          <w:rFonts w:ascii="黑体" w:eastAsia="黑体"/>
          <w:w w:val="95"/>
        </w:rPr>
        <w:t>按</w:t>
      </w:r>
      <w:r>
        <w:rPr>
          <w:rFonts w:ascii="黑体" w:eastAsia="黑体" w:hint="eastAsia"/>
          <w:b/>
          <w:w w:val="95"/>
        </w:rPr>
        <w:t>本</w:t>
      </w:r>
      <w:r>
        <w:rPr>
          <w:rFonts w:ascii="黑体" w:eastAsia="黑体" w:hint="eastAsia"/>
          <w:b/>
          <w:w w:val="95"/>
        </w:rPr>
        <w:t>合</w:t>
      </w:r>
      <w:r>
        <w:rPr>
          <w:rFonts w:ascii="黑体" w:eastAsia="黑体" w:hint="eastAsia"/>
          <w:b/>
          <w:w w:val="95"/>
        </w:rPr>
        <w:t>同</w:t>
      </w:r>
      <w:r>
        <w:rPr>
          <w:rFonts w:ascii="黑体" w:eastAsia="黑体" w:hint="eastAsia"/>
          <w:b/>
          <w:w w:val="95"/>
        </w:rPr>
        <w:t>累</w:t>
      </w:r>
      <w:r>
        <w:rPr>
          <w:rFonts w:ascii="黑体" w:eastAsia="黑体" w:hint="eastAsia"/>
          <w:b/>
          <w:w w:val="95"/>
        </w:rPr>
        <w:t>计</w:t>
      </w:r>
      <w:r>
        <w:rPr>
          <w:rFonts w:ascii="黑体" w:eastAsia="黑体" w:hint="eastAsia"/>
          <w:b/>
          <w:spacing w:val="-11"/>
          <w:w w:val="95"/>
        </w:rPr>
        <w:t>所交保险费</w:t>
      </w:r>
      <w:r>
        <w:rPr>
          <w:rFonts w:ascii="黑体" w:eastAsia="黑体"/>
          <w:w w:val="95"/>
        </w:rPr>
        <w:t>（释义</w:t>
      </w:r>
      <w:r>
        <w:rPr>
          <w:rFonts w:ascii="黑体" w:eastAsia="黑体"/>
          <w:spacing w:val="40"/>
        </w:rPr>
        <w:t> </w:t>
      </w:r>
      <w:r>
        <w:rPr>
          <w:rFonts w:ascii="黑体" w:eastAsia="黑体"/>
          <w:w w:val="95"/>
        </w:rPr>
        <w:t>7）</w:t>
      </w:r>
      <w:r>
        <w:rPr>
          <w:rFonts w:ascii="黑体" w:eastAsia="黑体"/>
          <w:spacing w:val="-2"/>
        </w:rPr>
        <w:t>给付一般身故或全残保险金，同时本合同效力终止</w:t>
      </w:r>
      <w:r>
        <w:rPr>
          <w:spacing w:val="-2"/>
        </w:rPr>
        <w:t>。</w:t>
      </w:r>
    </w:p>
    <w:p>
      <w:pPr>
        <w:pStyle w:val="BodyText"/>
        <w:spacing w:line="417" w:lineRule="auto"/>
        <w:ind w:left="120" w:right="211" w:firstLine="419"/>
        <w:jc w:val="both"/>
      </w:pPr>
      <w:r>
        <w:rPr>
          <w:spacing w:val="-4"/>
        </w:rPr>
        <w:t>若被保险人因意外伤害，或者被保险人于本合同生效（或最后一次复效）</w:t>
      </w:r>
      <w:r>
        <w:rPr>
          <w:spacing w:val="-9"/>
        </w:rPr>
        <w:t>之日起 </w:t>
      </w:r>
      <w:r>
        <w:rPr>
          <w:rFonts w:ascii="Calibri" w:eastAsia="Calibri"/>
          <w:spacing w:val="-4"/>
        </w:rPr>
        <w:t>180</w:t>
      </w:r>
      <w:r>
        <w:rPr>
          <w:rFonts w:ascii="Calibri" w:eastAsia="Calibri"/>
          <w:spacing w:val="7"/>
        </w:rPr>
        <w:t> </w:t>
      </w:r>
      <w:r>
        <w:rPr>
          <w:spacing w:val="-4"/>
        </w:rPr>
        <w:t>日</w:t>
      </w:r>
      <w:r>
        <w:rPr>
          <w:spacing w:val="-7"/>
        </w:rPr>
        <w:t>后因意外伤害以外的原因导致身故或全残，我们按本合同约定的基本保险金额给付一般身故</w:t>
      </w:r>
      <w:r>
        <w:rPr>
          <w:spacing w:val="-2"/>
        </w:rPr>
        <w:t>或全残保险金，</w:t>
      </w:r>
      <w:r>
        <w:rPr>
          <w:b/>
          <w:spacing w:val="-2"/>
        </w:rPr>
        <w:t>同时本合同效力终止</w:t>
      </w:r>
      <w:r>
        <w:rPr>
          <w:spacing w:val="-2"/>
        </w:rPr>
        <w:t>。</w:t>
      </w:r>
    </w:p>
    <w:p>
      <w:pPr>
        <w:pStyle w:val="BodyText"/>
        <w:rPr>
          <w:sz w:val="20"/>
        </w:rPr>
      </w:pPr>
    </w:p>
    <w:p>
      <w:pPr>
        <w:pStyle w:val="BodyText"/>
        <w:spacing w:before="6"/>
        <w:rPr>
          <w:sz w:val="16"/>
        </w:rPr>
      </w:pPr>
    </w:p>
    <w:p>
      <w:pPr>
        <w:pStyle w:val="BodyText"/>
        <w:ind w:left="540"/>
        <w:rPr>
          <w:rFonts w:ascii="黑体" w:eastAsia="黑体"/>
        </w:rPr>
      </w:pPr>
      <w:r>
        <w:rPr>
          <w:rFonts w:ascii="黑体" w:eastAsia="黑体"/>
          <w:spacing w:val="-4"/>
        </w:rPr>
        <w:t>可选责任</w:t>
      </w:r>
    </w:p>
    <w:p>
      <w:pPr>
        <w:pStyle w:val="BodyText"/>
        <w:spacing w:before="6"/>
        <w:rPr>
          <w:rFonts w:ascii="黑体"/>
          <w:sz w:val="15"/>
        </w:rPr>
      </w:pPr>
    </w:p>
    <w:p>
      <w:pPr>
        <w:pStyle w:val="Heading2"/>
        <w:ind w:left="542" w:firstLine="0"/>
      </w:pPr>
      <w:r>
        <w:rPr>
          <w:spacing w:val="-3"/>
        </w:rPr>
        <w:t>对于以下三项可选责任，投保人可以在投保时选择其中的一项，也可均不选择。</w:t>
      </w:r>
    </w:p>
    <w:p>
      <w:pPr>
        <w:pStyle w:val="BodyText"/>
        <w:spacing w:before="7"/>
        <w:rPr>
          <w:b/>
          <w:sz w:val="15"/>
        </w:rPr>
      </w:pPr>
    </w:p>
    <w:p>
      <w:pPr>
        <w:pStyle w:val="ListParagraph"/>
        <w:numPr>
          <w:ilvl w:val="1"/>
          <w:numId w:val="2"/>
        </w:numPr>
        <w:tabs>
          <w:tab w:pos="1113" w:val="left" w:leader="none"/>
          <w:tab w:pos="1114" w:val="left" w:leader="none"/>
        </w:tabs>
        <w:spacing w:line="417" w:lineRule="auto" w:before="0" w:after="0"/>
        <w:ind w:left="540" w:right="5427" w:firstLine="0"/>
        <w:jc w:val="left"/>
        <w:rPr>
          <w:rFonts w:ascii="Calibri" w:eastAsia="Calibri"/>
          <w:sz w:val="21"/>
        </w:rPr>
      </w:pPr>
      <w:r>
        <w:rPr>
          <w:spacing w:val="-2"/>
          <w:sz w:val="21"/>
        </w:rPr>
        <w:t>特别身故或全残保险金</w:t>
      </w:r>
      <w:r>
        <w:rPr>
          <w:spacing w:val="-2"/>
          <w:sz w:val="21"/>
        </w:rPr>
        <w:t>本项责任为可选责任。</w:t>
      </w:r>
    </w:p>
    <w:p>
      <w:pPr>
        <w:spacing w:line="417" w:lineRule="auto" w:before="0"/>
        <w:ind w:left="120" w:right="213" w:firstLine="419"/>
        <w:jc w:val="both"/>
        <w:rPr>
          <w:sz w:val="21"/>
        </w:rPr>
      </w:pPr>
      <w:r>
        <w:rPr>
          <w:spacing w:val="-4"/>
          <w:sz w:val="21"/>
        </w:rPr>
        <w:t>若被保险人于本合同生效（或最后一次复效）</w:t>
      </w:r>
      <w:r>
        <w:rPr>
          <w:spacing w:val="-9"/>
          <w:sz w:val="21"/>
        </w:rPr>
        <w:t>之日起 </w:t>
      </w:r>
      <w:r>
        <w:rPr>
          <w:rFonts w:ascii="Calibri" w:eastAsia="Calibri"/>
          <w:spacing w:val="-4"/>
          <w:sz w:val="21"/>
        </w:rPr>
        <w:t>180</w:t>
      </w:r>
      <w:r>
        <w:rPr>
          <w:rFonts w:ascii="Calibri" w:eastAsia="Calibri"/>
          <w:spacing w:val="-8"/>
          <w:sz w:val="21"/>
        </w:rPr>
        <w:t> </w:t>
      </w:r>
      <w:r>
        <w:rPr>
          <w:spacing w:val="-4"/>
          <w:sz w:val="21"/>
        </w:rPr>
        <w:t>日内（</w:t>
      </w:r>
      <w:r>
        <w:rPr>
          <w:spacing w:val="-10"/>
          <w:sz w:val="21"/>
        </w:rPr>
        <w:t>含第 </w:t>
      </w:r>
      <w:r>
        <w:rPr>
          <w:rFonts w:ascii="Calibri" w:eastAsia="Calibri"/>
          <w:spacing w:val="-4"/>
          <w:sz w:val="21"/>
        </w:rPr>
        <w:t>180</w:t>
      </w:r>
      <w:r>
        <w:rPr>
          <w:rFonts w:ascii="Calibri" w:eastAsia="Calibri"/>
          <w:spacing w:val="-8"/>
          <w:sz w:val="21"/>
        </w:rPr>
        <w:t> </w:t>
      </w:r>
      <w:r>
        <w:rPr>
          <w:spacing w:val="-4"/>
          <w:sz w:val="21"/>
        </w:rPr>
        <w:t>日）因意外伤</w:t>
      </w:r>
      <w:r>
        <w:rPr>
          <w:spacing w:val="-7"/>
          <w:sz w:val="21"/>
        </w:rPr>
        <w:t>害以外的原因导致身故或全残，</w:t>
      </w:r>
      <w:r>
        <w:rPr>
          <w:b/>
          <w:spacing w:val="-5"/>
          <w:sz w:val="21"/>
        </w:rPr>
        <w:t>我们不承担给付特别身故或全残保险金的责任，同时本合同</w:t>
      </w:r>
      <w:r>
        <w:rPr>
          <w:b/>
          <w:spacing w:val="-2"/>
          <w:sz w:val="21"/>
        </w:rPr>
        <w:t>效力终止</w:t>
      </w:r>
      <w:r>
        <w:rPr>
          <w:spacing w:val="-2"/>
          <w:sz w:val="21"/>
        </w:rPr>
        <w:t>。</w:t>
      </w:r>
    </w:p>
    <w:p>
      <w:pPr>
        <w:pStyle w:val="BodyText"/>
        <w:spacing w:line="269" w:lineRule="exact"/>
        <w:ind w:left="540"/>
        <w:jc w:val="both"/>
      </w:pPr>
      <w:r>
        <w:rPr>
          <w:spacing w:val="-4"/>
        </w:rPr>
        <w:t>若被保险人因意外伤害，或者被保险人于本合同生效（或最后一次复效）</w:t>
      </w:r>
      <w:r>
        <w:rPr>
          <w:spacing w:val="-17"/>
        </w:rPr>
        <w:t>之日起 </w:t>
      </w:r>
      <w:r>
        <w:rPr>
          <w:rFonts w:ascii="Calibri" w:eastAsia="Calibri"/>
          <w:spacing w:val="-4"/>
        </w:rPr>
        <w:t>180</w:t>
      </w:r>
      <w:r>
        <w:rPr>
          <w:rFonts w:ascii="Calibri" w:eastAsia="Calibri"/>
          <w:spacing w:val="8"/>
        </w:rPr>
        <w:t> </w:t>
      </w:r>
      <w:r>
        <w:rPr>
          <w:spacing w:val="-10"/>
        </w:rPr>
        <w:t>日</w:t>
      </w:r>
    </w:p>
    <w:p>
      <w:pPr>
        <w:pStyle w:val="BodyText"/>
        <w:spacing w:before="7"/>
        <w:rPr>
          <w:sz w:val="15"/>
        </w:rPr>
      </w:pPr>
    </w:p>
    <w:p>
      <w:pPr>
        <w:spacing w:line="417" w:lineRule="auto" w:before="0"/>
        <w:ind w:left="120" w:right="213" w:firstLine="0"/>
        <w:jc w:val="both"/>
        <w:rPr>
          <w:sz w:val="21"/>
        </w:rPr>
      </w:pPr>
      <w:r>
        <w:rPr>
          <w:spacing w:val="-2"/>
          <w:sz w:val="21"/>
        </w:rPr>
        <w:t>后因意外伤害以外的原因导致身故或全残，</w:t>
      </w:r>
      <w:r>
        <w:rPr>
          <w:b/>
          <w:spacing w:val="-4"/>
          <w:sz w:val="21"/>
        </w:rPr>
        <w:t>且被保险人身故或全残时未满 </w:t>
      </w:r>
      <w:r>
        <w:rPr>
          <w:rFonts w:ascii="Calibri" w:eastAsia="Calibri"/>
          <w:b/>
          <w:spacing w:val="-2"/>
          <w:sz w:val="21"/>
        </w:rPr>
        <w:t>50</w:t>
      </w:r>
      <w:r>
        <w:rPr>
          <w:rFonts w:ascii="Calibri" w:eastAsia="Calibri"/>
          <w:b/>
          <w:spacing w:val="20"/>
          <w:sz w:val="21"/>
        </w:rPr>
        <w:t> </w:t>
      </w:r>
      <w:r>
        <w:rPr>
          <w:b/>
          <w:spacing w:val="-2"/>
          <w:sz w:val="21"/>
        </w:rPr>
        <w:t>周岁的，我们</w:t>
      </w:r>
      <w:r>
        <w:rPr>
          <w:b/>
          <w:sz w:val="21"/>
        </w:rPr>
        <w:t>除给付一般身故或全残保险金外，按本合同约定基本保险金额的 </w:t>
      </w:r>
      <w:r>
        <w:rPr>
          <w:rFonts w:ascii="Calibri" w:eastAsia="Calibri"/>
          <w:b/>
          <w:sz w:val="21"/>
        </w:rPr>
        <w:t>50%</w:t>
      </w:r>
      <w:r>
        <w:rPr>
          <w:b/>
          <w:sz w:val="21"/>
        </w:rPr>
        <w:t>给付特别身故或全残</w:t>
      </w:r>
      <w:r>
        <w:rPr>
          <w:b/>
          <w:spacing w:val="-2"/>
          <w:sz w:val="21"/>
        </w:rPr>
        <w:t>保险金，同时本合同效力终止</w:t>
      </w:r>
      <w:r>
        <w:rPr>
          <w:spacing w:val="-2"/>
          <w:sz w:val="21"/>
        </w:rPr>
        <w:t>。</w:t>
      </w:r>
    </w:p>
    <w:p>
      <w:pPr>
        <w:pStyle w:val="ListParagraph"/>
        <w:numPr>
          <w:ilvl w:val="1"/>
          <w:numId w:val="2"/>
        </w:numPr>
        <w:tabs>
          <w:tab w:pos="1114" w:val="left" w:leader="none"/>
        </w:tabs>
        <w:spacing w:line="417" w:lineRule="auto" w:before="0" w:after="0"/>
        <w:ind w:left="540" w:right="4585" w:firstLine="0"/>
        <w:jc w:val="both"/>
        <w:rPr>
          <w:rFonts w:ascii="Calibri" w:eastAsia="Calibri"/>
          <w:sz w:val="21"/>
        </w:rPr>
      </w:pPr>
      <w:r>
        <w:rPr>
          <w:spacing w:val="-2"/>
          <w:sz w:val="21"/>
        </w:rPr>
        <w:t>航空意外伤害身故或全残保险金</w:t>
      </w:r>
      <w:r>
        <w:rPr>
          <w:spacing w:val="-2"/>
          <w:sz w:val="21"/>
        </w:rPr>
        <w:t>本项责任为可选责任。</w:t>
      </w:r>
    </w:p>
    <w:p>
      <w:pPr>
        <w:pStyle w:val="BodyText"/>
        <w:spacing w:line="417" w:lineRule="auto"/>
        <w:ind w:left="120" w:right="211" w:firstLine="419"/>
        <w:jc w:val="both"/>
        <w:rPr>
          <w:b/>
        </w:rPr>
      </w:pPr>
      <w:r>
        <w:rPr>
          <w:spacing w:val="-6"/>
        </w:rPr>
        <w:t>若被保险人在以乘客身份乘坐从事合法客运的民航班机期间</w:t>
      </w:r>
      <w:r>
        <w:rPr>
          <w:spacing w:val="-2"/>
        </w:rPr>
        <w:t>（自被保险人持航班班机的</w:t>
      </w:r>
      <w:r>
        <w:rPr>
          <w:spacing w:val="-5"/>
        </w:rPr>
        <w:t>有效票证踏入航班班机的舱门起至抵达目的地走出航班班机的舱门为止，且被保险人遵守承</w:t>
      </w:r>
      <w:r>
        <w:rPr/>
        <w:t>运人关于安全乘坐的规定</w:t>
      </w:r>
      <w:r>
        <w:rPr>
          <w:spacing w:val="-108"/>
        </w:rPr>
        <w:t>）</w:t>
      </w:r>
      <w:r>
        <w:rPr/>
        <w:t>，因遭受</w:t>
      </w:r>
      <w:r>
        <w:rPr>
          <w:b/>
        </w:rPr>
        <w:t>交通事故</w:t>
      </w:r>
      <w:r>
        <w:rPr/>
        <w:t>（</w:t>
      </w:r>
      <w:r>
        <w:rPr>
          <w:spacing w:val="-7"/>
        </w:rPr>
        <w:t>释义 </w:t>
      </w:r>
      <w:r>
        <w:rPr>
          <w:rFonts w:ascii="Calibri" w:eastAsia="Calibri"/>
        </w:rPr>
        <w:t>8</w:t>
      </w:r>
      <w:r>
        <w:rPr/>
        <w:t>）原因导致意外伤害且自意外伤害发</w:t>
      </w:r>
      <w:r>
        <w:rPr>
          <w:spacing w:val="-3"/>
        </w:rPr>
        <w:t>生之日起 </w:t>
      </w:r>
      <w:r>
        <w:rPr>
          <w:rFonts w:ascii="Calibri" w:eastAsia="Calibri"/>
        </w:rPr>
        <w:t>180</w:t>
      </w:r>
      <w:r>
        <w:rPr>
          <w:rFonts w:ascii="Calibri" w:eastAsia="Calibri"/>
          <w:spacing w:val="47"/>
        </w:rPr>
        <w:t> </w:t>
      </w:r>
      <w:r>
        <w:rPr/>
        <w:t>日内以该意外伤害为直接且单独原因导致身故或全残的，我们除给付一般身</w:t>
      </w:r>
      <w:r>
        <w:rPr>
          <w:spacing w:val="-10"/>
        </w:rPr>
        <w:t>故或全残保险金外，按本合同约定的基本保险金额给付航空意外伤害身故或全残保险金，</w:t>
      </w:r>
      <w:r>
        <w:rPr>
          <w:b/>
          <w:spacing w:val="-10"/>
        </w:rPr>
        <w:t>同</w:t>
      </w:r>
    </w:p>
    <w:p>
      <w:pPr>
        <w:spacing w:after="0" w:line="417" w:lineRule="auto"/>
        <w:jc w:val="both"/>
        <w:sectPr>
          <w:pgSz w:w="11910" w:h="16840"/>
          <w:pgMar w:header="0" w:footer="1005" w:top="1460" w:bottom="1200" w:left="1680" w:right="1580"/>
        </w:sectPr>
      </w:pPr>
    </w:p>
    <w:p>
      <w:pPr>
        <w:pStyle w:val="Heading2"/>
        <w:spacing w:before="61"/>
        <w:ind w:left="120" w:firstLine="0"/>
        <w:rPr>
          <w:b w:val="0"/>
        </w:rPr>
      </w:pPr>
      <w:r>
        <w:rPr>
          <w:spacing w:val="-2"/>
        </w:rPr>
        <w:t>时本合同效力终止</w:t>
      </w:r>
      <w:r>
        <w:rPr>
          <w:b w:val="0"/>
          <w:spacing w:val="-10"/>
        </w:rPr>
        <w:t>。</w:t>
      </w:r>
    </w:p>
    <w:p>
      <w:pPr>
        <w:pStyle w:val="BodyText"/>
        <w:spacing w:before="7"/>
        <w:rPr>
          <w:sz w:val="15"/>
        </w:rPr>
      </w:pPr>
    </w:p>
    <w:p>
      <w:pPr>
        <w:pStyle w:val="ListParagraph"/>
        <w:numPr>
          <w:ilvl w:val="1"/>
          <w:numId w:val="2"/>
        </w:numPr>
        <w:tabs>
          <w:tab w:pos="968" w:val="left" w:leader="none"/>
        </w:tabs>
        <w:spacing w:line="417" w:lineRule="auto" w:before="0" w:after="0"/>
        <w:ind w:left="540" w:right="2842" w:firstLine="7"/>
        <w:jc w:val="left"/>
        <w:rPr>
          <w:rFonts w:ascii="Calibri" w:hAnsi="Calibri" w:eastAsia="Calibri"/>
          <w:sz w:val="21"/>
        </w:rPr>
      </w:pPr>
      <w:r>
        <w:rPr>
          <w:spacing w:val="-2"/>
          <w:sz w:val="21"/>
        </w:rPr>
        <w:t>确诊“恶性肿瘤——重度”后额外身故或全残保险金</w:t>
      </w:r>
      <w:r>
        <w:rPr>
          <w:spacing w:val="-2"/>
          <w:sz w:val="21"/>
        </w:rPr>
        <w:t>本项责任为可选责任。</w:t>
      </w:r>
    </w:p>
    <w:p>
      <w:pPr>
        <w:spacing w:line="417" w:lineRule="auto" w:before="0"/>
        <w:ind w:left="120" w:right="105" w:firstLine="419"/>
        <w:jc w:val="left"/>
        <w:rPr>
          <w:sz w:val="21"/>
        </w:rPr>
      </w:pPr>
      <w:r>
        <w:rPr>
          <w:sz w:val="21"/>
        </w:rPr>
        <w:t>被保险人经由我们</w:t>
      </w:r>
      <w:r>
        <w:rPr>
          <w:rFonts w:ascii="黑体" w:hAnsi="黑体" w:eastAsia="黑体" w:hint="eastAsia"/>
          <w:b/>
          <w:sz w:val="21"/>
        </w:rPr>
        <w:t>认可医院</w:t>
      </w:r>
      <w:r>
        <w:rPr>
          <w:rFonts w:ascii="黑体" w:hAnsi="黑体" w:eastAsia="黑体"/>
          <w:sz w:val="21"/>
        </w:rPr>
        <w:t>（</w:t>
      </w:r>
      <w:r>
        <w:rPr>
          <w:rFonts w:ascii="黑体" w:hAnsi="黑体" w:eastAsia="黑体"/>
          <w:spacing w:val="-18"/>
          <w:sz w:val="21"/>
        </w:rPr>
        <w:t>释义 </w:t>
      </w:r>
      <w:r>
        <w:rPr>
          <w:rFonts w:ascii="黑体" w:hAnsi="黑体" w:eastAsia="黑体"/>
          <w:sz w:val="21"/>
        </w:rPr>
        <w:t>9）的</w:t>
      </w:r>
      <w:r>
        <w:rPr>
          <w:rFonts w:ascii="黑体" w:hAnsi="黑体" w:eastAsia="黑体" w:hint="eastAsia"/>
          <w:b/>
          <w:sz w:val="21"/>
        </w:rPr>
        <w:t>专科医生</w:t>
      </w:r>
      <w:r>
        <w:rPr>
          <w:rFonts w:ascii="黑体" w:hAnsi="黑体" w:eastAsia="黑体"/>
          <w:sz w:val="21"/>
        </w:rPr>
        <w:t>（</w:t>
      </w:r>
      <w:r>
        <w:rPr>
          <w:rFonts w:ascii="黑体" w:hAnsi="黑体" w:eastAsia="黑体"/>
          <w:spacing w:val="-18"/>
          <w:sz w:val="21"/>
        </w:rPr>
        <w:t>释义 </w:t>
      </w:r>
      <w:r>
        <w:rPr>
          <w:rFonts w:ascii="黑体" w:hAnsi="黑体" w:eastAsia="黑体"/>
          <w:sz w:val="21"/>
        </w:rPr>
        <w:t>10）初次确诊为本合同所定义的“</w:t>
      </w:r>
      <w:r>
        <w:rPr>
          <w:rFonts w:ascii="黑体" w:hAnsi="黑体" w:eastAsia="黑体" w:hint="eastAsia"/>
          <w:b/>
          <w:sz w:val="21"/>
        </w:rPr>
        <w:t>恶性肿瘤——重度</w:t>
      </w:r>
      <w:r>
        <w:rPr>
          <w:rFonts w:ascii="黑体" w:hAnsi="黑体" w:eastAsia="黑体"/>
          <w:spacing w:val="-106"/>
          <w:sz w:val="21"/>
        </w:rPr>
        <w:t>”</w:t>
      </w:r>
      <w:r>
        <w:rPr>
          <w:rFonts w:ascii="黑体" w:hAnsi="黑体" w:eastAsia="黑体"/>
          <w:spacing w:val="-3"/>
          <w:sz w:val="21"/>
        </w:rPr>
        <w:t>（</w:t>
      </w:r>
      <w:r>
        <w:rPr>
          <w:rFonts w:ascii="黑体" w:hAnsi="黑体" w:eastAsia="黑体"/>
          <w:spacing w:val="-7"/>
          <w:sz w:val="21"/>
        </w:rPr>
        <w:t>释义 </w:t>
      </w:r>
      <w:r>
        <w:rPr>
          <w:rFonts w:ascii="黑体" w:hAnsi="黑体" w:eastAsia="黑体"/>
          <w:sz w:val="21"/>
        </w:rPr>
        <w:t>11）后</w:t>
      </w:r>
      <w:r>
        <w:rPr>
          <w:sz w:val="21"/>
        </w:rPr>
        <w:t>，自下一个保单周年日起，若被保险人身故或全残，</w:t>
      </w:r>
      <w:r>
        <w:rPr>
          <w:spacing w:val="-2"/>
          <w:sz w:val="21"/>
        </w:rPr>
        <w:t>我们除给付一般身故或全残保险金外，</w:t>
      </w:r>
      <w:r>
        <w:rPr>
          <w:b/>
          <w:spacing w:val="-2"/>
          <w:sz w:val="21"/>
        </w:rPr>
        <w:t>按本合同约定的基本保险金额乘以下列《确诊“恶性</w:t>
      </w:r>
      <w:r>
        <w:rPr>
          <w:b/>
          <w:spacing w:val="-2"/>
          <w:sz w:val="21"/>
        </w:rPr>
        <w:t>肿瘤——重度”后额外身故或全残给付比例表》对应的比例给付确诊“恶性肿瘤——重度”</w:t>
      </w:r>
      <w:r>
        <w:rPr>
          <w:b/>
          <w:spacing w:val="-2"/>
          <w:sz w:val="21"/>
        </w:rPr>
        <w:t>后额外身故或全残保险金，同时本合同效力终止</w:t>
      </w:r>
      <w:r>
        <w:rPr>
          <w:spacing w:val="-2"/>
          <w:sz w:val="21"/>
        </w:rPr>
        <w:t>。</w:t>
      </w:r>
    </w:p>
    <w:p>
      <w:pPr>
        <w:pStyle w:val="Heading2"/>
        <w:spacing w:line="269" w:lineRule="exact"/>
        <w:ind w:left="540" w:firstLine="0"/>
      </w:pPr>
      <w:r>
        <w:rPr>
          <w:spacing w:val="-3"/>
        </w:rPr>
        <w:t>确诊“恶性肿瘤——重度”后额外身故或全残给付比例表：</w:t>
      </w:r>
    </w:p>
    <w:p>
      <w:pPr>
        <w:pStyle w:val="BodyText"/>
        <w:spacing w:before="9"/>
        <w:rPr>
          <w:b/>
          <w:sz w:val="7"/>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48"/>
        <w:gridCol w:w="4151"/>
      </w:tblGrid>
      <w:tr>
        <w:trPr>
          <w:trHeight w:val="359" w:hRule="atLeast"/>
        </w:trPr>
        <w:tc>
          <w:tcPr>
            <w:tcW w:w="4148" w:type="dxa"/>
          </w:tcPr>
          <w:p>
            <w:pPr>
              <w:pStyle w:val="TableParagraph"/>
              <w:spacing w:before="46"/>
              <w:ind w:left="501" w:right="492"/>
              <w:jc w:val="center"/>
              <w:rPr>
                <w:sz w:val="21"/>
              </w:rPr>
            </w:pPr>
            <w:r>
              <w:rPr>
                <w:spacing w:val="-3"/>
                <w:sz w:val="21"/>
              </w:rPr>
              <w:t>被保险人身故或全残时的保单年度</w:t>
            </w:r>
          </w:p>
        </w:tc>
        <w:tc>
          <w:tcPr>
            <w:tcW w:w="4151" w:type="dxa"/>
          </w:tcPr>
          <w:p>
            <w:pPr>
              <w:pStyle w:val="TableParagraph"/>
              <w:spacing w:before="46"/>
              <w:ind w:left="1862"/>
              <w:rPr>
                <w:sz w:val="21"/>
              </w:rPr>
            </w:pPr>
            <w:r>
              <w:rPr>
                <w:spacing w:val="-5"/>
                <w:sz w:val="21"/>
              </w:rPr>
              <w:t>比例</w:t>
            </w:r>
          </w:p>
        </w:tc>
      </w:tr>
      <w:tr>
        <w:trPr>
          <w:trHeight w:val="357" w:hRule="atLeast"/>
        </w:trPr>
        <w:tc>
          <w:tcPr>
            <w:tcW w:w="4148" w:type="dxa"/>
          </w:tcPr>
          <w:p>
            <w:pPr>
              <w:pStyle w:val="TableParagraph"/>
              <w:spacing w:before="46"/>
              <w:ind w:left="501" w:right="490"/>
              <w:jc w:val="center"/>
              <w:rPr>
                <w:sz w:val="21"/>
              </w:rPr>
            </w:pPr>
            <w:r>
              <w:rPr>
                <w:spacing w:val="-3"/>
                <w:sz w:val="21"/>
              </w:rPr>
              <w:t>确诊日所在保单年度</w:t>
            </w:r>
          </w:p>
        </w:tc>
        <w:tc>
          <w:tcPr>
            <w:tcW w:w="4151" w:type="dxa"/>
          </w:tcPr>
          <w:p>
            <w:pPr>
              <w:pStyle w:val="TableParagraph"/>
              <w:spacing w:before="52"/>
              <w:ind w:left="1943"/>
              <w:rPr>
                <w:rFonts w:ascii="Calibri"/>
                <w:sz w:val="21"/>
              </w:rPr>
            </w:pPr>
            <w:r>
              <w:rPr>
                <w:rFonts w:ascii="Calibri"/>
                <w:spacing w:val="-5"/>
                <w:sz w:val="21"/>
              </w:rPr>
              <w:t>0%</w:t>
            </w:r>
          </w:p>
        </w:tc>
      </w:tr>
      <w:tr>
        <w:trPr>
          <w:trHeight w:val="359" w:hRule="atLeast"/>
        </w:trPr>
        <w:tc>
          <w:tcPr>
            <w:tcW w:w="4148" w:type="dxa"/>
          </w:tcPr>
          <w:p>
            <w:pPr>
              <w:pStyle w:val="TableParagraph"/>
              <w:spacing w:before="46"/>
              <w:ind w:left="501" w:right="490"/>
              <w:jc w:val="center"/>
              <w:rPr>
                <w:sz w:val="21"/>
              </w:rPr>
            </w:pPr>
            <w:r>
              <w:rPr>
                <w:spacing w:val="-11"/>
                <w:sz w:val="21"/>
              </w:rPr>
              <w:t>确诊后第 </w:t>
            </w:r>
            <w:r>
              <w:rPr>
                <w:rFonts w:ascii="Calibri" w:eastAsia="Calibri"/>
                <w:sz w:val="21"/>
              </w:rPr>
              <w:t>1</w:t>
            </w:r>
            <w:r>
              <w:rPr>
                <w:rFonts w:ascii="Calibri" w:eastAsia="Calibri"/>
                <w:spacing w:val="-3"/>
                <w:sz w:val="21"/>
              </w:rPr>
              <w:t> </w:t>
            </w:r>
            <w:r>
              <w:rPr>
                <w:spacing w:val="-2"/>
                <w:sz w:val="21"/>
              </w:rPr>
              <w:t>个保单年度</w:t>
            </w:r>
          </w:p>
        </w:tc>
        <w:tc>
          <w:tcPr>
            <w:tcW w:w="4151" w:type="dxa"/>
          </w:tcPr>
          <w:p>
            <w:pPr>
              <w:pStyle w:val="TableParagraph"/>
              <w:spacing w:before="52"/>
              <w:ind w:left="1943"/>
              <w:rPr>
                <w:rFonts w:ascii="Calibri"/>
                <w:sz w:val="21"/>
              </w:rPr>
            </w:pPr>
            <w:r>
              <w:rPr>
                <w:rFonts w:ascii="Calibri"/>
                <w:spacing w:val="-5"/>
                <w:sz w:val="21"/>
              </w:rPr>
              <w:t>5%</w:t>
            </w:r>
          </w:p>
        </w:tc>
      </w:tr>
      <w:tr>
        <w:trPr>
          <w:trHeight w:val="359" w:hRule="atLeast"/>
        </w:trPr>
        <w:tc>
          <w:tcPr>
            <w:tcW w:w="4148" w:type="dxa"/>
          </w:tcPr>
          <w:p>
            <w:pPr>
              <w:pStyle w:val="TableParagraph"/>
              <w:spacing w:before="46"/>
              <w:ind w:left="501" w:right="490"/>
              <w:jc w:val="center"/>
              <w:rPr>
                <w:sz w:val="21"/>
              </w:rPr>
            </w:pPr>
            <w:r>
              <w:rPr>
                <w:spacing w:val="-11"/>
                <w:sz w:val="21"/>
              </w:rPr>
              <w:t>确诊后第 </w:t>
            </w:r>
            <w:r>
              <w:rPr>
                <w:rFonts w:ascii="Calibri" w:eastAsia="Calibri"/>
                <w:sz w:val="21"/>
              </w:rPr>
              <w:t>2</w:t>
            </w:r>
            <w:r>
              <w:rPr>
                <w:rFonts w:ascii="Calibri" w:eastAsia="Calibri"/>
                <w:spacing w:val="-3"/>
                <w:sz w:val="21"/>
              </w:rPr>
              <w:t> </w:t>
            </w:r>
            <w:r>
              <w:rPr>
                <w:spacing w:val="-2"/>
                <w:sz w:val="21"/>
              </w:rPr>
              <w:t>个保单年度</w:t>
            </w:r>
          </w:p>
        </w:tc>
        <w:tc>
          <w:tcPr>
            <w:tcW w:w="4151" w:type="dxa"/>
          </w:tcPr>
          <w:p>
            <w:pPr>
              <w:pStyle w:val="TableParagraph"/>
              <w:spacing w:before="52"/>
              <w:ind w:left="1891"/>
              <w:rPr>
                <w:rFonts w:ascii="Calibri"/>
                <w:sz w:val="21"/>
              </w:rPr>
            </w:pPr>
            <w:r>
              <w:rPr>
                <w:rFonts w:ascii="Calibri"/>
                <w:spacing w:val="-5"/>
                <w:sz w:val="21"/>
              </w:rPr>
              <w:t>10%</w:t>
            </w:r>
          </w:p>
        </w:tc>
      </w:tr>
      <w:tr>
        <w:trPr>
          <w:trHeight w:val="357" w:hRule="atLeast"/>
        </w:trPr>
        <w:tc>
          <w:tcPr>
            <w:tcW w:w="4148" w:type="dxa"/>
          </w:tcPr>
          <w:p>
            <w:pPr>
              <w:pStyle w:val="TableParagraph"/>
              <w:spacing w:before="46"/>
              <w:ind w:left="501" w:right="490"/>
              <w:jc w:val="center"/>
              <w:rPr>
                <w:sz w:val="21"/>
              </w:rPr>
            </w:pPr>
            <w:r>
              <w:rPr>
                <w:spacing w:val="-11"/>
                <w:sz w:val="21"/>
              </w:rPr>
              <w:t>确诊后第 </w:t>
            </w:r>
            <w:r>
              <w:rPr>
                <w:rFonts w:ascii="Calibri" w:eastAsia="Calibri"/>
                <w:sz w:val="21"/>
              </w:rPr>
              <w:t>3</w:t>
            </w:r>
            <w:r>
              <w:rPr>
                <w:rFonts w:ascii="Calibri" w:eastAsia="Calibri"/>
                <w:spacing w:val="-3"/>
                <w:sz w:val="21"/>
              </w:rPr>
              <w:t> </w:t>
            </w:r>
            <w:r>
              <w:rPr>
                <w:spacing w:val="-2"/>
                <w:sz w:val="21"/>
              </w:rPr>
              <w:t>个保单年度</w:t>
            </w:r>
          </w:p>
        </w:tc>
        <w:tc>
          <w:tcPr>
            <w:tcW w:w="4151" w:type="dxa"/>
          </w:tcPr>
          <w:p>
            <w:pPr>
              <w:pStyle w:val="TableParagraph"/>
              <w:spacing w:before="52"/>
              <w:ind w:left="1891"/>
              <w:rPr>
                <w:rFonts w:ascii="Calibri"/>
                <w:sz w:val="21"/>
              </w:rPr>
            </w:pPr>
            <w:r>
              <w:rPr>
                <w:rFonts w:ascii="Calibri"/>
                <w:spacing w:val="-5"/>
                <w:sz w:val="21"/>
              </w:rPr>
              <w:t>15%</w:t>
            </w:r>
          </w:p>
        </w:tc>
      </w:tr>
      <w:tr>
        <w:trPr>
          <w:trHeight w:val="359" w:hRule="atLeast"/>
        </w:trPr>
        <w:tc>
          <w:tcPr>
            <w:tcW w:w="4148" w:type="dxa"/>
          </w:tcPr>
          <w:p>
            <w:pPr>
              <w:pStyle w:val="TableParagraph"/>
              <w:spacing w:before="46"/>
              <w:ind w:left="501" w:right="490"/>
              <w:jc w:val="center"/>
              <w:rPr>
                <w:sz w:val="21"/>
              </w:rPr>
            </w:pPr>
            <w:r>
              <w:rPr>
                <w:spacing w:val="-11"/>
                <w:sz w:val="21"/>
              </w:rPr>
              <w:t>确诊后第 </w:t>
            </w:r>
            <w:r>
              <w:rPr>
                <w:rFonts w:ascii="Calibri" w:eastAsia="Calibri"/>
                <w:sz w:val="21"/>
              </w:rPr>
              <w:t>4</w:t>
            </w:r>
            <w:r>
              <w:rPr>
                <w:rFonts w:ascii="Calibri" w:eastAsia="Calibri"/>
                <w:spacing w:val="-3"/>
                <w:sz w:val="21"/>
              </w:rPr>
              <w:t> </w:t>
            </w:r>
            <w:r>
              <w:rPr>
                <w:spacing w:val="-2"/>
                <w:sz w:val="21"/>
              </w:rPr>
              <w:t>个保单年度</w:t>
            </w:r>
          </w:p>
        </w:tc>
        <w:tc>
          <w:tcPr>
            <w:tcW w:w="4151" w:type="dxa"/>
          </w:tcPr>
          <w:p>
            <w:pPr>
              <w:pStyle w:val="TableParagraph"/>
              <w:spacing w:before="52"/>
              <w:ind w:left="1891"/>
              <w:rPr>
                <w:rFonts w:ascii="Calibri"/>
                <w:sz w:val="21"/>
              </w:rPr>
            </w:pPr>
            <w:r>
              <w:rPr>
                <w:rFonts w:ascii="Calibri"/>
                <w:spacing w:val="-5"/>
                <w:sz w:val="21"/>
              </w:rPr>
              <w:t>20%</w:t>
            </w:r>
          </w:p>
        </w:tc>
      </w:tr>
      <w:tr>
        <w:trPr>
          <w:trHeight w:val="359" w:hRule="atLeast"/>
        </w:trPr>
        <w:tc>
          <w:tcPr>
            <w:tcW w:w="4148" w:type="dxa"/>
          </w:tcPr>
          <w:p>
            <w:pPr>
              <w:pStyle w:val="TableParagraph"/>
              <w:spacing w:before="46"/>
              <w:ind w:left="501" w:right="490"/>
              <w:jc w:val="center"/>
              <w:rPr>
                <w:sz w:val="21"/>
              </w:rPr>
            </w:pPr>
            <w:r>
              <w:rPr>
                <w:spacing w:val="-11"/>
                <w:sz w:val="21"/>
              </w:rPr>
              <w:t>确诊后第 </w:t>
            </w:r>
            <w:r>
              <w:rPr>
                <w:rFonts w:ascii="Calibri" w:eastAsia="Calibri"/>
                <w:sz w:val="21"/>
              </w:rPr>
              <w:t>5</w:t>
            </w:r>
            <w:r>
              <w:rPr>
                <w:rFonts w:ascii="Calibri" w:eastAsia="Calibri"/>
                <w:spacing w:val="-3"/>
                <w:sz w:val="21"/>
              </w:rPr>
              <w:t> </w:t>
            </w:r>
            <w:r>
              <w:rPr>
                <w:spacing w:val="-2"/>
                <w:sz w:val="21"/>
              </w:rPr>
              <w:t>个保单年度</w:t>
            </w:r>
          </w:p>
        </w:tc>
        <w:tc>
          <w:tcPr>
            <w:tcW w:w="4151" w:type="dxa"/>
          </w:tcPr>
          <w:p>
            <w:pPr>
              <w:pStyle w:val="TableParagraph"/>
              <w:spacing w:before="52"/>
              <w:ind w:left="1891"/>
              <w:rPr>
                <w:rFonts w:ascii="Calibri"/>
                <w:sz w:val="21"/>
              </w:rPr>
            </w:pPr>
            <w:r>
              <w:rPr>
                <w:rFonts w:ascii="Calibri"/>
                <w:spacing w:val="-5"/>
                <w:sz w:val="21"/>
              </w:rPr>
              <w:t>25%</w:t>
            </w:r>
          </w:p>
        </w:tc>
      </w:tr>
      <w:tr>
        <w:trPr>
          <w:trHeight w:val="357" w:hRule="atLeast"/>
        </w:trPr>
        <w:tc>
          <w:tcPr>
            <w:tcW w:w="4148" w:type="dxa"/>
          </w:tcPr>
          <w:p>
            <w:pPr>
              <w:pStyle w:val="TableParagraph"/>
              <w:spacing w:before="46"/>
              <w:ind w:left="501" w:right="490"/>
              <w:jc w:val="center"/>
              <w:rPr>
                <w:sz w:val="21"/>
              </w:rPr>
            </w:pPr>
            <w:r>
              <w:rPr>
                <w:spacing w:val="-12"/>
                <w:sz w:val="21"/>
              </w:rPr>
              <w:t>确诊后第 </w:t>
            </w:r>
            <w:r>
              <w:rPr>
                <w:rFonts w:ascii="Calibri" w:eastAsia="Calibri"/>
                <w:sz w:val="21"/>
              </w:rPr>
              <w:t>6</w:t>
            </w:r>
            <w:r>
              <w:rPr>
                <w:rFonts w:ascii="Calibri" w:eastAsia="Calibri"/>
                <w:spacing w:val="-9"/>
                <w:sz w:val="21"/>
              </w:rPr>
              <w:t> </w:t>
            </w:r>
            <w:r>
              <w:rPr>
                <w:spacing w:val="-2"/>
                <w:sz w:val="21"/>
              </w:rPr>
              <w:t>个保单年度及以后</w:t>
            </w:r>
          </w:p>
        </w:tc>
        <w:tc>
          <w:tcPr>
            <w:tcW w:w="4151" w:type="dxa"/>
          </w:tcPr>
          <w:p>
            <w:pPr>
              <w:pStyle w:val="TableParagraph"/>
              <w:spacing w:before="52"/>
              <w:ind w:left="1891"/>
              <w:rPr>
                <w:rFonts w:ascii="Calibri"/>
                <w:sz w:val="21"/>
              </w:rPr>
            </w:pPr>
            <w:r>
              <w:rPr>
                <w:rFonts w:ascii="Calibri"/>
                <w:spacing w:val="-5"/>
                <w:sz w:val="21"/>
              </w:rPr>
              <w:t>25%</w:t>
            </w:r>
          </w:p>
        </w:tc>
      </w:tr>
    </w:tbl>
    <w:p>
      <w:pPr>
        <w:pStyle w:val="BodyText"/>
        <w:rPr>
          <w:b/>
          <w:sz w:val="20"/>
        </w:rPr>
      </w:pPr>
    </w:p>
    <w:p>
      <w:pPr>
        <w:pStyle w:val="BodyText"/>
        <w:spacing w:before="8"/>
        <w:rPr>
          <w:b/>
          <w:sz w:val="24"/>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6"/>
        <w:rPr>
          <w:rFonts w:ascii="黑体"/>
          <w:b/>
          <w:sz w:val="15"/>
        </w:rPr>
      </w:pPr>
    </w:p>
    <w:p>
      <w:pPr>
        <w:pStyle w:val="ListParagraph"/>
        <w:numPr>
          <w:ilvl w:val="1"/>
          <w:numId w:val="2"/>
        </w:numPr>
        <w:tabs>
          <w:tab w:pos="1119" w:val="left" w:leader="none"/>
        </w:tabs>
        <w:spacing w:line="240" w:lineRule="auto" w:before="1" w:after="0"/>
        <w:ind w:left="1118" w:right="0" w:hanging="526"/>
        <w:jc w:val="left"/>
        <w:rPr>
          <w:rFonts w:ascii="黑体" w:eastAsia="黑体"/>
          <w:sz w:val="21"/>
        </w:rPr>
      </w:pPr>
      <w:r>
        <w:rPr>
          <w:rFonts w:ascii="黑体" w:eastAsia="黑体"/>
          <w:spacing w:val="-3"/>
          <w:sz w:val="21"/>
        </w:rPr>
        <w:t>因下列情形之一导致被保险人身故或全残的，我们不承担给付保险金的责任：</w:t>
      </w:r>
    </w:p>
    <w:p>
      <w:pPr>
        <w:pStyle w:val="BodyText"/>
        <w:spacing w:before="6"/>
        <w:rPr>
          <w:rFonts w:ascii="黑体"/>
          <w:sz w:val="15"/>
        </w:rPr>
      </w:pPr>
    </w:p>
    <w:p>
      <w:pPr>
        <w:pStyle w:val="ListParagraph"/>
        <w:numPr>
          <w:ilvl w:val="0"/>
          <w:numId w:val="3"/>
        </w:numPr>
        <w:tabs>
          <w:tab w:pos="1086" w:val="left" w:leader="none"/>
        </w:tabs>
        <w:spacing w:line="240" w:lineRule="auto" w:before="0" w:after="0"/>
        <w:ind w:left="1085" w:right="0" w:hanging="570"/>
        <w:jc w:val="left"/>
        <w:rPr>
          <w:rFonts w:ascii="黑体" w:eastAsia="黑体"/>
          <w:sz w:val="21"/>
        </w:rPr>
      </w:pPr>
      <w:r>
        <w:rPr>
          <w:rFonts w:ascii="黑体" w:eastAsia="黑体"/>
          <w:spacing w:val="-3"/>
          <w:sz w:val="21"/>
        </w:rPr>
        <w:t>投保人对被保险人的故意杀害、故意伤害；</w:t>
      </w:r>
    </w:p>
    <w:p>
      <w:pPr>
        <w:pStyle w:val="BodyText"/>
        <w:spacing w:before="7"/>
        <w:rPr>
          <w:rFonts w:ascii="黑体"/>
          <w:sz w:val="15"/>
        </w:rPr>
      </w:pPr>
    </w:p>
    <w:p>
      <w:pPr>
        <w:pStyle w:val="ListParagraph"/>
        <w:numPr>
          <w:ilvl w:val="0"/>
          <w:numId w:val="3"/>
        </w:numPr>
        <w:tabs>
          <w:tab w:pos="1086" w:val="left" w:leader="none"/>
        </w:tabs>
        <w:spacing w:line="240" w:lineRule="auto" w:before="0" w:after="0"/>
        <w:ind w:left="1085" w:right="0" w:hanging="570"/>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ListParagraph"/>
        <w:numPr>
          <w:ilvl w:val="0"/>
          <w:numId w:val="3"/>
        </w:numPr>
        <w:tabs>
          <w:tab w:pos="1086" w:val="left" w:leader="none"/>
        </w:tabs>
        <w:spacing w:line="417" w:lineRule="auto" w:before="0" w:after="0"/>
        <w:ind w:left="1085" w:right="415" w:hanging="569"/>
        <w:jc w:val="left"/>
        <w:rPr>
          <w:rFonts w:ascii="黑体" w:eastAsia="黑体"/>
          <w:sz w:val="21"/>
        </w:rPr>
      </w:pPr>
      <w:r>
        <w:rPr>
          <w:rFonts w:ascii="黑体" w:eastAsia="黑体"/>
          <w:sz w:val="21"/>
        </w:rPr>
        <w:t>被保险人自本合同生效（或最后一次复效）</w:t>
      </w:r>
      <w:r>
        <w:rPr>
          <w:rFonts w:ascii="黑体" w:eastAsia="黑体"/>
          <w:spacing w:val="-14"/>
          <w:sz w:val="21"/>
        </w:rPr>
        <w:t>之日起 </w:t>
      </w:r>
      <w:r>
        <w:rPr>
          <w:rFonts w:ascii="黑体" w:eastAsia="黑体"/>
          <w:sz w:val="21"/>
        </w:rPr>
        <w:t>2</w:t>
      </w:r>
      <w:r>
        <w:rPr>
          <w:rFonts w:ascii="黑体" w:eastAsia="黑体"/>
          <w:spacing w:val="-8"/>
          <w:sz w:val="21"/>
        </w:rPr>
        <w:t> 年内自杀，但被保险人自</w:t>
      </w:r>
      <w:r>
        <w:rPr>
          <w:rFonts w:ascii="黑体" w:eastAsia="黑体"/>
          <w:spacing w:val="-2"/>
          <w:sz w:val="21"/>
        </w:rPr>
        <w:t>杀时为无民事行为能力人的除外。</w:t>
      </w:r>
    </w:p>
    <w:p>
      <w:pPr>
        <w:pStyle w:val="BodyText"/>
        <w:spacing w:line="417" w:lineRule="auto"/>
        <w:ind w:left="120" w:right="211" w:firstLine="412"/>
        <w:rPr>
          <w:rFonts w:ascii="黑体" w:eastAsia="黑体"/>
        </w:rPr>
      </w:pPr>
      <w:r>
        <w:rPr>
          <w:rFonts w:ascii="黑体" w:eastAsia="黑体"/>
          <w:spacing w:val="-2"/>
        </w:rPr>
        <w:t>发生上述第（1）项情形导致被保险人身故的，本合同效力终止，我们向被保险人的继</w:t>
      </w:r>
      <w:r>
        <w:rPr>
          <w:rFonts w:ascii="黑体" w:eastAsia="黑体"/>
        </w:rPr>
        <w:t>承人退还合同终止时的保单</w:t>
      </w:r>
      <w:r>
        <w:rPr>
          <w:rFonts w:ascii="黑体" w:eastAsia="黑体" w:hint="eastAsia"/>
          <w:b/>
        </w:rPr>
        <w:t>现金价值</w:t>
      </w:r>
      <w:r>
        <w:rPr>
          <w:rFonts w:ascii="黑体" w:eastAsia="黑体"/>
        </w:rPr>
        <w:t>（</w:t>
      </w:r>
      <w:r>
        <w:rPr>
          <w:rFonts w:ascii="黑体" w:eastAsia="黑体"/>
          <w:spacing w:val="-15"/>
        </w:rPr>
        <w:t>释义 </w:t>
      </w:r>
      <w:r>
        <w:rPr>
          <w:rFonts w:ascii="黑体" w:eastAsia="黑体"/>
          <w:spacing w:val="36"/>
        </w:rPr>
        <w:t>12</w:t>
      </w:r>
      <w:r>
        <w:rPr>
          <w:rFonts w:ascii="黑体" w:eastAsia="黑体"/>
          <w:spacing w:val="-72"/>
        </w:rPr>
        <w:t>）</w:t>
      </w:r>
      <w:r>
        <w:rPr>
          <w:rFonts w:ascii="黑体" w:eastAsia="黑体"/>
          <w:spacing w:val="-108"/>
        </w:rPr>
        <w:t>。</w:t>
      </w:r>
    </w:p>
    <w:p>
      <w:pPr>
        <w:pStyle w:val="BodyText"/>
        <w:spacing w:line="417" w:lineRule="auto"/>
        <w:ind w:left="120" w:right="211" w:firstLine="412"/>
        <w:rPr>
          <w:rFonts w:ascii="黑体" w:eastAsia="黑体"/>
        </w:rPr>
      </w:pPr>
      <w:r>
        <w:rPr>
          <w:rFonts w:ascii="黑体" w:eastAsia="黑体"/>
          <w:spacing w:val="-2"/>
        </w:rPr>
        <w:t>发生上述第（1）项情形导致被保险人全残的，本合同效力终止，我们向被保险人本人</w:t>
      </w:r>
      <w:r>
        <w:rPr>
          <w:rFonts w:ascii="黑体" w:eastAsia="黑体"/>
          <w:spacing w:val="-2"/>
        </w:rPr>
        <w:t>退还合同终止时的保单现金价值。</w:t>
      </w:r>
    </w:p>
    <w:p>
      <w:pPr>
        <w:pStyle w:val="BodyText"/>
        <w:spacing w:line="417" w:lineRule="auto"/>
        <w:ind w:left="120" w:right="211" w:firstLine="412"/>
        <w:rPr>
          <w:rFonts w:ascii="黑体" w:eastAsia="黑体"/>
        </w:rPr>
      </w:pPr>
      <w:r>
        <w:rPr>
          <w:rFonts w:ascii="黑体" w:eastAsia="黑体"/>
          <w:spacing w:val="-4"/>
        </w:rPr>
        <w:t>发生上述其他情形导致被保险人身故或全残的，本合同效力终止，我们向您退还合同终</w:t>
      </w:r>
      <w:r>
        <w:rPr>
          <w:rFonts w:ascii="黑体" w:eastAsia="黑体"/>
          <w:spacing w:val="-2"/>
        </w:rPr>
        <w:t>止时的保单现金价值。</w:t>
      </w:r>
    </w:p>
    <w:p>
      <w:pPr>
        <w:spacing w:after="0" w:line="417" w:lineRule="auto"/>
        <w:rPr>
          <w:rFonts w:ascii="黑体" w:eastAsia="黑体"/>
        </w:rPr>
        <w:sectPr>
          <w:pgSz w:w="11910" w:h="16840"/>
          <w:pgMar w:header="0" w:footer="1005" w:top="1460" w:bottom="1200" w:left="1680" w:right="1580"/>
        </w:sectPr>
      </w:pPr>
    </w:p>
    <w:p>
      <w:pPr>
        <w:pStyle w:val="Heading2"/>
        <w:numPr>
          <w:ilvl w:val="0"/>
          <w:numId w:val="2"/>
        </w:numPr>
        <w:tabs>
          <w:tab w:pos="481" w:val="left" w:leader="none"/>
        </w:tabs>
        <w:spacing w:line="240" w:lineRule="auto" w:before="61" w:after="0"/>
        <w:ind w:left="480" w:right="0" w:hanging="361"/>
        <w:jc w:val="both"/>
        <w:rPr>
          <w:rFonts w:ascii="Calibri" w:eastAsia="Calibri"/>
        </w:rPr>
      </w:pPr>
      <w:bookmarkStart w:name="_bookmark14" w:id="26"/>
      <w:bookmarkEnd w:id="26"/>
      <w:r>
        <w:rPr>
          <w:b w:val="0"/>
        </w:rPr>
      </w:r>
      <w:bookmarkStart w:name="_bookmark14" w:id="27"/>
      <w:bookmarkEnd w:id="27"/>
      <w:r>
        <w:rPr>
          <w:spacing w:val="-4"/>
        </w:rPr>
        <w:t>受益人</w:t>
      </w:r>
    </w:p>
    <w:p>
      <w:pPr>
        <w:pStyle w:val="BodyText"/>
        <w:spacing w:before="7"/>
        <w:rPr>
          <w:b/>
          <w:sz w:val="15"/>
        </w:rPr>
      </w:pPr>
    </w:p>
    <w:p>
      <w:pPr>
        <w:pStyle w:val="ListParagraph"/>
        <w:numPr>
          <w:ilvl w:val="1"/>
          <w:numId w:val="2"/>
        </w:numPr>
        <w:tabs>
          <w:tab w:pos="968" w:val="left" w:leader="none"/>
        </w:tabs>
        <w:spacing w:line="240" w:lineRule="auto" w:before="0" w:after="0"/>
        <w:ind w:left="967" w:right="0" w:hanging="421"/>
        <w:jc w:val="left"/>
        <w:rPr>
          <w:rFonts w:ascii="Calibri" w:hAnsi="Calibri" w:eastAsia="Calibri"/>
          <w:sz w:val="21"/>
        </w:rPr>
      </w:pPr>
      <w:r>
        <w:rPr>
          <w:spacing w:val="-7"/>
          <w:sz w:val="21"/>
        </w:rPr>
        <w:t>一般身故保险金、特别身故保险金、航空意外伤害身故保险金和确诊“恶性肿瘤—</w:t>
      </w:r>
    </w:p>
    <w:p>
      <w:pPr>
        <w:pStyle w:val="BodyText"/>
        <w:spacing w:before="7"/>
        <w:rPr>
          <w:sz w:val="15"/>
        </w:rPr>
      </w:pPr>
    </w:p>
    <w:p>
      <w:pPr>
        <w:pStyle w:val="BodyText"/>
        <w:ind w:right="1913"/>
        <w:jc w:val="right"/>
      </w:pPr>
      <w:r>
        <w:rPr>
          <w:spacing w:val="-2"/>
        </w:rPr>
        <w:t>—重度”后额外身故保险金（以下简称“身故保险金</w:t>
      </w:r>
      <w:r>
        <w:rPr>
          <w:rFonts w:ascii="Calibri" w:hAnsi="Calibri" w:eastAsia="Calibri"/>
          <w:spacing w:val="-2"/>
        </w:rPr>
        <w:t>”</w:t>
      </w:r>
      <w:r>
        <w:rPr>
          <w:spacing w:val="-2"/>
        </w:rPr>
        <w:t>）</w:t>
      </w:r>
      <w:r>
        <w:rPr>
          <w:spacing w:val="-5"/>
        </w:rPr>
        <w:t>受益人</w:t>
      </w:r>
    </w:p>
    <w:p>
      <w:pPr>
        <w:pStyle w:val="BodyText"/>
        <w:spacing w:before="6"/>
        <w:rPr>
          <w:sz w:val="15"/>
        </w:rPr>
      </w:pPr>
    </w:p>
    <w:p>
      <w:pPr>
        <w:pStyle w:val="BodyText"/>
        <w:spacing w:line="417" w:lineRule="auto" w:before="1"/>
        <w:ind w:left="120" w:right="2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540" w:right="107"/>
      </w:pPr>
      <w:r>
        <w:rPr>
          <w:spacing w:val="-2"/>
        </w:rPr>
        <w:t>被保险人为无民事行为能力人或限制民事行为能力人的，可以由其监护人指定受益人。</w:t>
      </w:r>
      <w:r>
        <w:rPr>
          <w:spacing w:val="-6"/>
        </w:rPr>
        <w:t>您或被保险人可以变更身故保险金受益人并书面通知我们。我们收到变更受益人的书面</w:t>
      </w:r>
    </w:p>
    <w:p>
      <w:pPr>
        <w:pStyle w:val="BodyText"/>
        <w:ind w:left="120"/>
      </w:pPr>
      <w:r>
        <w:rPr>
          <w:spacing w:val="-3"/>
        </w:rPr>
        <w:t>通知后，在保单或其他保险凭证上批注或附贴批单。</w:t>
      </w:r>
    </w:p>
    <w:p>
      <w:pPr>
        <w:pStyle w:val="BodyText"/>
        <w:spacing w:before="6"/>
        <w:rPr>
          <w:sz w:val="15"/>
        </w:rPr>
      </w:pPr>
    </w:p>
    <w:p>
      <w:pPr>
        <w:pStyle w:val="BodyText"/>
        <w:ind w:right="2007"/>
        <w:jc w:val="right"/>
      </w:pPr>
      <w:r>
        <w:rPr>
          <w:spacing w:val="-3"/>
        </w:rPr>
        <w:t>您在指定或变更身故保险金受益人时，必须经被保险人书面同意。</w:t>
      </w:r>
    </w:p>
    <w:p>
      <w:pPr>
        <w:pStyle w:val="BodyText"/>
        <w:spacing w:before="7"/>
        <w:rPr>
          <w:sz w:val="15"/>
        </w:rPr>
      </w:pPr>
    </w:p>
    <w:p>
      <w:pPr>
        <w:pStyle w:val="BodyText"/>
        <w:ind w:left="540"/>
      </w:pPr>
      <w:r>
        <w:rPr>
          <w:spacing w:val="-3"/>
        </w:rPr>
        <w:t>有下列情形之一的，身故保险金作为被保险人遗产，我们将依照相关法律规定处理：</w:t>
      </w:r>
    </w:p>
    <w:p>
      <w:pPr>
        <w:pStyle w:val="BodyText"/>
        <w:spacing w:before="6"/>
        <w:rPr>
          <w:sz w:val="15"/>
        </w:rPr>
      </w:pPr>
    </w:p>
    <w:p>
      <w:pPr>
        <w:pStyle w:val="ListParagraph"/>
        <w:numPr>
          <w:ilvl w:val="0"/>
          <w:numId w:val="4"/>
        </w:numPr>
        <w:tabs>
          <w:tab w:pos="964" w:val="left" w:leader="none"/>
        </w:tabs>
        <w:spacing w:line="240" w:lineRule="auto" w:before="1" w:after="0"/>
        <w:ind w:left="963" w:right="0" w:hanging="530"/>
        <w:jc w:val="left"/>
        <w:rPr>
          <w:sz w:val="21"/>
        </w:rPr>
      </w:pPr>
      <w:r>
        <w:rPr>
          <w:spacing w:val="-3"/>
          <w:sz w:val="21"/>
        </w:rPr>
        <w:t>没有指定受益人，或者受益人指定不明无法确定的；</w:t>
      </w:r>
    </w:p>
    <w:p>
      <w:pPr>
        <w:pStyle w:val="BodyText"/>
        <w:spacing w:before="6"/>
        <w:rPr>
          <w:sz w:val="15"/>
        </w:rPr>
      </w:pPr>
    </w:p>
    <w:p>
      <w:pPr>
        <w:pStyle w:val="ListParagraph"/>
        <w:numPr>
          <w:ilvl w:val="0"/>
          <w:numId w:val="4"/>
        </w:numPr>
        <w:tabs>
          <w:tab w:pos="964" w:val="left" w:leader="none"/>
        </w:tabs>
        <w:spacing w:line="240" w:lineRule="auto" w:before="0" w:after="0"/>
        <w:ind w:left="9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4"/>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120" w:right="211" w:firstLine="419"/>
      </w:pPr>
      <w:r>
        <w:rPr>
          <w:spacing w:val="-4"/>
        </w:rPr>
        <w:t>受益人与被保险人在同一事件中身故，且不能确定身故先后顺序的，推定受益人身故在</w:t>
      </w:r>
      <w:r>
        <w:rPr>
          <w:spacing w:val="-6"/>
        </w:rPr>
        <w:t>先。</w:t>
      </w:r>
    </w:p>
    <w:p>
      <w:pPr>
        <w:pStyle w:val="ListParagraph"/>
        <w:numPr>
          <w:ilvl w:val="1"/>
          <w:numId w:val="2"/>
        </w:numPr>
        <w:tabs>
          <w:tab w:pos="968" w:val="left" w:leader="none"/>
        </w:tabs>
        <w:spacing w:line="240" w:lineRule="auto" w:before="0" w:after="0"/>
        <w:ind w:left="967" w:right="0" w:hanging="421"/>
        <w:jc w:val="left"/>
        <w:rPr>
          <w:rFonts w:ascii="Calibri" w:hAnsi="Calibri" w:eastAsia="Calibri"/>
          <w:sz w:val="21"/>
        </w:rPr>
      </w:pPr>
      <w:r>
        <w:rPr>
          <w:spacing w:val="-7"/>
          <w:sz w:val="21"/>
        </w:rPr>
        <w:t>一般全残保险金、特别全残保险金、航空意外伤害全残保险金和确诊“恶性肿瘤—</w:t>
      </w:r>
    </w:p>
    <w:p>
      <w:pPr>
        <w:pStyle w:val="BodyText"/>
        <w:spacing w:before="6"/>
        <w:rPr>
          <w:sz w:val="15"/>
        </w:rPr>
      </w:pPr>
    </w:p>
    <w:p>
      <w:pPr>
        <w:pStyle w:val="BodyText"/>
        <w:spacing w:line="417" w:lineRule="auto" w:before="1"/>
        <w:ind w:left="540" w:right="2035" w:firstLine="427"/>
      </w:pPr>
      <w:r>
        <w:rPr>
          <w:spacing w:val="-2"/>
        </w:rPr>
        <w:t>—重度”后额外全残保险金（以下简称</w:t>
      </w:r>
      <w:r>
        <w:rPr>
          <w:rFonts w:ascii="Calibri" w:hAnsi="Calibri" w:eastAsia="Calibri"/>
          <w:spacing w:val="-2"/>
        </w:rPr>
        <w:t>“</w:t>
      </w:r>
      <w:r>
        <w:rPr>
          <w:spacing w:val="-2"/>
        </w:rPr>
        <w:t>全残保险金</w:t>
      </w:r>
      <w:r>
        <w:rPr>
          <w:rFonts w:ascii="Calibri" w:hAnsi="Calibri" w:eastAsia="Calibri"/>
          <w:spacing w:val="-2"/>
        </w:rPr>
        <w:t>”</w:t>
      </w:r>
      <w:r>
        <w:rPr>
          <w:spacing w:val="-2"/>
        </w:rPr>
        <w:t>）受益人</w:t>
      </w:r>
      <w:r>
        <w:rPr>
          <w:spacing w:val="-2"/>
        </w:rPr>
        <w:t>除另有约定外，全残保险金受益人为被保险人本人。</w:t>
      </w:r>
    </w:p>
    <w:p>
      <w:pPr>
        <w:pStyle w:val="BodyText"/>
        <w:rPr>
          <w:sz w:val="20"/>
        </w:rPr>
      </w:pPr>
    </w:p>
    <w:p>
      <w:pPr>
        <w:pStyle w:val="BodyText"/>
        <w:spacing w:before="6"/>
        <w:rPr>
          <w:sz w:val="16"/>
        </w:rPr>
      </w:pPr>
    </w:p>
    <w:p>
      <w:pPr>
        <w:spacing w:line="417" w:lineRule="auto" w:before="0"/>
        <w:ind w:left="120" w:right="214" w:firstLine="422"/>
        <w:jc w:val="left"/>
        <w:rPr>
          <w:b/>
          <w:sz w:val="21"/>
        </w:rPr>
      </w:pPr>
      <w:r>
        <w:rPr>
          <w:b/>
          <w:spacing w:val="-4"/>
          <w:sz w:val="21"/>
        </w:rPr>
        <w:t>受益人故意造成被保险人身故、全残的，或者故意杀害被保险人未遂的，该受益人丧失</w:t>
      </w:r>
      <w:r>
        <w:rPr>
          <w:b/>
          <w:spacing w:val="-4"/>
          <w:sz w:val="21"/>
        </w:rPr>
        <w:t>受益权。</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5" w:id="28"/>
      <w:bookmarkEnd w:id="28"/>
      <w:r>
        <w:rPr>
          <w:b w:val="0"/>
        </w:rPr>
      </w:r>
      <w:bookmarkStart w:name="_bookmark15" w:id="29"/>
      <w:bookmarkEnd w:id="29"/>
      <w:r>
        <w:rPr>
          <w:spacing w:val="-2"/>
        </w:rPr>
        <w:t>保险事故的通知</w:t>
      </w:r>
    </w:p>
    <w:p>
      <w:pPr>
        <w:pStyle w:val="BodyText"/>
        <w:spacing w:before="7"/>
        <w:rPr>
          <w:b/>
          <w:sz w:val="15"/>
        </w:rPr>
      </w:pPr>
    </w:p>
    <w:p>
      <w:pPr>
        <w:spacing w:line="417" w:lineRule="auto" w:before="0"/>
        <w:ind w:left="120" w:right="211" w:firstLine="419"/>
        <w:jc w:val="both"/>
        <w:rPr>
          <w:b/>
          <w:sz w:val="21"/>
        </w:rPr>
      </w:pPr>
      <w:r>
        <w:rPr>
          <w:spacing w:val="-4"/>
          <w:sz w:val="21"/>
        </w:rPr>
        <w:t>您或受益人应于知道保险事故发生之日起 </w:t>
      </w:r>
      <w:r>
        <w:rPr>
          <w:rFonts w:ascii="Calibri" w:eastAsia="Calibri"/>
          <w:spacing w:val="-2"/>
          <w:sz w:val="21"/>
        </w:rPr>
        <w:t>10</w:t>
      </w:r>
      <w:r>
        <w:rPr>
          <w:rFonts w:ascii="Calibri" w:eastAsia="Calibri"/>
          <w:spacing w:val="26"/>
          <w:sz w:val="21"/>
        </w:rPr>
        <w:t> </w:t>
      </w:r>
      <w:r>
        <w:rPr>
          <w:spacing w:val="-2"/>
          <w:sz w:val="21"/>
        </w:rPr>
        <w:t>日内通知我们。</w:t>
      </w:r>
      <w:r>
        <w:rPr>
          <w:b/>
          <w:spacing w:val="-2"/>
          <w:sz w:val="21"/>
        </w:rPr>
        <w:t>如因故意或者重大过失未</w:t>
      </w:r>
      <w:r>
        <w:rPr>
          <w:b/>
          <w:spacing w:val="-4"/>
          <w:sz w:val="21"/>
        </w:rPr>
        <w:t>及时通知，致使保险事故的性质、原因、损失程度等难以确定的，我们对无法确定的部分，</w:t>
      </w:r>
      <w:r>
        <w:rPr>
          <w:b/>
          <w:spacing w:val="-2"/>
          <w:sz w:val="21"/>
        </w:rPr>
        <w:t>不承担给付保险金的责任，但我们通过其他途径已经及时知道或者应当及时知道保险事故</w:t>
      </w:r>
      <w:r>
        <w:rPr>
          <w:b/>
          <w:spacing w:val="-2"/>
          <w:sz w:val="21"/>
        </w:rPr>
        <w:t>发生或者虽未及时通知但不影响本公司确定保险事故的性质、原因、损失程度的除外。</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16" w:id="30"/>
      <w:bookmarkEnd w:id="30"/>
      <w:r>
        <w:rPr>
          <w:b w:val="0"/>
        </w:rPr>
      </w:r>
      <w:bookmarkStart w:name="_bookmark16" w:id="31"/>
      <w:bookmarkEnd w:id="31"/>
      <w:r>
        <w:rPr>
          <w:spacing w:val="-2"/>
        </w:rPr>
        <w:t>保险金的申请</w:t>
      </w:r>
    </w:p>
    <w:p>
      <w:pPr>
        <w:spacing w:after="0" w:line="240" w:lineRule="auto"/>
        <w:jc w:val="both"/>
        <w:rPr>
          <w:rFonts w:ascii="Calibri" w:eastAsia="Calibri"/>
        </w:rPr>
        <w:sectPr>
          <w:pgSz w:w="11910" w:h="16840"/>
          <w:pgMar w:header="0" w:footer="1005" w:top="1460" w:bottom="1200" w:left="1680" w:right="1580"/>
        </w:sectPr>
      </w:pPr>
    </w:p>
    <w:p>
      <w:pPr>
        <w:pStyle w:val="ListParagraph"/>
        <w:numPr>
          <w:ilvl w:val="1"/>
          <w:numId w:val="2"/>
        </w:numPr>
        <w:tabs>
          <w:tab w:pos="973" w:val="left" w:leader="none"/>
        </w:tabs>
        <w:spacing w:line="240" w:lineRule="auto" w:before="61" w:after="0"/>
        <w:ind w:left="972" w:right="0" w:hanging="421"/>
        <w:jc w:val="left"/>
        <w:rPr>
          <w:rFonts w:ascii="Calibri" w:eastAsia="Calibri"/>
          <w:sz w:val="21"/>
        </w:rPr>
      </w:pPr>
      <w:r>
        <w:rPr>
          <w:spacing w:val="-4"/>
          <w:sz w:val="21"/>
        </w:rPr>
        <w:t>身故保险金</w:t>
      </w:r>
    </w:p>
    <w:p>
      <w:pPr>
        <w:pStyle w:val="BodyText"/>
        <w:spacing w:before="7"/>
        <w:rPr>
          <w:sz w:val="15"/>
        </w:rPr>
      </w:pPr>
    </w:p>
    <w:p>
      <w:pPr>
        <w:pStyle w:val="BodyText"/>
        <w:spacing w:line="417" w:lineRule="auto"/>
        <w:ind w:left="120" w:right="2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5"/>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7"/>
        <w:rPr>
          <w:sz w:val="15"/>
        </w:rPr>
      </w:pPr>
    </w:p>
    <w:p>
      <w:pPr>
        <w:pStyle w:val="ListParagraph"/>
        <w:numPr>
          <w:ilvl w:val="0"/>
          <w:numId w:val="5"/>
        </w:numPr>
        <w:tabs>
          <w:tab w:pos="973" w:val="left" w:leader="none"/>
        </w:tabs>
        <w:spacing w:line="240" w:lineRule="auto" w:before="0" w:after="0"/>
        <w:ind w:left="972" w:right="0" w:hanging="539"/>
        <w:jc w:val="left"/>
        <w:rPr>
          <w:sz w:val="21"/>
        </w:rPr>
      </w:pPr>
      <w:r>
        <w:rPr>
          <w:spacing w:val="-2"/>
          <w:sz w:val="21"/>
        </w:rPr>
        <w:t>申请人的</w:t>
      </w:r>
      <w:r>
        <w:rPr>
          <w:b/>
          <w:spacing w:val="-2"/>
          <w:sz w:val="21"/>
        </w:rPr>
        <w:t>有效身份证件</w:t>
      </w:r>
      <w:r>
        <w:rPr>
          <w:spacing w:val="-2"/>
          <w:sz w:val="21"/>
        </w:rPr>
        <w:t>（</w:t>
      </w:r>
      <w:r>
        <w:rPr>
          <w:spacing w:val="-15"/>
          <w:sz w:val="21"/>
        </w:rPr>
        <w:t>释义 </w:t>
      </w:r>
      <w:r>
        <w:rPr>
          <w:rFonts w:ascii="Calibri" w:eastAsia="Calibri"/>
          <w:spacing w:val="-4"/>
          <w:sz w:val="21"/>
        </w:rPr>
        <w:t>1</w:t>
      </w:r>
      <w:r>
        <w:rPr>
          <w:rFonts w:ascii="Calibri" w:eastAsia="Calibri"/>
          <w:spacing w:val="-6"/>
          <w:sz w:val="21"/>
        </w:rPr>
        <w:t>3</w:t>
      </w:r>
      <w:r>
        <w:rPr>
          <w:spacing w:val="-110"/>
          <w:sz w:val="21"/>
        </w:rPr>
        <w:t>）；</w:t>
      </w:r>
    </w:p>
    <w:p>
      <w:pPr>
        <w:pStyle w:val="BodyText"/>
        <w:spacing w:before="6"/>
        <w:rPr>
          <w:sz w:val="15"/>
        </w:rPr>
      </w:pPr>
    </w:p>
    <w:p>
      <w:pPr>
        <w:pStyle w:val="ListParagraph"/>
        <w:numPr>
          <w:ilvl w:val="0"/>
          <w:numId w:val="5"/>
        </w:numPr>
        <w:tabs>
          <w:tab w:pos="973" w:val="left" w:leader="none"/>
        </w:tabs>
        <w:spacing w:line="417" w:lineRule="auto" w:before="1" w:after="0"/>
        <w:ind w:left="972" w:right="108" w:hanging="538"/>
        <w:jc w:val="left"/>
        <w:rPr>
          <w:sz w:val="21"/>
        </w:rPr>
      </w:pPr>
      <w:r>
        <w:rPr>
          <w:w w:val="100"/>
          <w:sz w:val="21"/>
        </w:rPr>
        <w:t>国家卫生行政部门认定的医疗机构、公安部门或其他相关机构出具的被保险人死</w:t>
      </w:r>
      <w:r>
        <w:rPr>
          <w:spacing w:val="-17"/>
          <w:w w:val="100"/>
          <w:sz w:val="21"/>
        </w:rPr>
        <w:t>亡证明。如被保险人为宣告死亡，申请人须提供人民法院出具的宣告死亡证明文件；</w:t>
      </w:r>
    </w:p>
    <w:p>
      <w:pPr>
        <w:pStyle w:val="ListParagraph"/>
        <w:numPr>
          <w:ilvl w:val="0"/>
          <w:numId w:val="5"/>
        </w:numPr>
        <w:tabs>
          <w:tab w:pos="973" w:val="left" w:leader="none"/>
        </w:tabs>
        <w:spacing w:line="269" w:lineRule="exact" w:before="0" w:after="0"/>
        <w:ind w:left="972" w:right="0" w:hanging="539"/>
        <w:jc w:val="left"/>
        <w:rPr>
          <w:sz w:val="21"/>
        </w:rPr>
      </w:pPr>
      <w:r>
        <w:rPr>
          <w:spacing w:val="-3"/>
          <w:sz w:val="21"/>
        </w:rPr>
        <w:t>被保险人的户籍注销证明；</w:t>
      </w:r>
    </w:p>
    <w:p>
      <w:pPr>
        <w:pStyle w:val="BodyText"/>
        <w:spacing w:before="7"/>
        <w:rPr>
          <w:sz w:val="15"/>
        </w:rPr>
      </w:pPr>
    </w:p>
    <w:p>
      <w:pPr>
        <w:pStyle w:val="ListParagraph"/>
        <w:numPr>
          <w:ilvl w:val="0"/>
          <w:numId w:val="5"/>
        </w:numPr>
        <w:tabs>
          <w:tab w:pos="973" w:val="left" w:leader="none"/>
        </w:tabs>
        <w:spacing w:line="417" w:lineRule="auto" w:before="0" w:after="0"/>
        <w:ind w:left="972" w:right="107" w:hanging="538"/>
        <w:jc w:val="left"/>
        <w:rPr>
          <w:rFonts w:ascii="Calibri" w:hAnsi="Calibri" w:eastAsia="Calibri"/>
          <w:sz w:val="21"/>
        </w:rPr>
      </w:pPr>
      <w:r>
        <w:rPr>
          <w:spacing w:val="-2"/>
          <w:sz w:val="21"/>
        </w:rPr>
        <w:t>若投保人在投保时选择了确诊“恶性肿瘤</w:t>
      </w:r>
      <w:r>
        <w:rPr>
          <w:rFonts w:ascii="Calibri" w:hAnsi="Calibri" w:eastAsia="Calibri"/>
          <w:spacing w:val="-2"/>
          <w:sz w:val="21"/>
        </w:rPr>
        <w:t>——</w:t>
      </w:r>
      <w:r>
        <w:rPr>
          <w:spacing w:val="-2"/>
          <w:sz w:val="21"/>
        </w:rPr>
        <w:t>重度”后额外身故或全残保险金的可</w:t>
      </w:r>
      <w:r>
        <w:rPr>
          <w:spacing w:val="-17"/>
          <w:sz w:val="21"/>
        </w:rPr>
        <w:t>选责任，申请人还应提供由认可医院的专科医生出具的附有病历、病理显微镜检查、</w:t>
      </w:r>
      <w:r>
        <w:rPr>
          <w:spacing w:val="-6"/>
          <w:sz w:val="21"/>
        </w:rPr>
        <w:t>必需的血液检验及其他科学方法检验报告的被保险人疾病诊断证明，“恶性肿瘤</w:t>
      </w:r>
      <w:r>
        <w:rPr>
          <w:rFonts w:ascii="Calibri" w:hAnsi="Calibri" w:eastAsia="Calibri"/>
          <w:spacing w:val="-2"/>
          <w:sz w:val="21"/>
        </w:rPr>
        <w:t>—</w:t>
      </w:r>
    </w:p>
    <w:p>
      <w:pPr>
        <w:pStyle w:val="BodyText"/>
        <w:spacing w:line="269" w:lineRule="exact"/>
        <w:ind w:left="972"/>
      </w:pPr>
      <w:r>
        <w:rPr>
          <w:rFonts w:ascii="Calibri" w:hAnsi="Calibri" w:eastAsia="Calibri"/>
          <w:spacing w:val="-2"/>
        </w:rPr>
        <w:t>—</w:t>
      </w:r>
      <w:r>
        <w:rPr>
          <w:spacing w:val="-3"/>
        </w:rPr>
        <w:t>重度”注释中所提及的索赔时需要提供的有关证明；</w:t>
      </w:r>
    </w:p>
    <w:p>
      <w:pPr>
        <w:pStyle w:val="BodyText"/>
        <w:spacing w:before="6"/>
        <w:rPr>
          <w:sz w:val="15"/>
        </w:rPr>
      </w:pPr>
    </w:p>
    <w:p>
      <w:pPr>
        <w:pStyle w:val="ListParagraph"/>
        <w:numPr>
          <w:ilvl w:val="0"/>
          <w:numId w:val="5"/>
        </w:numPr>
        <w:tabs>
          <w:tab w:pos="973" w:val="left" w:leader="none"/>
        </w:tabs>
        <w:spacing w:line="240" w:lineRule="auto" w:before="1" w:after="0"/>
        <w:ind w:left="972" w:right="0" w:hanging="539"/>
        <w:jc w:val="left"/>
        <w:rPr>
          <w:sz w:val="21"/>
        </w:rPr>
      </w:pPr>
      <w:r>
        <w:rPr>
          <w:spacing w:val="-3"/>
          <w:sz w:val="21"/>
        </w:rPr>
        <w:t>所能提供的与确认保险事故的性质、原因等有关的其他证明和资料；</w:t>
      </w:r>
    </w:p>
    <w:p>
      <w:pPr>
        <w:pStyle w:val="BodyText"/>
        <w:spacing w:before="6"/>
        <w:rPr>
          <w:sz w:val="15"/>
        </w:rPr>
      </w:pPr>
    </w:p>
    <w:p>
      <w:pPr>
        <w:pStyle w:val="ListParagraph"/>
        <w:numPr>
          <w:ilvl w:val="0"/>
          <w:numId w:val="5"/>
        </w:numPr>
        <w:tabs>
          <w:tab w:pos="973" w:val="left" w:leader="none"/>
        </w:tabs>
        <w:spacing w:line="417" w:lineRule="auto" w:before="0"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540"/>
      </w:pPr>
      <w:r>
        <w:rPr>
          <w:spacing w:val="-3"/>
        </w:rPr>
        <w:t>保险金作为被保险人遗产时，必须提供可证明合法继承权的相关权利文件。</w:t>
      </w:r>
    </w:p>
    <w:p>
      <w:pPr>
        <w:pStyle w:val="BodyText"/>
        <w:spacing w:before="7"/>
        <w:rPr>
          <w:sz w:val="15"/>
        </w:rPr>
      </w:pPr>
    </w:p>
    <w:p>
      <w:pPr>
        <w:pStyle w:val="BodyText"/>
        <w:spacing w:before="1"/>
        <w:ind w:left="316" w:right="105"/>
        <w:jc w:val="center"/>
      </w:pPr>
      <w:r>
        <w:rPr>
          <w:spacing w:val="-3"/>
        </w:rPr>
        <w:t>以上证明和资料不完整的，我们将及时一次性通知申请人补充提供有关证明和资料。</w:t>
      </w:r>
    </w:p>
    <w:p>
      <w:pPr>
        <w:pStyle w:val="BodyText"/>
        <w:spacing w:before="6"/>
        <w:rPr>
          <w:sz w:val="15"/>
        </w:rPr>
      </w:pPr>
    </w:p>
    <w:p>
      <w:pPr>
        <w:pStyle w:val="ListParagraph"/>
        <w:numPr>
          <w:ilvl w:val="1"/>
          <w:numId w:val="2"/>
        </w:numPr>
        <w:tabs>
          <w:tab w:pos="973" w:val="left" w:leader="none"/>
        </w:tabs>
        <w:spacing w:line="240" w:lineRule="auto" w:before="0" w:after="0"/>
        <w:ind w:left="972" w:right="0" w:hanging="421"/>
        <w:jc w:val="left"/>
        <w:rPr>
          <w:rFonts w:ascii="Calibri" w:eastAsia="Calibri"/>
          <w:sz w:val="21"/>
        </w:rPr>
      </w:pPr>
      <w:r>
        <w:rPr>
          <w:spacing w:val="-4"/>
          <w:sz w:val="21"/>
        </w:rPr>
        <w:t>全残保险金</w:t>
      </w:r>
    </w:p>
    <w:p>
      <w:pPr>
        <w:pStyle w:val="BodyText"/>
        <w:spacing w:before="7"/>
        <w:rPr>
          <w:sz w:val="15"/>
        </w:rPr>
      </w:pPr>
    </w:p>
    <w:p>
      <w:pPr>
        <w:pStyle w:val="BodyText"/>
        <w:spacing w:line="417" w:lineRule="auto"/>
        <w:ind w:left="120" w:right="211" w:firstLine="419"/>
      </w:pPr>
      <w:r>
        <w:rPr>
          <w:spacing w:val="-4"/>
        </w:rPr>
        <w:t>由全残保险金受益人作为申请人，填写保险金给付申请书，并提供下列证明、资料向我</w:t>
      </w:r>
      <w:r>
        <w:rPr>
          <w:spacing w:val="-2"/>
        </w:rPr>
        <w:t>们申请给付全残保险金：</w:t>
      </w:r>
    </w:p>
    <w:p>
      <w:pPr>
        <w:pStyle w:val="ListParagraph"/>
        <w:numPr>
          <w:ilvl w:val="0"/>
          <w:numId w:val="6"/>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7"/>
        <w:rPr>
          <w:sz w:val="15"/>
        </w:rPr>
      </w:pPr>
    </w:p>
    <w:p>
      <w:pPr>
        <w:pStyle w:val="ListParagraph"/>
        <w:numPr>
          <w:ilvl w:val="0"/>
          <w:numId w:val="6"/>
        </w:numPr>
        <w:tabs>
          <w:tab w:pos="973" w:val="left" w:leader="none"/>
        </w:tabs>
        <w:spacing w:line="240" w:lineRule="auto" w:before="0" w:after="0"/>
        <w:ind w:left="972" w:right="0" w:hanging="539"/>
        <w:jc w:val="left"/>
        <w:rPr>
          <w:sz w:val="21"/>
        </w:rPr>
      </w:pPr>
      <w:r>
        <w:rPr>
          <w:spacing w:val="-3"/>
          <w:sz w:val="21"/>
        </w:rPr>
        <w:t>申请人的有效身份证件；</w:t>
      </w:r>
    </w:p>
    <w:p>
      <w:pPr>
        <w:pStyle w:val="BodyText"/>
        <w:spacing w:before="6"/>
        <w:rPr>
          <w:sz w:val="15"/>
        </w:rPr>
      </w:pPr>
    </w:p>
    <w:p>
      <w:pPr>
        <w:pStyle w:val="ListParagraph"/>
        <w:numPr>
          <w:ilvl w:val="0"/>
          <w:numId w:val="6"/>
        </w:numPr>
        <w:tabs>
          <w:tab w:pos="973" w:val="left" w:leader="none"/>
        </w:tabs>
        <w:spacing w:line="417" w:lineRule="auto" w:before="1" w:after="0"/>
        <w:ind w:left="972" w:right="220" w:hanging="538"/>
        <w:jc w:val="left"/>
        <w:rPr>
          <w:sz w:val="21"/>
        </w:rPr>
      </w:pPr>
      <w:r>
        <w:rPr>
          <w:spacing w:val="-2"/>
          <w:sz w:val="21"/>
        </w:rPr>
        <w:t>由认可医院或者由具备合法鉴定资格的鉴定机构出具的被保险人伤残程度的资料</w:t>
      </w:r>
      <w:r>
        <w:rPr>
          <w:spacing w:val="-2"/>
          <w:sz w:val="21"/>
        </w:rPr>
        <w:t>或身体伤残程度鉴定书；</w:t>
      </w:r>
    </w:p>
    <w:p>
      <w:pPr>
        <w:pStyle w:val="ListParagraph"/>
        <w:numPr>
          <w:ilvl w:val="0"/>
          <w:numId w:val="6"/>
        </w:numPr>
        <w:tabs>
          <w:tab w:pos="973" w:val="left" w:leader="none"/>
        </w:tabs>
        <w:spacing w:line="417" w:lineRule="auto" w:before="0" w:after="0"/>
        <w:ind w:left="972" w:right="107" w:hanging="538"/>
        <w:jc w:val="left"/>
        <w:rPr>
          <w:sz w:val="21"/>
        </w:rPr>
      </w:pPr>
      <w:r>
        <w:rPr>
          <w:spacing w:val="-9"/>
          <w:sz w:val="21"/>
        </w:rPr>
        <w:t>若投保人在投保时选择了确诊“恶性肿瘤——重度”后额外身故或全残保险金的可</w:t>
      </w:r>
      <w:r>
        <w:rPr>
          <w:spacing w:val="-17"/>
          <w:sz w:val="21"/>
        </w:rPr>
        <w:t>选责任，申请人还应提供由认可医院的专科医生出具的附有病历、病理显微镜检查、</w:t>
      </w:r>
      <w:r>
        <w:rPr>
          <w:spacing w:val="-6"/>
          <w:sz w:val="21"/>
        </w:rPr>
        <w:t>必需的血液检验及其他科学方法检验报告的被保险人疾病诊断证明，“恶性肿瘤—</w:t>
      </w:r>
    </w:p>
    <w:p>
      <w:pPr>
        <w:pStyle w:val="BodyText"/>
        <w:spacing w:line="269" w:lineRule="exact"/>
        <w:ind w:left="972"/>
      </w:pPr>
      <w:r>
        <w:rPr>
          <w:spacing w:val="-3"/>
        </w:rPr>
        <w:t>—重度”注释中所提及的索赔时需要提供的有关证明；</w:t>
      </w:r>
    </w:p>
    <w:p>
      <w:pPr>
        <w:pStyle w:val="BodyText"/>
        <w:spacing w:before="6"/>
        <w:rPr>
          <w:sz w:val="15"/>
        </w:rPr>
      </w:pPr>
    </w:p>
    <w:p>
      <w:pPr>
        <w:pStyle w:val="ListParagraph"/>
        <w:numPr>
          <w:ilvl w:val="0"/>
          <w:numId w:val="6"/>
        </w:numPr>
        <w:tabs>
          <w:tab w:pos="973" w:val="left" w:leader="none"/>
        </w:tabs>
        <w:spacing w:line="240" w:lineRule="auto" w:before="0" w:after="0"/>
        <w:ind w:left="972" w:right="0" w:hanging="570"/>
        <w:jc w:val="left"/>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6"/>
        </w:numPr>
        <w:tabs>
          <w:tab w:pos="973" w:val="left" w:leader="none"/>
        </w:tabs>
        <w:spacing w:line="240" w:lineRule="auto" w:before="0" w:after="0"/>
        <w:ind w:left="972" w:right="0" w:hanging="752"/>
        <w:jc w:val="left"/>
        <w:rPr>
          <w:sz w:val="21"/>
        </w:rPr>
      </w:pPr>
      <w:r>
        <w:rPr>
          <w:spacing w:val="-8"/>
          <w:sz w:val="21"/>
        </w:rPr>
        <w:t>若申请人委托他人代为申请给付保险金，还应提供授权委托书、受托人有效身份证</w:t>
      </w:r>
    </w:p>
    <w:p>
      <w:pPr>
        <w:spacing w:after="0" w:line="240" w:lineRule="auto"/>
        <w:jc w:val="left"/>
        <w:rPr>
          <w:sz w:val="21"/>
        </w:rPr>
        <w:sectPr>
          <w:pgSz w:w="11910" w:h="16840"/>
          <w:pgMar w:header="0" w:footer="1005" w:top="1460" w:bottom="1200" w:left="1680" w:right="1580"/>
        </w:sectPr>
      </w:pPr>
    </w:p>
    <w:p>
      <w:pPr>
        <w:pStyle w:val="BodyText"/>
        <w:spacing w:before="61"/>
        <w:ind w:left="972"/>
      </w:pPr>
      <w:r>
        <w:rPr>
          <w:spacing w:val="-3"/>
        </w:rPr>
        <w:t>件等相关证明文件。</w:t>
      </w:r>
    </w:p>
    <w:p>
      <w:pPr>
        <w:pStyle w:val="BodyText"/>
        <w:spacing w:before="7"/>
        <w:rPr>
          <w:sz w:val="15"/>
        </w:rPr>
      </w:pPr>
    </w:p>
    <w:p>
      <w:pPr>
        <w:pStyle w:val="BodyText"/>
        <w:ind w:left="540"/>
      </w:pPr>
      <w:r>
        <w:rPr>
          <w:spacing w:val="-3"/>
        </w:rPr>
        <w:t>以上证明和资料不完整的，我们将及时一次性通知申请人补充提供有关证明和资料。</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pStyle w:val="BodyText"/>
        <w:spacing w:before="7"/>
        <w:rPr>
          <w:b/>
          <w:sz w:val="15"/>
        </w:rPr>
      </w:pPr>
    </w:p>
    <w:p>
      <w:pPr>
        <w:pStyle w:val="BodyText"/>
        <w:ind w:left="5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7"/>
        <w:rPr>
          <w:sz w:val="15"/>
        </w:rPr>
      </w:pPr>
    </w:p>
    <w:p>
      <w:pPr>
        <w:pStyle w:val="BodyText"/>
        <w:ind w:left="120"/>
        <w:jc w:val="both"/>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7"/>
        <w:rPr>
          <w:sz w:val="15"/>
        </w:rPr>
      </w:pPr>
    </w:p>
    <w:p>
      <w:pPr>
        <w:pStyle w:val="BodyText"/>
        <w:spacing w:line="417" w:lineRule="auto"/>
        <w:ind w:left="120" w:right="211" w:firstLine="419"/>
        <w:jc w:val="both"/>
      </w:pPr>
      <w:r>
        <w:rPr>
          <w:spacing w:val="-1"/>
        </w:rPr>
        <w:t>对确定属于保险责任的，在与申请人达成有关给付保险金的协议后 </w:t>
      </w:r>
      <w:r>
        <w:rPr>
          <w:rFonts w:ascii="Calibri" w:eastAsia="Calibri"/>
        </w:rPr>
        <w:t>10</w:t>
      </w:r>
      <w:r>
        <w:rPr>
          <w:rFonts w:ascii="Calibri" w:eastAsia="Calibri"/>
          <w:spacing w:val="-12"/>
        </w:rPr>
        <w:t> </w:t>
      </w:r>
      <w:r>
        <w:rPr/>
        <w:t>日内，履行给付</w:t>
      </w:r>
      <w:r>
        <w:rPr>
          <w:spacing w:val="-2"/>
        </w:rPr>
        <w:t>保险金义务。</w:t>
      </w:r>
    </w:p>
    <w:p>
      <w:pPr>
        <w:pStyle w:val="BodyText"/>
        <w:spacing w:line="417" w:lineRule="auto"/>
        <w:ind w:left="120" w:right="213" w:firstLine="419"/>
        <w:jc w:val="both"/>
      </w:pPr>
      <w:r>
        <w:rPr>
          <w:spacing w:val="-1"/>
        </w:rPr>
        <w:t>对不属于保险责任的，我们自作出核定之日起 </w:t>
      </w:r>
      <w:r>
        <w:rPr>
          <w:rFonts w:ascii="Calibri" w:eastAsia="Calibri"/>
        </w:rPr>
        <w:t>3</w:t>
      </w:r>
      <w:r>
        <w:rPr>
          <w:rFonts w:ascii="Calibri" w:eastAsia="Calibri"/>
          <w:spacing w:val="40"/>
        </w:rPr>
        <w:t> </w:t>
      </w:r>
      <w:r>
        <w:rPr/>
        <w:t>日内向申请人发出拒绝给付保险金通</w:t>
      </w:r>
      <w:r>
        <w:rPr>
          <w:spacing w:val="-2"/>
        </w:rPr>
        <w:t>知书，并说明理由。</w:t>
      </w:r>
    </w:p>
    <w:p>
      <w:pPr>
        <w:pStyle w:val="BodyText"/>
        <w:spacing w:line="417" w:lineRule="auto"/>
        <w:ind w:left="120" w:right="2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spacing w:before="3"/>
        <w:rPr>
          <w:sz w:val="24"/>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18" w:id="34"/>
      <w:bookmarkEnd w:id="34"/>
      <w:r>
        <w:rPr>
          <w:b w:val="0"/>
        </w:rPr>
      </w:r>
      <w:bookmarkStart w:name="_bookmark18" w:id="35"/>
      <w:bookmarkEnd w:id="35"/>
      <w:r>
        <w:rPr>
          <w:spacing w:val="-2"/>
        </w:rPr>
        <w:t>欠款的扣除</w:t>
      </w:r>
    </w:p>
    <w:p>
      <w:pPr>
        <w:pStyle w:val="BodyText"/>
        <w:spacing w:before="6"/>
        <w:rPr>
          <w:b/>
          <w:sz w:val="15"/>
        </w:rPr>
      </w:pPr>
    </w:p>
    <w:p>
      <w:pPr>
        <w:spacing w:line="417" w:lineRule="auto" w:before="0"/>
        <w:ind w:left="120" w:right="214" w:firstLine="412"/>
        <w:jc w:val="left"/>
        <w:rPr>
          <w:b/>
          <w:sz w:val="21"/>
        </w:rPr>
      </w:pPr>
      <w:r>
        <w:rPr>
          <w:b/>
          <w:spacing w:val="-8"/>
          <w:sz w:val="21"/>
        </w:rPr>
        <w:t>我们给付各项保险金或退还现金价值时，如果您有欠交保险费，我们将先行扣除上述欠</w:t>
      </w:r>
      <w:r>
        <w:rPr>
          <w:b/>
          <w:spacing w:val="-6"/>
          <w:sz w:val="21"/>
        </w:rPr>
        <w:t>款。</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3"/>
        </w:rPr>
        <w:t>宣告死亡</w:t>
      </w:r>
    </w:p>
    <w:p>
      <w:pPr>
        <w:pStyle w:val="BodyText"/>
        <w:spacing w:before="7"/>
        <w:rPr>
          <w:b/>
          <w:sz w:val="15"/>
        </w:rPr>
      </w:pPr>
    </w:p>
    <w:p>
      <w:pPr>
        <w:pStyle w:val="BodyText"/>
        <w:spacing w:line="417" w:lineRule="auto"/>
        <w:ind w:left="120" w:right="2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211" w:firstLine="419"/>
      </w:pPr>
      <w:r>
        <w:rPr>
          <w:spacing w:val="-7"/>
        </w:rPr>
        <w:t>如果被保险人被宣告死亡之日在保险期间之外，但有证据证明下落不明之日在保险期间</w:t>
      </w:r>
      <w:r>
        <w:rPr>
          <w:spacing w:val="-2"/>
        </w:rPr>
        <w:t>之内，我们依本合同约定给付保险金。</w:t>
      </w:r>
    </w:p>
    <w:p>
      <w:pPr>
        <w:pStyle w:val="BodyText"/>
        <w:spacing w:line="417" w:lineRule="auto"/>
        <w:ind w:left="120" w:right="211"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rPr>
          <w:sz w:val="22"/>
        </w:rPr>
      </w:pPr>
    </w:p>
    <w:p>
      <w:pPr>
        <w:pStyle w:val="BodyText"/>
        <w:spacing w:before="1"/>
        <w:rPr>
          <w:sz w:val="17"/>
        </w:rPr>
      </w:pPr>
    </w:p>
    <w:p>
      <w:pPr>
        <w:pStyle w:val="Heading1"/>
        <w:ind w:right="2047"/>
      </w:pPr>
      <w:bookmarkStart w:name="_bookmark20" w:id="38"/>
      <w:bookmarkEnd w:id="38"/>
      <w:r>
        <w:rPr>
          <w:b w:val="0"/>
        </w:rPr>
      </w:r>
      <w:r>
        <w:rPr/>
        <w:t>四</w:t>
      </w:r>
      <w:r>
        <w:rPr/>
        <w:t>、</w:t>
      </w:r>
      <w:r>
        <w:rPr>
          <w:spacing w:val="64"/>
        </w:rPr>
        <w:t> 其</w:t>
      </w:r>
      <w:r>
        <w:rPr>
          <w:spacing w:val="-10"/>
        </w:rPr>
        <w:t>他</w:t>
      </w:r>
    </w:p>
    <w:p>
      <w:pPr>
        <w:pStyle w:val="BodyText"/>
        <w:rPr>
          <w:b/>
          <w:sz w:val="28"/>
        </w:rPr>
      </w:pPr>
    </w:p>
    <w:p>
      <w:pPr>
        <w:pStyle w:val="Heading2"/>
        <w:numPr>
          <w:ilvl w:val="0"/>
          <w:numId w:val="2"/>
        </w:numPr>
        <w:tabs>
          <w:tab w:pos="481" w:val="left" w:leader="none"/>
        </w:tabs>
        <w:spacing w:line="240" w:lineRule="auto" w:before="185" w:after="0"/>
        <w:ind w:left="480" w:right="0" w:hanging="361"/>
        <w:jc w:val="left"/>
        <w:rPr>
          <w:rFonts w:ascii="Calibri" w:eastAsia="Calibri"/>
        </w:rPr>
      </w:pPr>
      <w:bookmarkStart w:name="_bookmark21" w:id="39"/>
      <w:bookmarkEnd w:id="39"/>
      <w:r>
        <w:rPr>
          <w:b w:val="0"/>
        </w:rPr>
      </w:r>
      <w:bookmarkStart w:name="_bookmark21" w:id="40"/>
      <w:bookmarkEnd w:id="40"/>
      <w:r>
        <w:rPr>
          <w:spacing w:val="-2"/>
        </w:rPr>
        <w:t>明确说明与如实告知</w:t>
      </w:r>
    </w:p>
    <w:p>
      <w:pPr>
        <w:pStyle w:val="BodyText"/>
        <w:spacing w:before="7"/>
        <w:rPr>
          <w:b/>
          <w:sz w:val="15"/>
        </w:rPr>
      </w:pPr>
    </w:p>
    <w:p>
      <w:pPr>
        <w:pStyle w:val="BodyText"/>
        <w:ind w:left="540"/>
      </w:pPr>
      <w:r>
        <w:rPr>
          <w:spacing w:val="-3"/>
        </w:rPr>
        <w:t>订立本合同时，我们应向您说明本合同的内容。</w:t>
      </w:r>
    </w:p>
    <w:p>
      <w:pPr>
        <w:spacing w:after="0"/>
        <w:sectPr>
          <w:pgSz w:w="11910" w:h="16840"/>
          <w:pgMar w:header="0" w:footer="1005" w:top="1460" w:bottom="1200" w:left="1680" w:right="1580"/>
        </w:sectPr>
      </w:pPr>
    </w:p>
    <w:p>
      <w:pPr>
        <w:pStyle w:val="BodyText"/>
        <w:spacing w:line="417" w:lineRule="auto" w:before="61"/>
        <w:ind w:left="120" w:right="2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spacing w:line="417" w:lineRule="auto" w:before="0"/>
        <w:ind w:left="540" w:right="214" w:firstLine="0"/>
        <w:jc w:val="left"/>
        <w:rPr>
          <w:b/>
          <w:sz w:val="21"/>
        </w:rPr>
      </w:pPr>
      <w:r>
        <w:rPr>
          <w:b/>
          <w:spacing w:val="-2"/>
          <w:sz w:val="21"/>
        </w:rPr>
        <w:t>订立本合同或复效时，我们就您和被保险人的有关情况提出询问，您应当如实告知。</w:t>
      </w:r>
      <w:r>
        <w:rPr>
          <w:b/>
          <w:spacing w:val="-2"/>
          <w:sz w:val="21"/>
        </w:rPr>
        <w:t>如果您故意或者因重大过失未履行前款规定的如实告知义务，足以影响我们决定是否</w:t>
      </w:r>
    </w:p>
    <w:p>
      <w:pPr>
        <w:spacing w:line="269" w:lineRule="exact" w:before="0"/>
        <w:ind w:left="120" w:right="0" w:firstLine="0"/>
        <w:jc w:val="left"/>
        <w:rPr>
          <w:b/>
          <w:sz w:val="21"/>
        </w:rPr>
      </w:pPr>
      <w:r>
        <w:rPr>
          <w:b/>
          <w:spacing w:val="-3"/>
          <w:sz w:val="21"/>
        </w:rPr>
        <w:t>同意承保或者提高保险费率的，我们有权解除本合同。</w:t>
      </w:r>
    </w:p>
    <w:p>
      <w:pPr>
        <w:pStyle w:val="BodyText"/>
        <w:spacing w:before="6"/>
        <w:rPr>
          <w:b/>
          <w:sz w:val="15"/>
        </w:rPr>
      </w:pPr>
    </w:p>
    <w:p>
      <w:pPr>
        <w:spacing w:line="417" w:lineRule="auto" w:before="1"/>
        <w:ind w:left="120" w:right="217" w:firstLine="419"/>
        <w:jc w:val="left"/>
        <w:rPr>
          <w:b/>
          <w:sz w:val="21"/>
        </w:rPr>
      </w:pPr>
      <w:r>
        <w:rPr>
          <w:b/>
          <w:spacing w:val="-9"/>
          <w:sz w:val="21"/>
        </w:rPr>
        <w:t>如果您故意不履行如实告知义务，对于本合同解除前发生的保险事故，我们不承担给付</w:t>
      </w:r>
      <w:r>
        <w:rPr>
          <w:b/>
          <w:spacing w:val="-2"/>
          <w:sz w:val="21"/>
        </w:rPr>
        <w:t>保险金的责任，并不退还保险费。</w:t>
      </w:r>
    </w:p>
    <w:p>
      <w:pPr>
        <w:spacing w:line="417" w:lineRule="auto" w:before="0"/>
        <w:ind w:left="120" w:right="217" w:firstLine="419"/>
        <w:jc w:val="both"/>
        <w:rPr>
          <w:b/>
          <w:sz w:val="21"/>
        </w:rPr>
      </w:pPr>
      <w:r>
        <w:rPr>
          <w:b/>
          <w:spacing w:val="-8"/>
          <w:sz w:val="21"/>
        </w:rPr>
        <w:t>如果您因重大过失未履行如实告知义务，对保险事故的发生有严重影响的，对于本合同</w:t>
      </w:r>
      <w:r>
        <w:rPr>
          <w:b/>
          <w:spacing w:val="-2"/>
          <w:sz w:val="21"/>
        </w:rPr>
        <w:t>解除前发生的保险事故，我们不承担给付保险金的责任，但应当无息退还您已缴纳的保险</w:t>
      </w:r>
      <w:r>
        <w:rPr>
          <w:b/>
          <w:spacing w:val="-6"/>
          <w:sz w:val="21"/>
        </w:rPr>
        <w:t>费。</w:t>
      </w:r>
    </w:p>
    <w:p>
      <w:pPr>
        <w:pStyle w:val="BodyText"/>
        <w:spacing w:line="417" w:lineRule="auto"/>
        <w:ind w:left="120" w:right="211" w:firstLine="419"/>
      </w:pPr>
      <w:r>
        <w:rPr>
          <w:spacing w:val="-4"/>
        </w:rPr>
        <w:t>我们在合同订立或复效时已经知道您未如实告知的情况的，我们不得解除合同；发生保</w:t>
      </w:r>
      <w:r>
        <w:rPr>
          <w:spacing w:val="-2"/>
        </w:rPr>
        <w:t>险事故的，我们承担给付保险金的责任。</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2" w:id="41"/>
      <w:bookmarkEnd w:id="41"/>
      <w:r>
        <w:rPr>
          <w:b w:val="0"/>
        </w:rPr>
      </w:r>
      <w:bookmarkStart w:name="_bookmark22" w:id="42"/>
      <w:bookmarkEnd w:id="42"/>
      <w:r>
        <w:rPr>
          <w:spacing w:val="-3"/>
        </w:rPr>
        <w:t>我们行使合同解除权的限制</w:t>
      </w:r>
    </w:p>
    <w:p>
      <w:pPr>
        <w:pStyle w:val="BodyText"/>
        <w:spacing w:before="6"/>
        <w:rPr>
          <w:b/>
          <w:sz w:val="15"/>
        </w:rPr>
      </w:pPr>
    </w:p>
    <w:p>
      <w:pPr>
        <w:pStyle w:val="BodyText"/>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before="1"/>
        <w:ind w:left="120" w:right="2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3" w:id="43"/>
      <w:bookmarkEnd w:id="43"/>
      <w:r>
        <w:rPr>
          <w:b w:val="0"/>
        </w:rPr>
      </w:r>
      <w:bookmarkStart w:name="_bookmark23" w:id="44"/>
      <w:bookmarkEnd w:id="44"/>
      <w:r>
        <w:rPr>
          <w:spacing w:val="-2"/>
        </w:rPr>
        <w:t>年龄性别错误处理</w:t>
      </w:r>
    </w:p>
    <w:p>
      <w:pPr>
        <w:pStyle w:val="BodyText"/>
        <w:spacing w:before="7"/>
        <w:rPr>
          <w:b/>
          <w:sz w:val="15"/>
        </w:rPr>
      </w:pPr>
    </w:p>
    <w:p>
      <w:pPr>
        <w:pStyle w:val="BodyText"/>
        <w:spacing w:line="417" w:lineRule="auto"/>
        <w:ind w:left="120" w:right="2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7"/>
        </w:numPr>
        <w:tabs>
          <w:tab w:pos="1165" w:val="left" w:leader="none"/>
        </w:tabs>
        <w:spacing w:line="417" w:lineRule="auto" w:before="0" w:after="0"/>
        <w:ind w:left="1164" w:right="111" w:hanging="624"/>
        <w:jc w:val="left"/>
        <w:rPr>
          <w:b/>
          <w:sz w:val="21"/>
        </w:rPr>
      </w:pPr>
      <w:r>
        <w:rPr>
          <w:b/>
          <w:spacing w:val="2"/>
          <w:w w:val="100"/>
          <w:sz w:val="21"/>
        </w:rPr>
        <w:t>您申报的被保险人年龄不真实，并且其真实年龄不符合本合同约定投保年龄限</w:t>
      </w:r>
      <w:r>
        <w:rPr>
          <w:b/>
          <w:spacing w:val="-11"/>
          <w:w w:val="100"/>
          <w:sz w:val="21"/>
        </w:rPr>
        <w:t>制的，我们有权解除本合同。对于解除本合同的，本合同自解除之日起终止，我</w:t>
      </w:r>
      <w:r>
        <w:rPr>
          <w:b/>
          <w:spacing w:val="-12"/>
          <w:w w:val="100"/>
          <w:sz w:val="21"/>
        </w:rPr>
        <w:t>们向您退还本合同终止时保单的现金价值。对于本合同解除前发生的保险事故，</w:t>
      </w:r>
      <w:r>
        <w:rPr>
          <w:b/>
          <w:spacing w:val="-2"/>
          <w:w w:val="100"/>
          <w:sz w:val="21"/>
        </w:rPr>
        <w:t>我们不承担给付保险金的责任。我们行使合同解除权适用</w:t>
      </w:r>
      <w:r>
        <w:rPr>
          <w:rFonts w:ascii="Calibri" w:hAnsi="Calibri" w:eastAsia="Calibri"/>
          <w:b/>
          <w:spacing w:val="-4"/>
          <w:w w:val="100"/>
          <w:sz w:val="21"/>
        </w:rPr>
        <w:t>“</w:t>
      </w:r>
      <w:r>
        <w:rPr>
          <w:b/>
          <w:spacing w:val="-1"/>
          <w:w w:val="100"/>
          <w:sz w:val="21"/>
        </w:rPr>
        <w:t>我们行使合同解除权</w:t>
      </w:r>
      <w:r>
        <w:rPr>
          <w:b/>
          <w:w w:val="100"/>
          <w:sz w:val="21"/>
        </w:rPr>
        <w:t>的限制</w:t>
      </w:r>
      <w:r>
        <w:rPr>
          <w:rFonts w:ascii="Calibri" w:hAnsi="Calibri" w:eastAsia="Calibri"/>
          <w:b/>
          <w:spacing w:val="-4"/>
          <w:w w:val="100"/>
          <w:sz w:val="21"/>
        </w:rPr>
        <w:t>”</w:t>
      </w:r>
      <w:r>
        <w:rPr>
          <w:b/>
          <w:w w:val="100"/>
          <w:sz w:val="21"/>
        </w:rPr>
        <w:t>的规定。</w:t>
      </w:r>
    </w:p>
    <w:p>
      <w:pPr>
        <w:pStyle w:val="ListParagraph"/>
        <w:numPr>
          <w:ilvl w:val="0"/>
          <w:numId w:val="7"/>
        </w:numPr>
        <w:tabs>
          <w:tab w:pos="1165" w:val="left" w:leader="none"/>
        </w:tabs>
        <w:spacing w:line="417" w:lineRule="auto" w:before="0" w:after="0"/>
        <w:ind w:left="1164" w:right="111" w:hanging="624"/>
        <w:jc w:val="left"/>
        <w:rPr>
          <w:b/>
          <w:sz w:val="21"/>
        </w:rPr>
      </w:pPr>
      <w:r>
        <w:rPr>
          <w:b/>
          <w:spacing w:val="-2"/>
          <w:sz w:val="21"/>
        </w:rPr>
        <w:t>您申报的被保险人年龄或者性别不真实，致使您实交保险费少于应交保险费的，</w:t>
      </w:r>
      <w:r>
        <w:rPr>
          <w:b/>
          <w:spacing w:val="-8"/>
          <w:sz w:val="21"/>
        </w:rPr>
        <w:t>我们有权更正并要求您补交保险费。若已经发生保险事故，在给付保险金时按实</w:t>
      </w:r>
      <w:r>
        <w:rPr>
          <w:b/>
          <w:spacing w:val="-2"/>
          <w:sz w:val="21"/>
        </w:rPr>
        <w:t>交保险费和应交保险费的比例给付。</w:t>
      </w:r>
    </w:p>
    <w:p>
      <w:pPr>
        <w:spacing w:after="0" w:line="417" w:lineRule="auto"/>
        <w:jc w:val="left"/>
        <w:rPr>
          <w:sz w:val="21"/>
        </w:rPr>
        <w:sectPr>
          <w:pgSz w:w="11910" w:h="16840"/>
          <w:pgMar w:header="0" w:footer="1005" w:top="1460" w:bottom="1200" w:left="1680" w:right="1580"/>
        </w:sectPr>
      </w:pPr>
    </w:p>
    <w:p>
      <w:pPr>
        <w:pStyle w:val="ListParagraph"/>
        <w:numPr>
          <w:ilvl w:val="0"/>
          <w:numId w:val="7"/>
        </w:numPr>
        <w:tabs>
          <w:tab w:pos="1165" w:val="left" w:leader="none"/>
        </w:tabs>
        <w:spacing w:line="417" w:lineRule="auto" w:before="61" w:after="0"/>
        <w:ind w:left="1164" w:right="111" w:hanging="624"/>
        <w:jc w:val="left"/>
        <w:rPr>
          <w:b/>
          <w:sz w:val="21"/>
        </w:rPr>
      </w:pPr>
      <w:r>
        <w:rPr>
          <w:b/>
          <w:spacing w:val="-2"/>
          <w:sz w:val="21"/>
        </w:rPr>
        <w:t>您申报的被保险人年龄或者性别不真实，致使您实交保险费多于应交保险费的，</w:t>
      </w:r>
      <w:r>
        <w:rPr>
          <w:b/>
          <w:spacing w:val="-2"/>
          <w:sz w:val="21"/>
        </w:rPr>
        <w:t>我们向您无息退还多收的保险费。</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24" w:id="45"/>
      <w:bookmarkEnd w:id="45"/>
      <w:r>
        <w:rPr>
          <w:b w:val="0"/>
        </w:rPr>
      </w:r>
      <w:bookmarkStart w:name="_bookmark24" w:id="46"/>
      <w:bookmarkEnd w:id="46"/>
      <w:r>
        <w:rPr>
          <w:spacing w:val="-2"/>
        </w:rPr>
        <w:t>联系方式变更</w:t>
      </w:r>
    </w:p>
    <w:p>
      <w:pPr>
        <w:pStyle w:val="BodyText"/>
        <w:spacing w:before="6"/>
        <w:rPr>
          <w:b/>
          <w:sz w:val="15"/>
        </w:rPr>
      </w:pPr>
    </w:p>
    <w:p>
      <w:pPr>
        <w:pStyle w:val="BodyText"/>
        <w:spacing w:line="417" w:lineRule="auto"/>
        <w:ind w:left="120" w:right="211" w:firstLine="419"/>
        <w:jc w:val="both"/>
      </w:pPr>
      <w:r>
        <w:rPr>
          <w:spacing w:val="-4"/>
        </w:rPr>
        <w:t>为了保障您的合法权益，您的住所、通讯地址、电话或电子邮件等联系方式变更时，请</w:t>
      </w:r>
      <w:r>
        <w:rPr>
          <w:spacing w:val="-7"/>
        </w:rPr>
        <w:t>及时以书面形式或者双方认可的其他形式通知我们。若您未以书面形式或双方认可的其他形</w:t>
      </w:r>
      <w:r>
        <w:rPr>
          <w:spacing w:val="-4"/>
        </w:rPr>
        <w:t>式通知我们，则我们按本合同载明的或我们以其他方式记录的您的最后住所、通讯地址、电</w:t>
      </w:r>
      <w:r>
        <w:rPr>
          <w:spacing w:val="-2"/>
        </w:rPr>
        <w:t>话或电子邮件等发送的有关通知，均视为已送达给您。</w:t>
      </w:r>
    </w:p>
    <w:p>
      <w:pPr>
        <w:pStyle w:val="Heading2"/>
        <w:spacing w:line="417" w:lineRule="auto"/>
        <w:ind w:left="120" w:right="216" w:firstLine="422"/>
      </w:pPr>
      <w:r>
        <w:rPr>
          <w:spacing w:val="-2"/>
        </w:rPr>
        <w:t>如果因您未能及时通知，而使您未能接受我们的服务，或我们无法提供给您相应的服</w:t>
      </w:r>
      <w:r>
        <w:rPr>
          <w:spacing w:val="-2"/>
        </w:rPr>
        <w:t>务，由此导致的后果和损失，由您本人承担。</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5" w:id="47"/>
      <w:bookmarkEnd w:id="47"/>
      <w:r>
        <w:rPr>
          <w:b w:val="0"/>
        </w:rPr>
      </w:r>
      <w:bookmarkStart w:name="_bookmark25" w:id="48"/>
      <w:bookmarkEnd w:id="48"/>
      <w:r>
        <w:rPr>
          <w:spacing w:val="-2"/>
        </w:rPr>
        <w:t>本合同内容变更</w:t>
      </w:r>
    </w:p>
    <w:p>
      <w:pPr>
        <w:pStyle w:val="BodyText"/>
        <w:spacing w:before="6"/>
        <w:rPr>
          <w:b/>
          <w:sz w:val="15"/>
        </w:rPr>
      </w:pPr>
    </w:p>
    <w:p>
      <w:pPr>
        <w:pStyle w:val="BodyText"/>
        <w:spacing w:line="417" w:lineRule="auto" w:before="1"/>
        <w:ind w:left="120" w:right="108"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pStyle w:val="BodyText"/>
        <w:spacing w:before="6"/>
        <w:rPr>
          <w:sz w:val="15"/>
        </w:rPr>
      </w:pPr>
    </w:p>
    <w:p>
      <w:pPr>
        <w:pStyle w:val="BodyText"/>
        <w:spacing w:line="417" w:lineRule="auto"/>
        <w:ind w:left="540" w:right="1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ind w:left="120"/>
      </w:pPr>
      <w:r>
        <w:rPr>
          <w:spacing w:val="-3"/>
        </w:rPr>
        <w:t>亡的，我们不再变更任何合同内容。</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5" w:after="0"/>
        <w:ind w:left="480" w:right="0" w:hanging="361"/>
        <w:jc w:val="left"/>
        <w:rPr>
          <w:rFonts w:ascii="Calibri" w:eastAsia="Calibri"/>
        </w:rPr>
      </w:pPr>
      <w:bookmarkStart w:name="_bookmark26" w:id="49"/>
      <w:bookmarkEnd w:id="49"/>
      <w:r>
        <w:rPr>
          <w:b w:val="0"/>
        </w:rPr>
      </w:r>
      <w:bookmarkStart w:name="_bookmark26" w:id="50"/>
      <w:bookmarkEnd w:id="50"/>
      <w:r>
        <w:rPr>
          <w:spacing w:val="-3"/>
        </w:rPr>
        <w:t>本合同效力的中止及恢复</w:t>
      </w:r>
    </w:p>
    <w:p>
      <w:pPr>
        <w:pStyle w:val="BodyText"/>
        <w:spacing w:before="6"/>
        <w:rPr>
          <w:b/>
          <w:sz w:val="15"/>
        </w:rPr>
      </w:pPr>
    </w:p>
    <w:p>
      <w:pPr>
        <w:spacing w:before="1"/>
        <w:ind w:left="542" w:right="0" w:firstLine="0"/>
        <w:jc w:val="left"/>
        <w:rPr>
          <w:b/>
          <w:sz w:val="21"/>
        </w:rPr>
      </w:pPr>
      <w:r>
        <w:rPr>
          <w:b/>
          <w:spacing w:val="-3"/>
          <w:sz w:val="21"/>
        </w:rPr>
        <w:t>在本合同效力中止期间，我们不承担保险责任。</w:t>
      </w:r>
    </w:p>
    <w:p>
      <w:pPr>
        <w:pStyle w:val="BodyText"/>
        <w:spacing w:before="6"/>
        <w:rPr>
          <w:b/>
          <w:sz w:val="15"/>
        </w:rPr>
      </w:pPr>
    </w:p>
    <w:p>
      <w:pPr>
        <w:pStyle w:val="BodyText"/>
        <w:spacing w:line="417" w:lineRule="auto"/>
        <w:ind w:left="120" w:right="216"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年内，您可以申请恢复合同效力。您提出恢复效力申请的，除被保</w:t>
      </w:r>
      <w:r>
        <w:rPr>
          <w:spacing w:val="-2"/>
        </w:rPr>
        <w:t>险人的危险程度在中止期间显著增加外，本合同自您补交保险费之日恢复效力。</w:t>
      </w:r>
    </w:p>
    <w:p>
      <w:pPr>
        <w:pStyle w:val="Heading2"/>
        <w:spacing w:line="417" w:lineRule="auto" w:before="1"/>
        <w:ind w:left="120" w:right="216" w:firstLine="422"/>
      </w:pPr>
      <w:r>
        <w:rPr>
          <w:spacing w:val="-3"/>
        </w:rPr>
        <w:t>自本合同效力中止之日起满 </w:t>
      </w:r>
      <w:r>
        <w:rPr>
          <w:rFonts w:ascii="Calibri" w:eastAsia="Calibri"/>
        </w:rPr>
        <w:t>2</w:t>
      </w:r>
      <w:r>
        <w:rPr>
          <w:rFonts w:ascii="Calibri" w:eastAsia="Calibri"/>
          <w:spacing w:val="29"/>
        </w:rPr>
        <w:t> </w:t>
      </w:r>
      <w:r>
        <w:rPr/>
        <w:t>年您和我们未达成协议的，我们有权解除合同。我们解</w:t>
      </w:r>
      <w:r>
        <w:rPr>
          <w:spacing w:val="-2"/>
        </w:rPr>
        <w:t>除合同的，向您无息退还本合同效力中止时保单的现金价值。</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27" w:id="51"/>
      <w:bookmarkEnd w:id="51"/>
      <w:r>
        <w:rPr>
          <w:b w:val="0"/>
        </w:rPr>
      </w:r>
      <w:bookmarkStart w:name="_bookmark27" w:id="52"/>
      <w:bookmarkEnd w:id="52"/>
      <w:r>
        <w:rPr>
          <w:spacing w:val="-2"/>
        </w:rPr>
        <w:t>本合同的解除</w:t>
      </w:r>
    </w:p>
    <w:p>
      <w:pPr>
        <w:pStyle w:val="BodyText"/>
        <w:spacing w:before="7"/>
        <w:rPr>
          <w:b/>
          <w:sz w:val="15"/>
        </w:rPr>
      </w:pPr>
    </w:p>
    <w:p>
      <w:pPr>
        <w:pStyle w:val="ListParagraph"/>
        <w:numPr>
          <w:ilvl w:val="1"/>
          <w:numId w:val="2"/>
        </w:numPr>
        <w:tabs>
          <w:tab w:pos="1114" w:val="left" w:leader="none"/>
        </w:tabs>
        <w:spacing w:line="417" w:lineRule="auto" w:before="0" w:after="0"/>
        <w:ind w:left="120" w:right="211" w:firstLine="419"/>
        <w:jc w:val="both"/>
        <w:rPr>
          <w:rFonts w:ascii="Calibri" w:eastAsia="Calibri"/>
          <w:sz w:val="21"/>
        </w:rPr>
      </w:pPr>
      <w:r>
        <w:rPr>
          <w:spacing w:val="-2"/>
          <w:sz w:val="21"/>
        </w:rPr>
        <w:t>在本合同规定的犹豫期后，您可以书面形式或我们认可的其他方式通知我们要求</w:t>
      </w:r>
      <w:r>
        <w:rPr>
          <w:spacing w:val="-9"/>
          <w:sz w:val="21"/>
        </w:rPr>
        <w:t>解除本合同并向我们退还相关合同文件，即退保。</w:t>
      </w:r>
      <w:r>
        <w:rPr>
          <w:b/>
          <w:spacing w:val="-2"/>
          <w:sz w:val="21"/>
        </w:rPr>
        <w:t>我们收到您以书面形式或我们认可的其他</w:t>
      </w:r>
      <w:r>
        <w:rPr>
          <w:b/>
          <w:spacing w:val="-2"/>
          <w:sz w:val="21"/>
        </w:rPr>
        <w:t>方式提出解除本合同申请通知当日，本合同解除，保险责任终止。</w:t>
      </w:r>
    </w:p>
    <w:p>
      <w:pPr>
        <w:spacing w:after="0" w:line="417" w:lineRule="auto"/>
        <w:jc w:val="both"/>
        <w:rPr>
          <w:rFonts w:ascii="Calibri" w:eastAsia="Calibri"/>
          <w:sz w:val="21"/>
        </w:rPr>
        <w:sectPr>
          <w:pgSz w:w="11910" w:h="16840"/>
          <w:pgMar w:header="0" w:footer="1005" w:top="1460" w:bottom="1200" w:left="1680" w:right="1580"/>
        </w:sectPr>
      </w:pPr>
    </w:p>
    <w:p>
      <w:pPr>
        <w:pStyle w:val="ListParagraph"/>
        <w:numPr>
          <w:ilvl w:val="1"/>
          <w:numId w:val="2"/>
        </w:numPr>
        <w:tabs>
          <w:tab w:pos="1113" w:val="left" w:leader="none"/>
          <w:tab w:pos="1114" w:val="left" w:leader="none"/>
        </w:tabs>
        <w:spacing w:line="240" w:lineRule="auto" w:before="61" w:after="0"/>
        <w:ind w:left="1114" w:right="0" w:hanging="574"/>
        <w:jc w:val="left"/>
        <w:rPr>
          <w:rFonts w:ascii="Calibri" w:eastAsia="Calibri"/>
          <w:sz w:val="21"/>
        </w:rPr>
      </w:pPr>
      <w:r>
        <w:rPr>
          <w:spacing w:val="-3"/>
          <w:sz w:val="21"/>
        </w:rPr>
        <w:t>您要求退保时，应向我们提供下列证明和资料：</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保险合同；</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6"/>
        <w:rPr>
          <w:sz w:val="15"/>
        </w:rPr>
      </w:pPr>
    </w:p>
    <w:p>
      <w:pPr>
        <w:pStyle w:val="ListParagraph"/>
        <w:numPr>
          <w:ilvl w:val="2"/>
          <w:numId w:val="2"/>
        </w:numPr>
        <w:tabs>
          <w:tab w:pos="1273" w:val="left" w:leader="none"/>
        </w:tabs>
        <w:spacing w:line="240" w:lineRule="auto" w:before="1" w:after="0"/>
        <w:ind w:left="1272" w:right="0" w:hanging="625"/>
        <w:jc w:val="left"/>
        <w:rPr>
          <w:sz w:val="21"/>
        </w:rPr>
      </w:pPr>
      <w:r>
        <w:rPr>
          <w:spacing w:val="-3"/>
          <w:sz w:val="21"/>
        </w:rPr>
        <w:t>您的有效身份证件；</w:t>
      </w:r>
    </w:p>
    <w:p>
      <w:pPr>
        <w:pStyle w:val="BodyText"/>
        <w:spacing w:before="6"/>
        <w:rPr>
          <w:sz w:val="15"/>
        </w:rPr>
      </w:pPr>
    </w:p>
    <w:p>
      <w:pPr>
        <w:pStyle w:val="ListParagraph"/>
        <w:numPr>
          <w:ilvl w:val="2"/>
          <w:numId w:val="2"/>
        </w:numPr>
        <w:tabs>
          <w:tab w:pos="1273" w:val="left" w:leader="none"/>
        </w:tabs>
        <w:spacing w:line="417" w:lineRule="auto" w:before="0" w:after="0"/>
        <w:ind w:left="1272" w:right="216" w:hanging="624"/>
        <w:jc w:val="left"/>
        <w:rPr>
          <w:sz w:val="21"/>
        </w:rPr>
      </w:pPr>
      <w:r>
        <w:rPr>
          <w:spacing w:val="-2"/>
          <w:sz w:val="21"/>
        </w:rPr>
        <w:t>如果您委托他人代为申请时，还应提供授权委托书、受托人有效身份证件等相</w:t>
      </w:r>
      <w:r>
        <w:rPr>
          <w:spacing w:val="-2"/>
          <w:sz w:val="21"/>
        </w:rPr>
        <w:t>关证明文件；</w:t>
      </w:r>
    </w:p>
    <w:p>
      <w:pPr>
        <w:pStyle w:val="ListParagraph"/>
        <w:numPr>
          <w:ilvl w:val="2"/>
          <w:numId w:val="2"/>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BodyText"/>
        <w:spacing w:before="7"/>
        <w:rPr>
          <w:sz w:val="15"/>
        </w:rPr>
      </w:pPr>
    </w:p>
    <w:p>
      <w:pPr>
        <w:pStyle w:val="Heading2"/>
        <w:spacing w:line="417" w:lineRule="auto"/>
        <w:ind w:left="542" w:right="1143" w:firstLine="0"/>
      </w:pPr>
      <w:r>
        <w:rPr>
          <w:spacing w:val="-2"/>
        </w:rPr>
        <w:t>我们在收到上述证明资料后将向您无息退还本合同解除时的保单现金价值。</w:t>
      </w:r>
      <w:r>
        <w:rPr>
          <w:spacing w:val="-2"/>
        </w:rPr>
        <w:t>您在犹豫期后解除合同会遭受一定损失。</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28" w:id="53"/>
      <w:bookmarkEnd w:id="53"/>
      <w:r>
        <w:rPr>
          <w:b w:val="0"/>
        </w:rPr>
      </w:r>
      <w:bookmarkStart w:name="_bookmark28" w:id="54"/>
      <w:bookmarkEnd w:id="54"/>
      <w:r>
        <w:rPr>
          <w:spacing w:val="-2"/>
        </w:rPr>
        <w:t>本合同的终止</w:t>
      </w:r>
    </w:p>
    <w:p>
      <w:pPr>
        <w:pStyle w:val="BodyText"/>
        <w:spacing w:before="7"/>
        <w:rPr>
          <w:b/>
          <w:sz w:val="15"/>
        </w:rPr>
      </w:pPr>
    </w:p>
    <w:p>
      <w:pPr>
        <w:pStyle w:val="BodyText"/>
        <w:ind w:left="540"/>
      </w:pPr>
      <w:r>
        <w:rPr>
          <w:spacing w:val="-3"/>
        </w:rPr>
        <w:t>发生下列情况之一时，本合同终止：</w:t>
      </w:r>
    </w:p>
    <w:p>
      <w:pPr>
        <w:pStyle w:val="BodyText"/>
        <w:spacing w:before="6"/>
        <w:rPr>
          <w:sz w:val="15"/>
        </w:rPr>
      </w:pPr>
    </w:p>
    <w:p>
      <w:pPr>
        <w:pStyle w:val="ListParagraph"/>
        <w:numPr>
          <w:ilvl w:val="0"/>
          <w:numId w:val="8"/>
        </w:numPr>
        <w:tabs>
          <w:tab w:pos="961" w:val="left" w:leader="none"/>
        </w:tabs>
        <w:spacing w:line="240" w:lineRule="auto" w:before="1" w:after="0"/>
        <w:ind w:left="960" w:right="0" w:hanging="558"/>
        <w:jc w:val="left"/>
        <w:rPr>
          <w:sz w:val="21"/>
        </w:rPr>
      </w:pPr>
      <w:r>
        <w:rPr>
          <w:spacing w:val="-3"/>
          <w:sz w:val="21"/>
        </w:rPr>
        <w:t>您于本合同有效期内向我们申请解除本合同的；</w:t>
      </w:r>
    </w:p>
    <w:p>
      <w:pPr>
        <w:pStyle w:val="BodyText"/>
        <w:spacing w:before="6"/>
        <w:rPr>
          <w:sz w:val="15"/>
        </w:rPr>
      </w:pPr>
    </w:p>
    <w:p>
      <w:pPr>
        <w:pStyle w:val="ListParagraph"/>
        <w:numPr>
          <w:ilvl w:val="0"/>
          <w:numId w:val="8"/>
        </w:numPr>
        <w:tabs>
          <w:tab w:pos="961" w:val="left" w:leader="none"/>
        </w:tabs>
        <w:spacing w:line="240" w:lineRule="auto" w:before="0" w:after="0"/>
        <w:ind w:left="960" w:right="0" w:hanging="558"/>
        <w:jc w:val="left"/>
        <w:rPr>
          <w:sz w:val="21"/>
        </w:rPr>
      </w:pPr>
      <w:r>
        <w:rPr>
          <w:spacing w:val="-3"/>
          <w:sz w:val="21"/>
        </w:rPr>
        <w:t>本合同约定的其他效力终止的情况。</w:t>
      </w:r>
    </w:p>
    <w:p>
      <w:pPr>
        <w:pStyle w:val="BodyText"/>
        <w:rPr>
          <w:sz w:val="22"/>
        </w:rPr>
      </w:pPr>
    </w:p>
    <w:p>
      <w:pPr>
        <w:pStyle w:val="BodyText"/>
        <w:spacing w:before="11"/>
        <w:rPr>
          <w:sz w:val="17"/>
        </w:rPr>
      </w:pPr>
    </w:p>
    <w:p>
      <w:pPr>
        <w:pStyle w:val="Heading2"/>
        <w:numPr>
          <w:ilvl w:val="0"/>
          <w:numId w:val="2"/>
        </w:numPr>
        <w:tabs>
          <w:tab w:pos="481" w:val="left" w:leader="none"/>
        </w:tabs>
        <w:spacing w:line="240" w:lineRule="auto" w:before="1" w:after="0"/>
        <w:ind w:left="480" w:right="0" w:hanging="361"/>
        <w:jc w:val="both"/>
        <w:rPr>
          <w:rFonts w:ascii="Calibri" w:eastAsia="Calibri"/>
        </w:rPr>
      </w:pPr>
      <w:bookmarkStart w:name="_bookmark29" w:id="55"/>
      <w:bookmarkEnd w:id="55"/>
      <w:r>
        <w:rPr>
          <w:b w:val="0"/>
        </w:rPr>
      </w:r>
      <w:bookmarkStart w:name="_bookmark29" w:id="56"/>
      <w:bookmarkEnd w:id="56"/>
      <w:r>
        <w:rPr>
          <w:spacing w:val="-3"/>
        </w:rPr>
        <w:t>诉讼时效</w:t>
      </w:r>
    </w:p>
    <w:p>
      <w:pPr>
        <w:pStyle w:val="BodyText"/>
        <w:spacing w:before="7"/>
        <w:rPr>
          <w:b/>
          <w:sz w:val="15"/>
        </w:rPr>
      </w:pPr>
    </w:p>
    <w:p>
      <w:pPr>
        <w:pStyle w:val="BodyText"/>
        <w:spacing w:line="417" w:lineRule="auto"/>
        <w:ind w:left="120" w:right="326" w:firstLine="419"/>
      </w:pPr>
      <w:r>
        <w:rPr>
          <w:spacing w:val="-3"/>
        </w:rPr>
        <w:t>受益人向我们请求给付保险金的诉讼时效期间为 </w:t>
      </w:r>
      <w:r>
        <w:rPr>
          <w:rFonts w:ascii="Calibri" w:eastAsia="Calibri"/>
        </w:rPr>
        <w:t>5</w:t>
      </w:r>
      <w:r>
        <w:rPr>
          <w:rFonts w:ascii="Calibri" w:eastAsia="Calibri"/>
          <w:spacing w:val="-12"/>
        </w:rPr>
        <w:t> </w:t>
      </w:r>
      <w:r>
        <w:rPr/>
        <w:t>年，自其知道或应当知道保险事故</w:t>
      </w:r>
      <w:r>
        <w:rPr>
          <w:spacing w:val="-2"/>
        </w:rPr>
        <w:t>发生之日起计算。</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30" w:id="57"/>
      <w:bookmarkEnd w:id="57"/>
      <w:r>
        <w:rPr>
          <w:b w:val="0"/>
        </w:rPr>
      </w:r>
      <w:bookmarkStart w:name="_bookmark30" w:id="58"/>
      <w:bookmarkEnd w:id="58"/>
      <w:r>
        <w:rPr>
          <w:spacing w:val="-3"/>
        </w:rPr>
        <w:t>伤残鉴定</w:t>
      </w:r>
    </w:p>
    <w:p>
      <w:pPr>
        <w:pStyle w:val="BodyText"/>
        <w:spacing w:before="7"/>
        <w:rPr>
          <w:b/>
          <w:sz w:val="15"/>
        </w:rPr>
      </w:pPr>
    </w:p>
    <w:p>
      <w:pPr>
        <w:spacing w:line="417" w:lineRule="auto" w:before="0"/>
        <w:ind w:left="120" w:right="214" w:firstLine="422"/>
        <w:jc w:val="both"/>
        <w:rPr>
          <w:b/>
          <w:sz w:val="21"/>
        </w:rPr>
      </w:pPr>
      <w:r>
        <w:rPr>
          <w:b/>
          <w:spacing w:val="-12"/>
          <w:sz w:val="21"/>
        </w:rPr>
        <w:t>若被保险人身体全残，应在治疗结束之后，由具备合法鉴定资格的鉴定机构进行鉴定。</w:t>
      </w:r>
      <w:r>
        <w:rPr>
          <w:b/>
          <w:spacing w:val="-1"/>
          <w:sz w:val="21"/>
        </w:rPr>
        <w:t>治疗尚未结束的，鉴定结果应以自被保险人发生意外伤害事故或疾病确诊之日起第 </w:t>
      </w:r>
      <w:r>
        <w:rPr>
          <w:rFonts w:ascii="Calibri" w:eastAsia="Calibri"/>
          <w:b/>
          <w:sz w:val="21"/>
        </w:rPr>
        <w:t>180</w:t>
      </w:r>
      <w:r>
        <w:rPr>
          <w:rFonts w:ascii="Calibri" w:eastAsia="Calibri"/>
          <w:b/>
          <w:spacing w:val="29"/>
          <w:sz w:val="21"/>
        </w:rPr>
        <w:t> </w:t>
      </w:r>
      <w:r>
        <w:rPr>
          <w:b/>
          <w:sz w:val="21"/>
        </w:rPr>
        <w:t>日</w:t>
      </w:r>
      <w:r>
        <w:rPr>
          <w:b/>
          <w:spacing w:val="-2"/>
          <w:sz w:val="21"/>
        </w:rPr>
        <w:t>的身体情况为准。</w:t>
      </w:r>
    </w:p>
    <w:p>
      <w:pPr>
        <w:pStyle w:val="BodyText"/>
        <w:spacing w:before="4"/>
        <w:rPr>
          <w:b/>
          <w:sz w:val="24"/>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1" w:id="59"/>
      <w:bookmarkEnd w:id="59"/>
      <w:r>
        <w:rPr>
          <w:b w:val="0"/>
        </w:rPr>
      </w:r>
      <w:bookmarkStart w:name="_bookmark31" w:id="60"/>
      <w:bookmarkEnd w:id="60"/>
      <w:r>
        <w:rPr>
          <w:spacing w:val="-2"/>
        </w:rPr>
        <w:t>客户信息保密</w:t>
      </w:r>
    </w:p>
    <w:p>
      <w:pPr>
        <w:pStyle w:val="BodyText"/>
        <w:spacing w:before="7"/>
        <w:rPr>
          <w:b/>
          <w:sz w:val="15"/>
        </w:rPr>
      </w:pPr>
    </w:p>
    <w:p>
      <w:pPr>
        <w:pStyle w:val="BodyText"/>
        <w:spacing w:line="417" w:lineRule="auto"/>
        <w:ind w:left="120" w:right="108"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9"/>
        </w:numPr>
        <w:tabs>
          <w:tab w:pos="1072" w:val="left" w:leader="none"/>
        </w:tabs>
        <w:spacing w:line="417" w:lineRule="auto" w:before="0" w:after="0"/>
        <w:ind w:left="120" w:right="213" w:firstLine="419"/>
        <w:jc w:val="left"/>
        <w:rPr>
          <w:sz w:val="21"/>
        </w:rPr>
      </w:pPr>
      <w:r>
        <w:rPr>
          <w:spacing w:val="-2"/>
          <w:sz w:val="21"/>
        </w:rPr>
        <w:t>侦查机关、国家安全机关、检察机关、监察机关、人民法院、仲裁机构等司法部</w:t>
      </w:r>
      <w:r>
        <w:rPr>
          <w:spacing w:val="-2"/>
          <w:sz w:val="21"/>
        </w:rPr>
        <w:t>门依法要求我们提供；</w:t>
      </w:r>
    </w:p>
    <w:p>
      <w:pPr>
        <w:pStyle w:val="ListParagraph"/>
        <w:numPr>
          <w:ilvl w:val="0"/>
          <w:numId w:val="9"/>
        </w:numPr>
        <w:tabs>
          <w:tab w:pos="1072" w:val="left" w:leader="none"/>
        </w:tabs>
        <w:spacing w:line="269" w:lineRule="exact" w:before="0" w:after="0"/>
        <w:ind w:left="1071" w:right="0" w:hanging="532"/>
        <w:jc w:val="left"/>
        <w:rPr>
          <w:sz w:val="21"/>
        </w:rPr>
      </w:pPr>
      <w:r>
        <w:rPr>
          <w:spacing w:val="-13"/>
          <w:sz w:val="21"/>
        </w:rPr>
        <w:t>中国人民银行、中国银行保险监管部门等政府部门依法或依职权要求我们报告的。</w:t>
      </w:r>
    </w:p>
    <w:p>
      <w:pPr>
        <w:spacing w:after="0" w:line="269" w:lineRule="exact"/>
        <w:jc w:val="left"/>
        <w:rPr>
          <w:sz w:val="21"/>
        </w:rPr>
        <w:sectPr>
          <w:pgSz w:w="11910" w:h="16840"/>
          <w:pgMar w:header="0" w:footer="1005" w:top="1460" w:bottom="1200" w:left="1680" w:right="1580"/>
        </w:sectPr>
      </w:pPr>
    </w:p>
    <w:p>
      <w:pPr>
        <w:pStyle w:val="BodyText"/>
        <w:spacing w:before="4"/>
        <w:rPr>
          <w:sz w:val="26"/>
        </w:rPr>
      </w:pPr>
    </w:p>
    <w:p>
      <w:pPr>
        <w:pStyle w:val="Heading2"/>
        <w:numPr>
          <w:ilvl w:val="0"/>
          <w:numId w:val="2"/>
        </w:numPr>
        <w:tabs>
          <w:tab w:pos="481" w:val="left" w:leader="none"/>
        </w:tabs>
        <w:spacing w:line="240" w:lineRule="auto" w:before="72" w:after="0"/>
        <w:ind w:left="480" w:right="0" w:hanging="361"/>
        <w:jc w:val="left"/>
        <w:rPr>
          <w:rFonts w:ascii="Calibri" w:eastAsia="Calibri"/>
        </w:rPr>
      </w:pPr>
      <w:bookmarkStart w:name="_bookmark32" w:id="61"/>
      <w:bookmarkEnd w:id="61"/>
      <w:r>
        <w:rPr>
          <w:b w:val="0"/>
        </w:rPr>
      </w:r>
      <w:bookmarkStart w:name="_bookmark32" w:id="62"/>
      <w:bookmarkEnd w:id="62"/>
      <w:r>
        <w:rPr>
          <w:spacing w:val="-3"/>
        </w:rPr>
        <w:t>司法鉴定</w:t>
      </w:r>
    </w:p>
    <w:p>
      <w:pPr>
        <w:pStyle w:val="BodyText"/>
        <w:spacing w:before="7"/>
        <w:rPr>
          <w:b/>
          <w:sz w:val="15"/>
        </w:rPr>
      </w:pPr>
    </w:p>
    <w:p>
      <w:pPr>
        <w:spacing w:line="417" w:lineRule="auto" w:before="0"/>
        <w:ind w:left="120" w:right="111" w:firstLine="422"/>
        <w:jc w:val="left"/>
        <w:rPr>
          <w:b/>
          <w:sz w:val="21"/>
        </w:rPr>
      </w:pPr>
      <w:r>
        <w:rPr>
          <w:b/>
          <w:spacing w:val="-2"/>
          <w:sz w:val="21"/>
        </w:rPr>
        <w:t>若被保险人发生身故或全残，在必要时我们可要求司法鉴定机构对被保险人进行鉴定，</w:t>
      </w:r>
      <w:r>
        <w:rPr>
          <w:b/>
          <w:spacing w:val="-2"/>
          <w:sz w:val="21"/>
        </w:rPr>
        <w:t>以确定被保险人发生身故或全残的原因。</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3" w:id="63"/>
      <w:bookmarkEnd w:id="63"/>
      <w:r>
        <w:rPr>
          <w:b w:val="0"/>
        </w:rPr>
      </w:r>
      <w:bookmarkStart w:name="_bookmark33" w:id="64"/>
      <w:bookmarkEnd w:id="64"/>
      <w:r>
        <w:rPr>
          <w:spacing w:val="-2"/>
        </w:rPr>
        <w:t>争议的处理</w:t>
      </w:r>
    </w:p>
    <w:p>
      <w:pPr>
        <w:pStyle w:val="BodyText"/>
        <w:spacing w:before="7"/>
        <w:rPr>
          <w:b/>
          <w:sz w:val="15"/>
        </w:rPr>
      </w:pPr>
    </w:p>
    <w:p>
      <w:pPr>
        <w:pStyle w:val="BodyText"/>
        <w:spacing w:line="417" w:lineRule="auto"/>
        <w:ind w:left="120" w:right="2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0"/>
        </w:numPr>
        <w:tabs>
          <w:tab w:pos="961" w:val="left" w:leader="none"/>
        </w:tabs>
        <w:spacing w:line="240" w:lineRule="auto" w:before="0" w:after="0"/>
        <w:ind w:left="960" w:right="0" w:hanging="558"/>
        <w:jc w:val="left"/>
        <w:rPr>
          <w:sz w:val="21"/>
        </w:rPr>
      </w:pPr>
      <w:r>
        <w:rPr>
          <w:spacing w:val="-3"/>
          <w:sz w:val="21"/>
        </w:rPr>
        <w:t>提交双方共同选择的仲裁委员会仲裁；</w:t>
      </w:r>
    </w:p>
    <w:p>
      <w:pPr>
        <w:pStyle w:val="BodyText"/>
        <w:spacing w:before="7"/>
        <w:rPr>
          <w:sz w:val="15"/>
        </w:rPr>
      </w:pPr>
    </w:p>
    <w:p>
      <w:pPr>
        <w:pStyle w:val="ListParagraph"/>
        <w:numPr>
          <w:ilvl w:val="0"/>
          <w:numId w:val="10"/>
        </w:numPr>
        <w:tabs>
          <w:tab w:pos="961" w:val="left" w:leader="none"/>
        </w:tabs>
        <w:spacing w:line="240" w:lineRule="auto" w:before="0" w:after="0"/>
        <w:ind w:left="960" w:right="0" w:hanging="553"/>
        <w:jc w:val="left"/>
        <w:rPr>
          <w:sz w:val="21"/>
        </w:rPr>
      </w:pPr>
      <w:r>
        <w:rPr>
          <w:spacing w:val="-3"/>
          <w:sz w:val="21"/>
        </w:rPr>
        <w:t>依法向人民法院提起诉讼。</w:t>
      </w:r>
    </w:p>
    <w:p>
      <w:pPr>
        <w:pStyle w:val="BodyText"/>
        <w:spacing w:before="7"/>
        <w:rPr>
          <w:sz w:val="15"/>
        </w:rPr>
      </w:pPr>
    </w:p>
    <w:p>
      <w:pPr>
        <w:pStyle w:val="BodyText"/>
        <w:spacing w:line="417" w:lineRule="auto"/>
        <w:ind w:left="120" w:right="2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BodyText"/>
        <w:spacing w:before="6"/>
        <w:rPr>
          <w:sz w:val="16"/>
        </w:rPr>
      </w:pPr>
    </w:p>
    <w:p>
      <w:pPr>
        <w:pStyle w:val="Heading2"/>
        <w:ind w:left="120" w:firstLine="0"/>
      </w:pPr>
      <w:bookmarkStart w:name="_bookmark34" w:id="65"/>
      <w:bookmarkEnd w:id="65"/>
      <w:r>
        <w:rPr>
          <w:b w:val="0"/>
        </w:rPr>
      </w:r>
      <w:r>
        <w:rPr>
          <w:spacing w:val="-5"/>
        </w:rPr>
        <w:t>释义</w:t>
      </w:r>
    </w:p>
    <w:p>
      <w:pPr>
        <w:pStyle w:val="BodyText"/>
        <w:spacing w:before="7"/>
        <w:rPr>
          <w:b/>
          <w:sz w:val="15"/>
        </w:rPr>
      </w:pPr>
    </w:p>
    <w:p>
      <w:pPr>
        <w:pStyle w:val="ListParagraph"/>
        <w:numPr>
          <w:ilvl w:val="0"/>
          <w:numId w:val="11"/>
        </w:numPr>
        <w:tabs>
          <w:tab w:pos="540" w:val="left" w:leader="none"/>
          <w:tab w:pos="541" w:val="left" w:leader="none"/>
        </w:tabs>
        <w:spacing w:line="417" w:lineRule="auto" w:before="0" w:after="0"/>
        <w:ind w:left="540" w:right="214" w:hanging="420"/>
        <w:jc w:val="left"/>
        <w:rPr>
          <w:sz w:val="21"/>
        </w:rPr>
      </w:pPr>
      <w:r>
        <w:rPr>
          <w:b/>
          <w:spacing w:val="-8"/>
          <w:sz w:val="21"/>
        </w:rPr>
        <w:t>周岁 </w:t>
      </w:r>
      <w:r>
        <w:rPr>
          <w:sz w:val="21"/>
        </w:rPr>
        <w:t>指按法定身份证明文件中记载的出生日期计算的年龄，自出生之日起为零周岁，</w:t>
      </w:r>
      <w:r>
        <w:rPr>
          <w:spacing w:val="-2"/>
          <w:sz w:val="21"/>
        </w:rPr>
        <w:t>每经过一年增加一岁，不足一年的不计。</w:t>
      </w:r>
    </w:p>
    <w:p>
      <w:pPr>
        <w:pStyle w:val="ListParagraph"/>
        <w:numPr>
          <w:ilvl w:val="0"/>
          <w:numId w:val="11"/>
        </w:numPr>
        <w:tabs>
          <w:tab w:pos="540" w:val="left" w:leader="none"/>
          <w:tab w:pos="541" w:val="left" w:leader="none"/>
        </w:tabs>
        <w:spacing w:line="417" w:lineRule="auto" w:before="0" w:after="0"/>
        <w:ind w:left="540" w:right="216" w:hanging="420"/>
        <w:jc w:val="left"/>
        <w:rPr>
          <w:sz w:val="21"/>
        </w:rPr>
      </w:pPr>
      <w:r>
        <w:rPr>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1"/>
        </w:numPr>
        <w:tabs>
          <w:tab w:pos="540" w:val="left" w:leader="none"/>
          <w:tab w:pos="541" w:val="left" w:leader="none"/>
        </w:tabs>
        <w:spacing w:line="417" w:lineRule="auto" w:before="0" w:after="0"/>
        <w:ind w:left="540" w:right="216" w:hanging="420"/>
        <w:jc w:val="left"/>
        <w:rPr>
          <w:sz w:val="21"/>
        </w:rPr>
      </w:pPr>
      <w:r>
        <w:rPr>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1"/>
        </w:numPr>
        <w:tabs>
          <w:tab w:pos="540" w:val="left" w:leader="none"/>
          <w:tab w:pos="541" w:val="left" w:leader="none"/>
        </w:tabs>
        <w:spacing w:line="417" w:lineRule="auto" w:before="0" w:after="0"/>
        <w:ind w:left="540" w:right="213" w:hanging="420"/>
        <w:jc w:val="left"/>
        <w:rPr>
          <w:sz w:val="21"/>
        </w:rPr>
      </w:pPr>
      <w:r>
        <w:rPr>
          <w:b/>
          <w:spacing w:val="-3"/>
          <w:sz w:val="21"/>
        </w:rPr>
        <w:t>保险费约定交纳日 </w:t>
      </w:r>
      <w:r>
        <w:rPr>
          <w:sz w:val="21"/>
        </w:rPr>
        <w:t>本合同生效日在每月、每季、每半年或每年（根据交费方式确定）</w:t>
      </w:r>
      <w:r>
        <w:rPr>
          <w:spacing w:val="-2"/>
          <w:sz w:val="21"/>
        </w:rPr>
        <w:t>的对应日。如果当月无对应的同一日，则以该月最后一日为对应日。</w:t>
      </w:r>
    </w:p>
    <w:p>
      <w:pPr>
        <w:pStyle w:val="ListParagraph"/>
        <w:numPr>
          <w:ilvl w:val="0"/>
          <w:numId w:val="11"/>
        </w:numPr>
        <w:tabs>
          <w:tab w:pos="540" w:val="left" w:leader="none"/>
          <w:tab w:pos="541" w:val="left" w:leader="none"/>
        </w:tabs>
        <w:spacing w:line="417" w:lineRule="auto" w:before="0" w:after="0"/>
        <w:ind w:left="540" w:right="216" w:hanging="420"/>
        <w:jc w:val="left"/>
        <w:rPr>
          <w:sz w:val="21"/>
        </w:rPr>
      </w:pPr>
      <w:r>
        <w:rPr>
          <w:b/>
          <w:spacing w:val="-6"/>
          <w:sz w:val="21"/>
        </w:rPr>
        <w:t>意外伤害 </w:t>
      </w:r>
      <w:r>
        <w:rPr>
          <w:sz w:val="21"/>
        </w:rPr>
        <w:t>指外来的、突然的、非本意的、非疾病的使被保险人身体受到伤害的客观事</w:t>
      </w:r>
      <w:r>
        <w:rPr>
          <w:spacing w:val="-6"/>
          <w:sz w:val="21"/>
        </w:rPr>
        <w:t>件。</w:t>
      </w:r>
    </w:p>
    <w:p>
      <w:pPr>
        <w:pStyle w:val="Heading2"/>
        <w:ind w:left="540" w:firstLine="0"/>
      </w:pPr>
      <w:r>
        <w:rPr>
          <w:spacing w:val="-3"/>
        </w:rPr>
        <w:t>本合同约定的意外伤害不包括猝死。</w:t>
      </w:r>
    </w:p>
    <w:p>
      <w:pPr>
        <w:pStyle w:val="BodyText"/>
        <w:spacing w:before="6"/>
        <w:rPr>
          <w:b/>
          <w:sz w:val="15"/>
        </w:rPr>
      </w:pPr>
    </w:p>
    <w:p>
      <w:pPr>
        <w:pStyle w:val="BodyText"/>
        <w:spacing w:line="417" w:lineRule="auto"/>
        <w:ind w:left="540" w:right="211"/>
        <w:jc w:val="both"/>
      </w:pPr>
      <w:r>
        <w:rPr>
          <w:spacing w:val="-3"/>
        </w:rPr>
        <w:t>猝死是指貌似健康的人因潜在疾病、机能障碍或其他自身内在病理原因在出现症状后 </w:t>
      </w:r>
      <w:r>
        <w:rPr>
          <w:rFonts w:ascii="Calibri" w:eastAsia="Calibri"/>
          <w:spacing w:val="-2"/>
        </w:rPr>
        <w:t>6</w:t>
      </w:r>
      <w:r>
        <w:rPr>
          <w:spacing w:val="-4"/>
        </w:rPr>
        <w:t>小时内发生的非外力性突然死亡，或者未出现症状即刻死亡，没有任何与死亡直接相关</w:t>
      </w:r>
      <w:r>
        <w:rPr>
          <w:spacing w:val="-20"/>
        </w:rPr>
        <w:t>的身体内外部损伤证据。猝死的认定，如有司法机关的法律文件、医疗机构的诊断书等，</w:t>
      </w:r>
      <w:r>
        <w:rPr>
          <w:spacing w:val="-2"/>
        </w:rPr>
        <w:t>则以上述法律文件、诊断书等为准。</w:t>
      </w:r>
    </w:p>
    <w:p>
      <w:pPr>
        <w:pStyle w:val="ListParagraph"/>
        <w:numPr>
          <w:ilvl w:val="0"/>
          <w:numId w:val="11"/>
        </w:numPr>
        <w:tabs>
          <w:tab w:pos="541" w:val="left" w:leader="none"/>
        </w:tabs>
        <w:spacing w:line="268" w:lineRule="exact" w:before="0" w:after="0"/>
        <w:ind w:left="540" w:right="0" w:hanging="421"/>
        <w:jc w:val="both"/>
        <w:rPr>
          <w:sz w:val="21"/>
        </w:rPr>
      </w:pPr>
      <w:r>
        <w:rPr>
          <w:b/>
          <w:spacing w:val="-8"/>
          <w:sz w:val="21"/>
        </w:rPr>
        <w:t>全残 </w:t>
      </w:r>
      <w:r>
        <w:rPr>
          <w:spacing w:val="-1"/>
          <w:sz w:val="21"/>
        </w:rPr>
        <w:t>指具有下列情况之一项或多项者：</w:t>
      </w:r>
    </w:p>
    <w:p>
      <w:pPr>
        <w:spacing w:after="0" w:line="268" w:lineRule="exact"/>
        <w:jc w:val="both"/>
        <w:rPr>
          <w:sz w:val="21"/>
        </w:rPr>
        <w:sectPr>
          <w:pgSz w:w="11910" w:h="16840"/>
          <w:pgMar w:header="0" w:footer="1005" w:top="1580" w:bottom="1200" w:left="1680" w:right="1580"/>
        </w:sectPr>
      </w:pPr>
    </w:p>
    <w:p>
      <w:pPr>
        <w:pStyle w:val="ListParagraph"/>
        <w:numPr>
          <w:ilvl w:val="1"/>
          <w:numId w:val="11"/>
        </w:numPr>
        <w:tabs>
          <w:tab w:pos="961" w:val="left" w:leader="none"/>
        </w:tabs>
        <w:spacing w:line="240" w:lineRule="auto" w:before="61" w:after="0"/>
        <w:ind w:left="960" w:right="0" w:hanging="558"/>
        <w:jc w:val="left"/>
        <w:rPr>
          <w:sz w:val="21"/>
        </w:rPr>
      </w:pPr>
      <w:r>
        <w:rPr>
          <w:spacing w:val="-2"/>
          <w:sz w:val="21"/>
        </w:rPr>
        <w:t>双目永久完全失明的（</w:t>
      </w:r>
      <w:r>
        <w:rPr>
          <w:spacing w:val="-26"/>
          <w:sz w:val="21"/>
        </w:rPr>
        <w:t>注 </w:t>
      </w:r>
      <w:r>
        <w:rPr>
          <w:rFonts w:ascii="Calibri" w:eastAsia="Calibri"/>
          <w:spacing w:val="-5"/>
          <w:sz w:val="21"/>
        </w:rPr>
        <w:t>1</w:t>
      </w:r>
      <w:r>
        <w:rPr>
          <w:spacing w:val="-111"/>
          <w:sz w:val="21"/>
        </w:rPr>
        <w:t>）；</w:t>
      </w:r>
    </w:p>
    <w:p>
      <w:pPr>
        <w:pStyle w:val="BodyText"/>
        <w:spacing w:before="7"/>
        <w:rPr>
          <w:sz w:val="15"/>
        </w:rPr>
      </w:pPr>
    </w:p>
    <w:p>
      <w:pPr>
        <w:pStyle w:val="ListParagraph"/>
        <w:numPr>
          <w:ilvl w:val="1"/>
          <w:numId w:val="11"/>
        </w:numPr>
        <w:tabs>
          <w:tab w:pos="961" w:val="left" w:leader="none"/>
        </w:tabs>
        <w:spacing w:line="240" w:lineRule="auto" w:before="0" w:after="0"/>
        <w:ind w:left="960" w:right="0" w:hanging="558"/>
        <w:jc w:val="left"/>
        <w:rPr>
          <w:sz w:val="21"/>
        </w:rPr>
      </w:pPr>
      <w:r>
        <w:rPr>
          <w:spacing w:val="-2"/>
          <w:sz w:val="21"/>
        </w:rPr>
        <w:t>两上肢腕关节以上（远端）或两下肢踝关节以上（远端）</w:t>
      </w:r>
      <w:r>
        <w:rPr>
          <w:spacing w:val="-4"/>
          <w:sz w:val="21"/>
        </w:rPr>
        <w:t>缺失的；</w:t>
      </w:r>
    </w:p>
    <w:p>
      <w:pPr>
        <w:pStyle w:val="BodyText"/>
        <w:spacing w:before="7"/>
        <w:rPr>
          <w:sz w:val="15"/>
        </w:rPr>
      </w:pPr>
    </w:p>
    <w:p>
      <w:pPr>
        <w:pStyle w:val="ListParagraph"/>
        <w:numPr>
          <w:ilvl w:val="1"/>
          <w:numId w:val="11"/>
        </w:numPr>
        <w:tabs>
          <w:tab w:pos="961" w:val="left" w:leader="none"/>
        </w:tabs>
        <w:spacing w:line="240" w:lineRule="auto" w:before="0" w:after="0"/>
        <w:ind w:left="960" w:right="0" w:hanging="558"/>
        <w:jc w:val="left"/>
        <w:rPr>
          <w:sz w:val="21"/>
        </w:rPr>
      </w:pPr>
      <w:r>
        <w:rPr>
          <w:spacing w:val="-2"/>
          <w:sz w:val="21"/>
        </w:rPr>
        <w:t>一上肢腕关节以上（远端）及一下肢踝关节以上（远端）</w:t>
      </w:r>
      <w:r>
        <w:rPr>
          <w:spacing w:val="-4"/>
          <w:sz w:val="21"/>
        </w:rPr>
        <w:t>缺失的；</w:t>
      </w:r>
    </w:p>
    <w:p>
      <w:pPr>
        <w:pStyle w:val="BodyText"/>
        <w:spacing w:before="6"/>
        <w:rPr>
          <w:sz w:val="15"/>
        </w:rPr>
      </w:pPr>
    </w:p>
    <w:p>
      <w:pPr>
        <w:pStyle w:val="ListParagraph"/>
        <w:numPr>
          <w:ilvl w:val="1"/>
          <w:numId w:val="11"/>
        </w:numPr>
        <w:tabs>
          <w:tab w:pos="961" w:val="left" w:leader="none"/>
        </w:tabs>
        <w:spacing w:line="240" w:lineRule="auto" w:before="1" w:after="0"/>
        <w:ind w:left="960" w:right="0" w:hanging="558"/>
        <w:jc w:val="left"/>
        <w:rPr>
          <w:sz w:val="21"/>
        </w:rPr>
      </w:pPr>
      <w:r>
        <w:rPr>
          <w:spacing w:val="-2"/>
          <w:sz w:val="21"/>
        </w:rPr>
        <w:t>一目永久完全失明及一上肢腕关节以上（远端）</w:t>
      </w:r>
      <w:r>
        <w:rPr>
          <w:spacing w:val="-4"/>
          <w:sz w:val="21"/>
        </w:rPr>
        <w:t>缺失的；</w:t>
      </w:r>
    </w:p>
    <w:p>
      <w:pPr>
        <w:pStyle w:val="BodyText"/>
        <w:spacing w:before="6"/>
        <w:rPr>
          <w:sz w:val="15"/>
        </w:rPr>
      </w:pPr>
    </w:p>
    <w:p>
      <w:pPr>
        <w:pStyle w:val="ListParagraph"/>
        <w:numPr>
          <w:ilvl w:val="1"/>
          <w:numId w:val="11"/>
        </w:numPr>
        <w:tabs>
          <w:tab w:pos="961" w:val="left" w:leader="none"/>
        </w:tabs>
        <w:spacing w:line="240" w:lineRule="auto" w:before="0" w:after="0"/>
        <w:ind w:left="960" w:right="0" w:hanging="558"/>
        <w:jc w:val="left"/>
        <w:rPr>
          <w:sz w:val="21"/>
        </w:rPr>
      </w:pPr>
      <w:r>
        <w:rPr>
          <w:spacing w:val="-2"/>
          <w:sz w:val="21"/>
        </w:rPr>
        <w:t>一目永久完全失明及一下肢踝关节以上（远端）</w:t>
      </w:r>
      <w:r>
        <w:rPr>
          <w:spacing w:val="-4"/>
          <w:sz w:val="21"/>
        </w:rPr>
        <w:t>缺失的；</w:t>
      </w:r>
    </w:p>
    <w:p>
      <w:pPr>
        <w:pStyle w:val="BodyText"/>
        <w:spacing w:before="7"/>
        <w:rPr>
          <w:sz w:val="15"/>
        </w:rPr>
      </w:pPr>
    </w:p>
    <w:p>
      <w:pPr>
        <w:pStyle w:val="ListParagraph"/>
        <w:numPr>
          <w:ilvl w:val="1"/>
          <w:numId w:val="11"/>
        </w:numPr>
        <w:tabs>
          <w:tab w:pos="961" w:val="left" w:leader="none"/>
        </w:tabs>
        <w:spacing w:line="240" w:lineRule="auto" w:before="0" w:after="0"/>
        <w:ind w:left="960" w:right="0" w:hanging="558"/>
        <w:jc w:val="left"/>
        <w:rPr>
          <w:sz w:val="21"/>
        </w:rPr>
      </w:pPr>
      <w:r>
        <w:rPr>
          <w:spacing w:val="-2"/>
          <w:sz w:val="21"/>
        </w:rPr>
        <w:t>四肢关节机能永久完全丧失的（</w:t>
      </w:r>
      <w:r>
        <w:rPr>
          <w:spacing w:val="-26"/>
          <w:sz w:val="21"/>
        </w:rPr>
        <w:t>注 </w:t>
      </w:r>
      <w:r>
        <w:rPr>
          <w:rFonts w:ascii="Calibri" w:eastAsia="Calibri"/>
          <w:spacing w:val="-2"/>
          <w:sz w:val="21"/>
        </w:rPr>
        <w:t>2</w:t>
      </w:r>
      <w:r>
        <w:rPr>
          <w:spacing w:val="-18"/>
          <w:sz w:val="21"/>
        </w:rPr>
        <w:t>、注 </w:t>
      </w:r>
      <w:r>
        <w:rPr>
          <w:rFonts w:ascii="Calibri" w:eastAsia="Calibri"/>
          <w:spacing w:val="-5"/>
          <w:sz w:val="21"/>
        </w:rPr>
        <w:t>5</w:t>
      </w:r>
      <w:r>
        <w:rPr>
          <w:spacing w:val="-111"/>
          <w:sz w:val="21"/>
        </w:rPr>
        <w:t>）；</w:t>
      </w:r>
    </w:p>
    <w:p>
      <w:pPr>
        <w:pStyle w:val="BodyText"/>
        <w:spacing w:before="7"/>
        <w:rPr>
          <w:sz w:val="15"/>
        </w:rPr>
      </w:pPr>
    </w:p>
    <w:p>
      <w:pPr>
        <w:pStyle w:val="ListParagraph"/>
        <w:numPr>
          <w:ilvl w:val="1"/>
          <w:numId w:val="11"/>
        </w:numPr>
        <w:tabs>
          <w:tab w:pos="961" w:val="left" w:leader="none"/>
        </w:tabs>
        <w:spacing w:line="240" w:lineRule="auto" w:before="0" w:after="0"/>
        <w:ind w:left="960" w:right="0" w:hanging="558"/>
        <w:jc w:val="left"/>
        <w:rPr>
          <w:sz w:val="21"/>
        </w:rPr>
      </w:pPr>
      <w:r>
        <w:rPr>
          <w:spacing w:val="-2"/>
          <w:sz w:val="21"/>
        </w:rPr>
        <w:t>咀嚼、吞咽机能永久完全丧失的（</w:t>
      </w:r>
      <w:r>
        <w:rPr>
          <w:spacing w:val="-25"/>
          <w:sz w:val="21"/>
        </w:rPr>
        <w:t>注 </w:t>
      </w:r>
      <w:r>
        <w:rPr>
          <w:rFonts w:ascii="Calibri" w:eastAsia="Calibri"/>
          <w:spacing w:val="-2"/>
          <w:sz w:val="21"/>
        </w:rPr>
        <w:t>3</w:t>
      </w:r>
      <w:r>
        <w:rPr>
          <w:spacing w:val="-18"/>
          <w:sz w:val="21"/>
        </w:rPr>
        <w:t>、注 </w:t>
      </w:r>
      <w:r>
        <w:rPr>
          <w:rFonts w:ascii="Calibri" w:eastAsia="Calibri"/>
          <w:spacing w:val="-5"/>
          <w:sz w:val="21"/>
        </w:rPr>
        <w:t>5</w:t>
      </w:r>
      <w:r>
        <w:rPr>
          <w:spacing w:val="-113"/>
          <w:sz w:val="21"/>
        </w:rPr>
        <w:t>）；</w:t>
      </w:r>
    </w:p>
    <w:p>
      <w:pPr>
        <w:pStyle w:val="BodyText"/>
        <w:spacing w:before="6"/>
        <w:rPr>
          <w:sz w:val="15"/>
        </w:rPr>
      </w:pPr>
    </w:p>
    <w:p>
      <w:pPr>
        <w:pStyle w:val="ListParagraph"/>
        <w:numPr>
          <w:ilvl w:val="1"/>
          <w:numId w:val="11"/>
        </w:numPr>
        <w:tabs>
          <w:tab w:pos="961" w:val="left" w:leader="none"/>
        </w:tabs>
        <w:spacing w:line="240" w:lineRule="auto" w:before="1" w:after="0"/>
        <w:ind w:left="960" w:right="0" w:hanging="558"/>
        <w:jc w:val="left"/>
        <w:rPr>
          <w:sz w:val="21"/>
        </w:rPr>
      </w:pPr>
      <w:r>
        <w:rPr>
          <w:spacing w:val="-16"/>
          <w:sz w:val="21"/>
        </w:rPr>
        <w:t>中枢神经系统机能或胸、腹部脏器机能极度障碍，永久完全丧失基本日常生活能力。</w:t>
      </w:r>
    </w:p>
    <w:p>
      <w:pPr>
        <w:pStyle w:val="BodyText"/>
        <w:spacing w:before="7"/>
        <w:rPr>
          <w:sz w:val="15"/>
        </w:rPr>
      </w:pPr>
    </w:p>
    <w:p>
      <w:pPr>
        <w:pStyle w:val="BodyText"/>
        <w:ind w:left="823"/>
        <w:jc w:val="both"/>
      </w:pPr>
      <w:r>
        <w:rPr>
          <w:spacing w:val="-2"/>
        </w:rPr>
        <w:t>（</w:t>
      </w:r>
      <w:r>
        <w:rPr>
          <w:spacing w:val="-27"/>
        </w:rPr>
        <w:t>注 </w:t>
      </w:r>
      <w:r>
        <w:rPr>
          <w:rFonts w:ascii="Calibri" w:eastAsia="Calibri"/>
          <w:spacing w:val="-2"/>
        </w:rPr>
        <w:t>4</w:t>
      </w:r>
      <w:r>
        <w:rPr>
          <w:spacing w:val="-19"/>
        </w:rPr>
        <w:t>、注 </w:t>
      </w:r>
      <w:r>
        <w:rPr>
          <w:rFonts w:ascii="Calibri" w:eastAsia="Calibri"/>
        </w:rPr>
        <w:t>5</w:t>
      </w:r>
      <w:r>
        <w:rPr>
          <w:spacing w:val="-106"/>
        </w:rPr>
        <w:t>）</w:t>
      </w:r>
      <w:r>
        <w:rPr>
          <w:spacing w:val="-116"/>
        </w:rPr>
        <w:t>。</w:t>
      </w:r>
    </w:p>
    <w:p>
      <w:pPr>
        <w:pStyle w:val="BodyText"/>
        <w:spacing w:before="6"/>
        <w:rPr>
          <w:sz w:val="15"/>
        </w:rPr>
      </w:pPr>
    </w:p>
    <w:p>
      <w:pPr>
        <w:pStyle w:val="BodyText"/>
        <w:spacing w:line="417" w:lineRule="auto" w:before="1"/>
        <w:ind w:left="540" w:right="211"/>
        <w:jc w:val="both"/>
      </w:pPr>
      <w:r>
        <w:rPr>
          <w:spacing w:val="-14"/>
        </w:rPr>
        <w:t>注 </w:t>
      </w:r>
      <w:r>
        <w:rPr>
          <w:rFonts w:ascii="Calibri" w:eastAsia="Calibri"/>
          <w:spacing w:val="-2"/>
        </w:rPr>
        <w:t>1</w:t>
      </w:r>
      <w:r>
        <w:rPr>
          <w:spacing w:val="-2"/>
        </w:rPr>
        <w:t>：失明包括眼球缺失或摘除，或不能辨别明暗，或仅能辨别眼前手动者，最佳矫正</w:t>
      </w:r>
      <w:r>
        <w:rPr>
          <w:spacing w:val="-3"/>
        </w:rPr>
        <w:t>视力低于国际标准视力表 </w:t>
      </w:r>
      <w:r>
        <w:rPr>
          <w:rFonts w:ascii="Calibri" w:eastAsia="Calibri"/>
        </w:rPr>
        <w:t>0.02</w:t>
      </w:r>
      <w:r>
        <w:rPr>
          <w:spacing w:val="-3"/>
        </w:rPr>
        <w:t>，或视野半径小于 </w:t>
      </w:r>
      <w:r>
        <w:rPr>
          <w:rFonts w:ascii="Calibri" w:eastAsia="Calibri"/>
        </w:rPr>
        <w:t>5</w:t>
      </w:r>
      <w:r>
        <w:rPr>
          <w:rFonts w:ascii="Calibri" w:eastAsia="Calibri"/>
          <w:spacing w:val="32"/>
        </w:rPr>
        <w:t> </w:t>
      </w:r>
      <w:r>
        <w:rPr/>
        <w:t>度，并由专科医生出具医疗诊断证</w:t>
      </w:r>
      <w:r>
        <w:rPr>
          <w:spacing w:val="-11"/>
        </w:rPr>
        <w:t>明。但由白内障引起的失明除外。</w:t>
      </w:r>
      <w:r>
        <w:rPr>
          <w:spacing w:val="-4"/>
        </w:rPr>
        <w:t>（</w:t>
      </w:r>
      <w:r>
        <w:rPr>
          <w:spacing w:val="-9"/>
        </w:rPr>
        <w:t>专科医生应当同时满足以下四项资格条件：</w:t>
      </w:r>
      <w:r>
        <w:rPr>
          <w:spacing w:val="23"/>
        </w:rPr>
        <w:t>（</w:t>
      </w:r>
      <w:r>
        <w:rPr>
          <w:rFonts w:ascii="Calibri" w:eastAsia="Calibri"/>
          <w:spacing w:val="23"/>
        </w:rPr>
        <w:t>1</w:t>
      </w:r>
      <w:r>
        <w:rPr>
          <w:spacing w:val="20"/>
        </w:rPr>
        <w:t>）</w:t>
      </w:r>
      <w:r>
        <w:rPr>
          <w:spacing w:val="-4"/>
        </w:rPr>
        <w:t>具</w:t>
      </w:r>
      <w:r>
        <w:rPr>
          <w:spacing w:val="-14"/>
        </w:rPr>
        <w:t>有有效的中华人民共和国《医师资格证书》；</w:t>
      </w:r>
      <w:r>
        <w:rPr>
          <w:spacing w:val="21"/>
        </w:rPr>
        <w:t>（</w:t>
      </w:r>
      <w:r>
        <w:rPr>
          <w:rFonts w:ascii="Calibri" w:eastAsia="Calibri"/>
          <w:spacing w:val="23"/>
        </w:rPr>
        <w:t>2</w:t>
      </w:r>
      <w:r>
        <w:rPr>
          <w:spacing w:val="20"/>
        </w:rPr>
        <w:t>）</w:t>
      </w:r>
      <w:r>
        <w:rPr>
          <w:spacing w:val="-4"/>
        </w:rPr>
        <w:t>具有有效的中华人民共和国《医师执</w:t>
      </w:r>
      <w:r>
        <w:rPr>
          <w:spacing w:val="-19"/>
        </w:rPr>
        <w:t>业证书》，并按期到相关部门登记注册；</w:t>
      </w:r>
      <w:r>
        <w:rPr>
          <w:spacing w:val="21"/>
        </w:rPr>
        <w:t>（</w:t>
      </w:r>
      <w:r>
        <w:rPr>
          <w:rFonts w:ascii="Calibri" w:eastAsia="Calibri"/>
          <w:spacing w:val="24"/>
        </w:rPr>
        <w:t>3</w:t>
      </w:r>
      <w:r>
        <w:rPr>
          <w:spacing w:val="21"/>
        </w:rPr>
        <w:t>）</w:t>
      </w:r>
      <w:r>
        <w:rPr>
          <w:spacing w:val="-4"/>
        </w:rPr>
        <w:t>具有有效的中华人民共和国主治医师或主</w:t>
      </w:r>
      <w:r>
        <w:rPr>
          <w:spacing w:val="-16"/>
        </w:rPr>
        <w:t>治医师以上职称的《医师职称证书》；</w:t>
      </w:r>
      <w:r>
        <w:rPr>
          <w:spacing w:val="21"/>
        </w:rPr>
        <w:t>（</w:t>
      </w:r>
      <w:r>
        <w:rPr>
          <w:rFonts w:ascii="Calibri" w:eastAsia="Calibri"/>
          <w:spacing w:val="24"/>
        </w:rPr>
        <w:t>4</w:t>
      </w:r>
      <w:r>
        <w:rPr>
          <w:spacing w:val="21"/>
        </w:rPr>
        <w:t>）</w:t>
      </w:r>
      <w:r>
        <w:rPr>
          <w:spacing w:val="-4"/>
        </w:rPr>
        <w:t>在二级或二级以上医院的相应科室从事临床</w:t>
      </w:r>
      <w:r>
        <w:rPr>
          <w:spacing w:val="-18"/>
        </w:rPr>
        <w:t>工作三年以上。</w:t>
      </w:r>
      <w:r>
        <w:rPr>
          <w:spacing w:val="-2"/>
        </w:rPr>
        <w:t>）</w:t>
      </w:r>
    </w:p>
    <w:p>
      <w:pPr>
        <w:pStyle w:val="BodyText"/>
        <w:spacing w:line="268" w:lineRule="exact"/>
        <w:ind w:left="540"/>
        <w:jc w:val="both"/>
      </w:pPr>
      <w:r>
        <w:rPr>
          <w:spacing w:val="-18"/>
        </w:rPr>
        <w:t>注 </w:t>
      </w:r>
      <w:r>
        <w:rPr>
          <w:rFonts w:ascii="Calibri" w:eastAsia="Calibri"/>
          <w:spacing w:val="-2"/>
        </w:rPr>
        <w:t>2</w:t>
      </w:r>
      <w:r>
        <w:rPr>
          <w:spacing w:val="-3"/>
        </w:rPr>
        <w:t>：关节机能的丧失是指关节永久完全僵硬、麻痹或关节不能随意识活动。</w:t>
      </w:r>
    </w:p>
    <w:p>
      <w:pPr>
        <w:pStyle w:val="BodyText"/>
        <w:spacing w:before="6"/>
        <w:rPr>
          <w:sz w:val="15"/>
        </w:rPr>
      </w:pPr>
    </w:p>
    <w:p>
      <w:pPr>
        <w:pStyle w:val="BodyText"/>
        <w:spacing w:line="417" w:lineRule="auto"/>
        <w:ind w:left="540" w:right="211"/>
      </w:pPr>
      <w:r>
        <w:rPr>
          <w:spacing w:val="-25"/>
        </w:rPr>
        <w:t>注 </w:t>
      </w:r>
      <w:r>
        <w:rPr>
          <w:rFonts w:ascii="Calibri" w:eastAsia="Calibri"/>
          <w:spacing w:val="-2"/>
        </w:rPr>
        <w:t>3</w:t>
      </w:r>
      <w:r>
        <w:rPr>
          <w:spacing w:val="-2"/>
        </w:rPr>
        <w:t>：咀嚼、吞咽机能的丧失是指由于牙齿以外的原因引起的器质或功能障碍，以致不</w:t>
      </w:r>
      <w:r>
        <w:rPr>
          <w:spacing w:val="-2"/>
        </w:rPr>
        <w:t>能作咀嚼、吞咽运动，除流质食物外不能摄取或吞咽的状态。</w:t>
      </w:r>
    </w:p>
    <w:p>
      <w:pPr>
        <w:pStyle w:val="BodyText"/>
        <w:spacing w:line="417" w:lineRule="auto"/>
        <w:ind w:left="540" w:right="108"/>
      </w:pPr>
      <w:r>
        <w:rPr>
          <w:spacing w:val="-10"/>
        </w:rPr>
        <w:t>注 </w:t>
      </w:r>
      <w:r>
        <w:rPr>
          <w:rFonts w:ascii="Calibri" w:eastAsia="Calibri"/>
        </w:rPr>
        <w:t>4</w:t>
      </w:r>
      <w:r>
        <w:rPr/>
        <w:t>：基本日常生活能力的丧失是指食物摄取、大小便始末、穿脱衣服、起居、步行、</w:t>
      </w:r>
      <w:r>
        <w:rPr>
          <w:spacing w:val="-2"/>
        </w:rPr>
        <w:t>入浴等，皆不能自己为之，需要他人帮助。</w:t>
      </w:r>
    </w:p>
    <w:p>
      <w:pPr>
        <w:pStyle w:val="BodyText"/>
        <w:spacing w:line="417" w:lineRule="auto"/>
        <w:ind w:left="540" w:right="211"/>
      </w:pPr>
      <w:r>
        <w:rPr>
          <w:spacing w:val="-25"/>
        </w:rPr>
        <w:t>注 </w:t>
      </w:r>
      <w:r>
        <w:rPr>
          <w:rFonts w:ascii="Calibri" w:eastAsia="Calibri"/>
          <w:spacing w:val="-2"/>
        </w:rPr>
        <w:t>5</w:t>
      </w:r>
      <w:r>
        <w:rPr>
          <w:spacing w:val="-2"/>
        </w:rPr>
        <w:t>：永久完全丧失是指自以上情况发生之日起经过一百八十天的治疗后，机能仍然完</w:t>
      </w:r>
      <w:r>
        <w:rPr>
          <w:spacing w:val="-2"/>
        </w:rPr>
        <w:t>全丧失，但眼球摘除等无法恢复之情况，不在此限。</w:t>
      </w:r>
    </w:p>
    <w:p>
      <w:pPr>
        <w:pStyle w:val="ListParagraph"/>
        <w:numPr>
          <w:ilvl w:val="0"/>
          <w:numId w:val="11"/>
        </w:numPr>
        <w:tabs>
          <w:tab w:pos="541" w:val="left" w:leader="none"/>
        </w:tabs>
        <w:spacing w:line="417" w:lineRule="auto" w:before="0" w:after="0"/>
        <w:ind w:left="540" w:right="211" w:hanging="420"/>
        <w:jc w:val="both"/>
        <w:rPr>
          <w:sz w:val="21"/>
        </w:rPr>
      </w:pPr>
      <w:r>
        <w:rPr>
          <w:b/>
          <w:spacing w:val="-3"/>
          <w:sz w:val="21"/>
        </w:rPr>
        <w:t>本合同累计所交保险费 </w:t>
      </w:r>
      <w:r>
        <w:rPr>
          <w:sz w:val="21"/>
        </w:rPr>
        <w:t>指投保人依据本合同已经向本公司交纳的保险费。如本合同发</w:t>
      </w:r>
      <w:r>
        <w:rPr>
          <w:spacing w:val="-10"/>
          <w:sz w:val="21"/>
        </w:rPr>
        <w:t>生过基本保险金额变更情形，则本合同累计所交保险费为基本保险金额变更后所对应的</w:t>
      </w:r>
      <w:r>
        <w:rPr>
          <w:spacing w:val="-4"/>
          <w:sz w:val="21"/>
        </w:rPr>
        <w:t>保险费。</w:t>
      </w:r>
    </w:p>
    <w:p>
      <w:pPr>
        <w:pStyle w:val="ListParagraph"/>
        <w:numPr>
          <w:ilvl w:val="0"/>
          <w:numId w:val="11"/>
        </w:numPr>
        <w:tabs>
          <w:tab w:pos="541" w:val="left" w:leader="none"/>
        </w:tabs>
        <w:spacing w:line="269" w:lineRule="exact" w:before="0" w:after="0"/>
        <w:ind w:left="540" w:right="0" w:hanging="421"/>
        <w:jc w:val="both"/>
        <w:rPr>
          <w:sz w:val="21"/>
        </w:rPr>
      </w:pPr>
      <w:r>
        <w:rPr>
          <w:b/>
          <w:spacing w:val="1"/>
          <w:sz w:val="21"/>
        </w:rPr>
        <w:t>交通事故 </w:t>
      </w:r>
      <w:r>
        <w:rPr>
          <w:spacing w:val="-3"/>
          <w:sz w:val="21"/>
        </w:rPr>
        <w:t>指交通工具坠落、起火、爆炸、与其他物体碰撞。</w:t>
      </w:r>
    </w:p>
    <w:p>
      <w:pPr>
        <w:pStyle w:val="BodyText"/>
        <w:spacing w:before="7"/>
        <w:rPr>
          <w:sz w:val="15"/>
        </w:rPr>
      </w:pPr>
    </w:p>
    <w:p>
      <w:pPr>
        <w:pStyle w:val="ListParagraph"/>
        <w:numPr>
          <w:ilvl w:val="0"/>
          <w:numId w:val="11"/>
        </w:numPr>
        <w:tabs>
          <w:tab w:pos="541" w:val="left" w:leader="none"/>
        </w:tabs>
        <w:spacing w:line="417" w:lineRule="auto" w:before="0" w:after="0"/>
        <w:ind w:left="540" w:right="211" w:hanging="420"/>
        <w:jc w:val="both"/>
        <w:rPr>
          <w:sz w:val="21"/>
        </w:rPr>
      </w:pPr>
      <w:r>
        <w:rPr>
          <w:b/>
          <w:spacing w:val="-5"/>
          <w:sz w:val="21"/>
        </w:rPr>
        <w:t>认可医院 </w:t>
      </w:r>
      <w:r>
        <w:rPr>
          <w:sz w:val="21"/>
        </w:rPr>
        <w:t>指卫生行政部门认定的二级及以上非盈利性医院、二级及以上社保定点医院</w:t>
      </w:r>
      <w:r>
        <w:rPr>
          <w:spacing w:val="-4"/>
          <w:sz w:val="21"/>
        </w:rPr>
        <w:t>或我们认可的其他医院，但不包括主要作为康复、护理、疗养、戒毒、戒酒或者相类似</w:t>
      </w:r>
      <w:r>
        <w:rPr>
          <w:spacing w:val="-2"/>
          <w:sz w:val="21"/>
        </w:rPr>
        <w:t>的医疗机构。</w:t>
      </w:r>
    </w:p>
    <w:p>
      <w:pPr>
        <w:spacing w:after="0" w:line="417" w:lineRule="auto"/>
        <w:jc w:val="both"/>
        <w:rPr>
          <w:sz w:val="21"/>
        </w:rPr>
        <w:sectPr>
          <w:pgSz w:w="11910" w:h="16840"/>
          <w:pgMar w:header="0" w:footer="1005" w:top="1460" w:bottom="1200" w:left="1680" w:right="1580"/>
        </w:sectPr>
      </w:pPr>
    </w:p>
    <w:p>
      <w:pPr>
        <w:pStyle w:val="ListParagraph"/>
        <w:numPr>
          <w:ilvl w:val="0"/>
          <w:numId w:val="11"/>
        </w:numPr>
        <w:tabs>
          <w:tab w:pos="541" w:val="left" w:leader="none"/>
        </w:tabs>
        <w:spacing w:line="240" w:lineRule="auto" w:before="61" w:after="0"/>
        <w:ind w:left="540" w:right="0" w:hanging="421"/>
        <w:jc w:val="left"/>
        <w:rPr>
          <w:sz w:val="21"/>
        </w:rPr>
      </w:pPr>
      <w:r>
        <w:rPr>
          <w:b/>
          <w:spacing w:val="1"/>
          <w:sz w:val="21"/>
        </w:rPr>
        <w:t>专科医生 </w:t>
      </w:r>
      <w:r>
        <w:rPr>
          <w:spacing w:val="-3"/>
          <w:sz w:val="21"/>
        </w:rPr>
        <w:t>专科医生应当同时满足以下四项资格条件：</w:t>
      </w:r>
    </w:p>
    <w:p>
      <w:pPr>
        <w:pStyle w:val="BodyText"/>
        <w:spacing w:before="7"/>
        <w:rPr>
          <w:sz w:val="15"/>
        </w:rPr>
      </w:pPr>
    </w:p>
    <w:p>
      <w:pPr>
        <w:pStyle w:val="ListParagraph"/>
        <w:numPr>
          <w:ilvl w:val="0"/>
          <w:numId w:val="12"/>
        </w:numPr>
        <w:tabs>
          <w:tab w:pos="1070" w:val="left" w:leader="none"/>
        </w:tabs>
        <w:spacing w:line="240" w:lineRule="auto" w:before="0" w:after="0"/>
        <w:ind w:left="1069" w:right="0" w:hanging="530"/>
        <w:jc w:val="left"/>
        <w:rPr>
          <w:sz w:val="21"/>
        </w:rPr>
      </w:pPr>
      <w:r>
        <w:rPr>
          <w:spacing w:val="-9"/>
          <w:sz w:val="21"/>
        </w:rPr>
        <w:t>具有有效的中华人民共和国《医师资格证书》；</w:t>
      </w:r>
    </w:p>
    <w:p>
      <w:pPr>
        <w:pStyle w:val="BodyText"/>
        <w:spacing w:before="7"/>
        <w:rPr>
          <w:sz w:val="15"/>
        </w:rPr>
      </w:pPr>
    </w:p>
    <w:p>
      <w:pPr>
        <w:pStyle w:val="ListParagraph"/>
        <w:numPr>
          <w:ilvl w:val="0"/>
          <w:numId w:val="12"/>
        </w:numPr>
        <w:tabs>
          <w:tab w:pos="1070" w:val="left" w:leader="none"/>
        </w:tabs>
        <w:spacing w:line="240" w:lineRule="auto" w:before="0" w:after="0"/>
        <w:ind w:left="1069" w:right="0" w:hanging="530"/>
        <w:jc w:val="left"/>
        <w:rPr>
          <w:sz w:val="21"/>
        </w:rPr>
      </w:pPr>
      <w:r>
        <w:rPr>
          <w:spacing w:val="-9"/>
          <w:sz w:val="21"/>
        </w:rPr>
        <w:t>具有有效的中华人民共和国《医师执业证书》，并按期到相关部门登记注册；</w:t>
      </w:r>
    </w:p>
    <w:p>
      <w:pPr>
        <w:pStyle w:val="BodyText"/>
        <w:spacing w:before="6"/>
        <w:rPr>
          <w:sz w:val="15"/>
        </w:rPr>
      </w:pPr>
    </w:p>
    <w:p>
      <w:pPr>
        <w:pStyle w:val="ListParagraph"/>
        <w:numPr>
          <w:ilvl w:val="0"/>
          <w:numId w:val="12"/>
        </w:numPr>
        <w:tabs>
          <w:tab w:pos="1070" w:val="left" w:leader="none"/>
        </w:tabs>
        <w:spacing w:line="240" w:lineRule="auto" w:before="1" w:after="0"/>
        <w:ind w:left="1069" w:right="0" w:hanging="530"/>
        <w:jc w:val="left"/>
        <w:rPr>
          <w:sz w:val="21"/>
        </w:rPr>
      </w:pPr>
      <w:r>
        <w:rPr>
          <w:spacing w:val="-7"/>
          <w:sz w:val="21"/>
        </w:rPr>
        <w:t>具有有效的中华人民共和国主治医师或主治医师以上职称的《医师职称证书》；</w:t>
      </w:r>
    </w:p>
    <w:p>
      <w:pPr>
        <w:pStyle w:val="BodyText"/>
        <w:spacing w:before="6"/>
        <w:rPr>
          <w:sz w:val="15"/>
        </w:rPr>
      </w:pPr>
    </w:p>
    <w:p>
      <w:pPr>
        <w:pStyle w:val="ListParagraph"/>
        <w:numPr>
          <w:ilvl w:val="0"/>
          <w:numId w:val="12"/>
        </w:numPr>
        <w:tabs>
          <w:tab w:pos="1070" w:val="left" w:leader="none"/>
        </w:tabs>
        <w:spacing w:line="417" w:lineRule="auto" w:before="0" w:after="0"/>
        <w:ind w:left="540" w:right="214" w:firstLine="0"/>
        <w:jc w:val="left"/>
        <w:rPr>
          <w:sz w:val="21"/>
        </w:rPr>
      </w:pPr>
      <w:r>
        <w:rPr>
          <w:spacing w:val="-2"/>
          <w:sz w:val="21"/>
        </w:rPr>
        <w:t>在国家《医院分级管理标准》二级或二级以上医院的相应科室从事临床工作三年</w:t>
      </w:r>
      <w:r>
        <w:rPr>
          <w:spacing w:val="-4"/>
          <w:sz w:val="21"/>
        </w:rPr>
        <w:t>以上。</w:t>
      </w:r>
    </w:p>
    <w:p>
      <w:pPr>
        <w:pStyle w:val="ListParagraph"/>
        <w:numPr>
          <w:ilvl w:val="0"/>
          <w:numId w:val="11"/>
        </w:numPr>
        <w:tabs>
          <w:tab w:pos="541" w:val="left" w:leader="none"/>
        </w:tabs>
        <w:spacing w:line="417" w:lineRule="auto" w:before="0" w:after="0"/>
        <w:ind w:left="540" w:right="211" w:hanging="420"/>
        <w:jc w:val="both"/>
        <w:rPr>
          <w:sz w:val="21"/>
        </w:rPr>
      </w:pPr>
      <w:r>
        <w:rPr>
          <w:b/>
          <w:spacing w:val="-3"/>
          <w:sz w:val="21"/>
        </w:rPr>
        <w:t>恶性肿瘤——重度 </w:t>
      </w:r>
      <w:r>
        <w:rPr>
          <w:sz w:val="21"/>
        </w:rPr>
        <w:t>指恶性细胞不受控制的进行性增长和扩散，浸润和破坏周围正常组</w:t>
      </w:r>
      <w:r>
        <w:rPr>
          <w:spacing w:val="-4"/>
          <w:sz w:val="21"/>
        </w:rPr>
        <w:t>织，可以经血管、淋巴管和体腔扩散转移到身体其他部位，病灶经组织病理学检查（涵</w:t>
      </w:r>
      <w:r>
        <w:rPr>
          <w:sz w:val="21"/>
        </w:rPr>
        <w:t>盖骨髓病理学检查）结果明确诊断，临床诊断属于世界卫生组织（WHO，World</w:t>
      </w:r>
      <w:r>
        <w:rPr>
          <w:spacing w:val="-17"/>
          <w:sz w:val="21"/>
        </w:rPr>
        <w:t> </w:t>
      </w:r>
      <w:r>
        <w:rPr>
          <w:sz w:val="21"/>
        </w:rPr>
        <w:t>Health </w:t>
      </w:r>
      <w:r>
        <w:rPr>
          <w:spacing w:val="6"/>
          <w:sz w:val="21"/>
        </w:rPr>
        <w:t>Organ</w:t>
      </w:r>
      <w:r>
        <w:rPr>
          <w:spacing w:val="3"/>
          <w:sz w:val="21"/>
        </w:rPr>
        <w:t>i</w:t>
      </w:r>
      <w:r>
        <w:rPr>
          <w:spacing w:val="6"/>
          <w:sz w:val="21"/>
        </w:rPr>
        <w:t>zat</w:t>
      </w:r>
      <w:r>
        <w:rPr>
          <w:spacing w:val="3"/>
          <w:sz w:val="21"/>
        </w:rPr>
        <w:t>i</w:t>
      </w:r>
      <w:r>
        <w:rPr>
          <w:spacing w:val="6"/>
          <w:sz w:val="21"/>
        </w:rPr>
        <w:t>o</w:t>
      </w:r>
      <w:r>
        <w:rPr>
          <w:spacing w:val="5"/>
          <w:sz w:val="21"/>
        </w:rPr>
        <w:t>n</w:t>
      </w:r>
      <w:r>
        <w:rPr>
          <w:spacing w:val="-100"/>
          <w:sz w:val="21"/>
        </w:rPr>
        <w:t>）</w:t>
      </w:r>
      <w:r>
        <w:rPr>
          <w:spacing w:val="-2"/>
          <w:sz w:val="21"/>
        </w:rPr>
        <w:t>《疾病和有关健康问题的国际统计分类》第十次修订版（ICD-10）的恶</w:t>
      </w:r>
      <w:r>
        <w:rPr>
          <w:spacing w:val="-2"/>
          <w:sz w:val="21"/>
        </w:rPr>
        <w:t>性肿瘤类别及《国际疾病分类肿瘤学专辑》第三版（ICD-O-3）的肿瘤形态学编码属于 3、6、9（恶性肿瘤）范畴的疾病。</w:t>
      </w:r>
    </w:p>
    <w:p>
      <w:pPr>
        <w:spacing w:line="269" w:lineRule="exact" w:before="0"/>
        <w:ind w:left="547" w:right="0" w:firstLine="0"/>
        <w:jc w:val="left"/>
        <w:rPr>
          <w:b/>
          <w:sz w:val="21"/>
        </w:rPr>
      </w:pPr>
      <w:r>
        <w:rPr>
          <w:b/>
          <w:spacing w:val="-10"/>
          <w:sz w:val="21"/>
        </w:rPr>
        <w:t>下列疾病不属于“恶性肿瘤——重度”，不在保障范围内：</w:t>
      </w:r>
    </w:p>
    <w:p>
      <w:pPr>
        <w:pStyle w:val="BodyText"/>
        <w:spacing w:before="7"/>
        <w:rPr>
          <w:b/>
          <w:sz w:val="15"/>
        </w:rPr>
      </w:pPr>
    </w:p>
    <w:p>
      <w:pPr>
        <w:pStyle w:val="ListParagraph"/>
        <w:numPr>
          <w:ilvl w:val="0"/>
          <w:numId w:val="13"/>
        </w:numPr>
        <w:tabs>
          <w:tab w:pos="1599" w:val="left" w:leader="none"/>
        </w:tabs>
        <w:spacing w:line="240" w:lineRule="auto" w:before="0" w:after="0"/>
        <w:ind w:left="1598" w:right="0" w:hanging="634"/>
        <w:jc w:val="left"/>
        <w:rPr>
          <w:b/>
          <w:sz w:val="21"/>
        </w:rPr>
      </w:pPr>
      <w:r>
        <w:rPr>
          <w:b/>
          <w:w w:val="95"/>
          <w:sz w:val="21"/>
        </w:rPr>
        <w:t>ICD-O-3</w:t>
      </w:r>
      <w:r>
        <w:rPr>
          <w:b/>
          <w:spacing w:val="47"/>
          <w:w w:val="150"/>
          <w:sz w:val="21"/>
        </w:rPr>
        <w:t> </w:t>
      </w:r>
      <w:r>
        <w:rPr>
          <w:b/>
          <w:w w:val="95"/>
          <w:sz w:val="21"/>
        </w:rPr>
        <w:t>肿</w:t>
      </w:r>
      <w:r>
        <w:rPr>
          <w:b/>
          <w:w w:val="95"/>
          <w:sz w:val="21"/>
        </w:rPr>
        <w:t>瘤</w:t>
      </w:r>
      <w:r>
        <w:rPr>
          <w:b/>
          <w:w w:val="95"/>
          <w:sz w:val="21"/>
        </w:rPr>
        <w:t>形</w:t>
      </w:r>
      <w:r>
        <w:rPr>
          <w:b/>
          <w:w w:val="95"/>
          <w:sz w:val="21"/>
        </w:rPr>
        <w:t>态</w:t>
      </w:r>
      <w:r>
        <w:rPr>
          <w:b/>
          <w:w w:val="95"/>
          <w:sz w:val="21"/>
        </w:rPr>
        <w:t>学</w:t>
      </w:r>
      <w:r>
        <w:rPr>
          <w:b/>
          <w:w w:val="95"/>
          <w:sz w:val="21"/>
        </w:rPr>
        <w:t>编</w:t>
      </w:r>
      <w:r>
        <w:rPr>
          <w:b/>
          <w:w w:val="95"/>
          <w:sz w:val="21"/>
        </w:rPr>
        <w:t>码</w:t>
      </w:r>
      <w:r>
        <w:rPr>
          <w:b/>
          <w:w w:val="95"/>
          <w:sz w:val="21"/>
        </w:rPr>
        <w:t>属</w:t>
      </w:r>
      <w:r>
        <w:rPr>
          <w:b/>
          <w:w w:val="95"/>
          <w:sz w:val="21"/>
        </w:rPr>
        <w:t>于</w:t>
      </w:r>
      <w:r>
        <w:rPr>
          <w:b/>
          <w:spacing w:val="48"/>
          <w:w w:val="150"/>
          <w:sz w:val="21"/>
        </w:rPr>
        <w:t> </w:t>
      </w:r>
      <w:r>
        <w:rPr>
          <w:b/>
          <w:w w:val="95"/>
          <w:sz w:val="21"/>
        </w:rPr>
        <w:t>0（</w:t>
      </w:r>
      <w:r>
        <w:rPr>
          <w:b/>
          <w:w w:val="95"/>
          <w:sz w:val="21"/>
        </w:rPr>
        <w:t>良</w:t>
      </w:r>
      <w:r>
        <w:rPr>
          <w:b/>
          <w:w w:val="95"/>
          <w:sz w:val="21"/>
        </w:rPr>
        <w:t>性</w:t>
      </w:r>
      <w:r>
        <w:rPr>
          <w:b/>
          <w:w w:val="95"/>
          <w:sz w:val="21"/>
        </w:rPr>
        <w:t>肿</w:t>
      </w:r>
      <w:r>
        <w:rPr>
          <w:b/>
          <w:w w:val="95"/>
          <w:sz w:val="21"/>
        </w:rPr>
        <w:t>瘤</w:t>
      </w:r>
      <w:r>
        <w:rPr>
          <w:b/>
          <w:spacing w:val="-106"/>
          <w:w w:val="95"/>
          <w:sz w:val="21"/>
        </w:rPr>
        <w:t>）</w:t>
      </w:r>
      <w:r>
        <w:rPr>
          <w:b/>
          <w:w w:val="95"/>
          <w:sz w:val="21"/>
        </w:rPr>
        <w:t>、1（</w:t>
      </w:r>
      <w:r>
        <w:rPr>
          <w:b/>
          <w:w w:val="95"/>
          <w:sz w:val="21"/>
        </w:rPr>
        <w:t>动</w:t>
      </w:r>
      <w:r>
        <w:rPr>
          <w:b/>
          <w:w w:val="95"/>
          <w:sz w:val="21"/>
        </w:rPr>
        <w:t>态</w:t>
      </w:r>
      <w:r>
        <w:rPr>
          <w:b/>
          <w:w w:val="95"/>
          <w:sz w:val="21"/>
        </w:rPr>
        <w:t>未</w:t>
      </w:r>
      <w:r>
        <w:rPr>
          <w:b/>
          <w:w w:val="95"/>
          <w:sz w:val="21"/>
        </w:rPr>
        <w:t>定</w:t>
      </w:r>
      <w:r>
        <w:rPr>
          <w:b/>
          <w:w w:val="95"/>
          <w:sz w:val="21"/>
        </w:rPr>
        <w:t>性</w:t>
      </w:r>
      <w:r>
        <w:rPr>
          <w:b/>
          <w:w w:val="95"/>
          <w:sz w:val="21"/>
        </w:rPr>
        <w:t>肿</w:t>
      </w:r>
      <w:r>
        <w:rPr>
          <w:b/>
          <w:w w:val="95"/>
          <w:sz w:val="21"/>
        </w:rPr>
        <w:t>瘤</w:t>
      </w:r>
      <w:r>
        <w:rPr>
          <w:b/>
          <w:spacing w:val="-106"/>
          <w:w w:val="95"/>
          <w:sz w:val="21"/>
        </w:rPr>
        <w:t>）</w:t>
      </w:r>
      <w:r>
        <w:rPr>
          <w:b/>
          <w:w w:val="95"/>
          <w:sz w:val="21"/>
        </w:rPr>
        <w:t>、</w:t>
      </w:r>
      <w:r>
        <w:rPr>
          <w:b/>
          <w:spacing w:val="-10"/>
          <w:w w:val="95"/>
          <w:sz w:val="21"/>
        </w:rPr>
        <w:t>2</w:t>
      </w:r>
    </w:p>
    <w:p>
      <w:pPr>
        <w:pStyle w:val="BodyText"/>
        <w:spacing w:before="6"/>
        <w:rPr>
          <w:b/>
          <w:sz w:val="15"/>
        </w:rPr>
      </w:pPr>
    </w:p>
    <w:p>
      <w:pPr>
        <w:spacing w:before="0"/>
        <w:ind w:left="540" w:right="0" w:firstLine="0"/>
        <w:jc w:val="left"/>
        <w:rPr>
          <w:b/>
          <w:sz w:val="21"/>
        </w:rPr>
      </w:pPr>
      <w:r>
        <w:rPr>
          <w:b/>
          <w:spacing w:val="-2"/>
          <w:sz w:val="21"/>
        </w:rPr>
        <w:t>（原位癌和非侵袭性癌）</w:t>
      </w:r>
      <w:r>
        <w:rPr>
          <w:b/>
          <w:spacing w:val="-4"/>
          <w:sz w:val="21"/>
        </w:rPr>
        <w:t>范畴的疾病，如：</w:t>
      </w:r>
    </w:p>
    <w:p>
      <w:pPr>
        <w:pStyle w:val="BodyText"/>
        <w:spacing w:before="7"/>
        <w:rPr>
          <w:b/>
          <w:sz w:val="15"/>
        </w:rPr>
      </w:pPr>
    </w:p>
    <w:p>
      <w:pPr>
        <w:pStyle w:val="ListParagraph"/>
        <w:numPr>
          <w:ilvl w:val="0"/>
          <w:numId w:val="14"/>
        </w:numPr>
        <w:tabs>
          <w:tab w:pos="1242" w:val="left" w:leader="none"/>
        </w:tabs>
        <w:spacing w:line="417" w:lineRule="auto" w:before="0" w:after="0"/>
        <w:ind w:left="547" w:right="236" w:firstLine="424"/>
        <w:jc w:val="left"/>
        <w:rPr>
          <w:b/>
          <w:sz w:val="21"/>
        </w:rPr>
      </w:pPr>
      <w:r>
        <w:rPr>
          <w:b/>
          <w:spacing w:val="-2"/>
          <w:sz w:val="21"/>
        </w:rPr>
        <w:t>原位癌，癌前病变，非浸润性癌，非侵袭性癌，肿瘤细胞未侵犯基底层，上皮</w:t>
      </w:r>
      <w:r>
        <w:rPr>
          <w:b/>
          <w:spacing w:val="-2"/>
          <w:sz w:val="21"/>
        </w:rPr>
        <w:t>内瘤变，细胞不典型性增生等；</w:t>
      </w:r>
    </w:p>
    <w:p>
      <w:pPr>
        <w:pStyle w:val="ListParagraph"/>
        <w:numPr>
          <w:ilvl w:val="0"/>
          <w:numId w:val="14"/>
        </w:numPr>
        <w:tabs>
          <w:tab w:pos="1242" w:val="left" w:leader="none"/>
        </w:tabs>
        <w:spacing w:line="240" w:lineRule="auto" w:before="0" w:after="0"/>
        <w:ind w:left="1241" w:right="0" w:hanging="270"/>
        <w:jc w:val="left"/>
        <w:rPr>
          <w:b/>
          <w:sz w:val="21"/>
        </w:rPr>
      </w:pPr>
      <w:r>
        <w:rPr>
          <w:b/>
          <w:spacing w:val="-3"/>
          <w:sz w:val="21"/>
        </w:rPr>
        <w:t>交界性肿瘤，交界恶性肿瘤，肿瘤低度恶性潜能，潜在低度恶性肿瘤等；</w:t>
      </w:r>
    </w:p>
    <w:p>
      <w:pPr>
        <w:pStyle w:val="BodyText"/>
        <w:spacing w:before="7"/>
        <w:rPr>
          <w:b/>
          <w:sz w:val="15"/>
        </w:rPr>
      </w:pPr>
    </w:p>
    <w:p>
      <w:pPr>
        <w:pStyle w:val="ListParagraph"/>
        <w:numPr>
          <w:ilvl w:val="0"/>
          <w:numId w:val="13"/>
        </w:numPr>
        <w:tabs>
          <w:tab w:pos="1599" w:val="left" w:leader="none"/>
        </w:tabs>
        <w:spacing w:line="240" w:lineRule="auto" w:before="0" w:after="0"/>
        <w:ind w:left="1598" w:right="0" w:hanging="634"/>
        <w:jc w:val="left"/>
        <w:rPr>
          <w:b/>
          <w:sz w:val="21"/>
        </w:rPr>
      </w:pPr>
      <w:r>
        <w:rPr>
          <w:b/>
          <w:w w:val="95"/>
          <w:sz w:val="21"/>
        </w:rPr>
        <w:t>TNM</w:t>
      </w:r>
      <w:r>
        <w:rPr>
          <w:b/>
          <w:spacing w:val="60"/>
          <w:w w:val="150"/>
          <w:sz w:val="21"/>
        </w:rPr>
        <w:t> </w:t>
      </w:r>
      <w:r>
        <w:rPr>
          <w:b/>
          <w:w w:val="95"/>
          <w:sz w:val="21"/>
        </w:rPr>
        <w:t>分</w:t>
      </w:r>
      <w:r>
        <w:rPr>
          <w:b/>
          <w:w w:val="95"/>
          <w:sz w:val="21"/>
        </w:rPr>
        <w:t>期</w:t>
      </w:r>
      <w:r>
        <w:rPr>
          <w:b/>
          <w:w w:val="95"/>
          <w:sz w:val="21"/>
        </w:rPr>
        <w:t>为</w:t>
      </w:r>
      <w:r>
        <w:rPr>
          <w:rFonts w:ascii="宋体" w:hAnsi="宋体" w:eastAsia="宋体" w:hint="eastAsia"/>
          <w:b/>
          <w:w w:val="95"/>
          <w:sz w:val="21"/>
        </w:rPr>
        <w:t>Ⅰ</w:t>
      </w:r>
      <w:r>
        <w:rPr>
          <w:b/>
          <w:w w:val="95"/>
          <w:sz w:val="21"/>
        </w:rPr>
        <w:t>期</w:t>
      </w:r>
      <w:r>
        <w:rPr>
          <w:b/>
          <w:w w:val="95"/>
          <w:sz w:val="21"/>
        </w:rPr>
        <w:t>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甲</w:t>
      </w:r>
      <w:r>
        <w:rPr>
          <w:b/>
          <w:w w:val="95"/>
          <w:sz w:val="21"/>
        </w:rPr>
        <w:t>状</w:t>
      </w:r>
      <w:r>
        <w:rPr>
          <w:b/>
          <w:w w:val="95"/>
          <w:sz w:val="21"/>
        </w:rPr>
        <w:t>腺</w:t>
      </w:r>
      <w:r>
        <w:rPr>
          <w:b/>
          <w:w w:val="95"/>
          <w:sz w:val="21"/>
        </w:rPr>
        <w:t>癌</w:t>
      </w:r>
      <w:r>
        <w:rPr>
          <w:b/>
          <w:spacing w:val="-10"/>
          <w:w w:val="95"/>
          <w:sz w:val="21"/>
        </w:rPr>
        <w:t>；</w:t>
      </w:r>
    </w:p>
    <w:p>
      <w:pPr>
        <w:pStyle w:val="BodyText"/>
        <w:spacing w:before="7"/>
        <w:rPr>
          <w:b/>
          <w:sz w:val="15"/>
        </w:rPr>
      </w:pPr>
    </w:p>
    <w:p>
      <w:pPr>
        <w:pStyle w:val="ListParagraph"/>
        <w:numPr>
          <w:ilvl w:val="0"/>
          <w:numId w:val="13"/>
        </w:numPr>
        <w:tabs>
          <w:tab w:pos="1599" w:val="left" w:leader="none"/>
        </w:tabs>
        <w:spacing w:line="240" w:lineRule="auto" w:before="0" w:after="0"/>
        <w:ind w:left="1598" w:right="0" w:hanging="634"/>
        <w:jc w:val="left"/>
        <w:rPr>
          <w:b/>
          <w:sz w:val="21"/>
        </w:rPr>
      </w:pPr>
      <w:r>
        <w:rPr>
          <w:b/>
          <w:sz w:val="21"/>
        </w:rPr>
        <w:t>TNM</w:t>
      </w:r>
      <w:r>
        <w:rPr>
          <w:b/>
          <w:spacing w:val="-12"/>
          <w:sz w:val="21"/>
        </w:rPr>
        <w:t> 分期为</w:t>
      </w:r>
      <w:r>
        <w:rPr>
          <w:rFonts w:ascii="Cambria Math" w:eastAsia="Cambria Math"/>
          <w:sz w:val="21"/>
        </w:rPr>
        <w:t>𝐓</w:t>
      </w:r>
      <w:r>
        <w:rPr>
          <w:rFonts w:ascii="Cambria Math" w:eastAsia="Cambria Math"/>
          <w:sz w:val="21"/>
          <w:vertAlign w:val="subscript"/>
        </w:rPr>
        <w:t>𝟏</w:t>
      </w:r>
      <w:r>
        <w:rPr>
          <w:rFonts w:ascii="Cambria Math" w:eastAsia="Cambria Math"/>
          <w:sz w:val="21"/>
          <w:vertAlign w:val="baseline"/>
        </w:rPr>
        <w:t>𝐍</w:t>
      </w:r>
      <w:r>
        <w:rPr>
          <w:rFonts w:ascii="Cambria Math" w:eastAsia="Cambria Math"/>
          <w:sz w:val="21"/>
          <w:vertAlign w:val="subscript"/>
        </w:rPr>
        <w:t>𝟎</w:t>
      </w:r>
      <w:r>
        <w:rPr>
          <w:rFonts w:ascii="Cambria Math" w:eastAsia="Cambria Math"/>
          <w:sz w:val="21"/>
          <w:vertAlign w:val="baseline"/>
        </w:rPr>
        <w:t>𝐌</w:t>
      </w:r>
      <w:r>
        <w:rPr>
          <w:rFonts w:ascii="Cambria Math" w:eastAsia="Cambria Math"/>
          <w:sz w:val="21"/>
          <w:vertAlign w:val="subscript"/>
        </w:rPr>
        <w:t>𝟎</w:t>
      </w:r>
      <w:r>
        <w:rPr>
          <w:b/>
          <w:spacing w:val="-1"/>
          <w:sz w:val="21"/>
          <w:vertAlign w:val="baseline"/>
        </w:rPr>
        <w:t>期或更轻分期的前列腺癌；</w:t>
      </w:r>
    </w:p>
    <w:p>
      <w:pPr>
        <w:pStyle w:val="ListParagraph"/>
        <w:numPr>
          <w:ilvl w:val="0"/>
          <w:numId w:val="13"/>
        </w:numPr>
        <w:tabs>
          <w:tab w:pos="1599" w:val="left" w:leader="none"/>
        </w:tabs>
        <w:spacing w:line="240" w:lineRule="auto" w:before="199" w:after="0"/>
        <w:ind w:left="1598" w:right="0" w:hanging="634"/>
        <w:jc w:val="left"/>
        <w:rPr>
          <w:b/>
          <w:sz w:val="21"/>
        </w:rPr>
      </w:pPr>
      <w:r>
        <w:rPr>
          <w:b/>
          <w:spacing w:val="-3"/>
          <w:sz w:val="21"/>
        </w:rPr>
        <w:t>黑色素瘤以外的未发生淋巴结和远处转移的皮肤恶性肿瘤；</w:t>
      </w:r>
    </w:p>
    <w:p>
      <w:pPr>
        <w:pStyle w:val="BodyText"/>
        <w:spacing w:before="6"/>
        <w:rPr>
          <w:b/>
          <w:sz w:val="15"/>
        </w:rPr>
      </w:pPr>
    </w:p>
    <w:p>
      <w:pPr>
        <w:pStyle w:val="ListParagraph"/>
        <w:numPr>
          <w:ilvl w:val="0"/>
          <w:numId w:val="13"/>
        </w:numPr>
        <w:tabs>
          <w:tab w:pos="1599" w:val="left" w:leader="none"/>
        </w:tabs>
        <w:spacing w:line="240" w:lineRule="auto" w:before="0" w:after="0"/>
        <w:ind w:left="1598" w:right="0" w:hanging="634"/>
        <w:jc w:val="left"/>
        <w:rPr>
          <w:b/>
          <w:sz w:val="21"/>
        </w:rPr>
      </w:pPr>
      <w:r>
        <w:rPr>
          <w:b/>
          <w:w w:val="95"/>
          <w:sz w:val="21"/>
        </w:rPr>
        <w:t>相</w:t>
      </w:r>
      <w:r>
        <w:rPr>
          <w:b/>
          <w:w w:val="95"/>
          <w:sz w:val="21"/>
        </w:rPr>
        <w:t>当</w:t>
      </w:r>
      <w:r>
        <w:rPr>
          <w:b/>
          <w:w w:val="95"/>
          <w:sz w:val="21"/>
        </w:rPr>
        <w:t>于</w:t>
      </w:r>
      <w:r>
        <w:rPr>
          <w:b/>
          <w:spacing w:val="5"/>
          <w:sz w:val="21"/>
        </w:rPr>
        <w:t> </w:t>
      </w:r>
      <w:r>
        <w:rPr>
          <w:b/>
          <w:w w:val="95"/>
          <w:sz w:val="21"/>
        </w:rPr>
        <w:t>Binet</w:t>
      </w:r>
      <w:r>
        <w:rPr>
          <w:b/>
          <w:spacing w:val="4"/>
          <w:sz w:val="21"/>
        </w:rPr>
        <w:t> </w:t>
      </w:r>
      <w:r>
        <w:rPr>
          <w:b/>
          <w:w w:val="95"/>
          <w:sz w:val="21"/>
        </w:rPr>
        <w:t>分</w:t>
      </w:r>
      <w:r>
        <w:rPr>
          <w:b/>
          <w:w w:val="95"/>
          <w:sz w:val="21"/>
        </w:rPr>
        <w:t>期</w:t>
      </w:r>
      <w:r>
        <w:rPr>
          <w:b/>
          <w:w w:val="95"/>
          <w:sz w:val="21"/>
        </w:rPr>
        <w:t>方</w:t>
      </w:r>
      <w:r>
        <w:rPr>
          <w:b/>
          <w:w w:val="95"/>
          <w:sz w:val="21"/>
        </w:rPr>
        <w:t>案</w:t>
      </w:r>
      <w:r>
        <w:rPr>
          <w:b/>
          <w:spacing w:val="4"/>
          <w:sz w:val="21"/>
        </w:rPr>
        <w:t> </w:t>
      </w:r>
      <w:r>
        <w:rPr>
          <w:b/>
          <w:w w:val="95"/>
          <w:sz w:val="21"/>
        </w:rPr>
        <w:t>A</w:t>
      </w:r>
      <w:r>
        <w:rPr>
          <w:b/>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细胞白</w:t>
      </w:r>
      <w:r>
        <w:rPr>
          <w:b/>
          <w:w w:val="95"/>
          <w:sz w:val="21"/>
        </w:rPr>
        <w:t>血</w:t>
      </w:r>
      <w:r>
        <w:rPr>
          <w:b/>
          <w:w w:val="95"/>
          <w:sz w:val="21"/>
        </w:rPr>
        <w:t>病</w:t>
      </w:r>
      <w:r>
        <w:rPr>
          <w:b/>
          <w:spacing w:val="-10"/>
          <w:w w:val="95"/>
          <w:sz w:val="21"/>
        </w:rPr>
        <w:t>；</w:t>
      </w:r>
    </w:p>
    <w:p>
      <w:pPr>
        <w:pStyle w:val="BodyText"/>
        <w:spacing w:before="7"/>
        <w:rPr>
          <w:b/>
          <w:sz w:val="15"/>
        </w:rPr>
      </w:pPr>
    </w:p>
    <w:p>
      <w:pPr>
        <w:pStyle w:val="ListParagraph"/>
        <w:numPr>
          <w:ilvl w:val="0"/>
          <w:numId w:val="13"/>
        </w:numPr>
        <w:tabs>
          <w:tab w:pos="1599" w:val="left" w:leader="none"/>
        </w:tabs>
        <w:spacing w:line="240" w:lineRule="auto" w:before="0" w:after="0"/>
        <w:ind w:left="1598" w:right="0" w:hanging="634"/>
        <w:jc w:val="left"/>
        <w:rPr>
          <w:b/>
          <w:sz w:val="21"/>
        </w:rPr>
      </w:pPr>
      <w:r>
        <w:rPr>
          <w:b/>
          <w:spacing w:val="-14"/>
          <w:sz w:val="21"/>
        </w:rPr>
        <w:t>相当于 </w:t>
      </w:r>
      <w:r>
        <w:rPr>
          <w:b/>
          <w:sz w:val="21"/>
        </w:rPr>
        <w:t>Ann</w:t>
      </w:r>
      <w:r>
        <w:rPr>
          <w:b/>
          <w:spacing w:val="-16"/>
          <w:sz w:val="21"/>
        </w:rPr>
        <w:t> </w:t>
      </w:r>
      <w:r>
        <w:rPr>
          <w:b/>
          <w:sz w:val="21"/>
        </w:rPr>
        <w:t>Arbor</w:t>
      </w:r>
      <w:r>
        <w:rPr>
          <w:b/>
          <w:spacing w:val="-12"/>
          <w:sz w:val="21"/>
        </w:rPr>
        <w:t> 分期方案</w:t>
      </w:r>
      <w:r>
        <w:rPr>
          <w:rFonts w:ascii="宋体" w:hAnsi="宋体" w:eastAsia="宋体" w:hint="eastAsia"/>
          <w:b/>
          <w:sz w:val="21"/>
        </w:rPr>
        <w:t>Ⅰ</w:t>
      </w:r>
      <w:r>
        <w:rPr>
          <w:b/>
          <w:spacing w:val="-1"/>
          <w:sz w:val="21"/>
        </w:rPr>
        <w:t>期程度的何杰金氏病；</w:t>
      </w:r>
    </w:p>
    <w:p>
      <w:pPr>
        <w:pStyle w:val="BodyText"/>
        <w:spacing w:before="7"/>
        <w:rPr>
          <w:b/>
          <w:sz w:val="15"/>
        </w:rPr>
      </w:pPr>
    </w:p>
    <w:p>
      <w:pPr>
        <w:pStyle w:val="ListParagraph"/>
        <w:numPr>
          <w:ilvl w:val="0"/>
          <w:numId w:val="13"/>
        </w:numPr>
        <w:tabs>
          <w:tab w:pos="1599" w:val="left" w:leader="none"/>
        </w:tabs>
        <w:spacing w:line="417" w:lineRule="auto" w:before="1" w:after="0"/>
        <w:ind w:left="540" w:right="345" w:firstLine="424"/>
        <w:jc w:val="left"/>
        <w:rPr>
          <w:b/>
          <w:sz w:val="21"/>
        </w:rPr>
      </w:pPr>
      <w:r>
        <w:rPr>
          <w:b/>
          <w:spacing w:val="-5"/>
          <w:sz w:val="21"/>
        </w:rPr>
        <w:t>未发生淋巴结和远处转移且 </w:t>
      </w:r>
      <w:r>
        <w:rPr>
          <w:b/>
          <w:sz w:val="21"/>
        </w:rPr>
        <w:t>WHO</w:t>
      </w:r>
      <w:r>
        <w:rPr>
          <w:b/>
          <w:spacing w:val="-22"/>
          <w:sz w:val="21"/>
        </w:rPr>
        <w:t> 分级为 </w:t>
      </w:r>
      <w:r>
        <w:rPr>
          <w:b/>
          <w:sz w:val="21"/>
        </w:rPr>
        <w:t>G1</w:t>
      </w:r>
      <w:r>
        <w:rPr>
          <w:b/>
          <w:spacing w:val="-18"/>
          <w:sz w:val="21"/>
        </w:rPr>
        <w:t> 级别</w:t>
      </w:r>
      <w:r>
        <w:rPr>
          <w:b/>
          <w:sz w:val="21"/>
        </w:rPr>
        <w:t>（核分裂像&lt;10/50</w:t>
      </w:r>
      <w:r>
        <w:rPr>
          <w:b/>
          <w:spacing w:val="-27"/>
          <w:sz w:val="21"/>
        </w:rPr>
        <w:t> </w:t>
      </w:r>
      <w:r>
        <w:rPr>
          <w:b/>
          <w:sz w:val="21"/>
        </w:rPr>
        <w:t>HPF</w:t>
      </w:r>
      <w:r>
        <w:rPr>
          <w:b/>
          <w:spacing w:val="-27"/>
          <w:sz w:val="21"/>
        </w:rPr>
        <w:t> 和</w:t>
      </w:r>
      <w:r>
        <w:rPr>
          <w:b/>
          <w:sz w:val="21"/>
        </w:rPr>
        <w:t> </w:t>
      </w:r>
      <w:r>
        <w:rPr>
          <w:b/>
          <w:spacing w:val="-2"/>
          <w:sz w:val="21"/>
        </w:rPr>
        <w:t>ki-67</w:t>
      </w:r>
      <w:r>
        <w:rPr>
          <w:rFonts w:ascii="宋体" w:hAnsi="宋体" w:eastAsia="宋体" w:hint="eastAsia"/>
          <w:b/>
          <w:spacing w:val="-2"/>
          <w:sz w:val="21"/>
        </w:rPr>
        <w:t>≤</w:t>
      </w:r>
      <w:r>
        <w:rPr>
          <w:b/>
          <w:spacing w:val="-2"/>
          <w:sz w:val="21"/>
        </w:rPr>
        <w:t>2%）或更轻分级的神经内分泌肿瘤。</w:t>
      </w:r>
    </w:p>
    <w:p>
      <w:pPr>
        <w:pStyle w:val="BodyText"/>
        <w:rPr>
          <w:b/>
          <w:sz w:val="20"/>
        </w:rPr>
      </w:pPr>
    </w:p>
    <w:p>
      <w:pPr>
        <w:pStyle w:val="BodyText"/>
        <w:spacing w:before="6"/>
        <w:rPr>
          <w:b/>
          <w:sz w:val="16"/>
        </w:rPr>
      </w:pPr>
    </w:p>
    <w:p>
      <w:pPr>
        <w:spacing w:before="0"/>
        <w:ind w:left="540" w:right="0" w:firstLine="0"/>
        <w:jc w:val="left"/>
        <w:rPr>
          <w:b/>
          <w:sz w:val="21"/>
        </w:rPr>
      </w:pPr>
      <w:r>
        <w:rPr>
          <w:spacing w:val="15"/>
          <w:sz w:val="21"/>
        </w:rPr>
        <w:t>※ </w:t>
      </w:r>
      <w:r>
        <w:rPr>
          <w:b/>
          <w:spacing w:val="-1"/>
          <w:sz w:val="21"/>
        </w:rPr>
        <w:t>“恶性肿瘤——重度”定义中所提及的术语，其解释如下：</w:t>
      </w:r>
    </w:p>
    <w:p>
      <w:pPr>
        <w:pStyle w:val="BodyText"/>
        <w:spacing w:before="9"/>
        <w:rPr>
          <w:b/>
          <w:sz w:val="27"/>
        </w:rPr>
      </w:pPr>
    </w:p>
    <w:p>
      <w:pPr>
        <w:pStyle w:val="ListParagraph"/>
        <w:numPr>
          <w:ilvl w:val="0"/>
          <w:numId w:val="15"/>
        </w:numPr>
        <w:tabs>
          <w:tab w:pos="961" w:val="left" w:leader="none"/>
        </w:tabs>
        <w:spacing w:line="240" w:lineRule="auto" w:before="0" w:after="0"/>
        <w:ind w:left="960" w:right="0" w:hanging="421"/>
        <w:jc w:val="left"/>
        <w:rPr>
          <w:sz w:val="21"/>
        </w:rPr>
      </w:pPr>
      <w:r>
        <w:rPr>
          <w:spacing w:val="-4"/>
          <w:sz w:val="21"/>
        </w:rPr>
        <w:t>组织病理学检查</w:t>
      </w:r>
    </w:p>
    <w:p>
      <w:pPr>
        <w:pStyle w:val="BodyText"/>
        <w:spacing w:before="6"/>
        <w:rPr>
          <w:sz w:val="15"/>
        </w:rPr>
      </w:pPr>
    </w:p>
    <w:p>
      <w:pPr>
        <w:pStyle w:val="BodyText"/>
        <w:spacing w:before="1"/>
        <w:ind w:left="960"/>
      </w:pPr>
      <w:r>
        <w:rPr>
          <w:spacing w:val="-3"/>
        </w:rPr>
        <w:t>组织病理学检查是通过局部切除、钳取、穿刺等手术方法，从患者机体采取病变</w:t>
      </w:r>
    </w:p>
    <w:p>
      <w:pPr>
        <w:spacing w:after="0"/>
        <w:sectPr>
          <w:pgSz w:w="11910" w:h="16840"/>
          <w:pgMar w:header="0" w:footer="1005" w:top="1460" w:bottom="1200" w:left="1680" w:right="1580"/>
        </w:sectPr>
      </w:pPr>
    </w:p>
    <w:p>
      <w:pPr>
        <w:pStyle w:val="BodyText"/>
        <w:spacing w:before="61"/>
        <w:ind w:left="540"/>
      </w:pPr>
      <w:r>
        <w:rPr>
          <w:spacing w:val="-3"/>
        </w:rPr>
        <w:t>组织块，经过包埋、切片后，进行病理检查的方法。</w:t>
      </w:r>
    </w:p>
    <w:p>
      <w:pPr>
        <w:pStyle w:val="BodyText"/>
        <w:spacing w:before="7"/>
        <w:rPr>
          <w:sz w:val="15"/>
        </w:rPr>
      </w:pPr>
    </w:p>
    <w:p>
      <w:pPr>
        <w:pStyle w:val="Heading2"/>
        <w:spacing w:line="417" w:lineRule="auto"/>
        <w:ind w:left="540" w:right="303" w:firstLine="420"/>
        <w:jc w:val="both"/>
      </w:pPr>
      <w:r>
        <w:rPr>
          <w:spacing w:val="-2"/>
        </w:rPr>
        <w:t>通过采集病变部位脱落细胞、细针吸取病变部位细胞、体腔积液分离病变细胞等</w:t>
      </w:r>
      <w:r>
        <w:rPr>
          <w:spacing w:val="-2"/>
        </w:rPr>
        <w:t>方式获取病变细胞，制成涂片，进行病理检查的方法，属于细胞病理学检查，不属于</w:t>
      </w:r>
      <w:r>
        <w:rPr>
          <w:spacing w:val="-2"/>
        </w:rPr>
        <w:t>组织病理学检查。</w:t>
      </w:r>
    </w:p>
    <w:p>
      <w:pPr>
        <w:pStyle w:val="ListParagraph"/>
        <w:numPr>
          <w:ilvl w:val="0"/>
          <w:numId w:val="15"/>
        </w:numPr>
        <w:tabs>
          <w:tab w:pos="961" w:val="left" w:leader="none"/>
        </w:tabs>
        <w:spacing w:line="269" w:lineRule="exact" w:before="0" w:after="0"/>
        <w:ind w:left="960" w:right="0" w:hanging="421"/>
        <w:jc w:val="left"/>
        <w:rPr>
          <w:sz w:val="21"/>
        </w:rPr>
      </w:pPr>
      <w:r>
        <w:rPr>
          <w:spacing w:val="-2"/>
          <w:sz w:val="21"/>
        </w:rPr>
        <w:t>ICD-10与ICD-O-</w:t>
      </w:r>
      <w:r>
        <w:rPr>
          <w:spacing w:val="-10"/>
          <w:sz w:val="21"/>
        </w:rPr>
        <w:t>3</w:t>
      </w:r>
    </w:p>
    <w:p>
      <w:pPr>
        <w:pStyle w:val="BodyText"/>
        <w:spacing w:before="7"/>
        <w:rPr>
          <w:sz w:val="15"/>
        </w:rPr>
      </w:pPr>
    </w:p>
    <w:p>
      <w:pPr>
        <w:pStyle w:val="BodyText"/>
        <w:spacing w:line="417" w:lineRule="auto"/>
        <w:ind w:left="540" w:right="223" w:firstLine="420"/>
      </w:pPr>
      <w:r>
        <w:rPr>
          <w:spacing w:val="-4"/>
        </w:rPr>
        <w:t>《疾病和有关健康问题的国际统计分类》第十次修订版（ICD-</w:t>
      </w:r>
      <w:r>
        <w:rPr>
          <w:spacing w:val="23"/>
        </w:rPr>
        <w:t>10</w:t>
      </w:r>
      <w:r>
        <w:rPr>
          <w:spacing w:val="-85"/>
        </w:rPr>
        <w:t>）</w:t>
      </w:r>
      <w:r>
        <w:rPr>
          <w:spacing w:val="-2"/>
        </w:rPr>
        <w:t>，是世界卫生组</w:t>
      </w:r>
      <w:r>
        <w:rPr>
          <w:spacing w:val="-2"/>
        </w:rPr>
        <w:t>织（WHO）</w:t>
      </w:r>
      <w:r>
        <w:rPr>
          <w:spacing w:val="-9"/>
        </w:rPr>
        <w:t>发布的国际通用的疾病分类方法。《国际疾病分类肿瘤学专辑》第三版</w:t>
      </w:r>
    </w:p>
    <w:p>
      <w:pPr>
        <w:pStyle w:val="BodyText"/>
        <w:spacing w:line="417" w:lineRule="auto"/>
        <w:ind w:left="540" w:right="222"/>
      </w:pPr>
      <w:r>
        <w:rPr>
          <w:spacing w:val="-2"/>
        </w:rPr>
        <w:t>（ICD-O-</w:t>
      </w:r>
      <w:r>
        <w:rPr>
          <w:spacing w:val="34"/>
        </w:rPr>
        <w:t>3</w:t>
      </w:r>
      <w:r>
        <w:rPr>
          <w:spacing w:val="-74"/>
        </w:rPr>
        <w:t>）</w:t>
      </w:r>
      <w:r>
        <w:rPr>
          <w:spacing w:val="15"/>
        </w:rPr>
        <w:t>，是</w:t>
      </w:r>
      <w:r>
        <w:rPr>
          <w:spacing w:val="-2"/>
        </w:rPr>
        <w:t>WHO发布的针对ICD中肿瘤形态学组织学细胞类型、动态、分化程度的</w:t>
      </w:r>
      <w:r>
        <w:rPr>
          <w:spacing w:val="-2"/>
        </w:rPr>
        <w:t>补充编码。其中形态学编码：0代表良性肿瘤；1代表动态未定性肿瘤；2代表原位癌和</w:t>
      </w:r>
      <w:r>
        <w:rPr>
          <w:spacing w:val="-2"/>
        </w:rPr>
        <w:t>非侵袭性癌；3代表恶性肿瘤（原发性</w:t>
      </w:r>
      <w:r>
        <w:rPr>
          <w:spacing w:val="-72"/>
        </w:rPr>
        <w:t>）</w:t>
      </w:r>
      <w:r>
        <w:rPr>
          <w:spacing w:val="34"/>
        </w:rPr>
        <w:t>；</w:t>
      </w:r>
      <w:r>
        <w:rPr>
          <w:spacing w:val="31"/>
        </w:rPr>
        <w:t>6</w:t>
      </w:r>
      <w:r>
        <w:rPr>
          <w:spacing w:val="-2"/>
        </w:rPr>
        <w:t>代表恶性肿瘤（转移性</w:t>
      </w:r>
      <w:r>
        <w:rPr>
          <w:spacing w:val="-74"/>
        </w:rPr>
        <w:t>）</w:t>
      </w:r>
      <w:r>
        <w:rPr>
          <w:spacing w:val="34"/>
        </w:rPr>
        <w:t>；9</w:t>
      </w:r>
      <w:r>
        <w:rPr>
          <w:spacing w:val="-2"/>
        </w:rPr>
        <w:t>代表恶性肿瘤</w:t>
      </w:r>
    </w:p>
    <w:p>
      <w:pPr>
        <w:pStyle w:val="BodyText"/>
        <w:spacing w:line="417" w:lineRule="auto"/>
        <w:ind w:left="540" w:right="436"/>
      </w:pPr>
      <w:r>
        <w:rPr>
          <w:spacing w:val="-2"/>
        </w:rPr>
        <w:t>（原发性或转移性未肯定</w:t>
      </w:r>
      <w:r>
        <w:rPr>
          <w:spacing w:val="-108"/>
        </w:rPr>
        <w:t>）</w:t>
      </w:r>
      <w:r>
        <w:rPr>
          <w:spacing w:val="-2"/>
        </w:rPr>
        <w:t>。如果出现ICD-10与ICD-O-3不一致的情况，以ICD-O-3为</w:t>
      </w:r>
      <w:r>
        <w:rPr>
          <w:spacing w:val="-6"/>
        </w:rPr>
        <w:t>准。</w:t>
      </w:r>
    </w:p>
    <w:p>
      <w:pPr>
        <w:pStyle w:val="ListParagraph"/>
        <w:numPr>
          <w:ilvl w:val="0"/>
          <w:numId w:val="15"/>
        </w:numPr>
        <w:tabs>
          <w:tab w:pos="961" w:val="left" w:leader="none"/>
        </w:tabs>
        <w:spacing w:line="269" w:lineRule="exact" w:before="0" w:after="0"/>
        <w:ind w:left="960" w:right="0" w:hanging="421"/>
        <w:jc w:val="left"/>
        <w:rPr>
          <w:sz w:val="21"/>
        </w:rPr>
      </w:pPr>
      <w:r>
        <w:rPr>
          <w:spacing w:val="-2"/>
          <w:sz w:val="21"/>
        </w:rPr>
        <w:t>TNM</w:t>
      </w:r>
      <w:r>
        <w:rPr>
          <w:spacing w:val="-6"/>
          <w:sz w:val="21"/>
        </w:rPr>
        <w:t>分期</w:t>
      </w:r>
    </w:p>
    <w:p>
      <w:pPr>
        <w:pStyle w:val="BodyText"/>
        <w:spacing w:before="6"/>
        <w:rPr>
          <w:sz w:val="15"/>
        </w:rPr>
      </w:pPr>
    </w:p>
    <w:p>
      <w:pPr>
        <w:pStyle w:val="BodyText"/>
        <w:spacing w:line="417" w:lineRule="auto"/>
        <w:ind w:left="540" w:right="223" w:firstLine="420"/>
      </w:pPr>
      <w:r>
        <w:rPr>
          <w:spacing w:val="-2"/>
        </w:rPr>
        <w:t>TNM分期采用AJCC癌症分期手册标准。该标准由美国癌症联合委员会与国际抗癌联</w:t>
      </w:r>
      <w:r>
        <w:rPr>
          <w:spacing w:val="-2"/>
        </w:rPr>
        <w:t>合会TNM委员会联合制定，是目前肿瘤医学分期的国际通用标准。T指原发肿瘤的大</w:t>
      </w:r>
    </w:p>
    <w:p>
      <w:pPr>
        <w:pStyle w:val="BodyText"/>
        <w:spacing w:line="269" w:lineRule="exact"/>
        <w:ind w:left="540"/>
      </w:pPr>
      <w:r>
        <w:rPr>
          <w:spacing w:val="-2"/>
        </w:rPr>
        <w:t>小、形态等；N指淋巴结的转移情况；M</w:t>
      </w:r>
      <w:r>
        <w:rPr>
          <w:spacing w:val="-3"/>
        </w:rPr>
        <w:t>指有无其他脏器的转移情况。</w:t>
      </w:r>
    </w:p>
    <w:p>
      <w:pPr>
        <w:pStyle w:val="BodyText"/>
        <w:spacing w:before="7"/>
        <w:rPr>
          <w:sz w:val="15"/>
        </w:rPr>
      </w:pPr>
    </w:p>
    <w:p>
      <w:pPr>
        <w:pStyle w:val="ListParagraph"/>
        <w:numPr>
          <w:ilvl w:val="0"/>
          <w:numId w:val="15"/>
        </w:numPr>
        <w:tabs>
          <w:tab w:pos="961" w:val="left" w:leader="none"/>
        </w:tabs>
        <w:spacing w:line="240" w:lineRule="auto" w:before="0" w:after="0"/>
        <w:ind w:left="960" w:right="0" w:hanging="421"/>
        <w:jc w:val="left"/>
        <w:rPr>
          <w:sz w:val="21"/>
        </w:rPr>
      </w:pPr>
      <w:r>
        <w:rPr>
          <w:spacing w:val="-2"/>
          <w:sz w:val="21"/>
        </w:rPr>
        <w:t>甲状腺癌的TNM</w:t>
      </w:r>
      <w:r>
        <w:rPr>
          <w:spacing w:val="-6"/>
          <w:sz w:val="21"/>
        </w:rPr>
        <w:t>分期</w:t>
      </w:r>
    </w:p>
    <w:p>
      <w:pPr>
        <w:pStyle w:val="BodyText"/>
        <w:spacing w:line="460" w:lineRule="atLeast" w:before="8"/>
        <w:ind w:left="540" w:right="223" w:firstLine="420"/>
      </w:pPr>
      <w:r>
        <w:rPr>
          <w:spacing w:val="-2"/>
        </w:rPr>
        <w:t>甲状腺癌的TNM分期采用目前现行的AJCC第八版定义标准，我国国家卫生健康委员</w:t>
      </w:r>
      <w:r>
        <w:rPr>
          <w:spacing w:val="-2"/>
        </w:rPr>
        <w:t>会2018年发布的《甲状腺癌诊疗规范（2018年版</w:t>
      </w:r>
      <w:r>
        <w:rPr>
          <w:spacing w:val="-108"/>
        </w:rPr>
        <w:t>）</w:t>
      </w:r>
      <w:r>
        <w:rPr>
          <w:spacing w:val="-2"/>
        </w:rPr>
        <w:t>》也采用此定义标准，具体见下：</w:t>
      </w:r>
    </w:p>
    <w:p>
      <w:pPr>
        <w:spacing w:before="146"/>
        <w:ind w:left="900" w:right="0" w:firstLine="0"/>
        <w:jc w:val="left"/>
        <w:rPr>
          <w:sz w:val="18"/>
        </w:rPr>
      </w:pPr>
      <w:r>
        <w:rPr>
          <w:spacing w:val="-2"/>
          <w:sz w:val="18"/>
        </w:rPr>
        <w:t>甲状腺乳头状癌、滤泡癌、低分化癌、</w:t>
      </w:r>
      <w:r>
        <w:rPr>
          <w:rFonts w:ascii="Cambria Math" w:hAnsi="Cambria Math" w:eastAsia="Cambria Math"/>
          <w:spacing w:val="-2"/>
          <w:sz w:val="18"/>
        </w:rPr>
        <w:t>Hürthle</w:t>
      </w:r>
      <w:r>
        <w:rPr>
          <w:spacing w:val="-4"/>
          <w:sz w:val="18"/>
        </w:rPr>
        <w:t>细胞癌和未分化癌</w:t>
      </w:r>
    </w:p>
    <w:p>
      <w:pPr>
        <w:spacing w:line="324" w:lineRule="auto" w:before="82"/>
        <w:ind w:left="900" w:right="5843" w:firstLine="0"/>
        <w:jc w:val="left"/>
        <w:rPr>
          <w:sz w:val="18"/>
        </w:rPr>
      </w:pPr>
      <w:r>
        <w:rPr>
          <w:rFonts w:ascii="Cambria Math" w:eastAsia="Cambria Math"/>
          <w:spacing w:val="-2"/>
          <w:sz w:val="18"/>
        </w:rPr>
        <w:t>pT</w:t>
      </w:r>
      <w:r>
        <w:rPr>
          <w:rFonts w:ascii="Cambria Math" w:eastAsia="Cambria Math"/>
          <w:spacing w:val="-2"/>
          <w:sz w:val="18"/>
          <w:vertAlign w:val="subscript"/>
        </w:rPr>
        <w:t>X</w:t>
      </w:r>
      <w:r>
        <w:rPr>
          <w:spacing w:val="-2"/>
          <w:sz w:val="18"/>
          <w:vertAlign w:val="baseline"/>
        </w:rPr>
        <w:t>：原发肿瘤不能评估 </w:t>
      </w:r>
      <w:r>
        <w:rPr>
          <w:rFonts w:ascii="Cambria Math" w:eastAsia="Cambria Math"/>
          <w:spacing w:val="-2"/>
          <w:sz w:val="18"/>
          <w:vertAlign w:val="baseline"/>
        </w:rPr>
        <w:t>pT</w:t>
      </w:r>
      <w:r>
        <w:rPr>
          <w:rFonts w:ascii="Cambria Math" w:eastAsia="Cambria Math"/>
          <w:spacing w:val="-2"/>
          <w:sz w:val="18"/>
          <w:vertAlign w:val="subscript"/>
        </w:rPr>
        <w:t>0</w:t>
      </w:r>
      <w:r>
        <w:rPr>
          <w:spacing w:val="-2"/>
          <w:sz w:val="18"/>
          <w:vertAlign w:val="baseline"/>
        </w:rPr>
        <w:t>：无肿瘤证据</w:t>
      </w:r>
    </w:p>
    <w:p>
      <w:pPr>
        <w:spacing w:line="324" w:lineRule="auto" w:before="1"/>
        <w:ind w:left="1260" w:right="4329" w:hanging="360"/>
        <w:jc w:val="left"/>
        <w:rPr>
          <w:rFonts w:ascii="Cambria Math" w:hAnsi="Cambria Math" w:eastAsia="Cambria Math"/>
          <w:sz w:val="18"/>
        </w:rPr>
      </w:pPr>
      <w:r>
        <w:rPr>
          <w:rFonts w:ascii="Cambria Math" w:hAnsi="Cambria Math" w:eastAsia="Cambria Math"/>
          <w:spacing w:val="-2"/>
          <w:sz w:val="18"/>
        </w:rPr>
        <w:t>pT</w:t>
      </w:r>
      <w:r>
        <w:rPr>
          <w:rFonts w:ascii="Cambria Math" w:hAnsi="Cambria Math" w:eastAsia="Cambria Math"/>
          <w:spacing w:val="-2"/>
          <w:sz w:val="18"/>
          <w:vertAlign w:val="subscript"/>
        </w:rPr>
        <w:t>1</w:t>
      </w:r>
      <w:r>
        <w:rPr>
          <w:spacing w:val="-2"/>
          <w:sz w:val="18"/>
          <w:vertAlign w:val="baseline"/>
        </w:rPr>
        <w:t>：肿瘤局限在甲状腺内，最大径≤</w:t>
      </w:r>
      <w:r>
        <w:rPr>
          <w:rFonts w:ascii="Cambria Math" w:hAnsi="Cambria Math" w:eastAsia="Cambria Math"/>
          <w:spacing w:val="-2"/>
          <w:sz w:val="18"/>
          <w:vertAlign w:val="baseline"/>
        </w:rPr>
        <w:t>2c</w:t>
      </w:r>
      <w:r>
        <w:rPr>
          <w:rFonts w:ascii="Cambria Math" w:hAnsi="Cambria Math" w:eastAsia="Cambria Math"/>
          <w:spacing w:val="-2"/>
          <w:sz w:val="18"/>
          <w:vertAlign w:val="baseline"/>
        </w:rPr>
        <w:t>m</w:t>
      </w:r>
      <w:r>
        <w:rPr>
          <w:rFonts w:ascii="Cambria Math" w:hAnsi="Cambria Math" w:eastAsia="Cambria Math"/>
          <w:spacing w:val="40"/>
          <w:sz w:val="18"/>
          <w:vertAlign w:val="baseline"/>
        </w:rPr>
        <w:t> </w:t>
      </w:r>
      <w:r>
        <w:rPr>
          <w:rFonts w:ascii="Cambria Math" w:hAnsi="Cambria Math" w:eastAsia="Cambria Math"/>
          <w:spacing w:val="-2"/>
          <w:sz w:val="18"/>
          <w:vertAlign w:val="baseline"/>
        </w:rPr>
        <w:t>T</w:t>
      </w:r>
      <w:r>
        <w:rPr>
          <w:rFonts w:ascii="Cambria Math" w:hAnsi="Cambria Math" w:eastAsia="Cambria Math"/>
          <w:spacing w:val="-2"/>
          <w:sz w:val="18"/>
          <w:vertAlign w:val="subscript"/>
        </w:rPr>
        <w:t>1a</w:t>
      </w:r>
      <w:r>
        <w:rPr>
          <w:spacing w:val="-2"/>
          <w:sz w:val="18"/>
          <w:vertAlign w:val="baseline"/>
        </w:rPr>
        <w:t>肿瘤最大径≤</w:t>
      </w:r>
      <w:r>
        <w:rPr>
          <w:rFonts w:ascii="Cambria Math" w:hAnsi="Cambria Math" w:eastAsia="Cambria Math"/>
          <w:spacing w:val="-2"/>
          <w:sz w:val="18"/>
          <w:vertAlign w:val="baseline"/>
        </w:rPr>
        <w:t>1cm</w:t>
      </w:r>
    </w:p>
    <w:p>
      <w:pPr>
        <w:spacing w:line="324" w:lineRule="auto" w:before="1"/>
        <w:ind w:left="900" w:right="4707" w:firstLine="360"/>
        <w:jc w:val="left"/>
        <w:rPr>
          <w:rFonts w:ascii="Cambria Math" w:hAnsi="Cambria Math" w:eastAsia="Cambria Math"/>
          <w:sz w:val="18"/>
        </w:rPr>
      </w:pPr>
      <w:r>
        <w:rPr>
          <w:rFonts w:ascii="Cambria Math" w:hAnsi="Cambria Math" w:eastAsia="Cambria Math"/>
          <w:spacing w:val="-2"/>
          <w:sz w:val="18"/>
        </w:rPr>
        <w:t>T</w:t>
      </w:r>
      <w:r>
        <w:rPr>
          <w:rFonts w:ascii="Cambria Math" w:hAnsi="Cambria Math" w:eastAsia="Cambria Math"/>
          <w:spacing w:val="-2"/>
          <w:sz w:val="18"/>
          <w:vertAlign w:val="subscript"/>
        </w:rPr>
        <w:t>1b</w:t>
      </w:r>
      <w:r>
        <w:rPr>
          <w:spacing w:val="-2"/>
          <w:sz w:val="18"/>
          <w:vertAlign w:val="baseline"/>
        </w:rPr>
        <w:t>肿瘤最大径＞</w:t>
      </w:r>
      <w:r>
        <w:rPr>
          <w:rFonts w:ascii="Cambria Math" w:hAnsi="Cambria Math" w:eastAsia="Cambria Math"/>
          <w:spacing w:val="-2"/>
          <w:sz w:val="18"/>
          <w:vertAlign w:val="baseline"/>
        </w:rPr>
        <w:t>1cm</w:t>
      </w:r>
      <w:r>
        <w:rPr>
          <w:spacing w:val="-2"/>
          <w:sz w:val="18"/>
          <w:vertAlign w:val="baseline"/>
        </w:rPr>
        <w:t>，≤</w:t>
      </w:r>
      <w:r>
        <w:rPr>
          <w:rFonts w:ascii="Cambria Math" w:hAnsi="Cambria Math" w:eastAsia="Cambria Math"/>
          <w:spacing w:val="-2"/>
          <w:sz w:val="18"/>
          <w:vertAlign w:val="baseline"/>
        </w:rPr>
        <w:t>2c</w:t>
      </w:r>
      <w:r>
        <w:rPr>
          <w:rFonts w:ascii="Cambria Math" w:hAnsi="Cambria Math" w:eastAsia="Cambria Math"/>
          <w:spacing w:val="-2"/>
          <w:sz w:val="18"/>
          <w:vertAlign w:val="baseline"/>
        </w:rPr>
        <w:t>m</w:t>
      </w:r>
      <w:r>
        <w:rPr>
          <w:rFonts w:ascii="Cambria Math" w:hAnsi="Cambria Math" w:eastAsia="Cambria Math"/>
          <w:spacing w:val="40"/>
          <w:sz w:val="18"/>
          <w:vertAlign w:val="baseline"/>
        </w:rPr>
        <w:t> </w:t>
      </w:r>
      <w:r>
        <w:rPr>
          <w:rFonts w:ascii="Cambria Math" w:hAnsi="Cambria Math" w:eastAsia="Cambria Math"/>
          <w:spacing w:val="-2"/>
          <w:sz w:val="18"/>
          <w:vertAlign w:val="baseline"/>
        </w:rPr>
        <w:t>pT</w:t>
      </w:r>
      <w:r>
        <w:rPr>
          <w:rFonts w:ascii="Cambria Math" w:hAnsi="Cambria Math" w:eastAsia="Cambria Math"/>
          <w:spacing w:val="-2"/>
          <w:sz w:val="18"/>
          <w:vertAlign w:val="subscript"/>
        </w:rPr>
        <w:t>2</w:t>
      </w:r>
      <w:r>
        <w:rPr>
          <w:spacing w:val="-2"/>
          <w:sz w:val="18"/>
          <w:vertAlign w:val="baseline"/>
        </w:rPr>
        <w:t>：肿瘤</w:t>
      </w:r>
      <w:r>
        <w:rPr>
          <w:rFonts w:ascii="Cambria Math" w:hAnsi="Cambria Math" w:eastAsia="Cambria Math"/>
          <w:spacing w:val="-2"/>
          <w:sz w:val="18"/>
          <w:vertAlign w:val="baseline"/>
        </w:rPr>
        <w:t>2</w:t>
      </w:r>
      <w:r>
        <w:rPr>
          <w:spacing w:val="-2"/>
          <w:sz w:val="18"/>
          <w:vertAlign w:val="baseline"/>
        </w:rPr>
        <w:t>～</w:t>
      </w:r>
      <w:r>
        <w:rPr>
          <w:rFonts w:ascii="Cambria Math" w:hAnsi="Cambria Math" w:eastAsia="Cambria Math"/>
          <w:spacing w:val="-2"/>
          <w:sz w:val="18"/>
          <w:vertAlign w:val="baseline"/>
        </w:rPr>
        <w:t>4cm</w:t>
      </w:r>
    </w:p>
    <w:p>
      <w:pPr>
        <w:spacing w:line="324" w:lineRule="auto" w:before="2"/>
        <w:ind w:left="900" w:right="2866" w:firstLine="0"/>
        <w:jc w:val="left"/>
        <w:rPr>
          <w:sz w:val="18"/>
        </w:rPr>
      </w:pPr>
      <w:r>
        <w:rPr>
          <w:rFonts w:ascii="Cambria Math" w:eastAsia="Cambria Math"/>
          <w:spacing w:val="-2"/>
          <w:sz w:val="18"/>
        </w:rPr>
        <w:t>pT</w:t>
      </w:r>
      <w:r>
        <w:rPr>
          <w:rFonts w:ascii="Cambria Math" w:eastAsia="Cambria Math"/>
          <w:spacing w:val="-2"/>
          <w:sz w:val="18"/>
          <w:vertAlign w:val="subscript"/>
        </w:rPr>
        <w:t>3</w:t>
      </w:r>
      <w:r>
        <w:rPr>
          <w:spacing w:val="-2"/>
          <w:sz w:val="18"/>
          <w:vertAlign w:val="baseline"/>
        </w:rPr>
        <w:t>：肿瘤</w:t>
      </w:r>
      <w:r>
        <w:rPr>
          <w:rFonts w:ascii="Cambria Math" w:eastAsia="Cambria Math"/>
          <w:spacing w:val="-2"/>
          <w:sz w:val="18"/>
          <w:vertAlign w:val="baseline"/>
        </w:rPr>
        <w:t>&gt;4cm</w:t>
      </w:r>
      <w:r>
        <w:rPr>
          <w:spacing w:val="-2"/>
          <w:sz w:val="18"/>
          <w:vertAlign w:val="baseline"/>
        </w:rPr>
        <w:t>，局限于甲状腺内或大体侵犯甲状腺外带状肌 </w:t>
      </w:r>
      <w:r>
        <w:rPr>
          <w:rFonts w:ascii="Cambria Math" w:eastAsia="Cambria Math"/>
          <w:spacing w:val="-2"/>
          <w:sz w:val="18"/>
          <w:vertAlign w:val="baseline"/>
        </w:rPr>
        <w:t>pT</w:t>
      </w:r>
      <w:r>
        <w:rPr>
          <w:rFonts w:ascii="Cambria Math" w:eastAsia="Cambria Math"/>
          <w:spacing w:val="-2"/>
          <w:sz w:val="18"/>
          <w:vertAlign w:val="subscript"/>
        </w:rPr>
        <w:t>3a</w:t>
      </w:r>
      <w:r>
        <w:rPr>
          <w:spacing w:val="-2"/>
          <w:sz w:val="18"/>
          <w:vertAlign w:val="baseline"/>
        </w:rPr>
        <w:t>：肿瘤</w:t>
      </w:r>
      <w:r>
        <w:rPr>
          <w:rFonts w:ascii="Cambria Math" w:eastAsia="Cambria Math"/>
          <w:spacing w:val="-2"/>
          <w:sz w:val="18"/>
          <w:vertAlign w:val="baseline"/>
        </w:rPr>
        <w:t>&gt;4cm</w:t>
      </w:r>
      <w:r>
        <w:rPr>
          <w:spacing w:val="-2"/>
          <w:sz w:val="18"/>
          <w:vertAlign w:val="baseline"/>
        </w:rPr>
        <w:t>，局限于甲状腺内</w:t>
      </w:r>
    </w:p>
    <w:p>
      <w:pPr>
        <w:spacing w:before="1"/>
        <w:ind w:left="900" w:right="0" w:firstLine="0"/>
        <w:jc w:val="left"/>
        <w:rPr>
          <w:sz w:val="18"/>
        </w:rPr>
      </w:pPr>
      <w:r>
        <w:rPr>
          <w:rFonts w:ascii="Cambria Math" w:eastAsia="Cambria Math"/>
          <w:sz w:val="18"/>
        </w:rPr>
        <w:t>pT</w:t>
      </w:r>
      <w:r>
        <w:rPr>
          <w:rFonts w:ascii="Cambria Math" w:eastAsia="Cambria Math"/>
          <w:sz w:val="18"/>
          <w:vertAlign w:val="subscript"/>
        </w:rPr>
        <w:t>3b</w:t>
      </w:r>
      <w:r>
        <w:rPr>
          <w:spacing w:val="-1"/>
          <w:sz w:val="18"/>
          <w:vertAlign w:val="baseline"/>
        </w:rPr>
        <w:t>：大体侵犯甲状腺外带状肌，无论肿瘤大小</w:t>
      </w:r>
    </w:p>
    <w:p>
      <w:pPr>
        <w:spacing w:before="82"/>
        <w:ind w:left="1260" w:right="0" w:firstLine="0"/>
        <w:jc w:val="left"/>
        <w:rPr>
          <w:sz w:val="18"/>
        </w:rPr>
      </w:pPr>
      <w:r>
        <w:rPr>
          <w:spacing w:val="-1"/>
          <w:sz w:val="18"/>
        </w:rPr>
        <w:t>带状肌包括：胸骨舌骨肌、胸骨甲状肌、甲状舌骨肌、肩胛舌骨肌</w:t>
      </w:r>
    </w:p>
    <w:p>
      <w:pPr>
        <w:spacing w:before="81"/>
        <w:ind w:left="900" w:right="0" w:firstLine="0"/>
        <w:jc w:val="left"/>
        <w:rPr>
          <w:sz w:val="18"/>
        </w:rPr>
      </w:pPr>
      <w:r>
        <w:rPr>
          <w:rFonts w:ascii="Cambria Math" w:eastAsia="Cambria Math"/>
          <w:spacing w:val="-2"/>
          <w:sz w:val="18"/>
        </w:rPr>
        <w:t>pT</w:t>
      </w:r>
      <w:r>
        <w:rPr>
          <w:rFonts w:ascii="Cambria Math" w:eastAsia="Cambria Math"/>
          <w:spacing w:val="-2"/>
          <w:sz w:val="18"/>
          <w:vertAlign w:val="subscript"/>
        </w:rPr>
        <w:t>4</w:t>
      </w:r>
      <w:r>
        <w:rPr>
          <w:spacing w:val="-3"/>
          <w:sz w:val="18"/>
          <w:vertAlign w:val="baseline"/>
        </w:rPr>
        <w:t>：大体侵犯甲状腺外带状肌外</w:t>
      </w:r>
    </w:p>
    <w:p>
      <w:pPr>
        <w:spacing w:line="324" w:lineRule="auto" w:before="82"/>
        <w:ind w:left="900" w:right="3618" w:firstLine="0"/>
        <w:jc w:val="left"/>
        <w:rPr>
          <w:sz w:val="18"/>
        </w:rPr>
      </w:pPr>
      <w:r>
        <w:rPr>
          <w:rFonts w:ascii="Cambria Math" w:eastAsia="Cambria Math"/>
          <w:spacing w:val="-2"/>
          <w:sz w:val="18"/>
        </w:rPr>
        <w:t>pT</w:t>
      </w:r>
      <w:r>
        <w:rPr>
          <w:rFonts w:ascii="Cambria Math" w:eastAsia="Cambria Math"/>
          <w:spacing w:val="-2"/>
          <w:sz w:val="18"/>
          <w:vertAlign w:val="subscript"/>
        </w:rPr>
        <w:t>4a</w:t>
      </w:r>
      <w:r>
        <w:rPr>
          <w:spacing w:val="-2"/>
          <w:sz w:val="18"/>
          <w:vertAlign w:val="baseline"/>
        </w:rPr>
        <w:t>：侵犯喉、气管、食管、喉反神经及皮下软组织 </w:t>
      </w:r>
      <w:r>
        <w:rPr>
          <w:rFonts w:ascii="Cambria Math" w:eastAsia="Cambria Math"/>
          <w:spacing w:val="-2"/>
          <w:w w:val="105"/>
          <w:sz w:val="18"/>
          <w:vertAlign w:val="baseline"/>
        </w:rPr>
        <w:t>pT</w:t>
      </w:r>
      <w:r>
        <w:rPr>
          <w:rFonts w:ascii="Cambria Math" w:eastAsia="Cambria Math"/>
          <w:spacing w:val="-2"/>
          <w:w w:val="105"/>
          <w:sz w:val="18"/>
          <w:vertAlign w:val="subscript"/>
        </w:rPr>
        <w:t>4b</w:t>
      </w:r>
      <w:r>
        <w:rPr>
          <w:spacing w:val="-2"/>
          <w:w w:val="105"/>
          <w:sz w:val="18"/>
          <w:vertAlign w:val="baseline"/>
        </w:rPr>
        <w:t>：</w:t>
      </w:r>
      <w:r>
        <w:rPr>
          <w:spacing w:val="-2"/>
          <w:w w:val="105"/>
          <w:sz w:val="18"/>
          <w:vertAlign w:val="baseline"/>
        </w:rPr>
        <w:t>侵</w:t>
      </w:r>
      <w:r>
        <w:rPr>
          <w:spacing w:val="-2"/>
          <w:w w:val="105"/>
          <w:sz w:val="18"/>
          <w:vertAlign w:val="baseline"/>
        </w:rPr>
        <w:t>犯</w:t>
      </w:r>
      <w:r>
        <w:rPr>
          <w:spacing w:val="-2"/>
          <w:w w:val="105"/>
          <w:sz w:val="18"/>
          <w:vertAlign w:val="baseline"/>
        </w:rPr>
        <w:t>椎</w:t>
      </w:r>
      <w:r>
        <w:rPr>
          <w:spacing w:val="-2"/>
          <w:w w:val="105"/>
          <w:sz w:val="18"/>
          <w:vertAlign w:val="baseline"/>
        </w:rPr>
        <w:t>前</w:t>
      </w:r>
      <w:r>
        <w:rPr>
          <w:spacing w:val="-2"/>
          <w:w w:val="105"/>
          <w:sz w:val="18"/>
          <w:vertAlign w:val="baseline"/>
        </w:rPr>
        <w:t>筋</w:t>
      </w:r>
      <w:r>
        <w:rPr>
          <w:spacing w:val="-2"/>
          <w:w w:val="105"/>
          <w:sz w:val="18"/>
          <w:vertAlign w:val="baseline"/>
        </w:rPr>
        <w:t>膜</w:t>
      </w:r>
      <w:r>
        <w:rPr>
          <w:spacing w:val="-2"/>
          <w:w w:val="105"/>
          <w:sz w:val="18"/>
          <w:vertAlign w:val="baseline"/>
        </w:rPr>
        <w:t>，</w:t>
      </w:r>
      <w:r>
        <w:rPr>
          <w:spacing w:val="-2"/>
          <w:w w:val="105"/>
          <w:sz w:val="18"/>
          <w:vertAlign w:val="baseline"/>
        </w:rPr>
        <w:t>或</w:t>
      </w:r>
      <w:r>
        <w:rPr>
          <w:spacing w:val="-2"/>
          <w:w w:val="105"/>
          <w:sz w:val="18"/>
          <w:vertAlign w:val="baseline"/>
        </w:rPr>
        <w:t>包</w:t>
      </w:r>
      <w:r>
        <w:rPr>
          <w:spacing w:val="-2"/>
          <w:w w:val="105"/>
          <w:sz w:val="18"/>
          <w:vertAlign w:val="baseline"/>
        </w:rPr>
        <w:t>裹</w:t>
      </w:r>
      <w:r>
        <w:rPr>
          <w:spacing w:val="-2"/>
          <w:w w:val="105"/>
          <w:sz w:val="18"/>
          <w:vertAlign w:val="baseline"/>
        </w:rPr>
        <w:t>颈</w:t>
      </w:r>
      <w:r>
        <w:rPr>
          <w:spacing w:val="-2"/>
          <w:w w:val="105"/>
          <w:sz w:val="18"/>
          <w:vertAlign w:val="baseline"/>
        </w:rPr>
        <w:t>动</w:t>
      </w:r>
      <w:r>
        <w:rPr>
          <w:spacing w:val="-2"/>
          <w:w w:val="105"/>
          <w:sz w:val="18"/>
          <w:vertAlign w:val="baseline"/>
        </w:rPr>
        <w:t>脉</w:t>
      </w:r>
      <w:r>
        <w:rPr>
          <w:spacing w:val="-2"/>
          <w:w w:val="105"/>
          <w:sz w:val="18"/>
          <w:vertAlign w:val="baseline"/>
        </w:rPr>
        <w:t>、</w:t>
      </w:r>
      <w:r>
        <w:rPr>
          <w:spacing w:val="-2"/>
          <w:w w:val="105"/>
          <w:sz w:val="18"/>
          <w:vertAlign w:val="baseline"/>
        </w:rPr>
        <w:t>纵</w:t>
      </w:r>
      <w:r>
        <w:rPr>
          <w:spacing w:val="-2"/>
          <w:w w:val="105"/>
          <w:sz w:val="18"/>
          <w:vertAlign w:val="baseline"/>
        </w:rPr>
        <w:t>隔</w:t>
      </w:r>
      <w:r>
        <w:rPr>
          <w:spacing w:val="-2"/>
          <w:w w:val="105"/>
          <w:sz w:val="18"/>
          <w:vertAlign w:val="baseline"/>
        </w:rPr>
        <w:t>血</w:t>
      </w:r>
      <w:r>
        <w:rPr>
          <w:spacing w:val="-2"/>
          <w:w w:val="105"/>
          <w:sz w:val="18"/>
          <w:vertAlign w:val="baseline"/>
        </w:rPr>
        <w:t>管</w:t>
      </w:r>
    </w:p>
    <w:p>
      <w:pPr>
        <w:spacing w:before="1"/>
        <w:ind w:left="900" w:right="0" w:firstLine="0"/>
        <w:jc w:val="left"/>
        <w:rPr>
          <w:sz w:val="18"/>
        </w:rPr>
      </w:pPr>
      <w:r>
        <w:rPr>
          <w:spacing w:val="-2"/>
          <w:sz w:val="18"/>
        </w:rPr>
        <w:t>甲状腺髓样癌</w:t>
      </w:r>
    </w:p>
    <w:p>
      <w:pPr>
        <w:spacing w:before="81"/>
        <w:ind w:left="900" w:right="0" w:firstLine="0"/>
        <w:jc w:val="left"/>
        <w:rPr>
          <w:sz w:val="18"/>
        </w:rPr>
      </w:pPr>
      <w:r>
        <w:rPr>
          <w:rFonts w:ascii="Cambria Math" w:eastAsia="Cambria Math"/>
          <w:sz w:val="18"/>
        </w:rPr>
        <w:t>pT</w:t>
      </w:r>
      <w:r>
        <w:rPr>
          <w:rFonts w:ascii="Cambria Math" w:eastAsia="Cambria Math"/>
          <w:sz w:val="18"/>
          <w:vertAlign w:val="subscript"/>
        </w:rPr>
        <w:t>X</w:t>
      </w:r>
      <w:r>
        <w:rPr>
          <w:spacing w:val="-2"/>
          <w:sz w:val="18"/>
          <w:vertAlign w:val="baseline"/>
        </w:rPr>
        <w:t>：原发肿瘤不能评估</w:t>
      </w:r>
    </w:p>
    <w:p>
      <w:pPr>
        <w:spacing w:after="0"/>
        <w:jc w:val="left"/>
        <w:rPr>
          <w:sz w:val="18"/>
        </w:rPr>
        <w:sectPr>
          <w:pgSz w:w="11910" w:h="16840"/>
          <w:pgMar w:header="0" w:footer="1005" w:top="1460" w:bottom="1200" w:left="1680" w:right="1580"/>
        </w:sectPr>
      </w:pPr>
    </w:p>
    <w:p>
      <w:pPr>
        <w:spacing w:before="80"/>
        <w:ind w:left="900" w:right="0" w:firstLine="0"/>
        <w:jc w:val="left"/>
        <w:rPr>
          <w:sz w:val="18"/>
        </w:rPr>
      </w:pPr>
      <w:r>
        <w:rPr>
          <w:rFonts w:ascii="Cambria Math" w:eastAsia="Cambria Math"/>
          <w:spacing w:val="-2"/>
          <w:sz w:val="18"/>
        </w:rPr>
        <w:t>pT</w:t>
      </w:r>
      <w:r>
        <w:rPr>
          <w:rFonts w:ascii="Cambria Math" w:eastAsia="Cambria Math"/>
          <w:spacing w:val="-2"/>
          <w:sz w:val="18"/>
          <w:vertAlign w:val="subscript"/>
        </w:rPr>
        <w:t>0</w:t>
      </w:r>
      <w:r>
        <w:rPr>
          <w:spacing w:val="-4"/>
          <w:sz w:val="18"/>
          <w:vertAlign w:val="baseline"/>
        </w:rPr>
        <w:t>：无肿瘤证据</w:t>
      </w:r>
    </w:p>
    <w:p>
      <w:pPr>
        <w:spacing w:line="324" w:lineRule="auto" w:before="81"/>
        <w:ind w:left="1260" w:right="4329" w:hanging="360"/>
        <w:jc w:val="left"/>
        <w:rPr>
          <w:rFonts w:ascii="Cambria Math" w:hAnsi="Cambria Math" w:eastAsia="Cambria Math"/>
          <w:sz w:val="18"/>
        </w:rPr>
      </w:pPr>
      <w:r>
        <w:rPr>
          <w:rFonts w:ascii="Cambria Math" w:hAnsi="Cambria Math" w:eastAsia="Cambria Math"/>
          <w:spacing w:val="-2"/>
          <w:sz w:val="18"/>
        </w:rPr>
        <w:t>pT</w:t>
      </w:r>
      <w:r>
        <w:rPr>
          <w:rFonts w:ascii="Cambria Math" w:hAnsi="Cambria Math" w:eastAsia="Cambria Math"/>
          <w:spacing w:val="-2"/>
          <w:sz w:val="18"/>
          <w:vertAlign w:val="subscript"/>
        </w:rPr>
        <w:t>1</w:t>
      </w:r>
      <w:r>
        <w:rPr>
          <w:spacing w:val="-2"/>
          <w:sz w:val="18"/>
          <w:vertAlign w:val="baseline"/>
        </w:rPr>
        <w:t>：肿瘤局限在甲状腺内，最大径</w:t>
      </w:r>
      <w:r>
        <w:rPr>
          <w:rFonts w:ascii="Cambria Math" w:hAnsi="Cambria Math" w:eastAsia="Cambria Math"/>
          <w:spacing w:val="-2"/>
          <w:sz w:val="18"/>
          <w:vertAlign w:val="baseline"/>
        </w:rPr>
        <w:t>≤2cm</w:t>
      </w:r>
      <w:r>
        <w:rPr>
          <w:rFonts w:ascii="Cambria Math" w:hAnsi="Cambria Math" w:eastAsia="Cambria Math"/>
          <w:spacing w:val="40"/>
          <w:sz w:val="18"/>
          <w:vertAlign w:val="baseline"/>
        </w:rPr>
        <w:t> </w:t>
      </w:r>
      <w:r>
        <w:rPr>
          <w:rFonts w:ascii="Cambria Math" w:hAnsi="Cambria Math" w:eastAsia="Cambria Math"/>
          <w:spacing w:val="-2"/>
          <w:sz w:val="18"/>
          <w:vertAlign w:val="baseline"/>
        </w:rPr>
        <w:t>T</w:t>
      </w:r>
      <w:r>
        <w:rPr>
          <w:rFonts w:ascii="Cambria Math" w:hAnsi="Cambria Math" w:eastAsia="Cambria Math"/>
          <w:spacing w:val="-2"/>
          <w:sz w:val="18"/>
          <w:vertAlign w:val="subscript"/>
        </w:rPr>
        <w:t>1a</w:t>
      </w:r>
      <w:r>
        <w:rPr>
          <w:spacing w:val="-2"/>
          <w:sz w:val="18"/>
          <w:vertAlign w:val="baseline"/>
        </w:rPr>
        <w:t>肿瘤最大径</w:t>
      </w:r>
      <w:r>
        <w:rPr>
          <w:rFonts w:ascii="Cambria Math" w:hAnsi="Cambria Math" w:eastAsia="Cambria Math"/>
          <w:spacing w:val="-2"/>
          <w:sz w:val="18"/>
          <w:vertAlign w:val="baseline"/>
        </w:rPr>
        <w:t>≤1cm</w:t>
      </w:r>
    </w:p>
    <w:p>
      <w:pPr>
        <w:spacing w:line="324" w:lineRule="auto" w:before="2"/>
        <w:ind w:left="900" w:right="4707" w:firstLine="360"/>
        <w:jc w:val="left"/>
        <w:rPr>
          <w:rFonts w:ascii="Cambria Math" w:hAnsi="Cambria Math" w:eastAsia="Cambria Math"/>
          <w:sz w:val="18"/>
        </w:rPr>
      </w:pPr>
      <w:r>
        <w:rPr>
          <w:rFonts w:ascii="Cambria Math" w:hAnsi="Cambria Math" w:eastAsia="Cambria Math"/>
          <w:spacing w:val="-2"/>
          <w:sz w:val="18"/>
        </w:rPr>
        <w:t>T</w:t>
      </w:r>
      <w:r>
        <w:rPr>
          <w:rFonts w:ascii="Cambria Math" w:hAnsi="Cambria Math" w:eastAsia="Cambria Math"/>
          <w:spacing w:val="-2"/>
          <w:sz w:val="18"/>
          <w:vertAlign w:val="subscript"/>
        </w:rPr>
        <w:t>1b</w:t>
      </w:r>
      <w:r>
        <w:rPr>
          <w:spacing w:val="-2"/>
          <w:sz w:val="18"/>
          <w:vertAlign w:val="baseline"/>
        </w:rPr>
        <w:t>肿瘤最大径＞</w:t>
      </w:r>
      <w:r>
        <w:rPr>
          <w:rFonts w:ascii="Cambria Math" w:hAnsi="Cambria Math" w:eastAsia="Cambria Math"/>
          <w:spacing w:val="-2"/>
          <w:sz w:val="18"/>
          <w:vertAlign w:val="baseline"/>
        </w:rPr>
        <w:t>1cm</w:t>
      </w:r>
      <w:r>
        <w:rPr>
          <w:spacing w:val="-2"/>
          <w:sz w:val="18"/>
          <w:vertAlign w:val="baseline"/>
        </w:rPr>
        <w:t>，</w:t>
      </w:r>
      <w:r>
        <w:rPr>
          <w:rFonts w:ascii="Cambria Math" w:hAnsi="Cambria Math" w:eastAsia="Cambria Math"/>
          <w:spacing w:val="-2"/>
          <w:sz w:val="18"/>
          <w:vertAlign w:val="baseline"/>
        </w:rPr>
        <w:t>≤2c</w:t>
      </w:r>
      <w:r>
        <w:rPr>
          <w:rFonts w:ascii="Cambria Math" w:hAnsi="Cambria Math" w:eastAsia="Cambria Math"/>
          <w:spacing w:val="-2"/>
          <w:sz w:val="18"/>
          <w:vertAlign w:val="baseline"/>
        </w:rPr>
        <w:t>m</w:t>
      </w:r>
      <w:r>
        <w:rPr>
          <w:rFonts w:ascii="Cambria Math" w:hAnsi="Cambria Math" w:eastAsia="Cambria Math"/>
          <w:spacing w:val="40"/>
          <w:sz w:val="18"/>
          <w:vertAlign w:val="baseline"/>
        </w:rPr>
        <w:t> </w:t>
      </w:r>
      <w:r>
        <w:rPr>
          <w:rFonts w:ascii="Cambria Math" w:hAnsi="Cambria Math" w:eastAsia="Cambria Math"/>
          <w:spacing w:val="-2"/>
          <w:sz w:val="18"/>
          <w:vertAlign w:val="baseline"/>
        </w:rPr>
        <w:t>pT</w:t>
      </w:r>
      <w:r>
        <w:rPr>
          <w:rFonts w:ascii="Cambria Math" w:hAnsi="Cambria Math" w:eastAsia="Cambria Math"/>
          <w:spacing w:val="-2"/>
          <w:sz w:val="18"/>
          <w:vertAlign w:val="subscript"/>
        </w:rPr>
        <w:t>2</w:t>
      </w:r>
      <w:r>
        <w:rPr>
          <w:spacing w:val="-2"/>
          <w:sz w:val="18"/>
          <w:vertAlign w:val="baseline"/>
        </w:rPr>
        <w:t>：肿瘤</w:t>
      </w:r>
      <w:r>
        <w:rPr>
          <w:rFonts w:ascii="Cambria Math" w:hAnsi="Cambria Math" w:eastAsia="Cambria Math"/>
          <w:spacing w:val="-2"/>
          <w:sz w:val="18"/>
          <w:vertAlign w:val="baseline"/>
        </w:rPr>
        <w:t>2</w:t>
      </w:r>
      <w:r>
        <w:rPr>
          <w:spacing w:val="-2"/>
          <w:sz w:val="18"/>
          <w:vertAlign w:val="baseline"/>
        </w:rPr>
        <w:t>～</w:t>
      </w:r>
      <w:r>
        <w:rPr>
          <w:rFonts w:ascii="Cambria Math" w:hAnsi="Cambria Math" w:eastAsia="Cambria Math"/>
          <w:spacing w:val="-2"/>
          <w:sz w:val="18"/>
          <w:vertAlign w:val="baseline"/>
        </w:rPr>
        <w:t>4cm</w:t>
      </w:r>
    </w:p>
    <w:p>
      <w:pPr>
        <w:spacing w:line="324" w:lineRule="auto" w:before="1"/>
        <w:ind w:left="900" w:right="2866" w:firstLine="0"/>
        <w:jc w:val="left"/>
        <w:rPr>
          <w:sz w:val="18"/>
        </w:rPr>
      </w:pPr>
      <w:r>
        <w:rPr>
          <w:rFonts w:ascii="Cambria Math" w:eastAsia="Cambria Math"/>
          <w:spacing w:val="-2"/>
          <w:sz w:val="18"/>
        </w:rPr>
        <w:t>pT</w:t>
      </w:r>
      <w:r>
        <w:rPr>
          <w:rFonts w:ascii="Cambria Math" w:eastAsia="Cambria Math"/>
          <w:spacing w:val="-2"/>
          <w:sz w:val="18"/>
          <w:vertAlign w:val="subscript"/>
        </w:rPr>
        <w:t>3</w:t>
      </w:r>
      <w:r>
        <w:rPr>
          <w:spacing w:val="-2"/>
          <w:sz w:val="18"/>
          <w:vertAlign w:val="baseline"/>
        </w:rPr>
        <w:t>：肿瘤</w:t>
      </w:r>
      <w:r>
        <w:rPr>
          <w:rFonts w:ascii="Cambria Math" w:eastAsia="Cambria Math"/>
          <w:spacing w:val="-2"/>
          <w:sz w:val="18"/>
          <w:vertAlign w:val="baseline"/>
        </w:rPr>
        <w:t>&gt;4cm</w:t>
      </w:r>
      <w:r>
        <w:rPr>
          <w:spacing w:val="-2"/>
          <w:sz w:val="18"/>
          <w:vertAlign w:val="baseline"/>
        </w:rPr>
        <w:t>，局限于甲状腺内或大体侵犯甲状腺外带状肌 </w:t>
      </w:r>
      <w:r>
        <w:rPr>
          <w:rFonts w:ascii="Cambria Math" w:eastAsia="Cambria Math"/>
          <w:spacing w:val="-2"/>
          <w:sz w:val="18"/>
          <w:vertAlign w:val="baseline"/>
        </w:rPr>
        <w:t>pT</w:t>
      </w:r>
      <w:r>
        <w:rPr>
          <w:rFonts w:ascii="Cambria Math" w:eastAsia="Cambria Math"/>
          <w:spacing w:val="-2"/>
          <w:sz w:val="18"/>
          <w:vertAlign w:val="subscript"/>
        </w:rPr>
        <w:t>3a</w:t>
      </w:r>
      <w:r>
        <w:rPr>
          <w:spacing w:val="-2"/>
          <w:sz w:val="18"/>
          <w:vertAlign w:val="baseline"/>
        </w:rPr>
        <w:t>：肿瘤</w:t>
      </w:r>
      <w:r>
        <w:rPr>
          <w:rFonts w:ascii="Cambria Math" w:eastAsia="Cambria Math"/>
          <w:spacing w:val="-2"/>
          <w:sz w:val="18"/>
          <w:vertAlign w:val="baseline"/>
        </w:rPr>
        <w:t>&gt;4cm</w:t>
      </w:r>
      <w:r>
        <w:rPr>
          <w:spacing w:val="-2"/>
          <w:sz w:val="18"/>
          <w:vertAlign w:val="baseline"/>
        </w:rPr>
        <w:t>，局限于甲状腺内</w:t>
      </w:r>
    </w:p>
    <w:p>
      <w:pPr>
        <w:spacing w:before="1"/>
        <w:ind w:left="900" w:right="0" w:firstLine="0"/>
        <w:jc w:val="left"/>
        <w:rPr>
          <w:sz w:val="18"/>
        </w:rPr>
      </w:pPr>
      <w:r>
        <w:rPr>
          <w:rFonts w:ascii="Cambria Math" w:eastAsia="Cambria Math"/>
          <w:sz w:val="18"/>
        </w:rPr>
        <w:t>pT</w:t>
      </w:r>
      <w:r>
        <w:rPr>
          <w:rFonts w:ascii="Cambria Math" w:eastAsia="Cambria Math"/>
          <w:sz w:val="18"/>
          <w:vertAlign w:val="subscript"/>
        </w:rPr>
        <w:t>3b</w:t>
      </w:r>
      <w:r>
        <w:rPr>
          <w:spacing w:val="-1"/>
          <w:sz w:val="18"/>
          <w:vertAlign w:val="baseline"/>
        </w:rPr>
        <w:t>：大体侵犯甲状腺外带状肌，无论肿瘤大小</w:t>
      </w:r>
    </w:p>
    <w:p>
      <w:pPr>
        <w:spacing w:before="82"/>
        <w:ind w:left="1260" w:right="0" w:firstLine="0"/>
        <w:jc w:val="left"/>
        <w:rPr>
          <w:sz w:val="18"/>
        </w:rPr>
      </w:pPr>
      <w:r>
        <w:rPr>
          <w:spacing w:val="-1"/>
          <w:sz w:val="18"/>
        </w:rPr>
        <w:t>带状肌包括：胸骨舌骨肌、胸骨甲状肌、甲状舌骨肌、肩胛舌骨肌</w:t>
      </w:r>
    </w:p>
    <w:p>
      <w:pPr>
        <w:spacing w:before="81"/>
        <w:ind w:left="900" w:right="0" w:firstLine="0"/>
        <w:jc w:val="left"/>
        <w:rPr>
          <w:sz w:val="18"/>
        </w:rPr>
      </w:pPr>
      <w:r>
        <w:rPr>
          <w:rFonts w:ascii="Cambria Math" w:eastAsia="Cambria Math"/>
          <w:spacing w:val="-2"/>
          <w:sz w:val="18"/>
        </w:rPr>
        <w:t>pT</w:t>
      </w:r>
      <w:r>
        <w:rPr>
          <w:rFonts w:ascii="Cambria Math" w:eastAsia="Cambria Math"/>
          <w:spacing w:val="-2"/>
          <w:sz w:val="18"/>
          <w:vertAlign w:val="subscript"/>
        </w:rPr>
        <w:t>4</w:t>
      </w:r>
      <w:r>
        <w:rPr>
          <w:spacing w:val="-4"/>
          <w:sz w:val="18"/>
          <w:vertAlign w:val="baseline"/>
        </w:rPr>
        <w:t>：进展期病变</w:t>
      </w:r>
    </w:p>
    <w:p>
      <w:pPr>
        <w:spacing w:line="324" w:lineRule="auto" w:before="82"/>
        <w:ind w:left="540" w:right="558" w:firstLine="360"/>
        <w:jc w:val="left"/>
        <w:rPr>
          <w:sz w:val="18"/>
        </w:rPr>
      </w:pPr>
      <w:r>
        <w:rPr>
          <w:rFonts w:ascii="Cambria Math" w:eastAsia="Cambria Math"/>
          <w:spacing w:val="-2"/>
          <w:sz w:val="18"/>
        </w:rPr>
        <w:t>pT</w:t>
      </w:r>
      <w:r>
        <w:rPr>
          <w:rFonts w:ascii="Cambria Math" w:eastAsia="Cambria Math"/>
          <w:spacing w:val="-2"/>
          <w:sz w:val="18"/>
          <w:vertAlign w:val="subscript"/>
        </w:rPr>
        <w:t>4a</w:t>
      </w:r>
      <w:r>
        <w:rPr>
          <w:spacing w:val="-2"/>
          <w:sz w:val="18"/>
          <w:vertAlign w:val="baseline"/>
        </w:rPr>
        <w:t>：中度进展，任何大小的肿瘤，侵犯甲状腺外颈部周围器官和软组织，如喉、气管、食</w:t>
      </w:r>
      <w:r>
        <w:rPr>
          <w:spacing w:val="-2"/>
          <w:w w:val="105"/>
          <w:sz w:val="18"/>
          <w:vertAlign w:val="baseline"/>
        </w:rPr>
        <w:t>管</w:t>
      </w:r>
      <w:r>
        <w:rPr>
          <w:spacing w:val="-2"/>
          <w:w w:val="105"/>
          <w:sz w:val="18"/>
          <w:vertAlign w:val="baseline"/>
        </w:rPr>
        <w:t>、</w:t>
      </w:r>
      <w:r>
        <w:rPr>
          <w:spacing w:val="-2"/>
          <w:w w:val="105"/>
          <w:sz w:val="18"/>
          <w:vertAlign w:val="baseline"/>
        </w:rPr>
        <w:t>喉</w:t>
      </w:r>
      <w:r>
        <w:rPr>
          <w:spacing w:val="-2"/>
          <w:w w:val="105"/>
          <w:sz w:val="18"/>
          <w:vertAlign w:val="baseline"/>
        </w:rPr>
        <w:t>反</w:t>
      </w:r>
      <w:r>
        <w:rPr>
          <w:spacing w:val="-2"/>
          <w:w w:val="105"/>
          <w:sz w:val="18"/>
          <w:vertAlign w:val="baseline"/>
        </w:rPr>
        <w:t>神</w:t>
      </w:r>
      <w:r>
        <w:rPr>
          <w:spacing w:val="-2"/>
          <w:w w:val="105"/>
          <w:sz w:val="18"/>
          <w:vertAlign w:val="baseline"/>
        </w:rPr>
        <w:t>经</w:t>
      </w:r>
      <w:r>
        <w:rPr>
          <w:spacing w:val="-2"/>
          <w:w w:val="105"/>
          <w:sz w:val="18"/>
          <w:vertAlign w:val="baseline"/>
        </w:rPr>
        <w:t>及</w:t>
      </w:r>
      <w:r>
        <w:rPr>
          <w:spacing w:val="-2"/>
          <w:w w:val="105"/>
          <w:sz w:val="18"/>
          <w:vertAlign w:val="baseline"/>
        </w:rPr>
        <w:t>皮</w:t>
      </w:r>
      <w:r>
        <w:rPr>
          <w:spacing w:val="-2"/>
          <w:w w:val="105"/>
          <w:sz w:val="18"/>
          <w:vertAlign w:val="baseline"/>
        </w:rPr>
        <w:t>下</w:t>
      </w:r>
      <w:r>
        <w:rPr>
          <w:spacing w:val="-2"/>
          <w:w w:val="105"/>
          <w:sz w:val="18"/>
          <w:vertAlign w:val="baseline"/>
        </w:rPr>
        <w:t>软</w:t>
      </w:r>
      <w:r>
        <w:rPr>
          <w:spacing w:val="-2"/>
          <w:w w:val="105"/>
          <w:sz w:val="18"/>
          <w:vertAlign w:val="baseline"/>
        </w:rPr>
        <w:t>组</w:t>
      </w:r>
      <w:r>
        <w:rPr>
          <w:spacing w:val="-2"/>
          <w:w w:val="105"/>
          <w:sz w:val="18"/>
          <w:vertAlign w:val="baseline"/>
        </w:rPr>
        <w:t>织</w:t>
      </w:r>
    </w:p>
    <w:p>
      <w:pPr>
        <w:spacing w:line="324" w:lineRule="auto" w:before="1"/>
        <w:ind w:left="900" w:right="1631" w:firstLine="0"/>
        <w:jc w:val="left"/>
        <w:rPr>
          <w:sz w:val="18"/>
        </w:rPr>
      </w:pPr>
      <w:r>
        <w:rPr>
          <w:rFonts w:ascii="Cambria Math" w:eastAsia="Cambria Math"/>
          <w:spacing w:val="-2"/>
          <w:sz w:val="18"/>
        </w:rPr>
        <w:t>pT</w:t>
      </w:r>
      <w:r>
        <w:rPr>
          <w:rFonts w:ascii="Cambria Math" w:eastAsia="Cambria Math"/>
          <w:spacing w:val="-2"/>
          <w:sz w:val="18"/>
          <w:vertAlign w:val="subscript"/>
        </w:rPr>
        <w:t>4b</w:t>
      </w:r>
      <w:r>
        <w:rPr>
          <w:spacing w:val="-2"/>
          <w:sz w:val="18"/>
          <w:vertAlign w:val="baseline"/>
        </w:rPr>
        <w:t>：重度进展，任何大小的肿瘤，侵犯椎前筋膜，或包裹颈动脉、纵隔血管</w:t>
      </w:r>
      <w:r>
        <w:rPr>
          <w:spacing w:val="-2"/>
          <w:w w:val="105"/>
          <w:sz w:val="18"/>
          <w:vertAlign w:val="baseline"/>
        </w:rPr>
        <w:t>区</w:t>
      </w:r>
      <w:r>
        <w:rPr>
          <w:spacing w:val="-2"/>
          <w:w w:val="105"/>
          <w:sz w:val="18"/>
          <w:vertAlign w:val="baseline"/>
        </w:rPr>
        <w:t>域</w:t>
      </w:r>
      <w:r>
        <w:rPr>
          <w:spacing w:val="-2"/>
          <w:w w:val="105"/>
          <w:sz w:val="18"/>
          <w:vertAlign w:val="baseline"/>
        </w:rPr>
        <w:t>淋</w:t>
      </w:r>
      <w:r>
        <w:rPr>
          <w:spacing w:val="-2"/>
          <w:w w:val="105"/>
          <w:sz w:val="18"/>
          <w:vertAlign w:val="baseline"/>
        </w:rPr>
        <w:t>巴</w:t>
      </w:r>
      <w:r>
        <w:rPr>
          <w:spacing w:val="-2"/>
          <w:w w:val="105"/>
          <w:sz w:val="18"/>
          <w:vertAlign w:val="baseline"/>
        </w:rPr>
        <w:t>结</w:t>
      </w:r>
      <w:r>
        <w:rPr>
          <w:spacing w:val="-2"/>
          <w:w w:val="105"/>
          <w:sz w:val="18"/>
          <w:vertAlign w:val="baseline"/>
        </w:rPr>
        <w:t>：</w:t>
      </w:r>
      <w:r>
        <w:rPr>
          <w:spacing w:val="-2"/>
          <w:w w:val="105"/>
          <w:sz w:val="18"/>
          <w:vertAlign w:val="baseline"/>
        </w:rPr>
        <w:t>适</w:t>
      </w:r>
      <w:r>
        <w:rPr>
          <w:spacing w:val="-2"/>
          <w:w w:val="105"/>
          <w:sz w:val="18"/>
          <w:vertAlign w:val="baseline"/>
        </w:rPr>
        <w:t>用</w:t>
      </w:r>
      <w:r>
        <w:rPr>
          <w:spacing w:val="-2"/>
          <w:w w:val="105"/>
          <w:sz w:val="18"/>
          <w:vertAlign w:val="baseline"/>
        </w:rPr>
        <w:t>于</w:t>
      </w:r>
      <w:r>
        <w:rPr>
          <w:spacing w:val="-2"/>
          <w:w w:val="105"/>
          <w:sz w:val="18"/>
          <w:vertAlign w:val="baseline"/>
        </w:rPr>
        <w:t>所</w:t>
      </w:r>
      <w:r>
        <w:rPr>
          <w:spacing w:val="-2"/>
          <w:w w:val="105"/>
          <w:sz w:val="18"/>
          <w:vertAlign w:val="baseline"/>
        </w:rPr>
        <w:t>有</w:t>
      </w:r>
      <w:r>
        <w:rPr>
          <w:spacing w:val="-2"/>
          <w:w w:val="105"/>
          <w:sz w:val="18"/>
          <w:vertAlign w:val="baseline"/>
        </w:rPr>
        <w:t>甲</w:t>
      </w:r>
      <w:r>
        <w:rPr>
          <w:spacing w:val="-2"/>
          <w:w w:val="105"/>
          <w:sz w:val="18"/>
          <w:vertAlign w:val="baseline"/>
        </w:rPr>
        <w:t>状</w:t>
      </w:r>
      <w:r>
        <w:rPr>
          <w:spacing w:val="-2"/>
          <w:w w:val="105"/>
          <w:sz w:val="18"/>
          <w:vertAlign w:val="baseline"/>
        </w:rPr>
        <w:t>腺</w:t>
      </w:r>
      <w:r>
        <w:rPr>
          <w:spacing w:val="-2"/>
          <w:w w:val="105"/>
          <w:sz w:val="18"/>
          <w:vertAlign w:val="baseline"/>
        </w:rPr>
        <w:t>癌</w:t>
      </w:r>
    </w:p>
    <w:p>
      <w:pPr>
        <w:spacing w:line="324" w:lineRule="auto" w:before="2"/>
        <w:ind w:left="900" w:right="5629" w:firstLine="0"/>
        <w:jc w:val="left"/>
        <w:rPr>
          <w:sz w:val="18"/>
        </w:rPr>
      </w:pPr>
      <w:r>
        <w:rPr>
          <w:rFonts w:ascii="Cambria Math" w:eastAsia="Cambria Math"/>
          <w:spacing w:val="-2"/>
          <w:sz w:val="18"/>
        </w:rPr>
        <w:t>pN</w:t>
      </w:r>
      <w:r>
        <w:rPr>
          <w:rFonts w:ascii="Cambria Math" w:eastAsia="Cambria Math"/>
          <w:spacing w:val="-2"/>
          <w:sz w:val="18"/>
          <w:vertAlign w:val="subscript"/>
        </w:rPr>
        <w:t>X</w:t>
      </w:r>
      <w:r>
        <w:rPr>
          <w:spacing w:val="-2"/>
          <w:sz w:val="18"/>
          <w:vertAlign w:val="baseline"/>
        </w:rPr>
        <w:t>：区域淋巴结无法评估 </w:t>
      </w:r>
      <w:r>
        <w:rPr>
          <w:rFonts w:ascii="Cambria Math" w:eastAsia="Cambria Math"/>
          <w:spacing w:val="-2"/>
          <w:sz w:val="18"/>
          <w:vertAlign w:val="baseline"/>
        </w:rPr>
        <w:t>pN</w:t>
      </w:r>
      <w:r>
        <w:rPr>
          <w:rFonts w:ascii="Cambria Math" w:eastAsia="Cambria Math"/>
          <w:spacing w:val="-2"/>
          <w:sz w:val="18"/>
          <w:vertAlign w:val="subscript"/>
        </w:rPr>
        <w:t>0</w:t>
      </w:r>
      <w:r>
        <w:rPr>
          <w:spacing w:val="-2"/>
          <w:sz w:val="18"/>
          <w:vertAlign w:val="baseline"/>
        </w:rPr>
        <w:t>：无淋巴结转移证据</w:t>
      </w:r>
      <w:r>
        <w:rPr>
          <w:spacing w:val="-2"/>
          <w:sz w:val="18"/>
          <w:vertAlign w:val="baseline"/>
        </w:rPr>
        <w:t> </w:t>
      </w:r>
      <w:r>
        <w:rPr>
          <w:rFonts w:ascii="Cambria Math" w:eastAsia="Cambria Math"/>
          <w:spacing w:val="-2"/>
          <w:sz w:val="18"/>
          <w:vertAlign w:val="baseline"/>
        </w:rPr>
        <w:t>pN</w:t>
      </w:r>
      <w:r>
        <w:rPr>
          <w:rFonts w:ascii="Cambria Math" w:eastAsia="Cambria Math"/>
          <w:spacing w:val="-2"/>
          <w:sz w:val="18"/>
          <w:vertAlign w:val="subscript"/>
        </w:rPr>
        <w:t>1</w:t>
      </w:r>
      <w:r>
        <w:rPr>
          <w:spacing w:val="-2"/>
          <w:sz w:val="18"/>
          <w:vertAlign w:val="baseline"/>
        </w:rPr>
        <w:t>：区域淋巴结转移</w:t>
      </w:r>
    </w:p>
    <w:p>
      <w:pPr>
        <w:spacing w:line="324" w:lineRule="auto" w:before="2"/>
        <w:ind w:left="540" w:right="286" w:firstLine="360"/>
        <w:jc w:val="left"/>
        <w:rPr>
          <w:sz w:val="18"/>
        </w:rPr>
      </w:pPr>
      <w:r>
        <w:rPr>
          <w:rFonts w:ascii="Cambria Math" w:hAnsi="Cambria Math" w:eastAsia="Cambria Math"/>
          <w:spacing w:val="-2"/>
          <w:sz w:val="18"/>
        </w:rPr>
        <w:t>pN</w:t>
      </w:r>
      <w:r>
        <w:rPr>
          <w:rFonts w:ascii="Cambria Math" w:hAnsi="Cambria Math" w:eastAsia="Cambria Math"/>
          <w:spacing w:val="-2"/>
          <w:sz w:val="18"/>
          <w:vertAlign w:val="subscript"/>
        </w:rPr>
        <w:t>1a</w:t>
      </w:r>
      <w:r>
        <w:rPr>
          <w:spacing w:val="-2"/>
          <w:sz w:val="18"/>
          <w:vertAlign w:val="baseline"/>
        </w:rPr>
        <w:t>：转移至Ⅵ、Ⅶ区（包括气管旁、气管前、喉前</w:t>
      </w:r>
      <w:r>
        <w:rPr>
          <w:rFonts w:ascii="Cambria Math" w:hAnsi="Cambria Math" w:eastAsia="Cambria Math"/>
          <w:spacing w:val="-2"/>
          <w:sz w:val="18"/>
          <w:vertAlign w:val="baseline"/>
        </w:rPr>
        <w:t>/Delphian</w:t>
      </w:r>
      <w:r>
        <w:rPr>
          <w:spacing w:val="-2"/>
          <w:sz w:val="18"/>
          <w:vertAlign w:val="baseline"/>
        </w:rPr>
        <w:t>或上纵隔）淋巴结，可以为单侧</w:t>
      </w:r>
      <w:r>
        <w:rPr>
          <w:spacing w:val="-4"/>
          <w:sz w:val="18"/>
          <w:vertAlign w:val="baseline"/>
        </w:rPr>
        <w:t>或双侧。</w:t>
      </w:r>
    </w:p>
    <w:p>
      <w:pPr>
        <w:spacing w:line="324" w:lineRule="auto" w:before="1"/>
        <w:ind w:left="540" w:right="341" w:firstLine="360"/>
        <w:jc w:val="left"/>
        <w:rPr>
          <w:sz w:val="18"/>
        </w:rPr>
      </w:pPr>
      <w:r>
        <w:rPr>
          <w:rFonts w:ascii="Cambria Math" w:hAnsi="Cambria Math" w:eastAsia="Cambria Math"/>
          <w:spacing w:val="-2"/>
          <w:sz w:val="18"/>
        </w:rPr>
        <w:t>pN</w:t>
      </w:r>
      <w:r>
        <w:rPr>
          <w:rFonts w:ascii="Cambria Math" w:hAnsi="Cambria Math" w:eastAsia="Cambria Math"/>
          <w:spacing w:val="-2"/>
          <w:sz w:val="18"/>
          <w:vertAlign w:val="subscript"/>
        </w:rPr>
        <w:t>1b</w:t>
      </w:r>
      <w:r>
        <w:rPr>
          <w:spacing w:val="-2"/>
          <w:sz w:val="18"/>
          <w:vertAlign w:val="baseline"/>
        </w:rPr>
        <w:t>：单侧、双侧或对侧颈淋巴结转移（包括Ⅰ、Ⅱ、Ⅲ、Ⅳ或Ⅴ区）淋巴结或咽后淋巴结转</w:t>
      </w:r>
      <w:r>
        <w:rPr>
          <w:spacing w:val="-6"/>
          <w:w w:val="105"/>
          <w:sz w:val="18"/>
          <w:vertAlign w:val="baseline"/>
        </w:rPr>
        <w:t>移</w:t>
      </w:r>
      <w:r>
        <w:rPr>
          <w:spacing w:val="-6"/>
          <w:w w:val="105"/>
          <w:sz w:val="18"/>
          <w:vertAlign w:val="baseline"/>
        </w:rPr>
        <w:t>。</w:t>
      </w:r>
    </w:p>
    <w:p>
      <w:pPr>
        <w:spacing w:before="1"/>
        <w:ind w:left="900" w:right="0" w:firstLine="0"/>
        <w:jc w:val="left"/>
        <w:rPr>
          <w:sz w:val="18"/>
        </w:rPr>
      </w:pPr>
      <w:r>
        <w:rPr>
          <w:spacing w:val="-1"/>
          <w:sz w:val="18"/>
        </w:rPr>
        <w:t>远处转移：适用于所有甲状腺癌</w:t>
      </w:r>
    </w:p>
    <w:p>
      <w:pPr>
        <w:spacing w:line="324" w:lineRule="auto" w:before="82"/>
        <w:ind w:left="900" w:right="6433" w:firstLine="0"/>
        <w:jc w:val="left"/>
        <w:rPr>
          <w:sz w:val="18"/>
        </w:rPr>
      </w:pPr>
      <w:r>
        <w:rPr/>
        <w:pict>
          <v:shape style="position:absolute;margin-left:113.179993pt;margin-top:33.399990pt;width:369.1pt;height:321.9pt;mso-position-horizontal-relative:page;mso-position-vertical-relative:paragraph;z-index:15729152"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37"/>
                    <w:gridCol w:w="958"/>
                    <w:gridCol w:w="1028"/>
                    <w:gridCol w:w="851"/>
                  </w:tblGrid>
                  <w:tr>
                    <w:trPr>
                      <w:trHeight w:val="311" w:hRule="atLeast"/>
                    </w:trPr>
                    <w:tc>
                      <w:tcPr>
                        <w:tcW w:w="7374" w:type="dxa"/>
                        <w:gridSpan w:val="4"/>
                      </w:tcPr>
                      <w:p>
                        <w:pPr>
                          <w:pStyle w:val="TableParagraph"/>
                          <w:ind w:left="527"/>
                          <w:rPr>
                            <w:sz w:val="18"/>
                          </w:rPr>
                        </w:pPr>
                        <w:r>
                          <w:rPr>
                            <w:sz w:val="18"/>
                          </w:rPr>
                          <w:t>乳头状或滤泡状癌（分化型</w:t>
                        </w:r>
                        <w:r>
                          <w:rPr>
                            <w:spacing w:val="-10"/>
                            <w:sz w:val="18"/>
                          </w:rPr>
                          <w:t>）</w:t>
                        </w:r>
                      </w:p>
                    </w:tc>
                  </w:tr>
                  <w:tr>
                    <w:trPr>
                      <w:trHeight w:val="311" w:hRule="atLeast"/>
                    </w:trPr>
                    <w:tc>
                      <w:tcPr>
                        <w:tcW w:w="7374" w:type="dxa"/>
                        <w:gridSpan w:val="4"/>
                      </w:tcPr>
                      <w:p>
                        <w:pPr>
                          <w:pStyle w:val="TableParagraph"/>
                          <w:ind w:left="527"/>
                          <w:rPr>
                            <w:sz w:val="18"/>
                          </w:rPr>
                        </w:pPr>
                        <w:r>
                          <w:rPr>
                            <w:sz w:val="18"/>
                          </w:rPr>
                          <w:t>年龄＜55</w:t>
                        </w:r>
                        <w:r>
                          <w:rPr>
                            <w:spacing w:val="-28"/>
                            <w:sz w:val="18"/>
                          </w:rPr>
                          <w:t> 岁</w:t>
                        </w:r>
                      </w:p>
                    </w:tc>
                  </w:tr>
                  <w:tr>
                    <w:trPr>
                      <w:trHeight w:val="311" w:hRule="atLeast"/>
                    </w:trPr>
                    <w:tc>
                      <w:tcPr>
                        <w:tcW w:w="4537" w:type="dxa"/>
                      </w:tcPr>
                      <w:p>
                        <w:pPr>
                          <w:pStyle w:val="TableParagraph"/>
                          <w:spacing w:before="0"/>
                          <w:ind w:left="0"/>
                          <w:rPr>
                            <w:rFonts w:ascii="Times New Roman"/>
                            <w:sz w:val="16"/>
                          </w:rPr>
                        </w:pPr>
                      </w:p>
                    </w:tc>
                    <w:tc>
                      <w:tcPr>
                        <w:tcW w:w="958" w:type="dxa"/>
                      </w:tcPr>
                      <w:p>
                        <w:pPr>
                          <w:pStyle w:val="TableParagraph"/>
                          <w:rPr>
                            <w:sz w:val="18"/>
                          </w:rPr>
                        </w:pPr>
                        <w:r>
                          <w:rPr>
                            <w:sz w:val="18"/>
                          </w:rPr>
                          <w:t>T</w:t>
                        </w:r>
                      </w:p>
                    </w:tc>
                    <w:tc>
                      <w:tcPr>
                        <w:tcW w:w="1028" w:type="dxa"/>
                      </w:tcPr>
                      <w:p>
                        <w:pPr>
                          <w:pStyle w:val="TableParagraph"/>
                          <w:rPr>
                            <w:sz w:val="18"/>
                          </w:rPr>
                        </w:pPr>
                        <w:r>
                          <w:rPr>
                            <w:sz w:val="18"/>
                          </w:rPr>
                          <w:t>N</w:t>
                        </w:r>
                      </w:p>
                    </w:tc>
                    <w:tc>
                      <w:tcPr>
                        <w:tcW w:w="851" w:type="dxa"/>
                      </w:tcPr>
                      <w:p>
                        <w:pPr>
                          <w:pStyle w:val="TableParagraph"/>
                          <w:ind w:left="104"/>
                          <w:rPr>
                            <w:sz w:val="18"/>
                          </w:rPr>
                        </w:pPr>
                        <w:r>
                          <w:rPr>
                            <w:sz w:val="18"/>
                          </w:rPr>
                          <w:t>M</w:t>
                        </w:r>
                      </w:p>
                    </w:tc>
                  </w:tr>
                  <w:tr>
                    <w:trPr>
                      <w:trHeight w:val="314" w:hRule="atLeast"/>
                    </w:trPr>
                    <w:tc>
                      <w:tcPr>
                        <w:tcW w:w="4537" w:type="dxa"/>
                      </w:tcPr>
                      <w:p>
                        <w:pPr>
                          <w:pStyle w:val="TableParagraph"/>
                          <w:spacing w:before="40"/>
                          <w:ind w:left="527"/>
                          <w:rPr>
                            <w:sz w:val="18"/>
                          </w:rPr>
                        </w:pPr>
                        <w:r>
                          <w:rPr>
                            <w:spacing w:val="-5"/>
                            <w:sz w:val="18"/>
                          </w:rPr>
                          <w:t>Ⅰ期</w:t>
                        </w:r>
                      </w:p>
                    </w:tc>
                    <w:tc>
                      <w:tcPr>
                        <w:tcW w:w="958" w:type="dxa"/>
                      </w:tcPr>
                      <w:p>
                        <w:pPr>
                          <w:pStyle w:val="TableParagraph"/>
                          <w:spacing w:before="40"/>
                          <w:rPr>
                            <w:sz w:val="18"/>
                          </w:rPr>
                        </w:pPr>
                        <w:r>
                          <w:rPr>
                            <w:spacing w:val="-5"/>
                            <w:sz w:val="18"/>
                          </w:rPr>
                          <w:t>任何</w:t>
                        </w:r>
                      </w:p>
                    </w:tc>
                    <w:tc>
                      <w:tcPr>
                        <w:tcW w:w="1028" w:type="dxa"/>
                      </w:tcPr>
                      <w:p>
                        <w:pPr>
                          <w:pStyle w:val="TableParagraph"/>
                          <w:spacing w:before="40"/>
                          <w:rPr>
                            <w:sz w:val="18"/>
                          </w:rPr>
                        </w:pPr>
                        <w:r>
                          <w:rPr>
                            <w:spacing w:val="-5"/>
                            <w:sz w:val="18"/>
                          </w:rPr>
                          <w:t>任何</w:t>
                        </w:r>
                      </w:p>
                    </w:tc>
                    <w:tc>
                      <w:tcPr>
                        <w:tcW w:w="851" w:type="dxa"/>
                      </w:tcPr>
                      <w:p>
                        <w:pPr>
                          <w:pStyle w:val="TableParagraph"/>
                          <w:spacing w:before="40"/>
                          <w:ind w:left="104"/>
                          <w:rPr>
                            <w:sz w:val="18"/>
                          </w:rPr>
                        </w:pPr>
                        <w:r>
                          <w:rPr>
                            <w:sz w:val="18"/>
                          </w:rPr>
                          <w:t>0</w:t>
                        </w:r>
                      </w:p>
                    </w:tc>
                  </w:tr>
                  <w:tr>
                    <w:trPr>
                      <w:trHeight w:val="311" w:hRule="atLeast"/>
                    </w:trPr>
                    <w:tc>
                      <w:tcPr>
                        <w:tcW w:w="4537" w:type="dxa"/>
                      </w:tcPr>
                      <w:p>
                        <w:pPr>
                          <w:pStyle w:val="TableParagraph"/>
                          <w:ind w:left="527"/>
                          <w:rPr>
                            <w:sz w:val="18"/>
                          </w:rPr>
                        </w:pPr>
                        <w:r>
                          <w:rPr>
                            <w:spacing w:val="-5"/>
                            <w:sz w:val="18"/>
                          </w:rPr>
                          <w:t>Ⅱ期</w:t>
                        </w:r>
                      </w:p>
                    </w:tc>
                    <w:tc>
                      <w:tcPr>
                        <w:tcW w:w="958" w:type="dxa"/>
                      </w:tcPr>
                      <w:p>
                        <w:pPr>
                          <w:pStyle w:val="TableParagraph"/>
                          <w:rPr>
                            <w:sz w:val="18"/>
                          </w:rPr>
                        </w:pPr>
                        <w:r>
                          <w:rPr>
                            <w:spacing w:val="-5"/>
                            <w:sz w:val="18"/>
                          </w:rPr>
                          <w:t>任何</w:t>
                        </w:r>
                      </w:p>
                    </w:tc>
                    <w:tc>
                      <w:tcPr>
                        <w:tcW w:w="1028" w:type="dxa"/>
                      </w:tcPr>
                      <w:p>
                        <w:pPr>
                          <w:pStyle w:val="TableParagraph"/>
                          <w:rPr>
                            <w:sz w:val="18"/>
                          </w:rPr>
                        </w:pPr>
                        <w:r>
                          <w:rPr>
                            <w:spacing w:val="-5"/>
                            <w:sz w:val="18"/>
                          </w:rPr>
                          <w:t>任何</w:t>
                        </w:r>
                      </w:p>
                    </w:tc>
                    <w:tc>
                      <w:tcPr>
                        <w:tcW w:w="851" w:type="dxa"/>
                      </w:tcPr>
                      <w:p>
                        <w:pPr>
                          <w:pStyle w:val="TableParagraph"/>
                          <w:ind w:left="104"/>
                          <w:rPr>
                            <w:sz w:val="18"/>
                          </w:rPr>
                        </w:pPr>
                        <w:r>
                          <w:rPr>
                            <w:sz w:val="18"/>
                          </w:rPr>
                          <w:t>1</w:t>
                        </w:r>
                      </w:p>
                    </w:tc>
                  </w:tr>
                  <w:tr>
                    <w:trPr>
                      <w:trHeight w:val="311" w:hRule="atLeast"/>
                    </w:trPr>
                    <w:tc>
                      <w:tcPr>
                        <w:tcW w:w="6523" w:type="dxa"/>
                        <w:gridSpan w:val="3"/>
                      </w:tcPr>
                      <w:p>
                        <w:pPr>
                          <w:pStyle w:val="TableParagraph"/>
                          <w:ind w:left="527"/>
                          <w:rPr>
                            <w:sz w:val="18"/>
                          </w:rPr>
                        </w:pPr>
                        <w:r>
                          <w:rPr>
                            <w:sz w:val="18"/>
                          </w:rPr>
                          <w:t>年龄≥55</w:t>
                        </w:r>
                        <w:r>
                          <w:rPr>
                            <w:spacing w:val="-28"/>
                            <w:sz w:val="18"/>
                          </w:rPr>
                          <w:t> 岁</w:t>
                        </w:r>
                      </w:p>
                    </w:tc>
                    <w:tc>
                      <w:tcPr>
                        <w:tcW w:w="851" w:type="dxa"/>
                      </w:tcPr>
                      <w:p>
                        <w:pPr>
                          <w:pStyle w:val="TableParagraph"/>
                          <w:spacing w:before="0"/>
                          <w:ind w:left="0"/>
                          <w:rPr>
                            <w:rFonts w:ascii="Times New Roman"/>
                            <w:sz w:val="16"/>
                          </w:rPr>
                        </w:pPr>
                      </w:p>
                    </w:tc>
                  </w:tr>
                  <w:tr>
                    <w:trPr>
                      <w:trHeight w:val="311" w:hRule="atLeast"/>
                    </w:trPr>
                    <w:tc>
                      <w:tcPr>
                        <w:tcW w:w="4537" w:type="dxa"/>
                        <w:vMerge w:val="restart"/>
                      </w:tcPr>
                      <w:p>
                        <w:pPr>
                          <w:pStyle w:val="TableParagraph"/>
                          <w:spacing w:before="6"/>
                          <w:ind w:left="0"/>
                          <w:rPr>
                            <w:sz w:val="15"/>
                          </w:rPr>
                        </w:pPr>
                      </w:p>
                      <w:p>
                        <w:pPr>
                          <w:pStyle w:val="TableParagraph"/>
                          <w:spacing w:before="1"/>
                          <w:ind w:left="527"/>
                          <w:rPr>
                            <w:sz w:val="18"/>
                          </w:rPr>
                        </w:pPr>
                        <w:r>
                          <w:rPr>
                            <w:spacing w:val="-5"/>
                            <w:sz w:val="18"/>
                          </w:rPr>
                          <w:t>Ⅰ期</w:t>
                        </w:r>
                      </w:p>
                    </w:tc>
                    <w:tc>
                      <w:tcPr>
                        <w:tcW w:w="958" w:type="dxa"/>
                      </w:tcPr>
                      <w:p>
                        <w:pPr>
                          <w:pStyle w:val="TableParagraph"/>
                          <w:rPr>
                            <w:sz w:val="18"/>
                          </w:rPr>
                        </w:pPr>
                        <w:r>
                          <w:rPr>
                            <w:sz w:val="18"/>
                          </w:rPr>
                          <w:t>1</w:t>
                        </w:r>
                      </w:p>
                    </w:tc>
                    <w:tc>
                      <w:tcPr>
                        <w:tcW w:w="1028" w:type="dxa"/>
                      </w:tcPr>
                      <w:p>
                        <w:pPr>
                          <w:pStyle w:val="TableParagraph"/>
                          <w:rPr>
                            <w:sz w:val="18"/>
                          </w:rPr>
                        </w:pPr>
                        <w:r>
                          <w:rPr>
                            <w:spacing w:val="-5"/>
                            <w:sz w:val="18"/>
                          </w:rPr>
                          <w:t>0/x</w:t>
                        </w:r>
                      </w:p>
                    </w:tc>
                    <w:tc>
                      <w:tcPr>
                        <w:tcW w:w="851" w:type="dxa"/>
                      </w:tcPr>
                      <w:p>
                        <w:pPr>
                          <w:pStyle w:val="TableParagraph"/>
                          <w:ind w:left="104"/>
                          <w:rPr>
                            <w:sz w:val="18"/>
                          </w:rPr>
                        </w:pPr>
                        <w:r>
                          <w:rPr>
                            <w:sz w:val="18"/>
                          </w:rPr>
                          <w:t>0</w:t>
                        </w:r>
                      </w:p>
                    </w:tc>
                  </w:tr>
                  <w:tr>
                    <w:trPr>
                      <w:trHeight w:val="311" w:hRule="atLeast"/>
                    </w:trPr>
                    <w:tc>
                      <w:tcPr>
                        <w:tcW w:w="4537" w:type="dxa"/>
                        <w:vMerge/>
                        <w:tcBorders>
                          <w:top w:val="nil"/>
                        </w:tcBorders>
                      </w:tcPr>
                      <w:p>
                        <w:pPr>
                          <w:rPr>
                            <w:sz w:val="2"/>
                            <w:szCs w:val="2"/>
                          </w:rPr>
                        </w:pPr>
                      </w:p>
                    </w:tc>
                    <w:tc>
                      <w:tcPr>
                        <w:tcW w:w="958" w:type="dxa"/>
                      </w:tcPr>
                      <w:p>
                        <w:pPr>
                          <w:pStyle w:val="TableParagraph"/>
                          <w:rPr>
                            <w:sz w:val="18"/>
                          </w:rPr>
                        </w:pPr>
                        <w:r>
                          <w:rPr>
                            <w:sz w:val="18"/>
                          </w:rPr>
                          <w:t>2</w:t>
                        </w:r>
                      </w:p>
                    </w:tc>
                    <w:tc>
                      <w:tcPr>
                        <w:tcW w:w="1028" w:type="dxa"/>
                      </w:tcPr>
                      <w:p>
                        <w:pPr>
                          <w:pStyle w:val="TableParagraph"/>
                          <w:rPr>
                            <w:sz w:val="18"/>
                          </w:rPr>
                        </w:pPr>
                        <w:r>
                          <w:rPr>
                            <w:spacing w:val="-5"/>
                            <w:sz w:val="18"/>
                          </w:rPr>
                          <w:t>0/x</w:t>
                        </w:r>
                      </w:p>
                    </w:tc>
                    <w:tc>
                      <w:tcPr>
                        <w:tcW w:w="851" w:type="dxa"/>
                      </w:tcPr>
                      <w:p>
                        <w:pPr>
                          <w:pStyle w:val="TableParagraph"/>
                          <w:ind w:left="104"/>
                          <w:rPr>
                            <w:sz w:val="18"/>
                          </w:rPr>
                        </w:pPr>
                        <w:r>
                          <w:rPr>
                            <w:sz w:val="18"/>
                          </w:rPr>
                          <w:t>0</w:t>
                        </w:r>
                      </w:p>
                    </w:tc>
                  </w:tr>
                  <w:tr>
                    <w:trPr>
                      <w:trHeight w:val="311" w:hRule="atLeast"/>
                    </w:trPr>
                    <w:tc>
                      <w:tcPr>
                        <w:tcW w:w="4537" w:type="dxa"/>
                        <w:vMerge w:val="restart"/>
                      </w:tcPr>
                      <w:p>
                        <w:pPr>
                          <w:pStyle w:val="TableParagraph"/>
                          <w:spacing w:before="9"/>
                          <w:ind w:left="0"/>
                          <w:rPr>
                            <w:sz w:val="15"/>
                          </w:rPr>
                        </w:pPr>
                      </w:p>
                      <w:p>
                        <w:pPr>
                          <w:pStyle w:val="TableParagraph"/>
                          <w:spacing w:before="0"/>
                          <w:ind w:left="527"/>
                          <w:rPr>
                            <w:sz w:val="18"/>
                          </w:rPr>
                        </w:pPr>
                        <w:r>
                          <w:rPr>
                            <w:spacing w:val="-5"/>
                            <w:sz w:val="18"/>
                          </w:rPr>
                          <w:t>Ⅱ期</w:t>
                        </w:r>
                      </w:p>
                    </w:tc>
                    <w:tc>
                      <w:tcPr>
                        <w:tcW w:w="958" w:type="dxa"/>
                      </w:tcPr>
                      <w:p>
                        <w:pPr>
                          <w:pStyle w:val="TableParagraph"/>
                          <w:rPr>
                            <w:sz w:val="18"/>
                          </w:rPr>
                        </w:pPr>
                        <w:r>
                          <w:rPr>
                            <w:spacing w:val="-5"/>
                            <w:sz w:val="18"/>
                          </w:rPr>
                          <w:t>1～2</w:t>
                        </w:r>
                      </w:p>
                    </w:tc>
                    <w:tc>
                      <w:tcPr>
                        <w:tcW w:w="1028" w:type="dxa"/>
                      </w:tcPr>
                      <w:p>
                        <w:pPr>
                          <w:pStyle w:val="TableParagraph"/>
                          <w:rPr>
                            <w:sz w:val="18"/>
                          </w:rPr>
                        </w:pPr>
                        <w:r>
                          <w:rPr>
                            <w:sz w:val="18"/>
                          </w:rPr>
                          <w:t>1</w:t>
                        </w:r>
                      </w:p>
                    </w:tc>
                    <w:tc>
                      <w:tcPr>
                        <w:tcW w:w="851" w:type="dxa"/>
                      </w:tcPr>
                      <w:p>
                        <w:pPr>
                          <w:pStyle w:val="TableParagraph"/>
                          <w:ind w:left="104"/>
                          <w:rPr>
                            <w:sz w:val="18"/>
                          </w:rPr>
                        </w:pPr>
                        <w:r>
                          <w:rPr>
                            <w:sz w:val="18"/>
                          </w:rPr>
                          <w:t>0</w:t>
                        </w:r>
                      </w:p>
                    </w:tc>
                  </w:tr>
                  <w:tr>
                    <w:trPr>
                      <w:trHeight w:val="313" w:hRule="atLeast"/>
                    </w:trPr>
                    <w:tc>
                      <w:tcPr>
                        <w:tcW w:w="4537" w:type="dxa"/>
                        <w:vMerge/>
                        <w:tcBorders>
                          <w:top w:val="nil"/>
                        </w:tcBorders>
                      </w:tcPr>
                      <w:p>
                        <w:pPr>
                          <w:rPr>
                            <w:sz w:val="2"/>
                            <w:szCs w:val="2"/>
                          </w:rPr>
                        </w:pPr>
                      </w:p>
                    </w:tc>
                    <w:tc>
                      <w:tcPr>
                        <w:tcW w:w="958" w:type="dxa"/>
                      </w:tcPr>
                      <w:p>
                        <w:pPr>
                          <w:pStyle w:val="TableParagraph"/>
                          <w:spacing w:before="40"/>
                          <w:rPr>
                            <w:sz w:val="18"/>
                          </w:rPr>
                        </w:pPr>
                        <w:r>
                          <w:rPr>
                            <w:spacing w:val="-4"/>
                            <w:sz w:val="18"/>
                          </w:rPr>
                          <w:t>3a～3b</w:t>
                        </w:r>
                      </w:p>
                    </w:tc>
                    <w:tc>
                      <w:tcPr>
                        <w:tcW w:w="1028" w:type="dxa"/>
                      </w:tcPr>
                      <w:p>
                        <w:pPr>
                          <w:pStyle w:val="TableParagraph"/>
                          <w:spacing w:before="40"/>
                          <w:rPr>
                            <w:sz w:val="18"/>
                          </w:rPr>
                        </w:pPr>
                        <w:r>
                          <w:rPr>
                            <w:spacing w:val="-5"/>
                            <w:sz w:val="18"/>
                          </w:rPr>
                          <w:t>任何</w:t>
                        </w:r>
                      </w:p>
                    </w:tc>
                    <w:tc>
                      <w:tcPr>
                        <w:tcW w:w="851" w:type="dxa"/>
                      </w:tcPr>
                      <w:p>
                        <w:pPr>
                          <w:pStyle w:val="TableParagraph"/>
                          <w:spacing w:before="40"/>
                          <w:ind w:left="104"/>
                          <w:rPr>
                            <w:sz w:val="18"/>
                          </w:rPr>
                        </w:pPr>
                        <w:r>
                          <w:rPr>
                            <w:sz w:val="18"/>
                          </w:rPr>
                          <w:t>0</w:t>
                        </w:r>
                      </w:p>
                    </w:tc>
                  </w:tr>
                  <w:tr>
                    <w:trPr>
                      <w:trHeight w:val="309" w:hRule="atLeast"/>
                    </w:trPr>
                    <w:tc>
                      <w:tcPr>
                        <w:tcW w:w="4537" w:type="dxa"/>
                        <w:tcBorders>
                          <w:bottom w:val="single" w:sz="6" w:space="0" w:color="000000"/>
                        </w:tcBorders>
                      </w:tcPr>
                      <w:p>
                        <w:pPr>
                          <w:pStyle w:val="TableParagraph"/>
                          <w:ind w:left="527"/>
                          <w:rPr>
                            <w:sz w:val="18"/>
                          </w:rPr>
                        </w:pPr>
                        <w:r>
                          <w:rPr>
                            <w:spacing w:val="-5"/>
                            <w:sz w:val="18"/>
                          </w:rPr>
                          <w:t>Ⅲ期</w:t>
                        </w:r>
                      </w:p>
                    </w:tc>
                    <w:tc>
                      <w:tcPr>
                        <w:tcW w:w="958" w:type="dxa"/>
                        <w:tcBorders>
                          <w:bottom w:val="single" w:sz="6" w:space="0" w:color="000000"/>
                        </w:tcBorders>
                      </w:tcPr>
                      <w:p>
                        <w:pPr>
                          <w:pStyle w:val="TableParagraph"/>
                          <w:rPr>
                            <w:sz w:val="18"/>
                          </w:rPr>
                        </w:pPr>
                        <w:r>
                          <w:rPr>
                            <w:spacing w:val="-5"/>
                            <w:sz w:val="18"/>
                          </w:rPr>
                          <w:t>4a</w:t>
                        </w:r>
                      </w:p>
                    </w:tc>
                    <w:tc>
                      <w:tcPr>
                        <w:tcW w:w="1028" w:type="dxa"/>
                        <w:tcBorders>
                          <w:bottom w:val="single" w:sz="6" w:space="0" w:color="000000"/>
                        </w:tcBorders>
                      </w:tcPr>
                      <w:p>
                        <w:pPr>
                          <w:pStyle w:val="TableParagraph"/>
                          <w:rPr>
                            <w:sz w:val="18"/>
                          </w:rPr>
                        </w:pPr>
                        <w:r>
                          <w:rPr>
                            <w:spacing w:val="-5"/>
                            <w:sz w:val="18"/>
                          </w:rPr>
                          <w:t>任何</w:t>
                        </w:r>
                      </w:p>
                    </w:tc>
                    <w:tc>
                      <w:tcPr>
                        <w:tcW w:w="851" w:type="dxa"/>
                        <w:tcBorders>
                          <w:bottom w:val="single" w:sz="6" w:space="0" w:color="000000"/>
                        </w:tcBorders>
                      </w:tcPr>
                      <w:p>
                        <w:pPr>
                          <w:pStyle w:val="TableParagraph"/>
                          <w:ind w:left="104"/>
                          <w:rPr>
                            <w:sz w:val="18"/>
                          </w:rPr>
                        </w:pPr>
                        <w:r>
                          <w:rPr>
                            <w:sz w:val="18"/>
                          </w:rPr>
                          <w:t>0</w:t>
                        </w:r>
                      </w:p>
                    </w:tc>
                  </w:tr>
                  <w:tr>
                    <w:trPr>
                      <w:trHeight w:val="309" w:hRule="atLeast"/>
                    </w:trPr>
                    <w:tc>
                      <w:tcPr>
                        <w:tcW w:w="4537" w:type="dxa"/>
                        <w:tcBorders>
                          <w:top w:val="single" w:sz="6" w:space="0" w:color="000000"/>
                        </w:tcBorders>
                      </w:tcPr>
                      <w:p>
                        <w:pPr>
                          <w:pStyle w:val="TableParagraph"/>
                          <w:spacing w:before="36"/>
                          <w:ind w:left="527"/>
                          <w:rPr>
                            <w:sz w:val="18"/>
                          </w:rPr>
                        </w:pPr>
                        <w:r>
                          <w:rPr>
                            <w:sz w:val="18"/>
                          </w:rPr>
                          <w:t>ⅣA</w:t>
                        </w:r>
                        <w:r>
                          <w:rPr>
                            <w:spacing w:val="-28"/>
                            <w:sz w:val="18"/>
                          </w:rPr>
                          <w:t> 期</w:t>
                        </w:r>
                      </w:p>
                    </w:tc>
                    <w:tc>
                      <w:tcPr>
                        <w:tcW w:w="958" w:type="dxa"/>
                        <w:tcBorders>
                          <w:top w:val="single" w:sz="6" w:space="0" w:color="000000"/>
                        </w:tcBorders>
                      </w:tcPr>
                      <w:p>
                        <w:pPr>
                          <w:pStyle w:val="TableParagraph"/>
                          <w:spacing w:before="36"/>
                          <w:rPr>
                            <w:sz w:val="18"/>
                          </w:rPr>
                        </w:pPr>
                        <w:r>
                          <w:rPr>
                            <w:spacing w:val="-5"/>
                            <w:sz w:val="18"/>
                          </w:rPr>
                          <w:t>4b</w:t>
                        </w:r>
                      </w:p>
                    </w:tc>
                    <w:tc>
                      <w:tcPr>
                        <w:tcW w:w="1028" w:type="dxa"/>
                        <w:tcBorders>
                          <w:top w:val="single" w:sz="6" w:space="0" w:color="000000"/>
                        </w:tcBorders>
                      </w:tcPr>
                      <w:p>
                        <w:pPr>
                          <w:pStyle w:val="TableParagraph"/>
                          <w:spacing w:before="36"/>
                          <w:rPr>
                            <w:sz w:val="18"/>
                          </w:rPr>
                        </w:pPr>
                        <w:r>
                          <w:rPr>
                            <w:spacing w:val="-5"/>
                            <w:sz w:val="18"/>
                          </w:rPr>
                          <w:t>任何</w:t>
                        </w:r>
                      </w:p>
                    </w:tc>
                    <w:tc>
                      <w:tcPr>
                        <w:tcW w:w="851" w:type="dxa"/>
                        <w:tcBorders>
                          <w:top w:val="single" w:sz="6" w:space="0" w:color="000000"/>
                        </w:tcBorders>
                      </w:tcPr>
                      <w:p>
                        <w:pPr>
                          <w:pStyle w:val="TableParagraph"/>
                          <w:spacing w:before="36"/>
                          <w:ind w:left="104"/>
                          <w:rPr>
                            <w:sz w:val="18"/>
                          </w:rPr>
                        </w:pPr>
                        <w:r>
                          <w:rPr>
                            <w:sz w:val="18"/>
                          </w:rPr>
                          <w:t>0</w:t>
                        </w:r>
                      </w:p>
                    </w:tc>
                  </w:tr>
                  <w:tr>
                    <w:trPr>
                      <w:trHeight w:val="311" w:hRule="atLeast"/>
                    </w:trPr>
                    <w:tc>
                      <w:tcPr>
                        <w:tcW w:w="4537" w:type="dxa"/>
                      </w:tcPr>
                      <w:p>
                        <w:pPr>
                          <w:pStyle w:val="TableParagraph"/>
                          <w:ind w:left="527"/>
                          <w:rPr>
                            <w:sz w:val="18"/>
                          </w:rPr>
                        </w:pPr>
                        <w:r>
                          <w:rPr>
                            <w:sz w:val="18"/>
                          </w:rPr>
                          <w:t>ⅣB</w:t>
                        </w:r>
                        <w:r>
                          <w:rPr>
                            <w:spacing w:val="-28"/>
                            <w:sz w:val="18"/>
                          </w:rPr>
                          <w:t> 期</w:t>
                        </w:r>
                      </w:p>
                    </w:tc>
                    <w:tc>
                      <w:tcPr>
                        <w:tcW w:w="958" w:type="dxa"/>
                      </w:tcPr>
                      <w:p>
                        <w:pPr>
                          <w:pStyle w:val="TableParagraph"/>
                          <w:rPr>
                            <w:sz w:val="18"/>
                          </w:rPr>
                        </w:pPr>
                        <w:r>
                          <w:rPr>
                            <w:spacing w:val="-5"/>
                            <w:sz w:val="18"/>
                          </w:rPr>
                          <w:t>任何</w:t>
                        </w:r>
                      </w:p>
                    </w:tc>
                    <w:tc>
                      <w:tcPr>
                        <w:tcW w:w="1028" w:type="dxa"/>
                      </w:tcPr>
                      <w:p>
                        <w:pPr>
                          <w:pStyle w:val="TableParagraph"/>
                          <w:rPr>
                            <w:sz w:val="18"/>
                          </w:rPr>
                        </w:pPr>
                        <w:r>
                          <w:rPr>
                            <w:spacing w:val="-5"/>
                            <w:sz w:val="18"/>
                          </w:rPr>
                          <w:t>任何</w:t>
                        </w:r>
                      </w:p>
                    </w:tc>
                    <w:tc>
                      <w:tcPr>
                        <w:tcW w:w="851" w:type="dxa"/>
                      </w:tcPr>
                      <w:p>
                        <w:pPr>
                          <w:pStyle w:val="TableParagraph"/>
                          <w:ind w:left="104"/>
                          <w:rPr>
                            <w:sz w:val="18"/>
                          </w:rPr>
                        </w:pPr>
                        <w:r>
                          <w:rPr>
                            <w:sz w:val="18"/>
                          </w:rPr>
                          <w:t>1</w:t>
                        </w:r>
                      </w:p>
                    </w:tc>
                  </w:tr>
                  <w:tr>
                    <w:trPr>
                      <w:trHeight w:val="311" w:hRule="atLeast"/>
                    </w:trPr>
                    <w:tc>
                      <w:tcPr>
                        <w:tcW w:w="7374" w:type="dxa"/>
                        <w:gridSpan w:val="4"/>
                      </w:tcPr>
                      <w:p>
                        <w:pPr>
                          <w:pStyle w:val="TableParagraph"/>
                          <w:ind w:left="527"/>
                          <w:rPr>
                            <w:sz w:val="18"/>
                          </w:rPr>
                        </w:pPr>
                        <w:r>
                          <w:rPr>
                            <w:sz w:val="18"/>
                          </w:rPr>
                          <w:t>髓样癌（所有年龄组</w:t>
                        </w:r>
                        <w:r>
                          <w:rPr>
                            <w:spacing w:val="-10"/>
                            <w:sz w:val="18"/>
                          </w:rPr>
                          <w:t>）</w:t>
                        </w:r>
                      </w:p>
                    </w:tc>
                  </w:tr>
                  <w:tr>
                    <w:trPr>
                      <w:trHeight w:val="311" w:hRule="atLeast"/>
                    </w:trPr>
                    <w:tc>
                      <w:tcPr>
                        <w:tcW w:w="4537" w:type="dxa"/>
                      </w:tcPr>
                      <w:p>
                        <w:pPr>
                          <w:pStyle w:val="TableParagraph"/>
                          <w:ind w:left="527"/>
                          <w:rPr>
                            <w:sz w:val="18"/>
                          </w:rPr>
                        </w:pPr>
                        <w:r>
                          <w:rPr>
                            <w:spacing w:val="-5"/>
                            <w:sz w:val="18"/>
                          </w:rPr>
                          <w:t>Ⅰ期</w:t>
                        </w:r>
                      </w:p>
                    </w:tc>
                    <w:tc>
                      <w:tcPr>
                        <w:tcW w:w="958" w:type="dxa"/>
                      </w:tcPr>
                      <w:p>
                        <w:pPr>
                          <w:pStyle w:val="TableParagraph"/>
                          <w:rPr>
                            <w:sz w:val="18"/>
                          </w:rPr>
                        </w:pPr>
                        <w:r>
                          <w:rPr>
                            <w:sz w:val="18"/>
                          </w:rPr>
                          <w:t>1</w:t>
                        </w:r>
                      </w:p>
                    </w:tc>
                    <w:tc>
                      <w:tcPr>
                        <w:tcW w:w="1028" w:type="dxa"/>
                      </w:tcPr>
                      <w:p>
                        <w:pPr>
                          <w:pStyle w:val="TableParagraph"/>
                          <w:rPr>
                            <w:sz w:val="18"/>
                          </w:rPr>
                        </w:pPr>
                        <w:r>
                          <w:rPr>
                            <w:sz w:val="18"/>
                          </w:rPr>
                          <w:t>0</w:t>
                        </w:r>
                      </w:p>
                    </w:tc>
                    <w:tc>
                      <w:tcPr>
                        <w:tcW w:w="851" w:type="dxa"/>
                      </w:tcPr>
                      <w:p>
                        <w:pPr>
                          <w:pStyle w:val="TableParagraph"/>
                          <w:ind w:left="104"/>
                          <w:rPr>
                            <w:sz w:val="18"/>
                          </w:rPr>
                        </w:pPr>
                        <w:r>
                          <w:rPr>
                            <w:sz w:val="18"/>
                          </w:rPr>
                          <w:t>0</w:t>
                        </w:r>
                      </w:p>
                    </w:tc>
                  </w:tr>
                  <w:tr>
                    <w:trPr>
                      <w:trHeight w:val="313" w:hRule="atLeast"/>
                    </w:trPr>
                    <w:tc>
                      <w:tcPr>
                        <w:tcW w:w="4537" w:type="dxa"/>
                      </w:tcPr>
                      <w:p>
                        <w:pPr>
                          <w:pStyle w:val="TableParagraph"/>
                          <w:spacing w:before="40"/>
                          <w:ind w:left="527"/>
                          <w:rPr>
                            <w:sz w:val="18"/>
                          </w:rPr>
                        </w:pPr>
                        <w:r>
                          <w:rPr>
                            <w:spacing w:val="-5"/>
                            <w:sz w:val="18"/>
                          </w:rPr>
                          <w:t>Ⅱ期</w:t>
                        </w:r>
                      </w:p>
                    </w:tc>
                    <w:tc>
                      <w:tcPr>
                        <w:tcW w:w="958" w:type="dxa"/>
                      </w:tcPr>
                      <w:p>
                        <w:pPr>
                          <w:pStyle w:val="TableParagraph"/>
                          <w:spacing w:before="40"/>
                          <w:rPr>
                            <w:sz w:val="18"/>
                          </w:rPr>
                        </w:pPr>
                        <w:r>
                          <w:rPr>
                            <w:spacing w:val="-5"/>
                            <w:sz w:val="18"/>
                          </w:rPr>
                          <w:t>2～3</w:t>
                        </w:r>
                      </w:p>
                    </w:tc>
                    <w:tc>
                      <w:tcPr>
                        <w:tcW w:w="1028" w:type="dxa"/>
                      </w:tcPr>
                      <w:p>
                        <w:pPr>
                          <w:pStyle w:val="TableParagraph"/>
                          <w:spacing w:before="40"/>
                          <w:rPr>
                            <w:sz w:val="18"/>
                          </w:rPr>
                        </w:pPr>
                        <w:r>
                          <w:rPr>
                            <w:sz w:val="18"/>
                          </w:rPr>
                          <w:t>0</w:t>
                        </w:r>
                      </w:p>
                    </w:tc>
                    <w:tc>
                      <w:tcPr>
                        <w:tcW w:w="851" w:type="dxa"/>
                      </w:tcPr>
                      <w:p>
                        <w:pPr>
                          <w:pStyle w:val="TableParagraph"/>
                          <w:spacing w:before="40"/>
                          <w:ind w:left="104"/>
                          <w:rPr>
                            <w:sz w:val="18"/>
                          </w:rPr>
                        </w:pPr>
                        <w:r>
                          <w:rPr>
                            <w:sz w:val="18"/>
                          </w:rPr>
                          <w:t>0</w:t>
                        </w:r>
                      </w:p>
                    </w:tc>
                  </w:tr>
                  <w:tr>
                    <w:trPr>
                      <w:trHeight w:val="311" w:hRule="atLeast"/>
                    </w:trPr>
                    <w:tc>
                      <w:tcPr>
                        <w:tcW w:w="4537" w:type="dxa"/>
                      </w:tcPr>
                      <w:p>
                        <w:pPr>
                          <w:pStyle w:val="TableParagraph"/>
                          <w:ind w:left="527"/>
                          <w:rPr>
                            <w:sz w:val="18"/>
                          </w:rPr>
                        </w:pPr>
                        <w:r>
                          <w:rPr>
                            <w:spacing w:val="-5"/>
                            <w:sz w:val="18"/>
                          </w:rPr>
                          <w:t>Ⅲ期</w:t>
                        </w:r>
                      </w:p>
                    </w:tc>
                    <w:tc>
                      <w:tcPr>
                        <w:tcW w:w="958" w:type="dxa"/>
                      </w:tcPr>
                      <w:p>
                        <w:pPr>
                          <w:pStyle w:val="TableParagraph"/>
                          <w:rPr>
                            <w:sz w:val="18"/>
                          </w:rPr>
                        </w:pPr>
                        <w:r>
                          <w:rPr>
                            <w:spacing w:val="-5"/>
                            <w:sz w:val="18"/>
                          </w:rPr>
                          <w:t>1～3</w:t>
                        </w:r>
                      </w:p>
                    </w:tc>
                    <w:tc>
                      <w:tcPr>
                        <w:tcW w:w="1028" w:type="dxa"/>
                      </w:tcPr>
                      <w:p>
                        <w:pPr>
                          <w:pStyle w:val="TableParagraph"/>
                          <w:rPr>
                            <w:sz w:val="18"/>
                          </w:rPr>
                        </w:pPr>
                        <w:r>
                          <w:rPr>
                            <w:spacing w:val="-5"/>
                            <w:sz w:val="18"/>
                          </w:rPr>
                          <w:t>1a</w:t>
                        </w:r>
                      </w:p>
                    </w:tc>
                    <w:tc>
                      <w:tcPr>
                        <w:tcW w:w="851" w:type="dxa"/>
                      </w:tcPr>
                      <w:p>
                        <w:pPr>
                          <w:pStyle w:val="TableParagraph"/>
                          <w:ind w:left="104"/>
                          <w:rPr>
                            <w:sz w:val="18"/>
                          </w:rPr>
                        </w:pPr>
                        <w:r>
                          <w:rPr>
                            <w:sz w:val="18"/>
                          </w:rPr>
                          <w:t>0</w:t>
                        </w:r>
                      </w:p>
                    </w:tc>
                  </w:tr>
                  <w:tr>
                    <w:trPr>
                      <w:trHeight w:val="311" w:hRule="atLeast"/>
                    </w:trPr>
                    <w:tc>
                      <w:tcPr>
                        <w:tcW w:w="4537" w:type="dxa"/>
                        <w:vMerge w:val="restart"/>
                      </w:tcPr>
                      <w:p>
                        <w:pPr>
                          <w:pStyle w:val="TableParagraph"/>
                          <w:spacing w:before="6"/>
                          <w:ind w:left="0"/>
                          <w:rPr>
                            <w:sz w:val="15"/>
                          </w:rPr>
                        </w:pPr>
                      </w:p>
                      <w:p>
                        <w:pPr>
                          <w:pStyle w:val="TableParagraph"/>
                          <w:spacing w:before="1"/>
                          <w:ind w:left="527"/>
                          <w:rPr>
                            <w:sz w:val="18"/>
                          </w:rPr>
                        </w:pPr>
                        <w:r>
                          <w:rPr>
                            <w:sz w:val="18"/>
                          </w:rPr>
                          <w:t>ⅣA</w:t>
                        </w:r>
                        <w:r>
                          <w:rPr>
                            <w:spacing w:val="-28"/>
                            <w:sz w:val="18"/>
                          </w:rPr>
                          <w:t> 期</w:t>
                        </w:r>
                      </w:p>
                    </w:tc>
                    <w:tc>
                      <w:tcPr>
                        <w:tcW w:w="958" w:type="dxa"/>
                      </w:tcPr>
                      <w:p>
                        <w:pPr>
                          <w:pStyle w:val="TableParagraph"/>
                          <w:rPr>
                            <w:sz w:val="18"/>
                          </w:rPr>
                        </w:pPr>
                        <w:r>
                          <w:rPr>
                            <w:spacing w:val="-5"/>
                            <w:sz w:val="18"/>
                          </w:rPr>
                          <w:t>4a</w:t>
                        </w:r>
                      </w:p>
                    </w:tc>
                    <w:tc>
                      <w:tcPr>
                        <w:tcW w:w="1028" w:type="dxa"/>
                      </w:tcPr>
                      <w:p>
                        <w:pPr>
                          <w:pStyle w:val="TableParagraph"/>
                          <w:rPr>
                            <w:sz w:val="18"/>
                          </w:rPr>
                        </w:pPr>
                        <w:r>
                          <w:rPr>
                            <w:spacing w:val="-5"/>
                            <w:sz w:val="18"/>
                          </w:rPr>
                          <w:t>任何</w:t>
                        </w:r>
                      </w:p>
                    </w:tc>
                    <w:tc>
                      <w:tcPr>
                        <w:tcW w:w="851" w:type="dxa"/>
                      </w:tcPr>
                      <w:p>
                        <w:pPr>
                          <w:pStyle w:val="TableParagraph"/>
                          <w:ind w:left="104"/>
                          <w:rPr>
                            <w:sz w:val="18"/>
                          </w:rPr>
                        </w:pPr>
                        <w:r>
                          <w:rPr>
                            <w:sz w:val="18"/>
                          </w:rPr>
                          <w:t>0</w:t>
                        </w:r>
                      </w:p>
                    </w:tc>
                  </w:tr>
                  <w:tr>
                    <w:trPr>
                      <w:trHeight w:val="311" w:hRule="atLeast"/>
                    </w:trPr>
                    <w:tc>
                      <w:tcPr>
                        <w:tcW w:w="4537" w:type="dxa"/>
                        <w:vMerge/>
                        <w:tcBorders>
                          <w:top w:val="nil"/>
                        </w:tcBorders>
                      </w:tcPr>
                      <w:p>
                        <w:pPr>
                          <w:rPr>
                            <w:sz w:val="2"/>
                            <w:szCs w:val="2"/>
                          </w:rPr>
                        </w:pPr>
                      </w:p>
                    </w:tc>
                    <w:tc>
                      <w:tcPr>
                        <w:tcW w:w="958" w:type="dxa"/>
                      </w:tcPr>
                      <w:p>
                        <w:pPr>
                          <w:pStyle w:val="TableParagraph"/>
                          <w:rPr>
                            <w:sz w:val="18"/>
                          </w:rPr>
                        </w:pPr>
                        <w:r>
                          <w:rPr>
                            <w:spacing w:val="-5"/>
                            <w:sz w:val="18"/>
                          </w:rPr>
                          <w:t>1～3</w:t>
                        </w:r>
                      </w:p>
                    </w:tc>
                    <w:tc>
                      <w:tcPr>
                        <w:tcW w:w="1028" w:type="dxa"/>
                      </w:tcPr>
                      <w:p>
                        <w:pPr>
                          <w:pStyle w:val="TableParagraph"/>
                          <w:rPr>
                            <w:sz w:val="18"/>
                          </w:rPr>
                        </w:pPr>
                        <w:r>
                          <w:rPr>
                            <w:spacing w:val="-5"/>
                            <w:sz w:val="18"/>
                          </w:rPr>
                          <w:t>1b</w:t>
                        </w:r>
                      </w:p>
                    </w:tc>
                    <w:tc>
                      <w:tcPr>
                        <w:tcW w:w="851" w:type="dxa"/>
                      </w:tcPr>
                      <w:p>
                        <w:pPr>
                          <w:pStyle w:val="TableParagraph"/>
                          <w:ind w:left="104"/>
                          <w:rPr>
                            <w:sz w:val="18"/>
                          </w:rPr>
                        </w:pPr>
                        <w:r>
                          <w:rPr>
                            <w:sz w:val="18"/>
                          </w:rPr>
                          <w:t>0</w:t>
                        </w:r>
                      </w:p>
                    </w:tc>
                  </w:tr>
                  <w:tr>
                    <w:trPr>
                      <w:trHeight w:val="311" w:hRule="atLeast"/>
                    </w:trPr>
                    <w:tc>
                      <w:tcPr>
                        <w:tcW w:w="4537" w:type="dxa"/>
                      </w:tcPr>
                      <w:p>
                        <w:pPr>
                          <w:pStyle w:val="TableParagraph"/>
                          <w:ind w:left="527"/>
                          <w:rPr>
                            <w:sz w:val="18"/>
                          </w:rPr>
                        </w:pPr>
                        <w:r>
                          <w:rPr>
                            <w:sz w:val="18"/>
                          </w:rPr>
                          <w:t>ⅣB</w:t>
                        </w:r>
                        <w:r>
                          <w:rPr>
                            <w:spacing w:val="-28"/>
                            <w:sz w:val="18"/>
                          </w:rPr>
                          <w:t> 期</w:t>
                        </w:r>
                      </w:p>
                    </w:tc>
                    <w:tc>
                      <w:tcPr>
                        <w:tcW w:w="958" w:type="dxa"/>
                      </w:tcPr>
                      <w:p>
                        <w:pPr>
                          <w:pStyle w:val="TableParagraph"/>
                          <w:rPr>
                            <w:sz w:val="18"/>
                          </w:rPr>
                        </w:pPr>
                        <w:r>
                          <w:rPr>
                            <w:spacing w:val="-5"/>
                            <w:sz w:val="18"/>
                          </w:rPr>
                          <w:t>4b</w:t>
                        </w:r>
                      </w:p>
                    </w:tc>
                    <w:tc>
                      <w:tcPr>
                        <w:tcW w:w="1028" w:type="dxa"/>
                      </w:tcPr>
                      <w:p>
                        <w:pPr>
                          <w:pStyle w:val="TableParagraph"/>
                          <w:rPr>
                            <w:sz w:val="18"/>
                          </w:rPr>
                        </w:pPr>
                        <w:r>
                          <w:rPr>
                            <w:spacing w:val="-5"/>
                            <w:sz w:val="18"/>
                          </w:rPr>
                          <w:t>任何</w:t>
                        </w:r>
                      </w:p>
                    </w:tc>
                    <w:tc>
                      <w:tcPr>
                        <w:tcW w:w="851" w:type="dxa"/>
                      </w:tcPr>
                      <w:p>
                        <w:pPr>
                          <w:pStyle w:val="TableParagraph"/>
                          <w:ind w:left="104"/>
                          <w:rPr>
                            <w:sz w:val="18"/>
                          </w:rPr>
                        </w:pPr>
                        <w:r>
                          <w:rPr>
                            <w:sz w:val="18"/>
                          </w:rPr>
                          <w:t>0</w:t>
                        </w:r>
                      </w:p>
                    </w:tc>
                  </w:tr>
                </w:tbl>
                <w:p>
                  <w:pPr>
                    <w:pStyle w:val="BodyText"/>
                  </w:pPr>
                </w:p>
              </w:txbxContent>
            </v:textbox>
            <w10:wrap type="none"/>
          </v:shape>
        </w:pict>
      </w:r>
      <w:r>
        <w:rPr>
          <w:rFonts w:ascii="Cambria Math" w:eastAsia="Cambria Math"/>
          <w:spacing w:val="-2"/>
          <w:sz w:val="18"/>
        </w:rPr>
        <w:t>M</w:t>
      </w:r>
      <w:r>
        <w:rPr>
          <w:rFonts w:ascii="Cambria Math" w:eastAsia="Cambria Math"/>
          <w:spacing w:val="-2"/>
          <w:sz w:val="18"/>
          <w:vertAlign w:val="subscript"/>
        </w:rPr>
        <w:t>0</w:t>
      </w:r>
      <w:r>
        <w:rPr>
          <w:spacing w:val="-2"/>
          <w:sz w:val="18"/>
          <w:vertAlign w:val="baseline"/>
        </w:rPr>
        <w:t>：无远处转移 </w:t>
      </w:r>
      <w:r>
        <w:rPr>
          <w:rFonts w:ascii="Cambria Math" w:eastAsia="Cambria Math"/>
          <w:sz w:val="18"/>
          <w:vertAlign w:val="baseline"/>
        </w:rPr>
        <w:t>M</w:t>
      </w:r>
      <w:r>
        <w:rPr>
          <w:rFonts w:ascii="Cambria Math" w:eastAsia="Cambria Math"/>
          <w:sz w:val="18"/>
          <w:vertAlign w:val="subscript"/>
        </w:rPr>
        <w:t>1</w:t>
      </w:r>
      <w:r>
        <w:rPr>
          <w:spacing w:val="-2"/>
          <w:sz w:val="18"/>
          <w:vertAlign w:val="baseline"/>
        </w:rPr>
        <w:t>：有远处转移</w:t>
      </w:r>
    </w:p>
    <w:p>
      <w:pPr>
        <w:spacing w:after="0" w:line="324" w:lineRule="auto"/>
        <w:jc w:val="left"/>
        <w:rPr>
          <w:sz w:val="18"/>
        </w:rPr>
        <w:sectPr>
          <w:pgSz w:w="11910" w:h="16840"/>
          <w:pgMar w:header="0" w:footer="1005" w:top="1380" w:bottom="1200" w:left="1680" w:right="1580"/>
        </w:sectPr>
      </w:pPr>
    </w:p>
    <w:tbl>
      <w:tblPr>
        <w:tblW w:w="0" w:type="auto"/>
        <w:jc w:val="left"/>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37"/>
        <w:gridCol w:w="958"/>
        <w:gridCol w:w="1028"/>
        <w:gridCol w:w="851"/>
      </w:tblGrid>
      <w:tr>
        <w:trPr>
          <w:trHeight w:val="311" w:hRule="atLeast"/>
        </w:trPr>
        <w:tc>
          <w:tcPr>
            <w:tcW w:w="4537" w:type="dxa"/>
            <w:tcBorders>
              <w:top w:val="nil"/>
            </w:tcBorders>
          </w:tcPr>
          <w:p>
            <w:pPr>
              <w:pStyle w:val="TableParagraph"/>
              <w:spacing w:before="35"/>
              <w:ind w:left="527"/>
              <w:rPr>
                <w:sz w:val="18"/>
              </w:rPr>
            </w:pPr>
            <w:r>
              <w:rPr>
                <w:sz w:val="18"/>
              </w:rPr>
              <w:t>ⅣC</w:t>
            </w:r>
            <w:r>
              <w:rPr>
                <w:spacing w:val="-28"/>
                <w:sz w:val="18"/>
              </w:rPr>
              <w:t> 期</w:t>
            </w:r>
          </w:p>
        </w:tc>
        <w:tc>
          <w:tcPr>
            <w:tcW w:w="958" w:type="dxa"/>
            <w:tcBorders>
              <w:top w:val="nil"/>
            </w:tcBorders>
          </w:tcPr>
          <w:p>
            <w:pPr>
              <w:pStyle w:val="TableParagraph"/>
              <w:spacing w:before="35"/>
              <w:rPr>
                <w:sz w:val="18"/>
              </w:rPr>
            </w:pPr>
            <w:r>
              <w:rPr>
                <w:spacing w:val="-5"/>
                <w:sz w:val="18"/>
              </w:rPr>
              <w:t>任何</w:t>
            </w:r>
          </w:p>
        </w:tc>
        <w:tc>
          <w:tcPr>
            <w:tcW w:w="1028" w:type="dxa"/>
            <w:tcBorders>
              <w:top w:val="nil"/>
            </w:tcBorders>
          </w:tcPr>
          <w:p>
            <w:pPr>
              <w:pStyle w:val="TableParagraph"/>
              <w:spacing w:before="35"/>
              <w:rPr>
                <w:sz w:val="18"/>
              </w:rPr>
            </w:pPr>
            <w:r>
              <w:rPr>
                <w:spacing w:val="-5"/>
                <w:sz w:val="18"/>
              </w:rPr>
              <w:t>任何</w:t>
            </w:r>
          </w:p>
        </w:tc>
        <w:tc>
          <w:tcPr>
            <w:tcW w:w="851" w:type="dxa"/>
            <w:tcBorders>
              <w:top w:val="nil"/>
            </w:tcBorders>
          </w:tcPr>
          <w:p>
            <w:pPr>
              <w:pStyle w:val="TableParagraph"/>
              <w:spacing w:before="35"/>
              <w:ind w:left="104"/>
              <w:rPr>
                <w:sz w:val="18"/>
              </w:rPr>
            </w:pPr>
            <w:r>
              <w:rPr>
                <w:sz w:val="18"/>
              </w:rPr>
              <w:t>1</w:t>
            </w:r>
          </w:p>
        </w:tc>
      </w:tr>
      <w:tr>
        <w:trPr>
          <w:trHeight w:val="312" w:hRule="atLeast"/>
        </w:trPr>
        <w:tc>
          <w:tcPr>
            <w:tcW w:w="7374" w:type="dxa"/>
            <w:gridSpan w:val="4"/>
          </w:tcPr>
          <w:p>
            <w:pPr>
              <w:pStyle w:val="TableParagraph"/>
              <w:spacing w:before="35"/>
              <w:ind w:left="527"/>
              <w:rPr>
                <w:sz w:val="18"/>
              </w:rPr>
            </w:pPr>
            <w:r>
              <w:rPr>
                <w:sz w:val="18"/>
              </w:rPr>
              <w:t>未分化癌（所有年龄组</w:t>
            </w:r>
            <w:r>
              <w:rPr>
                <w:spacing w:val="-10"/>
                <w:sz w:val="18"/>
              </w:rPr>
              <w:t>）</w:t>
            </w:r>
          </w:p>
        </w:tc>
      </w:tr>
      <w:tr>
        <w:trPr>
          <w:trHeight w:val="311" w:hRule="atLeast"/>
        </w:trPr>
        <w:tc>
          <w:tcPr>
            <w:tcW w:w="4537" w:type="dxa"/>
          </w:tcPr>
          <w:p>
            <w:pPr>
              <w:pStyle w:val="TableParagraph"/>
              <w:spacing w:before="35"/>
              <w:ind w:left="527"/>
              <w:rPr>
                <w:sz w:val="18"/>
              </w:rPr>
            </w:pPr>
            <w:r>
              <w:rPr>
                <w:sz w:val="18"/>
              </w:rPr>
              <w:t>ⅣA</w:t>
            </w:r>
            <w:r>
              <w:rPr>
                <w:spacing w:val="-28"/>
                <w:sz w:val="18"/>
              </w:rPr>
              <w:t> 期</w:t>
            </w:r>
          </w:p>
        </w:tc>
        <w:tc>
          <w:tcPr>
            <w:tcW w:w="958" w:type="dxa"/>
          </w:tcPr>
          <w:p>
            <w:pPr>
              <w:pStyle w:val="TableParagraph"/>
              <w:spacing w:before="35"/>
              <w:rPr>
                <w:sz w:val="18"/>
              </w:rPr>
            </w:pPr>
            <w:r>
              <w:rPr>
                <w:spacing w:val="-4"/>
                <w:sz w:val="18"/>
              </w:rPr>
              <w:t>1～3a</w:t>
            </w:r>
          </w:p>
        </w:tc>
        <w:tc>
          <w:tcPr>
            <w:tcW w:w="1028" w:type="dxa"/>
          </w:tcPr>
          <w:p>
            <w:pPr>
              <w:pStyle w:val="TableParagraph"/>
              <w:spacing w:before="35"/>
              <w:rPr>
                <w:sz w:val="18"/>
              </w:rPr>
            </w:pPr>
            <w:r>
              <w:rPr>
                <w:spacing w:val="-5"/>
                <w:sz w:val="18"/>
              </w:rPr>
              <w:t>0/x</w:t>
            </w:r>
          </w:p>
        </w:tc>
        <w:tc>
          <w:tcPr>
            <w:tcW w:w="851" w:type="dxa"/>
          </w:tcPr>
          <w:p>
            <w:pPr>
              <w:pStyle w:val="TableParagraph"/>
              <w:spacing w:before="35"/>
              <w:ind w:left="104"/>
              <w:rPr>
                <w:sz w:val="18"/>
              </w:rPr>
            </w:pPr>
            <w:r>
              <w:rPr>
                <w:sz w:val="18"/>
              </w:rPr>
              <w:t>0</w:t>
            </w:r>
          </w:p>
        </w:tc>
      </w:tr>
      <w:tr>
        <w:trPr>
          <w:trHeight w:val="311" w:hRule="atLeast"/>
        </w:trPr>
        <w:tc>
          <w:tcPr>
            <w:tcW w:w="4537" w:type="dxa"/>
            <w:vMerge w:val="restart"/>
          </w:tcPr>
          <w:p>
            <w:pPr>
              <w:pStyle w:val="TableParagraph"/>
              <w:spacing w:before="6"/>
              <w:ind w:left="0"/>
              <w:rPr>
                <w:sz w:val="15"/>
              </w:rPr>
            </w:pPr>
          </w:p>
          <w:p>
            <w:pPr>
              <w:pStyle w:val="TableParagraph"/>
              <w:spacing w:before="0"/>
              <w:ind w:left="527"/>
              <w:rPr>
                <w:sz w:val="18"/>
              </w:rPr>
            </w:pPr>
            <w:r>
              <w:rPr>
                <w:sz w:val="18"/>
              </w:rPr>
              <w:t>ⅣB</w:t>
            </w:r>
            <w:r>
              <w:rPr>
                <w:spacing w:val="-28"/>
                <w:sz w:val="18"/>
              </w:rPr>
              <w:t> 期</w:t>
            </w:r>
          </w:p>
        </w:tc>
        <w:tc>
          <w:tcPr>
            <w:tcW w:w="958" w:type="dxa"/>
          </w:tcPr>
          <w:p>
            <w:pPr>
              <w:pStyle w:val="TableParagraph"/>
              <w:spacing w:before="35"/>
              <w:rPr>
                <w:sz w:val="18"/>
              </w:rPr>
            </w:pPr>
            <w:r>
              <w:rPr>
                <w:spacing w:val="-4"/>
                <w:sz w:val="18"/>
              </w:rPr>
              <w:t>1～3a</w:t>
            </w:r>
          </w:p>
        </w:tc>
        <w:tc>
          <w:tcPr>
            <w:tcW w:w="1028" w:type="dxa"/>
          </w:tcPr>
          <w:p>
            <w:pPr>
              <w:pStyle w:val="TableParagraph"/>
              <w:spacing w:before="35"/>
              <w:rPr>
                <w:sz w:val="18"/>
              </w:rPr>
            </w:pPr>
            <w:r>
              <w:rPr>
                <w:sz w:val="18"/>
              </w:rPr>
              <w:t>1</w:t>
            </w:r>
          </w:p>
        </w:tc>
        <w:tc>
          <w:tcPr>
            <w:tcW w:w="851" w:type="dxa"/>
          </w:tcPr>
          <w:p>
            <w:pPr>
              <w:pStyle w:val="TableParagraph"/>
              <w:spacing w:before="35"/>
              <w:ind w:left="104"/>
              <w:rPr>
                <w:sz w:val="18"/>
              </w:rPr>
            </w:pPr>
            <w:r>
              <w:rPr>
                <w:sz w:val="18"/>
              </w:rPr>
              <w:t>0</w:t>
            </w:r>
          </w:p>
        </w:tc>
      </w:tr>
      <w:tr>
        <w:trPr>
          <w:trHeight w:val="313" w:hRule="atLeast"/>
        </w:trPr>
        <w:tc>
          <w:tcPr>
            <w:tcW w:w="4537" w:type="dxa"/>
            <w:vMerge/>
            <w:tcBorders>
              <w:top w:val="nil"/>
            </w:tcBorders>
          </w:tcPr>
          <w:p>
            <w:pPr>
              <w:rPr>
                <w:sz w:val="2"/>
                <w:szCs w:val="2"/>
              </w:rPr>
            </w:pPr>
          </w:p>
        </w:tc>
        <w:tc>
          <w:tcPr>
            <w:tcW w:w="958" w:type="dxa"/>
          </w:tcPr>
          <w:p>
            <w:pPr>
              <w:pStyle w:val="TableParagraph"/>
              <w:spacing w:before="37"/>
              <w:rPr>
                <w:sz w:val="18"/>
              </w:rPr>
            </w:pPr>
            <w:r>
              <w:rPr>
                <w:spacing w:val="-4"/>
                <w:sz w:val="18"/>
              </w:rPr>
              <w:t>3b～4</w:t>
            </w:r>
          </w:p>
        </w:tc>
        <w:tc>
          <w:tcPr>
            <w:tcW w:w="1028" w:type="dxa"/>
          </w:tcPr>
          <w:p>
            <w:pPr>
              <w:pStyle w:val="TableParagraph"/>
              <w:spacing w:before="37"/>
              <w:rPr>
                <w:sz w:val="18"/>
              </w:rPr>
            </w:pPr>
            <w:r>
              <w:rPr>
                <w:spacing w:val="-5"/>
                <w:sz w:val="18"/>
              </w:rPr>
              <w:t>任何</w:t>
            </w:r>
          </w:p>
        </w:tc>
        <w:tc>
          <w:tcPr>
            <w:tcW w:w="851" w:type="dxa"/>
          </w:tcPr>
          <w:p>
            <w:pPr>
              <w:pStyle w:val="TableParagraph"/>
              <w:spacing w:before="37"/>
              <w:ind w:left="104"/>
              <w:rPr>
                <w:sz w:val="18"/>
              </w:rPr>
            </w:pPr>
            <w:r>
              <w:rPr>
                <w:sz w:val="18"/>
              </w:rPr>
              <w:t>0</w:t>
            </w:r>
          </w:p>
        </w:tc>
      </w:tr>
      <w:tr>
        <w:trPr>
          <w:trHeight w:val="311" w:hRule="atLeast"/>
        </w:trPr>
        <w:tc>
          <w:tcPr>
            <w:tcW w:w="4537" w:type="dxa"/>
          </w:tcPr>
          <w:p>
            <w:pPr>
              <w:pStyle w:val="TableParagraph"/>
              <w:spacing w:before="35"/>
              <w:ind w:left="527"/>
              <w:rPr>
                <w:sz w:val="18"/>
              </w:rPr>
            </w:pPr>
            <w:r>
              <w:rPr>
                <w:sz w:val="18"/>
              </w:rPr>
              <w:t>ⅣC</w:t>
            </w:r>
            <w:r>
              <w:rPr>
                <w:spacing w:val="-28"/>
                <w:sz w:val="18"/>
              </w:rPr>
              <w:t> 期</w:t>
            </w:r>
          </w:p>
        </w:tc>
        <w:tc>
          <w:tcPr>
            <w:tcW w:w="958" w:type="dxa"/>
          </w:tcPr>
          <w:p>
            <w:pPr>
              <w:pStyle w:val="TableParagraph"/>
              <w:spacing w:before="35"/>
              <w:rPr>
                <w:sz w:val="18"/>
              </w:rPr>
            </w:pPr>
            <w:r>
              <w:rPr>
                <w:spacing w:val="-5"/>
                <w:sz w:val="18"/>
              </w:rPr>
              <w:t>任何</w:t>
            </w:r>
          </w:p>
        </w:tc>
        <w:tc>
          <w:tcPr>
            <w:tcW w:w="1028" w:type="dxa"/>
          </w:tcPr>
          <w:p>
            <w:pPr>
              <w:pStyle w:val="TableParagraph"/>
              <w:spacing w:before="35"/>
              <w:rPr>
                <w:sz w:val="18"/>
              </w:rPr>
            </w:pPr>
            <w:r>
              <w:rPr>
                <w:spacing w:val="-5"/>
                <w:sz w:val="18"/>
              </w:rPr>
              <w:t>任何</w:t>
            </w:r>
          </w:p>
        </w:tc>
        <w:tc>
          <w:tcPr>
            <w:tcW w:w="851" w:type="dxa"/>
          </w:tcPr>
          <w:p>
            <w:pPr>
              <w:pStyle w:val="TableParagraph"/>
              <w:spacing w:before="35"/>
              <w:ind w:left="104"/>
              <w:rPr>
                <w:sz w:val="18"/>
              </w:rPr>
            </w:pPr>
            <w:r>
              <w:rPr>
                <w:sz w:val="18"/>
              </w:rPr>
              <w:t>1</w:t>
            </w:r>
          </w:p>
        </w:tc>
      </w:tr>
    </w:tbl>
    <w:p>
      <w:pPr>
        <w:spacing w:before="122"/>
        <w:ind w:left="900" w:right="0" w:firstLine="0"/>
        <w:jc w:val="left"/>
        <w:rPr>
          <w:sz w:val="18"/>
        </w:rPr>
      </w:pPr>
      <w:r>
        <w:rPr>
          <w:spacing w:val="-1"/>
          <w:sz w:val="18"/>
        </w:rPr>
        <w:t>注：以上表格中“年龄”指患者病理组织标本获取日期时的年龄。</w:t>
      </w:r>
    </w:p>
    <w:p>
      <w:pPr>
        <w:pStyle w:val="BodyText"/>
        <w:spacing w:before="2"/>
        <w:rPr>
          <w:sz w:val="17"/>
        </w:rPr>
      </w:pPr>
    </w:p>
    <w:p>
      <w:pPr>
        <w:pStyle w:val="ListParagraph"/>
        <w:numPr>
          <w:ilvl w:val="0"/>
          <w:numId w:val="11"/>
        </w:numPr>
        <w:tabs>
          <w:tab w:pos="541" w:val="left" w:leader="none"/>
        </w:tabs>
        <w:spacing w:line="417" w:lineRule="auto" w:before="0" w:after="0"/>
        <w:ind w:left="540" w:right="216" w:hanging="420"/>
        <w:jc w:val="left"/>
        <w:rPr>
          <w:sz w:val="21"/>
        </w:rPr>
      </w:pPr>
      <w:r>
        <w:rPr>
          <w:b/>
          <w:spacing w:val="-6"/>
          <w:sz w:val="21"/>
        </w:rPr>
        <w:t>现金价值 </w:t>
      </w:r>
      <w:r>
        <w:rPr>
          <w:sz w:val="21"/>
        </w:rPr>
        <w:t>指保单所具有的价值，通常体现为解除合同时，根据精算原理计算的，由我</w:t>
      </w:r>
      <w:r>
        <w:rPr>
          <w:spacing w:val="-2"/>
          <w:sz w:val="21"/>
        </w:rPr>
        <w:t>们退还的那部分金额。</w:t>
      </w:r>
    </w:p>
    <w:p>
      <w:pPr>
        <w:pStyle w:val="ListParagraph"/>
        <w:numPr>
          <w:ilvl w:val="0"/>
          <w:numId w:val="11"/>
        </w:numPr>
        <w:tabs>
          <w:tab w:pos="541" w:val="left" w:leader="none"/>
        </w:tabs>
        <w:spacing w:line="417" w:lineRule="auto" w:before="0" w:after="0"/>
        <w:ind w:left="540" w:right="216" w:hanging="420"/>
        <w:jc w:val="left"/>
        <w:rPr>
          <w:sz w:val="21"/>
        </w:rPr>
      </w:pPr>
      <w:r>
        <w:rPr>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BodyText"/>
        <w:rPr>
          <w:sz w:val="20"/>
        </w:rPr>
      </w:pPr>
    </w:p>
    <w:p>
      <w:pPr>
        <w:pStyle w:val="BodyText"/>
        <w:spacing w:before="6"/>
        <w:rPr>
          <w:sz w:val="16"/>
        </w:rPr>
      </w:pPr>
    </w:p>
    <w:p>
      <w:pPr>
        <w:pStyle w:val="BodyText"/>
        <w:spacing w:before="1"/>
        <w:ind w:left="1949" w:right="2042"/>
        <w:jc w:val="center"/>
      </w:pPr>
      <w:r>
        <w:rPr>
          <w:spacing w:val="-2"/>
        </w:rPr>
        <w:t>（本合同条款内容结束</w:t>
      </w:r>
      <w:r>
        <w:rPr>
          <w:spacing w:val="-10"/>
        </w:rPr>
        <w:t>）</w:t>
      </w:r>
    </w:p>
    <w:sectPr>
      <w:pgSz w:w="11910" w:h="16840"/>
      <w:pgMar w:header="0" w:footer="1005" w:top="1420" w:bottom="120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Calibri">
    <w:altName w:val="Calibri"/>
    <w:charset w:val="0"/>
    <w:family w:val="swiss"/>
    <w:pitch w:val="variable"/>
  </w:font>
  <w:font w:name="黑体">
    <w:altName w:val="黑体"/>
    <w:charset w:val="86"/>
    <w:family w:val="modern"/>
    <w:pitch w:val="fixed"/>
  </w:font>
  <w:font w:name="Cambria Math">
    <w:altName w:val="Cambria Math"/>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6242688" type="#_x0000_t202" id="docshape1" filled="false" stroked="false">
          <v:textbox inset="0,0,0,0">
            <w:txbxContent>
              <w:p>
                <w:pPr>
                  <w:spacing w:before="0"/>
                  <w:ind w:left="20" w:right="0" w:firstLine="0"/>
                  <w:jc w:val="left"/>
                  <w:rPr>
                    <w:rFonts w:ascii="宋体" w:eastAsia="宋体"/>
                    <w:sz w:val="18"/>
                  </w:rPr>
                </w:pPr>
                <w:r>
                  <w:rPr>
                    <w:rFonts w:ascii="宋体" w:eastAsia="宋体"/>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rFonts w:ascii="宋体" w:eastAsia="宋体"/>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18</w:t>
                </w:r>
                <w:r>
                  <w:rPr>
                    <w:rFonts w:ascii="Times New Roman" w:eastAsia="Times New Roman"/>
                    <w:sz w:val="18"/>
                  </w:rPr>
                  <w:fldChar w:fldCharType="end"/>
                </w:r>
                <w:r>
                  <w:rPr>
                    <w:rFonts w:ascii="Times New Roman" w:eastAsia="Times New Roman"/>
                    <w:spacing w:val="47"/>
                    <w:sz w:val="18"/>
                  </w:rPr>
                  <w:t> </w:t>
                </w:r>
                <w:r>
                  <w:rPr>
                    <w:rFonts w:ascii="宋体" w:eastAsia="宋体"/>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960" w:hanging="420"/>
        <w:jc w:val="left"/>
      </w:pPr>
      <w:rPr>
        <w:rFonts w:hint="default" w:ascii="仿宋" w:hAnsi="仿宋" w:eastAsia="仿宋" w:cs="仿宋"/>
        <w:b w:val="0"/>
        <w:bCs w:val="0"/>
        <w:i w:val="0"/>
        <w:iCs w:val="0"/>
        <w:w w:val="100"/>
        <w:sz w:val="21"/>
        <w:szCs w:val="21"/>
        <w:lang w:val="en-US" w:eastAsia="zh-CN" w:bidi="ar-SA"/>
      </w:rPr>
    </w:lvl>
    <w:lvl w:ilvl="1">
      <w:start w:val="0"/>
      <w:numFmt w:val="bullet"/>
      <w:lvlText w:val="•"/>
      <w:lvlJc w:val="left"/>
      <w:pPr>
        <w:ind w:left="1728" w:hanging="420"/>
      </w:pPr>
      <w:rPr>
        <w:rFonts w:hint="default"/>
        <w:lang w:val="en-US" w:eastAsia="zh-CN" w:bidi="ar-SA"/>
      </w:rPr>
    </w:lvl>
    <w:lvl w:ilvl="2">
      <w:start w:val="0"/>
      <w:numFmt w:val="bullet"/>
      <w:lvlText w:val="•"/>
      <w:lvlJc w:val="left"/>
      <w:pPr>
        <w:ind w:left="2497" w:hanging="420"/>
      </w:pPr>
      <w:rPr>
        <w:rFonts w:hint="default"/>
        <w:lang w:val="en-US" w:eastAsia="zh-CN" w:bidi="ar-SA"/>
      </w:rPr>
    </w:lvl>
    <w:lvl w:ilvl="3">
      <w:start w:val="0"/>
      <w:numFmt w:val="bullet"/>
      <w:lvlText w:val="•"/>
      <w:lvlJc w:val="left"/>
      <w:pPr>
        <w:ind w:left="3265" w:hanging="420"/>
      </w:pPr>
      <w:rPr>
        <w:rFonts w:hint="default"/>
        <w:lang w:val="en-US" w:eastAsia="zh-CN" w:bidi="ar-SA"/>
      </w:rPr>
    </w:lvl>
    <w:lvl w:ilvl="4">
      <w:start w:val="0"/>
      <w:numFmt w:val="bullet"/>
      <w:lvlText w:val="•"/>
      <w:lvlJc w:val="left"/>
      <w:pPr>
        <w:ind w:left="4034" w:hanging="420"/>
      </w:pPr>
      <w:rPr>
        <w:rFonts w:hint="default"/>
        <w:lang w:val="en-US" w:eastAsia="zh-CN" w:bidi="ar-SA"/>
      </w:rPr>
    </w:lvl>
    <w:lvl w:ilvl="5">
      <w:start w:val="0"/>
      <w:numFmt w:val="bullet"/>
      <w:lvlText w:val="•"/>
      <w:lvlJc w:val="left"/>
      <w:pPr>
        <w:ind w:left="4803" w:hanging="420"/>
      </w:pPr>
      <w:rPr>
        <w:rFonts w:hint="default"/>
        <w:lang w:val="en-US" w:eastAsia="zh-CN" w:bidi="ar-SA"/>
      </w:rPr>
    </w:lvl>
    <w:lvl w:ilvl="6">
      <w:start w:val="0"/>
      <w:numFmt w:val="bullet"/>
      <w:lvlText w:val="•"/>
      <w:lvlJc w:val="left"/>
      <w:pPr>
        <w:ind w:left="5571" w:hanging="420"/>
      </w:pPr>
      <w:rPr>
        <w:rFonts w:hint="default"/>
        <w:lang w:val="en-US" w:eastAsia="zh-CN" w:bidi="ar-SA"/>
      </w:rPr>
    </w:lvl>
    <w:lvl w:ilvl="7">
      <w:start w:val="0"/>
      <w:numFmt w:val="bullet"/>
      <w:lvlText w:val="•"/>
      <w:lvlJc w:val="left"/>
      <w:pPr>
        <w:ind w:left="6340" w:hanging="420"/>
      </w:pPr>
      <w:rPr>
        <w:rFonts w:hint="default"/>
        <w:lang w:val="en-US" w:eastAsia="zh-CN" w:bidi="ar-SA"/>
      </w:rPr>
    </w:lvl>
    <w:lvl w:ilvl="8">
      <w:start w:val="0"/>
      <w:numFmt w:val="bullet"/>
      <w:lvlText w:val="•"/>
      <w:lvlJc w:val="left"/>
      <w:pPr>
        <w:ind w:left="7109" w:hanging="420"/>
      </w:pPr>
      <w:rPr>
        <w:rFonts w:hint="default"/>
        <w:lang w:val="en-US" w:eastAsia="zh-CN" w:bidi="ar-SA"/>
      </w:rPr>
    </w:lvl>
  </w:abstractNum>
  <w:abstractNum w:abstractNumId="13">
    <w:multiLevelType w:val="hybridMultilevel"/>
    <w:lvl w:ilvl="0">
      <w:start w:val="1"/>
      <w:numFmt w:val="lowerLetter"/>
      <w:lvlText w:val="%1."/>
      <w:lvlJc w:val="left"/>
      <w:pPr>
        <w:ind w:left="547" w:hanging="269"/>
        <w:jc w:val="left"/>
      </w:pPr>
      <w:rPr>
        <w:rFonts w:hint="default" w:ascii="仿宋" w:hAnsi="仿宋" w:eastAsia="仿宋" w:cs="仿宋"/>
        <w:b/>
        <w:bCs/>
        <w:i w:val="0"/>
        <w:iCs w:val="0"/>
        <w:w w:val="99"/>
        <w:sz w:val="21"/>
        <w:szCs w:val="21"/>
        <w:lang w:val="en-US" w:eastAsia="zh-CN" w:bidi="ar-SA"/>
      </w:rPr>
    </w:lvl>
    <w:lvl w:ilvl="1">
      <w:start w:val="0"/>
      <w:numFmt w:val="bullet"/>
      <w:lvlText w:val="•"/>
      <w:lvlJc w:val="left"/>
      <w:pPr>
        <w:ind w:left="1350" w:hanging="269"/>
      </w:pPr>
      <w:rPr>
        <w:rFonts w:hint="default"/>
        <w:lang w:val="en-US" w:eastAsia="zh-CN" w:bidi="ar-SA"/>
      </w:rPr>
    </w:lvl>
    <w:lvl w:ilvl="2">
      <w:start w:val="0"/>
      <w:numFmt w:val="bullet"/>
      <w:lvlText w:val="•"/>
      <w:lvlJc w:val="left"/>
      <w:pPr>
        <w:ind w:left="2161" w:hanging="269"/>
      </w:pPr>
      <w:rPr>
        <w:rFonts w:hint="default"/>
        <w:lang w:val="en-US" w:eastAsia="zh-CN" w:bidi="ar-SA"/>
      </w:rPr>
    </w:lvl>
    <w:lvl w:ilvl="3">
      <w:start w:val="0"/>
      <w:numFmt w:val="bullet"/>
      <w:lvlText w:val="•"/>
      <w:lvlJc w:val="left"/>
      <w:pPr>
        <w:ind w:left="2971" w:hanging="269"/>
      </w:pPr>
      <w:rPr>
        <w:rFonts w:hint="default"/>
        <w:lang w:val="en-US" w:eastAsia="zh-CN" w:bidi="ar-SA"/>
      </w:rPr>
    </w:lvl>
    <w:lvl w:ilvl="4">
      <w:start w:val="0"/>
      <w:numFmt w:val="bullet"/>
      <w:lvlText w:val="•"/>
      <w:lvlJc w:val="left"/>
      <w:pPr>
        <w:ind w:left="3782" w:hanging="269"/>
      </w:pPr>
      <w:rPr>
        <w:rFonts w:hint="default"/>
        <w:lang w:val="en-US" w:eastAsia="zh-CN" w:bidi="ar-SA"/>
      </w:rPr>
    </w:lvl>
    <w:lvl w:ilvl="5">
      <w:start w:val="0"/>
      <w:numFmt w:val="bullet"/>
      <w:lvlText w:val="•"/>
      <w:lvlJc w:val="left"/>
      <w:pPr>
        <w:ind w:left="4593" w:hanging="269"/>
      </w:pPr>
      <w:rPr>
        <w:rFonts w:hint="default"/>
        <w:lang w:val="en-US" w:eastAsia="zh-CN" w:bidi="ar-SA"/>
      </w:rPr>
    </w:lvl>
    <w:lvl w:ilvl="6">
      <w:start w:val="0"/>
      <w:numFmt w:val="bullet"/>
      <w:lvlText w:val="•"/>
      <w:lvlJc w:val="left"/>
      <w:pPr>
        <w:ind w:left="5403" w:hanging="269"/>
      </w:pPr>
      <w:rPr>
        <w:rFonts w:hint="default"/>
        <w:lang w:val="en-US" w:eastAsia="zh-CN" w:bidi="ar-SA"/>
      </w:rPr>
    </w:lvl>
    <w:lvl w:ilvl="7">
      <w:start w:val="0"/>
      <w:numFmt w:val="bullet"/>
      <w:lvlText w:val="•"/>
      <w:lvlJc w:val="left"/>
      <w:pPr>
        <w:ind w:left="6214" w:hanging="269"/>
      </w:pPr>
      <w:rPr>
        <w:rFonts w:hint="default"/>
        <w:lang w:val="en-US" w:eastAsia="zh-CN" w:bidi="ar-SA"/>
      </w:rPr>
    </w:lvl>
    <w:lvl w:ilvl="8">
      <w:start w:val="0"/>
      <w:numFmt w:val="bullet"/>
      <w:lvlText w:val="•"/>
      <w:lvlJc w:val="left"/>
      <w:pPr>
        <w:ind w:left="7025" w:hanging="269"/>
      </w:pPr>
      <w:rPr>
        <w:rFonts w:hint="default"/>
        <w:lang w:val="en-US" w:eastAsia="zh-CN" w:bidi="ar-SA"/>
      </w:rPr>
    </w:lvl>
  </w:abstractNum>
  <w:abstractNum w:abstractNumId="12">
    <w:multiLevelType w:val="hybridMultilevel"/>
    <w:lvl w:ilvl="0">
      <w:start w:val="1"/>
      <w:numFmt w:val="decimal"/>
      <w:lvlText w:val="（%1）"/>
      <w:lvlJc w:val="left"/>
      <w:pPr>
        <w:ind w:left="1598" w:hanging="634"/>
        <w:jc w:val="left"/>
      </w:pPr>
      <w:rPr>
        <w:rFonts w:hint="default" w:ascii="仿宋" w:hAnsi="仿宋" w:eastAsia="仿宋" w:cs="仿宋"/>
        <w:b/>
        <w:bCs/>
        <w:i w:val="0"/>
        <w:iCs w:val="0"/>
        <w:w w:val="99"/>
        <w:sz w:val="21"/>
        <w:szCs w:val="21"/>
        <w:lang w:val="en-US" w:eastAsia="zh-CN" w:bidi="ar-SA"/>
      </w:rPr>
    </w:lvl>
    <w:lvl w:ilvl="1">
      <w:start w:val="0"/>
      <w:numFmt w:val="bullet"/>
      <w:lvlText w:val="•"/>
      <w:lvlJc w:val="left"/>
      <w:pPr>
        <w:ind w:left="2304" w:hanging="634"/>
      </w:pPr>
      <w:rPr>
        <w:rFonts w:hint="default"/>
        <w:lang w:val="en-US" w:eastAsia="zh-CN" w:bidi="ar-SA"/>
      </w:rPr>
    </w:lvl>
    <w:lvl w:ilvl="2">
      <w:start w:val="0"/>
      <w:numFmt w:val="bullet"/>
      <w:lvlText w:val="•"/>
      <w:lvlJc w:val="left"/>
      <w:pPr>
        <w:ind w:left="3009" w:hanging="634"/>
      </w:pPr>
      <w:rPr>
        <w:rFonts w:hint="default"/>
        <w:lang w:val="en-US" w:eastAsia="zh-CN" w:bidi="ar-SA"/>
      </w:rPr>
    </w:lvl>
    <w:lvl w:ilvl="3">
      <w:start w:val="0"/>
      <w:numFmt w:val="bullet"/>
      <w:lvlText w:val="•"/>
      <w:lvlJc w:val="left"/>
      <w:pPr>
        <w:ind w:left="3713" w:hanging="634"/>
      </w:pPr>
      <w:rPr>
        <w:rFonts w:hint="default"/>
        <w:lang w:val="en-US" w:eastAsia="zh-CN" w:bidi="ar-SA"/>
      </w:rPr>
    </w:lvl>
    <w:lvl w:ilvl="4">
      <w:start w:val="0"/>
      <w:numFmt w:val="bullet"/>
      <w:lvlText w:val="•"/>
      <w:lvlJc w:val="left"/>
      <w:pPr>
        <w:ind w:left="4418" w:hanging="634"/>
      </w:pPr>
      <w:rPr>
        <w:rFonts w:hint="default"/>
        <w:lang w:val="en-US" w:eastAsia="zh-CN" w:bidi="ar-SA"/>
      </w:rPr>
    </w:lvl>
    <w:lvl w:ilvl="5">
      <w:start w:val="0"/>
      <w:numFmt w:val="bullet"/>
      <w:lvlText w:val="•"/>
      <w:lvlJc w:val="left"/>
      <w:pPr>
        <w:ind w:left="5123" w:hanging="634"/>
      </w:pPr>
      <w:rPr>
        <w:rFonts w:hint="default"/>
        <w:lang w:val="en-US" w:eastAsia="zh-CN" w:bidi="ar-SA"/>
      </w:rPr>
    </w:lvl>
    <w:lvl w:ilvl="6">
      <w:start w:val="0"/>
      <w:numFmt w:val="bullet"/>
      <w:lvlText w:val="•"/>
      <w:lvlJc w:val="left"/>
      <w:pPr>
        <w:ind w:left="5827" w:hanging="634"/>
      </w:pPr>
      <w:rPr>
        <w:rFonts w:hint="default"/>
        <w:lang w:val="en-US" w:eastAsia="zh-CN" w:bidi="ar-SA"/>
      </w:rPr>
    </w:lvl>
    <w:lvl w:ilvl="7">
      <w:start w:val="0"/>
      <w:numFmt w:val="bullet"/>
      <w:lvlText w:val="•"/>
      <w:lvlJc w:val="left"/>
      <w:pPr>
        <w:ind w:left="6532" w:hanging="634"/>
      </w:pPr>
      <w:rPr>
        <w:rFonts w:hint="default"/>
        <w:lang w:val="en-US" w:eastAsia="zh-CN" w:bidi="ar-SA"/>
      </w:rPr>
    </w:lvl>
    <w:lvl w:ilvl="8">
      <w:start w:val="0"/>
      <w:numFmt w:val="bullet"/>
      <w:lvlText w:val="•"/>
      <w:lvlJc w:val="left"/>
      <w:pPr>
        <w:ind w:left="7237" w:hanging="634"/>
      </w:pPr>
      <w:rPr>
        <w:rFonts w:hint="default"/>
        <w:lang w:val="en-US" w:eastAsia="zh-CN" w:bidi="ar-SA"/>
      </w:rPr>
    </w:lvl>
  </w:abstractNum>
  <w:abstractNum w:abstractNumId="11">
    <w:multiLevelType w:val="hybridMultilevel"/>
    <w:lvl w:ilvl="0">
      <w:start w:val="1"/>
      <w:numFmt w:val="decimal"/>
      <w:lvlText w:val="（%1）"/>
      <w:lvlJc w:val="left"/>
      <w:pPr>
        <w:ind w:left="1069" w:hanging="529"/>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1818" w:hanging="529"/>
      </w:pPr>
      <w:rPr>
        <w:rFonts w:hint="default"/>
        <w:lang w:val="en-US" w:eastAsia="zh-CN" w:bidi="ar-SA"/>
      </w:rPr>
    </w:lvl>
    <w:lvl w:ilvl="2">
      <w:start w:val="0"/>
      <w:numFmt w:val="bullet"/>
      <w:lvlText w:val="•"/>
      <w:lvlJc w:val="left"/>
      <w:pPr>
        <w:ind w:left="2577" w:hanging="529"/>
      </w:pPr>
      <w:rPr>
        <w:rFonts w:hint="default"/>
        <w:lang w:val="en-US" w:eastAsia="zh-CN" w:bidi="ar-SA"/>
      </w:rPr>
    </w:lvl>
    <w:lvl w:ilvl="3">
      <w:start w:val="0"/>
      <w:numFmt w:val="bullet"/>
      <w:lvlText w:val="•"/>
      <w:lvlJc w:val="left"/>
      <w:pPr>
        <w:ind w:left="3335" w:hanging="529"/>
      </w:pPr>
      <w:rPr>
        <w:rFonts w:hint="default"/>
        <w:lang w:val="en-US" w:eastAsia="zh-CN" w:bidi="ar-SA"/>
      </w:rPr>
    </w:lvl>
    <w:lvl w:ilvl="4">
      <w:start w:val="0"/>
      <w:numFmt w:val="bullet"/>
      <w:lvlText w:val="•"/>
      <w:lvlJc w:val="left"/>
      <w:pPr>
        <w:ind w:left="4094" w:hanging="529"/>
      </w:pPr>
      <w:rPr>
        <w:rFonts w:hint="default"/>
        <w:lang w:val="en-US" w:eastAsia="zh-CN" w:bidi="ar-SA"/>
      </w:rPr>
    </w:lvl>
    <w:lvl w:ilvl="5">
      <w:start w:val="0"/>
      <w:numFmt w:val="bullet"/>
      <w:lvlText w:val="•"/>
      <w:lvlJc w:val="left"/>
      <w:pPr>
        <w:ind w:left="4853" w:hanging="529"/>
      </w:pPr>
      <w:rPr>
        <w:rFonts w:hint="default"/>
        <w:lang w:val="en-US" w:eastAsia="zh-CN" w:bidi="ar-SA"/>
      </w:rPr>
    </w:lvl>
    <w:lvl w:ilvl="6">
      <w:start w:val="0"/>
      <w:numFmt w:val="bullet"/>
      <w:lvlText w:val="•"/>
      <w:lvlJc w:val="left"/>
      <w:pPr>
        <w:ind w:left="5611" w:hanging="529"/>
      </w:pPr>
      <w:rPr>
        <w:rFonts w:hint="default"/>
        <w:lang w:val="en-US" w:eastAsia="zh-CN" w:bidi="ar-SA"/>
      </w:rPr>
    </w:lvl>
    <w:lvl w:ilvl="7">
      <w:start w:val="0"/>
      <w:numFmt w:val="bullet"/>
      <w:lvlText w:val="•"/>
      <w:lvlJc w:val="left"/>
      <w:pPr>
        <w:ind w:left="6370" w:hanging="529"/>
      </w:pPr>
      <w:rPr>
        <w:rFonts w:hint="default"/>
        <w:lang w:val="en-US" w:eastAsia="zh-CN" w:bidi="ar-SA"/>
      </w:rPr>
    </w:lvl>
    <w:lvl w:ilvl="8">
      <w:start w:val="0"/>
      <w:numFmt w:val="bullet"/>
      <w:lvlText w:val="•"/>
      <w:lvlJc w:val="left"/>
      <w:pPr>
        <w:ind w:left="7129" w:hanging="529"/>
      </w:pPr>
      <w:rPr>
        <w:rFonts w:hint="default"/>
        <w:lang w:val="en-US" w:eastAsia="zh-CN" w:bidi="ar-SA"/>
      </w:rPr>
    </w:lvl>
  </w:abstractNum>
  <w:abstractNum w:abstractNumId="10">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1"/>
      <w:numFmt w:val="decimal"/>
      <w:lvlText w:val="（%2）"/>
      <w:lvlJc w:val="left"/>
      <w:pPr>
        <w:ind w:left="960" w:hanging="557"/>
        <w:jc w:val="left"/>
      </w:pPr>
      <w:rPr>
        <w:rFonts w:hint="default"/>
        <w:spacing w:val="-2"/>
        <w:w w:val="100"/>
        <w:lang w:val="en-US" w:eastAsia="zh-CN" w:bidi="ar-SA"/>
      </w:rPr>
    </w:lvl>
    <w:lvl w:ilvl="2">
      <w:start w:val="0"/>
      <w:numFmt w:val="bullet"/>
      <w:lvlText w:val="•"/>
      <w:lvlJc w:val="left"/>
      <w:pPr>
        <w:ind w:left="1814" w:hanging="557"/>
      </w:pPr>
      <w:rPr>
        <w:rFonts w:hint="default"/>
        <w:lang w:val="en-US" w:eastAsia="zh-CN" w:bidi="ar-SA"/>
      </w:rPr>
    </w:lvl>
    <w:lvl w:ilvl="3">
      <w:start w:val="0"/>
      <w:numFmt w:val="bullet"/>
      <w:lvlText w:val="•"/>
      <w:lvlJc w:val="left"/>
      <w:pPr>
        <w:ind w:left="2668" w:hanging="557"/>
      </w:pPr>
      <w:rPr>
        <w:rFonts w:hint="default"/>
        <w:lang w:val="en-US" w:eastAsia="zh-CN" w:bidi="ar-SA"/>
      </w:rPr>
    </w:lvl>
    <w:lvl w:ilvl="4">
      <w:start w:val="0"/>
      <w:numFmt w:val="bullet"/>
      <w:lvlText w:val="•"/>
      <w:lvlJc w:val="left"/>
      <w:pPr>
        <w:ind w:left="3522" w:hanging="557"/>
      </w:pPr>
      <w:rPr>
        <w:rFonts w:hint="default"/>
        <w:lang w:val="en-US" w:eastAsia="zh-CN" w:bidi="ar-SA"/>
      </w:rPr>
    </w:lvl>
    <w:lvl w:ilvl="5">
      <w:start w:val="0"/>
      <w:numFmt w:val="bullet"/>
      <w:lvlText w:val="•"/>
      <w:lvlJc w:val="left"/>
      <w:pPr>
        <w:ind w:left="4376" w:hanging="557"/>
      </w:pPr>
      <w:rPr>
        <w:rFonts w:hint="default"/>
        <w:lang w:val="en-US" w:eastAsia="zh-CN" w:bidi="ar-SA"/>
      </w:rPr>
    </w:lvl>
    <w:lvl w:ilvl="6">
      <w:start w:val="0"/>
      <w:numFmt w:val="bullet"/>
      <w:lvlText w:val="•"/>
      <w:lvlJc w:val="left"/>
      <w:pPr>
        <w:ind w:left="5230" w:hanging="557"/>
      </w:pPr>
      <w:rPr>
        <w:rFonts w:hint="default"/>
        <w:lang w:val="en-US" w:eastAsia="zh-CN" w:bidi="ar-SA"/>
      </w:rPr>
    </w:lvl>
    <w:lvl w:ilvl="7">
      <w:start w:val="0"/>
      <w:numFmt w:val="bullet"/>
      <w:lvlText w:val="•"/>
      <w:lvlJc w:val="left"/>
      <w:pPr>
        <w:ind w:left="6084" w:hanging="557"/>
      </w:pPr>
      <w:rPr>
        <w:rFonts w:hint="default"/>
        <w:lang w:val="en-US" w:eastAsia="zh-CN" w:bidi="ar-SA"/>
      </w:rPr>
    </w:lvl>
    <w:lvl w:ilvl="8">
      <w:start w:val="0"/>
      <w:numFmt w:val="bullet"/>
      <w:lvlText w:val="•"/>
      <w:lvlJc w:val="left"/>
      <w:pPr>
        <w:ind w:left="6938" w:hanging="557"/>
      </w:pPr>
      <w:rPr>
        <w:rFonts w:hint="default"/>
        <w:lang w:val="en-US" w:eastAsia="zh-CN" w:bidi="ar-SA"/>
      </w:rPr>
    </w:lvl>
  </w:abstractNum>
  <w:abstractNum w:abstractNumId="9">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8">
    <w:multiLevelType w:val="hybridMultilevel"/>
    <w:lvl w:ilvl="0">
      <w:start w:val="1"/>
      <w:numFmt w:val="decimal"/>
      <w:lvlText w:val="（%1）"/>
      <w:lvlJc w:val="left"/>
      <w:pPr>
        <w:ind w:left="120" w:hanging="532"/>
        <w:jc w:val="left"/>
      </w:pPr>
      <w:rPr>
        <w:rFonts w:hint="default" w:ascii="仿宋" w:hAnsi="仿宋" w:eastAsia="仿宋" w:cs="仿宋"/>
        <w:b w:val="0"/>
        <w:bCs w:val="0"/>
        <w:i w:val="0"/>
        <w:iCs w:val="0"/>
        <w:spacing w:val="-3"/>
        <w:w w:val="100"/>
        <w:sz w:val="19"/>
        <w:szCs w:val="19"/>
        <w:lang w:val="en-US" w:eastAsia="zh-CN" w:bidi="ar-SA"/>
      </w:rPr>
    </w:lvl>
    <w:lvl w:ilvl="1">
      <w:start w:val="0"/>
      <w:numFmt w:val="bullet"/>
      <w:lvlText w:val="•"/>
      <w:lvlJc w:val="left"/>
      <w:pPr>
        <w:ind w:left="972" w:hanging="532"/>
      </w:pPr>
      <w:rPr>
        <w:rFonts w:hint="default"/>
        <w:lang w:val="en-US" w:eastAsia="zh-CN" w:bidi="ar-SA"/>
      </w:rPr>
    </w:lvl>
    <w:lvl w:ilvl="2">
      <w:start w:val="0"/>
      <w:numFmt w:val="bullet"/>
      <w:lvlText w:val="•"/>
      <w:lvlJc w:val="left"/>
      <w:pPr>
        <w:ind w:left="1825" w:hanging="532"/>
      </w:pPr>
      <w:rPr>
        <w:rFonts w:hint="default"/>
        <w:lang w:val="en-US" w:eastAsia="zh-CN" w:bidi="ar-SA"/>
      </w:rPr>
    </w:lvl>
    <w:lvl w:ilvl="3">
      <w:start w:val="0"/>
      <w:numFmt w:val="bullet"/>
      <w:lvlText w:val="•"/>
      <w:lvlJc w:val="left"/>
      <w:pPr>
        <w:ind w:left="2677" w:hanging="532"/>
      </w:pPr>
      <w:rPr>
        <w:rFonts w:hint="default"/>
        <w:lang w:val="en-US" w:eastAsia="zh-CN" w:bidi="ar-SA"/>
      </w:rPr>
    </w:lvl>
    <w:lvl w:ilvl="4">
      <w:start w:val="0"/>
      <w:numFmt w:val="bullet"/>
      <w:lvlText w:val="•"/>
      <w:lvlJc w:val="left"/>
      <w:pPr>
        <w:ind w:left="3530" w:hanging="532"/>
      </w:pPr>
      <w:rPr>
        <w:rFonts w:hint="default"/>
        <w:lang w:val="en-US" w:eastAsia="zh-CN" w:bidi="ar-SA"/>
      </w:rPr>
    </w:lvl>
    <w:lvl w:ilvl="5">
      <w:start w:val="0"/>
      <w:numFmt w:val="bullet"/>
      <w:lvlText w:val="•"/>
      <w:lvlJc w:val="left"/>
      <w:pPr>
        <w:ind w:left="4383" w:hanging="532"/>
      </w:pPr>
      <w:rPr>
        <w:rFonts w:hint="default"/>
        <w:lang w:val="en-US" w:eastAsia="zh-CN" w:bidi="ar-SA"/>
      </w:rPr>
    </w:lvl>
    <w:lvl w:ilvl="6">
      <w:start w:val="0"/>
      <w:numFmt w:val="bullet"/>
      <w:lvlText w:val="•"/>
      <w:lvlJc w:val="left"/>
      <w:pPr>
        <w:ind w:left="5235" w:hanging="532"/>
      </w:pPr>
      <w:rPr>
        <w:rFonts w:hint="default"/>
        <w:lang w:val="en-US" w:eastAsia="zh-CN" w:bidi="ar-SA"/>
      </w:rPr>
    </w:lvl>
    <w:lvl w:ilvl="7">
      <w:start w:val="0"/>
      <w:numFmt w:val="bullet"/>
      <w:lvlText w:val="•"/>
      <w:lvlJc w:val="left"/>
      <w:pPr>
        <w:ind w:left="6088" w:hanging="532"/>
      </w:pPr>
      <w:rPr>
        <w:rFonts w:hint="default"/>
        <w:lang w:val="en-US" w:eastAsia="zh-CN" w:bidi="ar-SA"/>
      </w:rPr>
    </w:lvl>
    <w:lvl w:ilvl="8">
      <w:start w:val="0"/>
      <w:numFmt w:val="bullet"/>
      <w:lvlText w:val="•"/>
      <w:lvlJc w:val="left"/>
      <w:pPr>
        <w:ind w:left="6941" w:hanging="532"/>
      </w:pPr>
      <w:rPr>
        <w:rFonts w:hint="default"/>
        <w:lang w:val="en-US" w:eastAsia="zh-CN" w:bidi="ar-SA"/>
      </w:rPr>
    </w:lvl>
  </w:abstractNum>
  <w:abstractNum w:abstractNumId="7">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6">
    <w:multiLevelType w:val="hybridMultilevel"/>
    <w:lvl w:ilvl="0">
      <w:start w:val="1"/>
      <w:numFmt w:val="decimal"/>
      <w:lvlText w:val="（%1）"/>
      <w:lvlJc w:val="left"/>
      <w:pPr>
        <w:ind w:left="1164" w:hanging="624"/>
        <w:jc w:val="left"/>
      </w:pPr>
      <w:rPr>
        <w:rFonts w:hint="default" w:ascii="仿宋" w:hAnsi="仿宋" w:eastAsia="仿宋" w:cs="仿宋"/>
        <w:b/>
        <w:bCs/>
        <w:i w:val="0"/>
        <w:iCs w:val="0"/>
        <w:spacing w:val="-2"/>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5">
    <w:multiLevelType w:val="hybridMultilevel"/>
    <w:lvl w:ilvl="0">
      <w:start w:val="1"/>
      <w:numFmt w:val="decimal"/>
      <w:lvlText w:val="（%1）"/>
      <w:lvlJc w:val="left"/>
      <w:pPr>
        <w:ind w:left="972" w:hanging="538"/>
        <w:jc w:val="left"/>
      </w:pPr>
      <w:rPr>
        <w:rFonts w:hint="default" w:ascii="仿宋" w:hAnsi="仿宋" w:eastAsia="仿宋" w:cs="仿宋"/>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4">
    <w:multiLevelType w:val="hybridMultilevel"/>
    <w:lvl w:ilvl="0">
      <w:start w:val="1"/>
      <w:numFmt w:val="decimal"/>
      <w:lvlText w:val="（%1）"/>
      <w:lvlJc w:val="left"/>
      <w:pPr>
        <w:ind w:left="972" w:hanging="538"/>
        <w:jc w:val="left"/>
      </w:pPr>
      <w:rPr>
        <w:rFonts w:hint="default" w:ascii="仿宋" w:hAnsi="仿宋" w:eastAsia="仿宋" w:cs="仿宋"/>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3">
    <w:multiLevelType w:val="hybridMultilevel"/>
    <w:lvl w:ilvl="0">
      <w:start w:val="1"/>
      <w:numFmt w:val="decimal"/>
      <w:lvlText w:val="（%1）"/>
      <w:lvlJc w:val="left"/>
      <w:pPr>
        <w:ind w:left="963" w:hanging="529"/>
        <w:jc w:val="left"/>
      </w:pPr>
      <w:rPr>
        <w:rFonts w:hint="default" w:ascii="仿宋" w:hAnsi="仿宋" w:eastAsia="仿宋" w:cs="仿宋"/>
        <w:b w:val="0"/>
        <w:bCs w:val="0"/>
        <w:i w:val="0"/>
        <w:iCs w:val="0"/>
        <w:spacing w:val="-2"/>
        <w:w w:val="100"/>
        <w:sz w:val="19"/>
        <w:szCs w:val="19"/>
        <w:lang w:val="en-US" w:eastAsia="zh-CN" w:bidi="ar-SA"/>
      </w:rPr>
    </w:lvl>
    <w:lvl w:ilvl="1">
      <w:start w:val="0"/>
      <w:numFmt w:val="bullet"/>
      <w:lvlText w:val="•"/>
      <w:lvlJc w:val="left"/>
      <w:pPr>
        <w:ind w:left="1728" w:hanging="529"/>
      </w:pPr>
      <w:rPr>
        <w:rFonts w:hint="default"/>
        <w:lang w:val="en-US" w:eastAsia="zh-CN" w:bidi="ar-SA"/>
      </w:rPr>
    </w:lvl>
    <w:lvl w:ilvl="2">
      <w:start w:val="0"/>
      <w:numFmt w:val="bullet"/>
      <w:lvlText w:val="•"/>
      <w:lvlJc w:val="left"/>
      <w:pPr>
        <w:ind w:left="2497" w:hanging="529"/>
      </w:pPr>
      <w:rPr>
        <w:rFonts w:hint="default"/>
        <w:lang w:val="en-US" w:eastAsia="zh-CN" w:bidi="ar-SA"/>
      </w:rPr>
    </w:lvl>
    <w:lvl w:ilvl="3">
      <w:start w:val="0"/>
      <w:numFmt w:val="bullet"/>
      <w:lvlText w:val="•"/>
      <w:lvlJc w:val="left"/>
      <w:pPr>
        <w:ind w:left="3265" w:hanging="529"/>
      </w:pPr>
      <w:rPr>
        <w:rFonts w:hint="default"/>
        <w:lang w:val="en-US" w:eastAsia="zh-CN" w:bidi="ar-SA"/>
      </w:rPr>
    </w:lvl>
    <w:lvl w:ilvl="4">
      <w:start w:val="0"/>
      <w:numFmt w:val="bullet"/>
      <w:lvlText w:val="•"/>
      <w:lvlJc w:val="left"/>
      <w:pPr>
        <w:ind w:left="4034" w:hanging="529"/>
      </w:pPr>
      <w:rPr>
        <w:rFonts w:hint="default"/>
        <w:lang w:val="en-US" w:eastAsia="zh-CN" w:bidi="ar-SA"/>
      </w:rPr>
    </w:lvl>
    <w:lvl w:ilvl="5">
      <w:start w:val="0"/>
      <w:numFmt w:val="bullet"/>
      <w:lvlText w:val="•"/>
      <w:lvlJc w:val="left"/>
      <w:pPr>
        <w:ind w:left="4803" w:hanging="529"/>
      </w:pPr>
      <w:rPr>
        <w:rFonts w:hint="default"/>
        <w:lang w:val="en-US" w:eastAsia="zh-CN" w:bidi="ar-SA"/>
      </w:rPr>
    </w:lvl>
    <w:lvl w:ilvl="6">
      <w:start w:val="0"/>
      <w:numFmt w:val="bullet"/>
      <w:lvlText w:val="•"/>
      <w:lvlJc w:val="left"/>
      <w:pPr>
        <w:ind w:left="5571" w:hanging="529"/>
      </w:pPr>
      <w:rPr>
        <w:rFonts w:hint="default"/>
        <w:lang w:val="en-US" w:eastAsia="zh-CN" w:bidi="ar-SA"/>
      </w:rPr>
    </w:lvl>
    <w:lvl w:ilvl="7">
      <w:start w:val="0"/>
      <w:numFmt w:val="bullet"/>
      <w:lvlText w:val="•"/>
      <w:lvlJc w:val="left"/>
      <w:pPr>
        <w:ind w:left="6340" w:hanging="529"/>
      </w:pPr>
      <w:rPr>
        <w:rFonts w:hint="default"/>
        <w:lang w:val="en-US" w:eastAsia="zh-CN" w:bidi="ar-SA"/>
      </w:rPr>
    </w:lvl>
    <w:lvl w:ilvl="8">
      <w:start w:val="0"/>
      <w:numFmt w:val="bullet"/>
      <w:lvlText w:val="•"/>
      <w:lvlJc w:val="left"/>
      <w:pPr>
        <w:ind w:left="7109" w:hanging="529"/>
      </w:pPr>
      <w:rPr>
        <w:rFonts w:hint="default"/>
        <w:lang w:val="en-US" w:eastAsia="zh-CN" w:bidi="ar-SA"/>
      </w:rPr>
    </w:lvl>
  </w:abstractNum>
  <w:abstractNum w:abstractNumId="2">
    <w:multiLevelType w:val="hybridMultilevel"/>
    <w:lvl w:ilvl="0">
      <w:start w:val="1"/>
      <w:numFmt w:val="decimal"/>
      <w:lvlText w:val="（%1）"/>
      <w:lvlJc w:val="left"/>
      <w:pPr>
        <w:ind w:left="1085" w:hanging="569"/>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836" w:hanging="569"/>
      </w:pPr>
      <w:rPr>
        <w:rFonts w:hint="default"/>
        <w:lang w:val="en-US" w:eastAsia="zh-CN" w:bidi="ar-SA"/>
      </w:rPr>
    </w:lvl>
    <w:lvl w:ilvl="2">
      <w:start w:val="0"/>
      <w:numFmt w:val="bullet"/>
      <w:lvlText w:val="•"/>
      <w:lvlJc w:val="left"/>
      <w:pPr>
        <w:ind w:left="2593" w:hanging="569"/>
      </w:pPr>
      <w:rPr>
        <w:rFonts w:hint="default"/>
        <w:lang w:val="en-US" w:eastAsia="zh-CN" w:bidi="ar-SA"/>
      </w:rPr>
    </w:lvl>
    <w:lvl w:ilvl="3">
      <w:start w:val="0"/>
      <w:numFmt w:val="bullet"/>
      <w:lvlText w:val="•"/>
      <w:lvlJc w:val="left"/>
      <w:pPr>
        <w:ind w:left="3349" w:hanging="569"/>
      </w:pPr>
      <w:rPr>
        <w:rFonts w:hint="default"/>
        <w:lang w:val="en-US" w:eastAsia="zh-CN" w:bidi="ar-SA"/>
      </w:rPr>
    </w:lvl>
    <w:lvl w:ilvl="4">
      <w:start w:val="0"/>
      <w:numFmt w:val="bullet"/>
      <w:lvlText w:val="•"/>
      <w:lvlJc w:val="left"/>
      <w:pPr>
        <w:ind w:left="4106" w:hanging="569"/>
      </w:pPr>
      <w:rPr>
        <w:rFonts w:hint="default"/>
        <w:lang w:val="en-US" w:eastAsia="zh-CN" w:bidi="ar-SA"/>
      </w:rPr>
    </w:lvl>
    <w:lvl w:ilvl="5">
      <w:start w:val="0"/>
      <w:numFmt w:val="bullet"/>
      <w:lvlText w:val="•"/>
      <w:lvlJc w:val="left"/>
      <w:pPr>
        <w:ind w:left="4863" w:hanging="569"/>
      </w:pPr>
      <w:rPr>
        <w:rFonts w:hint="default"/>
        <w:lang w:val="en-US" w:eastAsia="zh-CN" w:bidi="ar-SA"/>
      </w:rPr>
    </w:lvl>
    <w:lvl w:ilvl="6">
      <w:start w:val="0"/>
      <w:numFmt w:val="bullet"/>
      <w:lvlText w:val="•"/>
      <w:lvlJc w:val="left"/>
      <w:pPr>
        <w:ind w:left="5619" w:hanging="569"/>
      </w:pPr>
      <w:rPr>
        <w:rFonts w:hint="default"/>
        <w:lang w:val="en-US" w:eastAsia="zh-CN" w:bidi="ar-SA"/>
      </w:rPr>
    </w:lvl>
    <w:lvl w:ilvl="7">
      <w:start w:val="0"/>
      <w:numFmt w:val="bullet"/>
      <w:lvlText w:val="•"/>
      <w:lvlJc w:val="left"/>
      <w:pPr>
        <w:ind w:left="6376" w:hanging="569"/>
      </w:pPr>
      <w:rPr>
        <w:rFonts w:hint="default"/>
        <w:lang w:val="en-US" w:eastAsia="zh-CN" w:bidi="ar-SA"/>
      </w:rPr>
    </w:lvl>
    <w:lvl w:ilvl="8">
      <w:start w:val="0"/>
      <w:numFmt w:val="bullet"/>
      <w:lvlText w:val="•"/>
      <w:lvlJc w:val="left"/>
      <w:pPr>
        <w:ind w:left="7133" w:hanging="569"/>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120" w:hanging="574"/>
        <w:jc w:val="left"/>
      </w:pPr>
      <w:rPr>
        <w:rFonts w:hint="default"/>
        <w:spacing w:val="-3"/>
        <w:w w:val="100"/>
        <w:lang w:val="en-US" w:eastAsia="zh-CN" w:bidi="ar-SA"/>
      </w:rPr>
    </w:lvl>
    <w:lvl w:ilvl="2">
      <w:start w:val="1"/>
      <w:numFmt w:val="decimal"/>
      <w:lvlText w:val="（%3）"/>
      <w:lvlJc w:val="left"/>
      <w:pPr>
        <w:ind w:left="1272" w:hanging="624"/>
        <w:jc w:val="left"/>
      </w:pPr>
      <w:rPr>
        <w:rFonts w:hint="default" w:ascii="仿宋" w:hAnsi="仿宋" w:eastAsia="仿宋" w:cs="仿宋"/>
        <w:b w:val="0"/>
        <w:bCs w:val="0"/>
        <w:i w:val="0"/>
        <w:iCs w:val="0"/>
        <w:spacing w:val="-2"/>
        <w:w w:val="100"/>
        <w:sz w:val="21"/>
        <w:szCs w:val="21"/>
        <w:lang w:val="en-US" w:eastAsia="zh-CN" w:bidi="ar-SA"/>
      </w:rPr>
    </w:lvl>
    <w:lvl w:ilvl="3">
      <w:start w:val="0"/>
      <w:numFmt w:val="bullet"/>
      <w:lvlText w:val="•"/>
      <w:lvlJc w:val="left"/>
      <w:pPr>
        <w:ind w:left="960" w:hanging="624"/>
      </w:pPr>
      <w:rPr>
        <w:rFonts w:hint="default"/>
        <w:lang w:val="en-US" w:eastAsia="zh-CN" w:bidi="ar-SA"/>
      </w:rPr>
    </w:lvl>
    <w:lvl w:ilvl="4">
      <w:start w:val="0"/>
      <w:numFmt w:val="bullet"/>
      <w:lvlText w:val="•"/>
      <w:lvlJc w:val="left"/>
      <w:pPr>
        <w:ind w:left="980" w:hanging="624"/>
      </w:pPr>
      <w:rPr>
        <w:rFonts w:hint="default"/>
        <w:lang w:val="en-US" w:eastAsia="zh-CN" w:bidi="ar-SA"/>
      </w:rPr>
    </w:lvl>
    <w:lvl w:ilvl="5">
      <w:start w:val="0"/>
      <w:numFmt w:val="bullet"/>
      <w:lvlText w:val="•"/>
      <w:lvlJc w:val="left"/>
      <w:pPr>
        <w:ind w:left="1120" w:hanging="624"/>
      </w:pPr>
      <w:rPr>
        <w:rFonts w:hint="default"/>
        <w:lang w:val="en-US" w:eastAsia="zh-CN" w:bidi="ar-SA"/>
      </w:rPr>
    </w:lvl>
    <w:lvl w:ilvl="6">
      <w:start w:val="0"/>
      <w:numFmt w:val="bullet"/>
      <w:lvlText w:val="•"/>
      <w:lvlJc w:val="left"/>
      <w:pPr>
        <w:ind w:left="1280" w:hanging="624"/>
      </w:pPr>
      <w:rPr>
        <w:rFonts w:hint="default"/>
        <w:lang w:val="en-US" w:eastAsia="zh-CN" w:bidi="ar-SA"/>
      </w:rPr>
    </w:lvl>
    <w:lvl w:ilvl="7">
      <w:start w:val="0"/>
      <w:numFmt w:val="bullet"/>
      <w:lvlText w:val="•"/>
      <w:lvlJc w:val="left"/>
      <w:pPr>
        <w:ind w:left="3121" w:hanging="624"/>
      </w:pPr>
      <w:rPr>
        <w:rFonts w:hint="default"/>
        <w:lang w:val="en-US" w:eastAsia="zh-CN" w:bidi="ar-SA"/>
      </w:rPr>
    </w:lvl>
    <w:lvl w:ilvl="8">
      <w:start w:val="0"/>
      <w:numFmt w:val="bullet"/>
      <w:lvlText w:val="•"/>
      <w:lvlJc w:val="left"/>
      <w:pPr>
        <w:ind w:left="4963" w:hanging="624"/>
      </w:pPr>
      <w:rPr>
        <w:rFonts w:hint="default"/>
        <w:lang w:val="en-US" w:eastAsia="zh-CN" w:bidi="ar-SA"/>
      </w:rPr>
    </w:lvl>
  </w:abstractNum>
  <w:abstractNum w:abstractNumId="0">
    <w:multiLevelType w:val="hybridMultilevel"/>
    <w:lvl w:ilvl="0">
      <w:start w:val="1"/>
      <w:numFmt w:val="decimal"/>
      <w:lvlText w:val="%1."/>
      <w:lvlJc w:val="left"/>
      <w:pPr>
        <w:ind w:left="972" w:hanging="432"/>
        <w:jc w:val="left"/>
      </w:pPr>
      <w:rPr>
        <w:rFonts w:hint="default"/>
        <w:w w:val="100"/>
        <w:lang w:val="en-US" w:eastAsia="zh-CN" w:bidi="ar-SA"/>
      </w:rPr>
    </w:lvl>
    <w:lvl w:ilvl="1">
      <w:start w:val="0"/>
      <w:numFmt w:val="bullet"/>
      <w:lvlText w:val="•"/>
      <w:lvlJc w:val="left"/>
      <w:pPr>
        <w:ind w:left="1746" w:hanging="432"/>
      </w:pPr>
      <w:rPr>
        <w:rFonts w:hint="default"/>
        <w:lang w:val="en-US" w:eastAsia="zh-CN" w:bidi="ar-SA"/>
      </w:rPr>
    </w:lvl>
    <w:lvl w:ilvl="2">
      <w:start w:val="0"/>
      <w:numFmt w:val="bullet"/>
      <w:lvlText w:val="•"/>
      <w:lvlJc w:val="left"/>
      <w:pPr>
        <w:ind w:left="2513" w:hanging="432"/>
      </w:pPr>
      <w:rPr>
        <w:rFonts w:hint="default"/>
        <w:lang w:val="en-US" w:eastAsia="zh-CN" w:bidi="ar-SA"/>
      </w:rPr>
    </w:lvl>
    <w:lvl w:ilvl="3">
      <w:start w:val="0"/>
      <w:numFmt w:val="bullet"/>
      <w:lvlText w:val="•"/>
      <w:lvlJc w:val="left"/>
      <w:pPr>
        <w:ind w:left="3279" w:hanging="432"/>
      </w:pPr>
      <w:rPr>
        <w:rFonts w:hint="default"/>
        <w:lang w:val="en-US" w:eastAsia="zh-CN" w:bidi="ar-SA"/>
      </w:rPr>
    </w:lvl>
    <w:lvl w:ilvl="4">
      <w:start w:val="0"/>
      <w:numFmt w:val="bullet"/>
      <w:lvlText w:val="•"/>
      <w:lvlJc w:val="left"/>
      <w:pPr>
        <w:ind w:left="4046" w:hanging="432"/>
      </w:pPr>
      <w:rPr>
        <w:rFonts w:hint="default"/>
        <w:lang w:val="en-US" w:eastAsia="zh-CN" w:bidi="ar-SA"/>
      </w:rPr>
    </w:lvl>
    <w:lvl w:ilvl="5">
      <w:start w:val="0"/>
      <w:numFmt w:val="bullet"/>
      <w:lvlText w:val="•"/>
      <w:lvlJc w:val="left"/>
      <w:pPr>
        <w:ind w:left="4813" w:hanging="432"/>
      </w:pPr>
      <w:rPr>
        <w:rFonts w:hint="default"/>
        <w:lang w:val="en-US" w:eastAsia="zh-CN" w:bidi="ar-SA"/>
      </w:rPr>
    </w:lvl>
    <w:lvl w:ilvl="6">
      <w:start w:val="0"/>
      <w:numFmt w:val="bullet"/>
      <w:lvlText w:val="•"/>
      <w:lvlJc w:val="left"/>
      <w:pPr>
        <w:ind w:left="5579" w:hanging="432"/>
      </w:pPr>
      <w:rPr>
        <w:rFonts w:hint="default"/>
        <w:lang w:val="en-US" w:eastAsia="zh-CN" w:bidi="ar-SA"/>
      </w:rPr>
    </w:lvl>
    <w:lvl w:ilvl="7">
      <w:start w:val="0"/>
      <w:numFmt w:val="bullet"/>
      <w:lvlText w:val="•"/>
      <w:lvlJc w:val="left"/>
      <w:pPr>
        <w:ind w:left="6346" w:hanging="432"/>
      </w:pPr>
      <w:rPr>
        <w:rFonts w:hint="default"/>
        <w:lang w:val="en-US" w:eastAsia="zh-CN" w:bidi="ar-SA"/>
      </w:rPr>
    </w:lvl>
    <w:lvl w:ilvl="8">
      <w:start w:val="0"/>
      <w:numFmt w:val="bullet"/>
      <w:lvlText w:val="•"/>
      <w:lvlJc w:val="left"/>
      <w:pPr>
        <w:ind w:left="7113" w:hanging="432"/>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en-US" w:eastAsia="zh-CN" w:bidi="ar-SA"/>
    </w:rPr>
  </w:style>
  <w:style w:styleId="TOC1" w:type="paragraph">
    <w:name w:val="TOC 1"/>
    <w:basedOn w:val="Normal"/>
    <w:uiPriority w:val="1"/>
    <w:qFormat/>
    <w:pPr>
      <w:spacing w:before="28"/>
      <w:ind w:right="105"/>
      <w:jc w:val="center"/>
    </w:pPr>
    <w:rPr>
      <w:rFonts w:ascii="仿宋" w:hAnsi="仿宋" w:eastAsia="仿宋" w:cs="仿宋"/>
      <w:sz w:val="21"/>
      <w:szCs w:val="21"/>
      <w:lang w:val="en-US" w:eastAsia="zh-CN" w:bidi="ar-SA"/>
    </w:rPr>
  </w:style>
  <w:style w:styleId="TOC2" w:type="paragraph">
    <w:name w:val="TOC 2"/>
    <w:basedOn w:val="Normal"/>
    <w:uiPriority w:val="1"/>
    <w:qFormat/>
    <w:pPr>
      <w:spacing w:before="43"/>
      <w:ind w:left="120"/>
    </w:pPr>
    <w:rPr>
      <w:rFonts w:ascii="仿宋" w:hAnsi="仿宋" w:eastAsia="仿宋" w:cs="仿宋"/>
      <w:sz w:val="21"/>
      <w:szCs w:val="21"/>
      <w:lang w:val="en-US" w:eastAsia="zh-CN" w:bidi="ar-SA"/>
    </w:rPr>
  </w:style>
  <w:style w:styleId="TOC3" w:type="paragraph">
    <w:name w:val="TOC 3"/>
    <w:basedOn w:val="Normal"/>
    <w:uiPriority w:val="1"/>
    <w:qFormat/>
    <w:pPr>
      <w:spacing w:before="43"/>
      <w:ind w:left="972" w:hanging="433"/>
    </w:pPr>
    <w:rPr>
      <w:rFonts w:ascii="仿宋" w:hAnsi="仿宋" w:eastAsia="仿宋" w:cs="仿宋"/>
      <w:b/>
      <w:bCs/>
      <w:sz w:val="21"/>
      <w:szCs w:val="21"/>
      <w:lang w:val="en-US" w:eastAsia="zh-CN" w:bidi="ar-SA"/>
    </w:rPr>
  </w:style>
  <w:style w:styleId="TOC4" w:type="paragraph">
    <w:name w:val="TOC 4"/>
    <w:basedOn w:val="Normal"/>
    <w:uiPriority w:val="1"/>
    <w:qFormat/>
    <w:pPr>
      <w:spacing w:before="43"/>
      <w:ind w:left="972" w:hanging="433"/>
    </w:pPr>
    <w:rPr>
      <w:rFonts w:ascii="仿宋" w:hAnsi="仿宋" w:eastAsia="仿宋" w:cs="仿宋"/>
      <w:b/>
      <w:bCs/>
      <w:i/>
      <w:iCs/>
      <w:lang w:val="en-US" w:eastAsia="zh-CN" w:bidi="ar-SA"/>
    </w:rPr>
  </w:style>
  <w:style w:styleId="BodyText" w:type="paragraph">
    <w:name w:val="Body Text"/>
    <w:basedOn w:val="Normal"/>
    <w:uiPriority w:val="1"/>
    <w:qFormat/>
    <w:pPr/>
    <w:rPr>
      <w:rFonts w:ascii="仿宋" w:hAnsi="仿宋" w:eastAsia="仿宋" w:cs="仿宋"/>
      <w:sz w:val="21"/>
      <w:szCs w:val="21"/>
      <w:lang w:val="en-US" w:eastAsia="zh-CN" w:bidi="ar-SA"/>
    </w:rPr>
  </w:style>
  <w:style w:styleId="Heading1" w:type="paragraph">
    <w:name w:val="Heading 1"/>
    <w:basedOn w:val="Normal"/>
    <w:uiPriority w:val="1"/>
    <w:qFormat/>
    <w:pPr>
      <w:ind w:left="1949" w:right="2045"/>
      <w:jc w:val="center"/>
      <w:outlineLvl w:val="1"/>
    </w:pPr>
    <w:rPr>
      <w:rFonts w:ascii="仿宋" w:hAnsi="仿宋" w:eastAsia="仿宋" w:cs="仿宋"/>
      <w:b/>
      <w:bCs/>
      <w:sz w:val="28"/>
      <w:szCs w:val="28"/>
      <w:lang w:val="en-US" w:eastAsia="zh-CN" w:bidi="ar-SA"/>
    </w:rPr>
  </w:style>
  <w:style w:styleId="Heading2" w:type="paragraph">
    <w:name w:val="Heading 2"/>
    <w:basedOn w:val="Normal"/>
    <w:uiPriority w:val="1"/>
    <w:qFormat/>
    <w:pPr>
      <w:ind w:left="480" w:hanging="361"/>
      <w:outlineLvl w:val="2"/>
    </w:pPr>
    <w:rPr>
      <w:rFonts w:ascii="仿宋" w:hAnsi="仿宋" w:eastAsia="仿宋" w:cs="仿宋"/>
      <w:b/>
      <w:bCs/>
      <w:sz w:val="21"/>
      <w:szCs w:val="21"/>
      <w:lang w:val="en-US" w:eastAsia="zh-CN" w:bidi="ar-SA"/>
    </w:rPr>
  </w:style>
  <w:style w:styleId="Title" w:type="paragraph">
    <w:name w:val="Title"/>
    <w:basedOn w:val="Normal"/>
    <w:uiPriority w:val="1"/>
    <w:qFormat/>
    <w:pPr>
      <w:ind w:left="1949" w:right="2047"/>
      <w:jc w:val="center"/>
    </w:pPr>
    <w:rPr>
      <w:rFonts w:ascii="仿宋" w:hAnsi="仿宋" w:eastAsia="仿宋" w:cs="仿宋"/>
      <w:b/>
      <w:bCs/>
      <w:sz w:val="44"/>
      <w:szCs w:val="44"/>
      <w:lang w:val="en-US" w:eastAsia="zh-CN" w:bidi="ar-SA"/>
    </w:rPr>
  </w:style>
  <w:style w:styleId="ListParagraph" w:type="paragraph">
    <w:name w:val="List Paragraph"/>
    <w:basedOn w:val="Normal"/>
    <w:uiPriority w:val="1"/>
    <w:qFormat/>
    <w:pPr>
      <w:ind w:left="972" w:hanging="433"/>
    </w:pPr>
    <w:rPr>
      <w:rFonts w:ascii="仿宋" w:hAnsi="仿宋" w:eastAsia="仿宋" w:cs="仿宋"/>
      <w:lang w:val="en-US" w:eastAsia="zh-CN" w:bidi="ar-SA"/>
    </w:rPr>
  </w:style>
  <w:style w:styleId="TableParagraph" w:type="paragraph">
    <w:name w:val="Table Paragraph"/>
    <w:basedOn w:val="Normal"/>
    <w:uiPriority w:val="1"/>
    <w:qFormat/>
    <w:pPr>
      <w:spacing w:before="38"/>
      <w:ind w:left="107"/>
    </w:pPr>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2023-06-02T03:10:16Z</dcterms:created>
  <dcterms:modified xsi:type="dcterms:W3CDTF">2023-06-02T03:10:16Z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