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footer1.xml" ContentType="application/vnd.openxmlformats-officedocument.wordprocessingml.footer+xml"/>
  <Default Extension="png" ContentType="image/png"/>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spacing w:before="10"/>
        <w:rPr>
          <w:rFonts w:ascii="Times New Roman"/>
          <w:sz w:val="25"/>
        </w:rPr>
      </w:pPr>
    </w:p>
    <w:p>
      <w:pPr>
        <w:pStyle w:val="BodyText"/>
        <w:ind w:left="1464"/>
        <w:rPr>
          <w:rFonts w:ascii="Times New Roman"/>
          <w:sz w:val="20"/>
        </w:rPr>
      </w:pPr>
      <w:r>
        <w:rPr>
          <w:rFonts w:ascii="Times New Roman"/>
          <w:sz w:val="20"/>
        </w:rPr>
        <w:drawing>
          <wp:inline distT="0" distB="0" distL="0" distR="0">
            <wp:extent cx="2589078" cy="402335"/>
            <wp:effectExtent l="0" t="0" r="0" b="0"/>
            <wp:docPr id="3" name="image2.jpeg"/>
            <wp:cNvGraphicFramePr>
              <a:graphicFrameLocks noChangeAspect="1"/>
            </wp:cNvGraphicFramePr>
            <a:graphic>
              <a:graphicData uri="http://schemas.openxmlformats.org/drawingml/2006/picture">
                <pic:pic>
                  <pic:nvPicPr>
                    <pic:cNvPr id="4" name="image2.jpeg"/>
                    <pic:cNvPicPr/>
                  </pic:nvPicPr>
                  <pic:blipFill>
                    <a:blip r:embed="rId7" cstate="print"/>
                    <a:stretch>
                      <a:fillRect/>
                    </a:stretch>
                  </pic:blipFill>
                  <pic:spPr>
                    <a:xfrm>
                      <a:off x="0" y="0"/>
                      <a:ext cx="2589078" cy="402335"/>
                    </a:xfrm>
                    <a:prstGeom prst="rect">
                      <a:avLst/>
                    </a:prstGeom>
                  </pic:spPr>
                </pic:pic>
              </a:graphicData>
            </a:graphic>
          </wp:inline>
        </w:drawing>
      </w:r>
      <w:r>
        <w:rPr>
          <w:rFonts w:ascii="Times New Roman"/>
          <w:sz w:val="20"/>
        </w:rPr>
      </w:r>
    </w:p>
    <w:p>
      <w:pPr>
        <w:pStyle w:val="BodyText"/>
        <w:spacing w:before="9"/>
        <w:rPr>
          <w:rFonts w:ascii="Times New Roman"/>
          <w:sz w:val="12"/>
        </w:rPr>
      </w:pPr>
    </w:p>
    <w:p>
      <w:pPr>
        <w:pStyle w:val="Title"/>
        <w:spacing w:line="589" w:lineRule="exact"/>
      </w:pPr>
      <w:r>
        <w:rPr/>
        <w:drawing>
          <wp:anchor distT="0" distB="0" distL="0" distR="0" allowOverlap="1" layoutInCell="1" locked="0" behindDoc="0" simplePos="0" relativeHeight="15729664">
            <wp:simplePos x="0" y="0"/>
            <wp:positionH relativeFrom="page">
              <wp:posOffset>4995279</wp:posOffset>
            </wp:positionH>
            <wp:positionV relativeFrom="paragraph">
              <wp:posOffset>-613275</wp:posOffset>
            </wp:positionV>
            <wp:extent cx="1751877" cy="102870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1751877" cy="1028700"/>
                    </a:xfrm>
                    <a:prstGeom prst="rect">
                      <a:avLst/>
                    </a:prstGeom>
                  </pic:spPr>
                </pic:pic>
              </a:graphicData>
            </a:graphic>
          </wp:anchor>
        </w:drawing>
      </w:r>
      <w:r>
        <w:rPr>
          <w:w w:val="95"/>
        </w:rPr>
        <w:t>百年康多保（2022版）终身重大疾病保险</w:t>
      </w:r>
      <w:r>
        <w:rPr>
          <w:w w:val="95"/>
        </w:rPr>
        <w:t>条</w:t>
      </w:r>
      <w:r>
        <w:rPr>
          <w:spacing w:val="-10"/>
          <w:w w:val="95"/>
        </w:rPr>
        <w:t>款</w:t>
      </w:r>
    </w:p>
    <w:p>
      <w:pPr>
        <w:pStyle w:val="BodyText"/>
        <w:spacing w:before="14"/>
        <w:rPr>
          <w:rFonts w:ascii="微软雅黑"/>
          <w:b/>
          <w:sz w:val="13"/>
        </w:rPr>
      </w:pPr>
      <w:r>
        <w:rPr/>
        <w:drawing>
          <wp:anchor distT="0" distB="0" distL="0" distR="0" allowOverlap="1" layoutInCell="1" locked="0" behindDoc="0" simplePos="0" relativeHeight="0">
            <wp:simplePos x="0" y="0"/>
            <wp:positionH relativeFrom="page">
              <wp:posOffset>836675</wp:posOffset>
            </wp:positionH>
            <wp:positionV relativeFrom="paragraph">
              <wp:posOffset>176847</wp:posOffset>
            </wp:positionV>
            <wp:extent cx="5867399" cy="9144"/>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5867399" cy="9144"/>
                    </a:xfrm>
                    <a:prstGeom prst="rect">
                      <a:avLst/>
                    </a:prstGeom>
                  </pic:spPr>
                </pic:pic>
              </a:graphicData>
            </a:graphic>
          </wp:anchor>
        </w:drawing>
      </w:r>
      <w:r>
        <w:rPr/>
        <w:pict>
          <v:shape style="position:absolute;margin-left:230.460007pt;margin-top:28.005016pt;width:131.3pt;height:39pt;mso-position-horizontal-relative:page;mso-position-vertical-relative:paragraph;z-index:-15728128;mso-wrap-distance-left:0;mso-wrap-distance-right:0" type="#_x0000_t202" id="docshape4" filled="false" stroked="true" strokeweight="3pt" strokecolor="#000000">
            <v:textbox inset="0,0,0,0">
              <w:txbxContent>
                <w:p>
                  <w:pPr>
                    <w:spacing w:before="68"/>
                    <w:ind w:left="401" w:right="0" w:firstLine="0"/>
                    <w:jc w:val="left"/>
                    <w:rPr>
                      <w:rFonts w:ascii="微软雅黑" w:eastAsia="微软雅黑"/>
                      <w:b/>
                      <w:sz w:val="32"/>
                    </w:rPr>
                  </w:pPr>
                  <w:r>
                    <w:rPr>
                      <w:rFonts w:ascii="微软雅黑" w:eastAsia="微软雅黑"/>
                      <w:b/>
                      <w:spacing w:val="24"/>
                      <w:sz w:val="32"/>
                    </w:rPr>
                    <w:t>阅 读 指 引</w:t>
                  </w:r>
                </w:p>
              </w:txbxContent>
            </v:textbox>
            <v:stroke linestyle="thinThin" dashstyle="solid"/>
            <w10:wrap type="topAndBottom"/>
          </v:shape>
        </w:pict>
      </w:r>
    </w:p>
    <w:p>
      <w:pPr>
        <w:pStyle w:val="BodyText"/>
        <w:spacing w:before="10"/>
        <w:rPr>
          <w:rFonts w:ascii="微软雅黑"/>
          <w:b/>
          <w:sz w:val="11"/>
        </w:rPr>
      </w:pPr>
    </w:p>
    <w:p>
      <w:pPr>
        <w:pStyle w:val="BodyText"/>
        <w:spacing w:before="4"/>
        <w:rPr>
          <w:rFonts w:ascii="微软雅黑"/>
          <w:b/>
          <w:sz w:val="11"/>
        </w:rPr>
      </w:pPr>
    </w:p>
    <w:p>
      <w:pPr>
        <w:pStyle w:val="BodyText"/>
        <w:spacing w:before="72"/>
        <w:ind w:left="1118" w:right="1059"/>
        <w:jc w:val="center"/>
      </w:pPr>
      <w:r>
        <w:rPr>
          <w:spacing w:val="-3"/>
        </w:rPr>
        <w:t>本阅读指引有助于您理解条款，对本合同内容的解释以条款为准。</w:t>
      </w:r>
    </w:p>
    <w:p>
      <w:pPr>
        <w:pStyle w:val="BodyText"/>
        <w:spacing w:before="6"/>
        <w:rPr>
          <w:sz w:val="22"/>
        </w:rPr>
      </w:pPr>
    </w:p>
    <w:p>
      <w:pPr>
        <w:pStyle w:val="ListParagraph"/>
        <w:numPr>
          <w:ilvl w:val="0"/>
          <w:numId w:val="1"/>
        </w:numPr>
        <w:tabs>
          <w:tab w:pos="1073" w:val="left" w:leader="none"/>
          <w:tab w:pos="1074" w:val="left" w:leader="none"/>
        </w:tabs>
        <w:spacing w:line="383" w:lineRule="exact" w:before="1" w:after="0"/>
        <w:ind w:left="1073" w:right="0" w:hanging="414"/>
        <w:jc w:val="left"/>
        <w:rPr>
          <w:rFonts w:ascii="微软雅黑" w:hAnsi="微软雅黑" w:eastAsia="微软雅黑"/>
          <w:b/>
          <w:sz w:val="21"/>
        </w:rPr>
      </w:pPr>
      <w:r>
        <w:rPr>
          <w:rFonts w:ascii="微软雅黑" w:hAnsi="微软雅黑" w:eastAsia="微软雅黑"/>
          <w:b/>
          <w:spacing w:val="-2"/>
          <w:sz w:val="21"/>
        </w:rPr>
        <w:t>您拥有的重要权益</w:t>
      </w:r>
    </w:p>
    <w:p>
      <w:pPr>
        <w:pStyle w:val="ListParagraph"/>
        <w:numPr>
          <w:ilvl w:val="0"/>
          <w:numId w:val="2"/>
        </w:numPr>
        <w:tabs>
          <w:tab w:pos="1073" w:val="left" w:leader="none"/>
          <w:tab w:pos="1074" w:val="left" w:leader="none"/>
        </w:tabs>
        <w:spacing w:line="265" w:lineRule="exact" w:before="0" w:after="0"/>
        <w:ind w:left="1073" w:right="0" w:hanging="414"/>
        <w:jc w:val="left"/>
        <w:rPr>
          <w:sz w:val="21"/>
        </w:rPr>
      </w:pPr>
      <w:r>
        <w:rPr>
          <w:spacing w:val="-2"/>
          <w:sz w:val="21"/>
        </w:rPr>
        <w:t>签收本合同之日起15日（即犹豫期）</w:t>
      </w:r>
      <w:r>
        <w:rPr>
          <w:spacing w:val="-3"/>
          <w:sz w:val="21"/>
        </w:rPr>
        <w:t>内您可以要求解除合同并退还已交的保险费</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4"/>
          <w:sz w:val="21"/>
        </w:rPr>
        <w:t>您有退保的权利</w:t>
      </w:r>
    </w:p>
    <w:p>
      <w:pPr>
        <w:pStyle w:val="BodyText"/>
        <w:spacing w:before="5"/>
        <w:rPr>
          <w:sz w:val="22"/>
        </w:rPr>
      </w:pPr>
    </w:p>
    <w:p>
      <w:pPr>
        <w:pStyle w:val="ListParagraph"/>
        <w:numPr>
          <w:ilvl w:val="0"/>
          <w:numId w:val="1"/>
        </w:numPr>
        <w:tabs>
          <w:tab w:pos="1073" w:val="left" w:leader="none"/>
          <w:tab w:pos="1074" w:val="left" w:leader="none"/>
        </w:tabs>
        <w:spacing w:line="383" w:lineRule="exact" w:before="0" w:after="0"/>
        <w:ind w:left="1073" w:right="0" w:hanging="414"/>
        <w:jc w:val="left"/>
        <w:rPr>
          <w:rFonts w:ascii="微软雅黑" w:hAnsi="微软雅黑" w:eastAsia="微软雅黑"/>
          <w:b/>
          <w:sz w:val="21"/>
        </w:rPr>
      </w:pPr>
      <w:r>
        <w:rPr>
          <w:rFonts w:ascii="微软雅黑" w:hAnsi="微软雅黑" w:eastAsia="微软雅黑"/>
          <w:b/>
          <w:spacing w:val="-3"/>
          <w:sz w:val="21"/>
        </w:rPr>
        <w:t>您应当特别注意的事项</w:t>
      </w:r>
    </w:p>
    <w:p>
      <w:pPr>
        <w:pStyle w:val="ListParagraph"/>
        <w:numPr>
          <w:ilvl w:val="0"/>
          <w:numId w:val="2"/>
        </w:numPr>
        <w:tabs>
          <w:tab w:pos="1073" w:val="left" w:leader="none"/>
          <w:tab w:pos="1074" w:val="left" w:leader="none"/>
        </w:tabs>
        <w:spacing w:line="265" w:lineRule="exact" w:before="0" w:after="0"/>
        <w:ind w:left="1073" w:right="0" w:hanging="414"/>
        <w:jc w:val="left"/>
        <w:rPr>
          <w:sz w:val="21"/>
        </w:rPr>
      </w:pPr>
      <w:r>
        <w:rPr>
          <w:spacing w:val="-3"/>
          <w:sz w:val="21"/>
        </w:rPr>
        <w:t>请您认真阅读免除我们责任的条款</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保险事故发生后请您及时通知我们</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退保会给您造成一定的损失，请您慎重决策</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您有如实告知的义务</w:t>
      </w:r>
    </w:p>
    <w:p>
      <w:pPr>
        <w:pStyle w:val="ListParagraph"/>
        <w:numPr>
          <w:ilvl w:val="0"/>
          <w:numId w:val="2"/>
        </w:numPr>
        <w:tabs>
          <w:tab w:pos="1073" w:val="left" w:leader="none"/>
          <w:tab w:pos="1074" w:val="left" w:leader="none"/>
        </w:tabs>
        <w:spacing w:line="240" w:lineRule="auto" w:before="43" w:after="0"/>
        <w:ind w:left="1073" w:right="0" w:hanging="414"/>
        <w:jc w:val="left"/>
        <w:rPr>
          <w:sz w:val="21"/>
        </w:rPr>
      </w:pPr>
      <w:r>
        <w:rPr>
          <w:spacing w:val="-3"/>
          <w:sz w:val="21"/>
        </w:rPr>
        <w:t>本保险条款每个第一次出现的释义名词在下面有脚注，其他相同的释义名词不另作标注</w:t>
      </w:r>
    </w:p>
    <w:p>
      <w:pPr>
        <w:pStyle w:val="BodyText"/>
        <w:spacing w:before="6"/>
        <w:rPr>
          <w:sz w:val="22"/>
        </w:rPr>
      </w:pPr>
    </w:p>
    <w:p>
      <w:pPr>
        <w:pStyle w:val="ListParagraph"/>
        <w:numPr>
          <w:ilvl w:val="1"/>
          <w:numId w:val="2"/>
        </w:numPr>
        <w:tabs>
          <w:tab w:pos="1074" w:val="left" w:leader="none"/>
        </w:tabs>
        <w:spacing w:line="240" w:lineRule="auto" w:before="0" w:after="53"/>
        <w:ind w:left="1073" w:right="0" w:hanging="277"/>
        <w:jc w:val="left"/>
        <w:rPr>
          <w:rFonts w:ascii="微软雅黑" w:hAnsi="微软雅黑" w:eastAsia="微软雅黑"/>
          <w:b/>
          <w:sz w:val="21"/>
        </w:rPr>
      </w:pPr>
      <w:r>
        <w:rPr>
          <w:rFonts w:ascii="微软雅黑" w:hAnsi="微软雅黑" w:eastAsia="微软雅黑"/>
          <w:b/>
          <w:spacing w:val="-3"/>
          <w:sz w:val="21"/>
        </w:rPr>
        <w:t>条款目录</w:t>
      </w:r>
    </w:p>
    <w:tbl>
      <w:tblPr>
        <w:tblW w:w="0" w:type="auto"/>
        <w:jc w:val="left"/>
        <w:tblInd w:w="39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166"/>
        <w:gridCol w:w="3123"/>
        <w:gridCol w:w="3013"/>
      </w:tblGrid>
      <w:tr>
        <w:trPr>
          <w:trHeight w:val="5404" w:hRule="atLeast"/>
        </w:trPr>
        <w:tc>
          <w:tcPr>
            <w:tcW w:w="3166" w:type="dxa"/>
            <w:tcBorders>
              <w:right w:val="single" w:sz="8" w:space="0" w:color="000000"/>
            </w:tcBorders>
          </w:tcPr>
          <w:p>
            <w:pPr>
              <w:pStyle w:val="TableParagraph"/>
              <w:numPr>
                <w:ilvl w:val="0"/>
                <w:numId w:val="3"/>
              </w:numPr>
              <w:tabs>
                <w:tab w:pos="507" w:val="left" w:leader="none"/>
              </w:tabs>
              <w:spacing w:line="383" w:lineRule="exact" w:before="28" w:after="0"/>
              <w:ind w:left="506" w:right="0" w:hanging="361"/>
              <w:jc w:val="left"/>
              <w:rPr>
                <w:rFonts w:ascii="微软雅黑" w:eastAsia="微软雅黑"/>
                <w:b/>
                <w:sz w:val="21"/>
              </w:rPr>
            </w:pPr>
            <w:r>
              <w:rPr>
                <w:rFonts w:ascii="微软雅黑" w:eastAsia="微软雅黑"/>
                <w:b/>
                <w:spacing w:val="-2"/>
                <w:sz w:val="21"/>
              </w:rPr>
              <w:t>保什么、保多久</w:t>
            </w:r>
          </w:p>
          <w:p>
            <w:pPr>
              <w:pStyle w:val="TableParagraph"/>
              <w:numPr>
                <w:ilvl w:val="1"/>
                <w:numId w:val="3"/>
              </w:numPr>
              <w:tabs>
                <w:tab w:pos="912" w:val="left" w:leader="none"/>
              </w:tabs>
              <w:spacing w:line="265" w:lineRule="exact" w:before="0" w:after="0"/>
              <w:ind w:left="912" w:right="0" w:hanging="406"/>
              <w:jc w:val="left"/>
              <w:rPr>
                <w:sz w:val="21"/>
              </w:rPr>
            </w:pPr>
            <w:r>
              <w:rPr>
                <w:spacing w:val="-4"/>
                <w:sz w:val="21"/>
              </w:rPr>
              <w:t>投保年龄</w:t>
            </w:r>
          </w:p>
          <w:p>
            <w:pPr>
              <w:pStyle w:val="TableParagraph"/>
              <w:numPr>
                <w:ilvl w:val="1"/>
                <w:numId w:val="3"/>
              </w:numPr>
              <w:tabs>
                <w:tab w:pos="912" w:val="left" w:leader="none"/>
              </w:tabs>
              <w:spacing w:line="240" w:lineRule="auto" w:before="43" w:after="0"/>
              <w:ind w:left="912" w:right="0" w:hanging="406"/>
              <w:jc w:val="left"/>
              <w:rPr>
                <w:sz w:val="21"/>
              </w:rPr>
            </w:pPr>
            <w:r>
              <w:rPr>
                <w:spacing w:val="-4"/>
                <w:sz w:val="21"/>
              </w:rPr>
              <w:t>保险期间</w:t>
            </w:r>
          </w:p>
          <w:p>
            <w:pPr>
              <w:pStyle w:val="TableParagraph"/>
              <w:numPr>
                <w:ilvl w:val="1"/>
                <w:numId w:val="3"/>
              </w:numPr>
              <w:tabs>
                <w:tab w:pos="912" w:val="left" w:leader="none"/>
              </w:tabs>
              <w:spacing w:line="257" w:lineRule="exact" w:before="43" w:after="0"/>
              <w:ind w:left="912" w:right="0" w:hanging="406"/>
              <w:jc w:val="left"/>
              <w:rPr>
                <w:sz w:val="21"/>
              </w:rPr>
            </w:pPr>
            <w:r>
              <w:rPr>
                <w:spacing w:val="-4"/>
                <w:sz w:val="21"/>
              </w:rPr>
              <w:t>保险责任</w:t>
            </w:r>
          </w:p>
          <w:p>
            <w:pPr>
              <w:pStyle w:val="TableParagraph"/>
              <w:numPr>
                <w:ilvl w:val="0"/>
                <w:numId w:val="3"/>
              </w:numPr>
              <w:tabs>
                <w:tab w:pos="507" w:val="left" w:leader="none"/>
              </w:tabs>
              <w:spacing w:line="371" w:lineRule="exact" w:before="0" w:after="0"/>
              <w:ind w:left="506" w:right="0" w:hanging="361"/>
              <w:jc w:val="left"/>
              <w:rPr>
                <w:rFonts w:ascii="微软雅黑" w:eastAsia="微软雅黑"/>
                <w:b/>
                <w:sz w:val="21"/>
              </w:rPr>
            </w:pPr>
            <w:r>
              <w:rPr>
                <w:rFonts w:ascii="微软雅黑" w:eastAsia="微软雅黑"/>
                <w:b/>
                <w:spacing w:val="-3"/>
                <w:sz w:val="21"/>
              </w:rPr>
              <w:t>不保什么</w:t>
            </w:r>
          </w:p>
          <w:p>
            <w:pPr>
              <w:pStyle w:val="TableParagraph"/>
              <w:numPr>
                <w:ilvl w:val="1"/>
                <w:numId w:val="3"/>
              </w:numPr>
              <w:tabs>
                <w:tab w:pos="929" w:val="left" w:leader="none"/>
              </w:tabs>
              <w:spacing w:line="265" w:lineRule="exact" w:before="0" w:after="0"/>
              <w:ind w:left="928" w:right="0" w:hanging="423"/>
              <w:jc w:val="left"/>
              <w:rPr>
                <w:sz w:val="21"/>
              </w:rPr>
            </w:pPr>
            <w:r>
              <w:rPr>
                <w:spacing w:val="-4"/>
                <w:sz w:val="21"/>
              </w:rPr>
              <w:t>责任免除</w:t>
            </w:r>
          </w:p>
          <w:p>
            <w:pPr>
              <w:pStyle w:val="TableParagraph"/>
              <w:numPr>
                <w:ilvl w:val="1"/>
                <w:numId w:val="3"/>
              </w:numPr>
              <w:tabs>
                <w:tab w:pos="929" w:val="left" w:leader="none"/>
              </w:tabs>
              <w:spacing w:line="223" w:lineRule="auto" w:before="58" w:after="0"/>
              <w:ind w:left="146" w:right="954" w:firstLine="360"/>
              <w:jc w:val="left"/>
              <w:rPr>
                <w:rFonts w:ascii="微软雅黑" w:eastAsia="微软雅黑"/>
                <w:b/>
                <w:sz w:val="21"/>
              </w:rPr>
            </w:pPr>
            <w:r>
              <w:rPr>
                <w:spacing w:val="-2"/>
                <w:sz w:val="21"/>
              </w:rPr>
              <w:t>其他免责条款</w:t>
            </w:r>
            <w:r>
              <w:rPr>
                <w:spacing w:val="-2"/>
                <w:sz w:val="21"/>
              </w:rPr>
              <w:t> </w:t>
            </w:r>
            <w:r>
              <w:rPr>
                <w:rFonts w:ascii="微软雅黑" w:eastAsia="微软雅黑"/>
                <w:b/>
                <w:spacing w:val="-2"/>
                <w:sz w:val="21"/>
              </w:rPr>
              <w:t>3．如何支付保险费</w:t>
            </w:r>
          </w:p>
          <w:p>
            <w:pPr>
              <w:pStyle w:val="TableParagraph"/>
              <w:numPr>
                <w:ilvl w:val="1"/>
                <w:numId w:val="4"/>
              </w:numPr>
              <w:tabs>
                <w:tab w:pos="929" w:val="left" w:leader="none"/>
              </w:tabs>
              <w:spacing w:line="268" w:lineRule="exact" w:before="0" w:after="0"/>
              <w:ind w:left="928" w:right="0" w:hanging="423"/>
              <w:jc w:val="left"/>
              <w:rPr>
                <w:sz w:val="21"/>
              </w:rPr>
            </w:pPr>
            <w:r>
              <w:rPr>
                <w:spacing w:val="-4"/>
                <w:sz w:val="21"/>
              </w:rPr>
              <w:t>保险费的支付</w:t>
            </w:r>
          </w:p>
          <w:p>
            <w:pPr>
              <w:pStyle w:val="TableParagraph"/>
              <w:numPr>
                <w:ilvl w:val="1"/>
                <w:numId w:val="4"/>
              </w:numPr>
              <w:tabs>
                <w:tab w:pos="929" w:val="left" w:leader="none"/>
              </w:tabs>
              <w:spacing w:line="257" w:lineRule="exact" w:before="43" w:after="0"/>
              <w:ind w:left="928" w:right="0" w:hanging="423"/>
              <w:jc w:val="left"/>
              <w:rPr>
                <w:sz w:val="21"/>
              </w:rPr>
            </w:pPr>
            <w:r>
              <w:rPr>
                <w:spacing w:val="-5"/>
                <w:sz w:val="21"/>
              </w:rPr>
              <w:t>宽限期</w:t>
            </w:r>
          </w:p>
          <w:p>
            <w:pPr>
              <w:pStyle w:val="TableParagraph"/>
              <w:numPr>
                <w:ilvl w:val="0"/>
                <w:numId w:val="5"/>
              </w:numPr>
              <w:tabs>
                <w:tab w:pos="464" w:val="left" w:leader="none"/>
              </w:tabs>
              <w:spacing w:line="371" w:lineRule="exact" w:before="0" w:after="0"/>
              <w:ind w:left="463" w:right="0" w:hanging="318"/>
              <w:jc w:val="left"/>
              <w:rPr>
                <w:rFonts w:ascii="微软雅黑" w:eastAsia="微软雅黑"/>
                <w:b/>
                <w:sz w:val="21"/>
              </w:rPr>
            </w:pPr>
            <w:r>
              <w:rPr>
                <w:rFonts w:ascii="微软雅黑" w:eastAsia="微软雅黑"/>
                <w:b/>
                <w:spacing w:val="-2"/>
                <w:sz w:val="21"/>
              </w:rPr>
              <w:t>如何领取保险金</w:t>
            </w:r>
          </w:p>
          <w:p>
            <w:pPr>
              <w:pStyle w:val="TableParagraph"/>
              <w:numPr>
                <w:ilvl w:val="1"/>
                <w:numId w:val="5"/>
              </w:numPr>
              <w:tabs>
                <w:tab w:pos="929" w:val="left" w:leader="none"/>
              </w:tabs>
              <w:spacing w:line="265" w:lineRule="exact" w:before="0" w:after="0"/>
              <w:ind w:left="928" w:right="0" w:hanging="423"/>
              <w:jc w:val="left"/>
              <w:rPr>
                <w:sz w:val="21"/>
              </w:rPr>
            </w:pPr>
            <w:r>
              <w:rPr>
                <w:spacing w:val="-5"/>
                <w:sz w:val="21"/>
              </w:rPr>
              <w:t>受益人</w:t>
            </w:r>
          </w:p>
          <w:p>
            <w:pPr>
              <w:pStyle w:val="TableParagraph"/>
              <w:numPr>
                <w:ilvl w:val="1"/>
                <w:numId w:val="5"/>
              </w:numPr>
              <w:tabs>
                <w:tab w:pos="929" w:val="left" w:leader="none"/>
              </w:tabs>
              <w:spacing w:line="240" w:lineRule="auto" w:before="43" w:after="0"/>
              <w:ind w:left="928" w:right="0" w:hanging="423"/>
              <w:jc w:val="left"/>
              <w:rPr>
                <w:sz w:val="21"/>
              </w:rPr>
            </w:pPr>
            <w:r>
              <w:rPr>
                <w:spacing w:val="-4"/>
                <w:sz w:val="21"/>
              </w:rPr>
              <w:t>保险事故通知</w:t>
            </w:r>
          </w:p>
          <w:p>
            <w:pPr>
              <w:pStyle w:val="TableParagraph"/>
              <w:numPr>
                <w:ilvl w:val="1"/>
                <w:numId w:val="5"/>
              </w:numPr>
              <w:tabs>
                <w:tab w:pos="929" w:val="left" w:leader="none"/>
              </w:tabs>
              <w:spacing w:line="240" w:lineRule="auto" w:before="43" w:after="0"/>
              <w:ind w:left="928" w:right="0" w:hanging="423"/>
              <w:jc w:val="left"/>
              <w:rPr>
                <w:sz w:val="21"/>
              </w:rPr>
            </w:pPr>
            <w:r>
              <w:rPr>
                <w:spacing w:val="-4"/>
                <w:sz w:val="21"/>
              </w:rPr>
              <w:t>保险金申请</w:t>
            </w:r>
          </w:p>
          <w:p>
            <w:pPr>
              <w:pStyle w:val="TableParagraph"/>
              <w:numPr>
                <w:ilvl w:val="1"/>
                <w:numId w:val="5"/>
              </w:numPr>
              <w:tabs>
                <w:tab w:pos="929" w:val="left" w:leader="none"/>
              </w:tabs>
              <w:spacing w:line="240" w:lineRule="auto" w:before="43" w:after="0"/>
              <w:ind w:left="928" w:right="0" w:hanging="423"/>
              <w:jc w:val="left"/>
              <w:rPr>
                <w:sz w:val="21"/>
              </w:rPr>
            </w:pPr>
            <w:r>
              <w:rPr>
                <w:spacing w:val="-4"/>
                <w:sz w:val="21"/>
              </w:rPr>
              <w:t>保险金给付</w:t>
            </w:r>
          </w:p>
          <w:p>
            <w:pPr>
              <w:pStyle w:val="TableParagraph"/>
              <w:numPr>
                <w:ilvl w:val="1"/>
                <w:numId w:val="5"/>
              </w:numPr>
              <w:tabs>
                <w:tab w:pos="929" w:val="left" w:leader="none"/>
              </w:tabs>
              <w:spacing w:line="240" w:lineRule="auto" w:before="43" w:after="0"/>
              <w:ind w:left="928" w:right="0" w:hanging="423"/>
              <w:jc w:val="left"/>
              <w:rPr>
                <w:sz w:val="21"/>
              </w:rPr>
            </w:pPr>
            <w:r>
              <w:rPr>
                <w:spacing w:val="-4"/>
                <w:sz w:val="21"/>
              </w:rPr>
              <w:t>保险费豁免</w:t>
            </w:r>
          </w:p>
          <w:p>
            <w:pPr>
              <w:pStyle w:val="TableParagraph"/>
              <w:numPr>
                <w:ilvl w:val="1"/>
                <w:numId w:val="5"/>
              </w:numPr>
              <w:tabs>
                <w:tab w:pos="929" w:val="left" w:leader="none"/>
              </w:tabs>
              <w:spacing w:line="240" w:lineRule="auto" w:before="43" w:after="0"/>
              <w:ind w:left="928" w:right="0" w:hanging="423"/>
              <w:jc w:val="left"/>
              <w:rPr>
                <w:sz w:val="21"/>
              </w:rPr>
            </w:pPr>
            <w:r>
              <w:rPr>
                <w:spacing w:val="-3"/>
                <w:sz w:val="21"/>
              </w:rPr>
              <w:t>法院宣告死亡的处理</w:t>
            </w:r>
          </w:p>
        </w:tc>
        <w:tc>
          <w:tcPr>
            <w:tcW w:w="3123" w:type="dxa"/>
            <w:tcBorders>
              <w:left w:val="single" w:sz="8" w:space="0" w:color="000000"/>
            </w:tcBorders>
          </w:tcPr>
          <w:p>
            <w:pPr>
              <w:pStyle w:val="TableParagraph"/>
              <w:spacing w:line="223" w:lineRule="auto" w:before="110"/>
              <w:ind w:left="151" w:right="1327" w:firstLine="360"/>
              <w:rPr>
                <w:rFonts w:ascii="微软雅黑" w:eastAsia="微软雅黑"/>
                <w:b/>
                <w:sz w:val="21"/>
              </w:rPr>
            </w:pPr>
            <w:r>
              <w:rPr>
                <w:sz w:val="21"/>
              </w:rPr>
              <w:t>4.7</w:t>
            </w:r>
            <w:r>
              <w:rPr>
                <w:spacing w:val="-7"/>
                <w:sz w:val="21"/>
              </w:rPr>
              <w:t> 诉讼时效</w:t>
            </w:r>
            <w:r>
              <w:rPr>
                <w:sz w:val="21"/>
              </w:rPr>
              <w:t> </w:t>
            </w:r>
            <w:r>
              <w:rPr>
                <w:rFonts w:ascii="微软雅黑" w:eastAsia="微软雅黑"/>
                <w:b/>
                <w:spacing w:val="-2"/>
                <w:sz w:val="21"/>
              </w:rPr>
              <w:t>5．如何退保</w:t>
            </w:r>
          </w:p>
          <w:p>
            <w:pPr>
              <w:pStyle w:val="TableParagraph"/>
              <w:numPr>
                <w:ilvl w:val="1"/>
                <w:numId w:val="6"/>
              </w:numPr>
              <w:tabs>
                <w:tab w:pos="934" w:val="left" w:leader="none"/>
              </w:tabs>
              <w:spacing w:line="268" w:lineRule="exact" w:before="0" w:after="0"/>
              <w:ind w:left="933" w:right="0" w:hanging="423"/>
              <w:jc w:val="left"/>
              <w:rPr>
                <w:sz w:val="21"/>
              </w:rPr>
            </w:pPr>
            <w:r>
              <w:rPr>
                <w:spacing w:val="-5"/>
                <w:sz w:val="21"/>
              </w:rPr>
              <w:t>犹豫期</w:t>
            </w:r>
          </w:p>
          <w:p>
            <w:pPr>
              <w:pStyle w:val="TableParagraph"/>
              <w:numPr>
                <w:ilvl w:val="1"/>
                <w:numId w:val="6"/>
              </w:numPr>
              <w:tabs>
                <w:tab w:pos="934" w:val="left" w:leader="none"/>
              </w:tabs>
              <w:spacing w:line="223" w:lineRule="auto" w:before="58" w:after="0"/>
              <w:ind w:left="151" w:right="486" w:firstLine="360"/>
              <w:jc w:val="left"/>
              <w:rPr>
                <w:rFonts w:ascii="微软雅黑" w:eastAsia="微软雅黑"/>
                <w:b/>
                <w:sz w:val="21"/>
              </w:rPr>
            </w:pPr>
            <w:r>
              <w:rPr>
                <w:spacing w:val="-2"/>
                <w:sz w:val="21"/>
              </w:rPr>
              <w:t>您解除合同的手续</w:t>
            </w:r>
            <w:r>
              <w:rPr>
                <w:spacing w:val="-2"/>
                <w:sz w:val="21"/>
              </w:rPr>
              <w:t> </w:t>
            </w:r>
            <w:r>
              <w:rPr>
                <w:rFonts w:ascii="微软雅黑" w:eastAsia="微软雅黑"/>
                <w:b/>
                <w:spacing w:val="-2"/>
                <w:sz w:val="21"/>
              </w:rPr>
              <w:t>6．还有哪些权益</w:t>
            </w:r>
          </w:p>
          <w:p>
            <w:pPr>
              <w:pStyle w:val="TableParagraph"/>
              <w:numPr>
                <w:ilvl w:val="1"/>
                <w:numId w:val="7"/>
              </w:numPr>
              <w:tabs>
                <w:tab w:pos="934" w:val="left" w:leader="none"/>
              </w:tabs>
              <w:spacing w:line="268" w:lineRule="exact" w:before="0" w:after="0"/>
              <w:ind w:left="933" w:right="0" w:hanging="423"/>
              <w:jc w:val="left"/>
              <w:rPr>
                <w:sz w:val="21"/>
              </w:rPr>
            </w:pPr>
            <w:r>
              <w:rPr>
                <w:spacing w:val="-4"/>
                <w:sz w:val="21"/>
              </w:rPr>
              <w:t>现金价值</w:t>
            </w:r>
          </w:p>
          <w:p>
            <w:pPr>
              <w:pStyle w:val="TableParagraph"/>
              <w:numPr>
                <w:ilvl w:val="1"/>
                <w:numId w:val="7"/>
              </w:numPr>
              <w:tabs>
                <w:tab w:pos="934" w:val="left" w:leader="none"/>
              </w:tabs>
              <w:spacing w:line="223" w:lineRule="auto" w:before="58" w:after="0"/>
              <w:ind w:left="151" w:right="733" w:firstLine="360"/>
              <w:jc w:val="left"/>
              <w:rPr>
                <w:rFonts w:ascii="微软雅黑" w:eastAsia="微软雅黑"/>
                <w:b/>
                <w:sz w:val="21"/>
              </w:rPr>
            </w:pPr>
            <w:r>
              <w:rPr>
                <w:spacing w:val="-4"/>
                <w:sz w:val="21"/>
              </w:rPr>
              <w:t>保单贷款</w:t>
            </w:r>
            <w:r>
              <w:rPr>
                <w:spacing w:val="210"/>
                <w:w w:val="150"/>
                <w:sz w:val="21"/>
              </w:rPr>
              <w:t> </w:t>
            </w:r>
            <w:r>
              <w:rPr>
                <w:rFonts w:ascii="微软雅黑" w:eastAsia="微软雅黑"/>
                <w:b/>
                <w:spacing w:val="-2"/>
                <w:sz w:val="21"/>
              </w:rPr>
              <w:t>7．还需要注意哪些事项</w:t>
            </w:r>
          </w:p>
          <w:p>
            <w:pPr>
              <w:pStyle w:val="TableParagraph"/>
              <w:numPr>
                <w:ilvl w:val="1"/>
                <w:numId w:val="8"/>
              </w:numPr>
              <w:tabs>
                <w:tab w:pos="934" w:val="left" w:leader="none"/>
              </w:tabs>
              <w:spacing w:line="268" w:lineRule="exact" w:before="0" w:after="0"/>
              <w:ind w:left="933" w:right="0" w:hanging="423"/>
              <w:jc w:val="left"/>
              <w:rPr>
                <w:sz w:val="21"/>
              </w:rPr>
            </w:pPr>
            <w:r>
              <w:rPr>
                <w:spacing w:val="-4"/>
                <w:sz w:val="21"/>
              </w:rPr>
              <w:t>合同构成</w:t>
            </w:r>
          </w:p>
          <w:p>
            <w:pPr>
              <w:pStyle w:val="TableParagraph"/>
              <w:numPr>
                <w:ilvl w:val="1"/>
                <w:numId w:val="8"/>
              </w:numPr>
              <w:tabs>
                <w:tab w:pos="934" w:val="left" w:leader="none"/>
              </w:tabs>
              <w:spacing w:line="240" w:lineRule="auto" w:before="43" w:after="0"/>
              <w:ind w:left="933" w:right="0" w:hanging="423"/>
              <w:jc w:val="left"/>
              <w:rPr>
                <w:sz w:val="21"/>
              </w:rPr>
            </w:pPr>
            <w:r>
              <w:rPr>
                <w:spacing w:val="-4"/>
                <w:sz w:val="21"/>
              </w:rPr>
              <w:t>合同成立与生效</w:t>
            </w:r>
          </w:p>
          <w:p>
            <w:pPr>
              <w:pStyle w:val="TableParagraph"/>
              <w:numPr>
                <w:ilvl w:val="1"/>
                <w:numId w:val="8"/>
              </w:numPr>
              <w:tabs>
                <w:tab w:pos="934" w:val="left" w:leader="none"/>
              </w:tabs>
              <w:spacing w:line="240" w:lineRule="auto" w:before="42" w:after="0"/>
              <w:ind w:left="933" w:right="0" w:hanging="423"/>
              <w:jc w:val="left"/>
              <w:rPr>
                <w:sz w:val="21"/>
              </w:rPr>
            </w:pPr>
            <w:r>
              <w:rPr>
                <w:spacing w:val="-3"/>
                <w:sz w:val="21"/>
              </w:rPr>
              <w:t>合同效力中止与恢复</w:t>
            </w:r>
          </w:p>
          <w:p>
            <w:pPr>
              <w:pStyle w:val="TableParagraph"/>
              <w:numPr>
                <w:ilvl w:val="1"/>
                <w:numId w:val="8"/>
              </w:numPr>
              <w:tabs>
                <w:tab w:pos="934" w:val="left" w:leader="none"/>
              </w:tabs>
              <w:spacing w:line="240" w:lineRule="auto" w:before="43" w:after="0"/>
              <w:ind w:left="933" w:right="0" w:hanging="423"/>
              <w:jc w:val="left"/>
              <w:rPr>
                <w:sz w:val="21"/>
              </w:rPr>
            </w:pPr>
            <w:r>
              <w:rPr>
                <w:spacing w:val="-4"/>
                <w:sz w:val="21"/>
              </w:rPr>
              <w:t>合同效力终止</w:t>
            </w:r>
          </w:p>
          <w:p>
            <w:pPr>
              <w:pStyle w:val="TableParagraph"/>
              <w:numPr>
                <w:ilvl w:val="1"/>
                <w:numId w:val="8"/>
              </w:numPr>
              <w:tabs>
                <w:tab w:pos="934" w:val="left" w:leader="none"/>
              </w:tabs>
              <w:spacing w:line="240" w:lineRule="auto" w:before="44" w:after="0"/>
              <w:ind w:left="933" w:right="0" w:hanging="423"/>
              <w:jc w:val="left"/>
              <w:rPr>
                <w:sz w:val="21"/>
              </w:rPr>
            </w:pPr>
            <w:r>
              <w:rPr>
                <w:spacing w:val="-3"/>
                <w:sz w:val="21"/>
              </w:rPr>
              <w:t>年龄性别错误的处理</w:t>
            </w:r>
          </w:p>
          <w:p>
            <w:pPr>
              <w:pStyle w:val="TableParagraph"/>
              <w:numPr>
                <w:ilvl w:val="1"/>
                <w:numId w:val="8"/>
              </w:numPr>
              <w:tabs>
                <w:tab w:pos="934" w:val="left" w:leader="none"/>
              </w:tabs>
              <w:spacing w:line="240" w:lineRule="auto" w:before="43" w:after="0"/>
              <w:ind w:left="933" w:right="0" w:hanging="423"/>
              <w:jc w:val="left"/>
              <w:rPr>
                <w:sz w:val="21"/>
              </w:rPr>
            </w:pPr>
            <w:r>
              <w:rPr>
                <w:spacing w:val="-3"/>
                <w:sz w:val="21"/>
              </w:rPr>
              <w:t>明确说明与如实告知</w:t>
            </w:r>
          </w:p>
          <w:p>
            <w:pPr>
              <w:pStyle w:val="TableParagraph"/>
              <w:numPr>
                <w:ilvl w:val="1"/>
                <w:numId w:val="8"/>
              </w:numPr>
              <w:tabs>
                <w:tab w:pos="934" w:val="left" w:leader="none"/>
              </w:tabs>
              <w:spacing w:line="278" w:lineRule="auto" w:before="43" w:after="0"/>
              <w:ind w:left="931" w:right="275" w:hanging="420"/>
              <w:jc w:val="left"/>
              <w:rPr>
                <w:sz w:val="21"/>
              </w:rPr>
            </w:pPr>
            <w:r>
              <w:rPr>
                <w:spacing w:val="-2"/>
                <w:sz w:val="21"/>
              </w:rPr>
              <w:t>本公司合同解除权的</w:t>
            </w:r>
            <w:r>
              <w:rPr>
                <w:spacing w:val="-6"/>
                <w:sz w:val="21"/>
              </w:rPr>
              <w:t>限制</w:t>
            </w:r>
          </w:p>
          <w:p>
            <w:pPr>
              <w:pStyle w:val="TableParagraph"/>
              <w:numPr>
                <w:ilvl w:val="1"/>
                <w:numId w:val="8"/>
              </w:numPr>
              <w:tabs>
                <w:tab w:pos="934" w:val="left" w:leader="none"/>
              </w:tabs>
              <w:spacing w:line="269" w:lineRule="exact" w:before="0" w:after="0"/>
              <w:ind w:left="933" w:right="0" w:hanging="423"/>
              <w:jc w:val="left"/>
              <w:rPr>
                <w:sz w:val="21"/>
              </w:rPr>
            </w:pPr>
            <w:r>
              <w:rPr>
                <w:spacing w:val="-4"/>
                <w:sz w:val="21"/>
              </w:rPr>
              <w:t>未还款项</w:t>
            </w:r>
          </w:p>
        </w:tc>
        <w:tc>
          <w:tcPr>
            <w:tcW w:w="3013" w:type="dxa"/>
          </w:tcPr>
          <w:p>
            <w:pPr>
              <w:pStyle w:val="TableParagraph"/>
              <w:numPr>
                <w:ilvl w:val="1"/>
                <w:numId w:val="9"/>
              </w:numPr>
              <w:tabs>
                <w:tab w:pos="934" w:val="left" w:leader="none"/>
              </w:tabs>
              <w:spacing w:line="240" w:lineRule="auto" w:before="96" w:after="0"/>
              <w:ind w:left="933" w:right="0" w:hanging="423"/>
              <w:jc w:val="left"/>
              <w:rPr>
                <w:sz w:val="21"/>
              </w:rPr>
            </w:pPr>
            <w:r>
              <w:rPr>
                <w:spacing w:val="-4"/>
                <w:sz w:val="21"/>
              </w:rPr>
              <w:t>合同内容变更</w:t>
            </w:r>
          </w:p>
          <w:p>
            <w:pPr>
              <w:pStyle w:val="TableParagraph"/>
              <w:numPr>
                <w:ilvl w:val="1"/>
                <w:numId w:val="9"/>
              </w:numPr>
              <w:tabs>
                <w:tab w:pos="1037" w:val="left" w:leader="none"/>
              </w:tabs>
              <w:spacing w:line="240" w:lineRule="auto" w:before="43" w:after="0"/>
              <w:ind w:left="1036" w:right="0" w:hanging="526"/>
              <w:jc w:val="left"/>
              <w:rPr>
                <w:sz w:val="21"/>
              </w:rPr>
            </w:pPr>
            <w:r>
              <w:rPr>
                <w:spacing w:val="-4"/>
                <w:sz w:val="21"/>
              </w:rPr>
              <w:t>联系方式变更</w:t>
            </w:r>
          </w:p>
          <w:p>
            <w:pPr>
              <w:pStyle w:val="TableParagraph"/>
              <w:numPr>
                <w:ilvl w:val="1"/>
                <w:numId w:val="9"/>
              </w:numPr>
              <w:tabs>
                <w:tab w:pos="1037" w:val="left" w:leader="none"/>
              </w:tabs>
              <w:spacing w:line="223" w:lineRule="auto" w:before="57" w:after="0"/>
              <w:ind w:left="151" w:right="1116" w:firstLine="360"/>
              <w:jc w:val="left"/>
              <w:rPr>
                <w:rFonts w:ascii="微软雅黑" w:eastAsia="微软雅黑"/>
                <w:b/>
                <w:sz w:val="21"/>
              </w:rPr>
            </w:pPr>
            <w:r>
              <w:rPr>
                <w:spacing w:val="-4"/>
                <w:sz w:val="21"/>
              </w:rPr>
              <w:t>争议处理</w:t>
            </w:r>
            <w:r>
              <w:rPr>
                <w:spacing w:val="-4"/>
                <w:sz w:val="21"/>
              </w:rPr>
              <w:t> </w:t>
            </w:r>
            <w:r>
              <w:rPr>
                <w:rFonts w:ascii="微软雅黑" w:eastAsia="微软雅黑"/>
                <w:b/>
                <w:spacing w:val="-2"/>
                <w:sz w:val="21"/>
              </w:rPr>
              <w:t>8．重大疾病</w:t>
            </w:r>
          </w:p>
          <w:p>
            <w:pPr>
              <w:pStyle w:val="TableParagraph"/>
              <w:spacing w:line="223" w:lineRule="auto" w:before="14"/>
              <w:ind w:left="151" w:right="802" w:firstLine="360"/>
              <w:rPr>
                <w:rFonts w:ascii="微软雅黑" w:eastAsia="微软雅黑"/>
                <w:b/>
                <w:sz w:val="21"/>
              </w:rPr>
            </w:pPr>
            <w:r>
              <w:rPr>
                <w:sz w:val="21"/>
              </w:rPr>
              <w:t>8.1</w:t>
            </w:r>
            <w:r>
              <w:rPr>
                <w:spacing w:val="-6"/>
                <w:sz w:val="21"/>
              </w:rPr>
              <w:t> 重大疾病定义</w:t>
            </w:r>
            <w:r>
              <w:rPr>
                <w:sz w:val="21"/>
              </w:rPr>
              <w:t> </w:t>
            </w:r>
            <w:r>
              <w:rPr>
                <w:rFonts w:ascii="微软雅黑" w:eastAsia="微软雅黑"/>
                <w:b/>
                <w:spacing w:val="-2"/>
                <w:sz w:val="21"/>
              </w:rPr>
              <w:t>9．中症疾病</w:t>
            </w:r>
          </w:p>
          <w:p>
            <w:pPr>
              <w:pStyle w:val="TableParagraph"/>
              <w:spacing w:line="223" w:lineRule="auto" w:before="14"/>
              <w:ind w:left="151" w:right="802" w:firstLine="360"/>
              <w:rPr>
                <w:rFonts w:ascii="微软雅黑" w:eastAsia="微软雅黑"/>
                <w:b/>
                <w:sz w:val="21"/>
              </w:rPr>
            </w:pPr>
            <w:r>
              <w:rPr>
                <w:sz w:val="21"/>
              </w:rPr>
              <w:t>9.1</w:t>
            </w:r>
            <w:r>
              <w:rPr>
                <w:spacing w:val="-6"/>
                <w:sz w:val="21"/>
              </w:rPr>
              <w:t> 中症疾病定义</w:t>
            </w:r>
            <w:r>
              <w:rPr>
                <w:sz w:val="21"/>
              </w:rPr>
              <w:t> </w:t>
            </w:r>
            <w:r>
              <w:rPr>
                <w:rFonts w:ascii="微软雅黑" w:eastAsia="微软雅黑"/>
                <w:b/>
                <w:spacing w:val="-2"/>
                <w:sz w:val="21"/>
              </w:rPr>
              <w:t>10．轻症疾病</w:t>
            </w:r>
          </w:p>
          <w:p>
            <w:pPr>
              <w:pStyle w:val="TableParagraph"/>
              <w:spacing w:line="223" w:lineRule="auto" w:before="14"/>
              <w:ind w:left="151" w:right="696" w:firstLine="360"/>
              <w:rPr>
                <w:rFonts w:ascii="微软雅黑" w:eastAsia="微软雅黑"/>
                <w:b/>
                <w:sz w:val="21"/>
              </w:rPr>
            </w:pPr>
            <w:r>
              <w:rPr>
                <w:sz w:val="21"/>
              </w:rPr>
              <w:t>10.1</w:t>
            </w:r>
            <w:r>
              <w:rPr>
                <w:spacing w:val="-6"/>
                <w:sz w:val="21"/>
              </w:rPr>
              <w:t> 轻症疾病定义</w:t>
            </w:r>
            <w:r>
              <w:rPr>
                <w:sz w:val="21"/>
              </w:rPr>
              <w:t> </w:t>
            </w:r>
            <w:r>
              <w:rPr>
                <w:rFonts w:ascii="微软雅黑" w:eastAsia="微软雅黑"/>
                <w:b/>
                <w:spacing w:val="-2"/>
                <w:sz w:val="21"/>
              </w:rPr>
              <w:t>11．前症疾病</w:t>
            </w:r>
          </w:p>
          <w:p>
            <w:pPr>
              <w:pStyle w:val="TableParagraph"/>
              <w:spacing w:line="223" w:lineRule="auto" w:before="13"/>
              <w:ind w:left="151" w:right="696" w:firstLine="360"/>
              <w:rPr>
                <w:rFonts w:ascii="微软雅黑" w:eastAsia="微软雅黑"/>
                <w:b/>
                <w:sz w:val="21"/>
              </w:rPr>
            </w:pPr>
            <w:r>
              <w:rPr>
                <w:sz w:val="21"/>
              </w:rPr>
              <w:t>11.1</w:t>
            </w:r>
            <w:r>
              <w:rPr>
                <w:spacing w:val="-6"/>
                <w:sz w:val="21"/>
              </w:rPr>
              <w:t> 前症疾病定义</w:t>
            </w:r>
            <w:r>
              <w:rPr>
                <w:sz w:val="21"/>
              </w:rPr>
              <w:t> </w:t>
            </w:r>
            <w:r>
              <w:rPr>
                <w:rFonts w:ascii="微软雅黑" w:eastAsia="微软雅黑"/>
                <w:b/>
                <w:spacing w:val="-2"/>
                <w:sz w:val="21"/>
              </w:rPr>
              <w:t>12．男性特定疾病</w:t>
            </w:r>
          </w:p>
          <w:p>
            <w:pPr>
              <w:pStyle w:val="TableParagraph"/>
              <w:spacing w:line="223" w:lineRule="auto" w:before="15"/>
              <w:ind w:left="151" w:right="276" w:firstLine="360"/>
              <w:rPr>
                <w:rFonts w:ascii="微软雅黑" w:eastAsia="微软雅黑"/>
                <w:b/>
                <w:sz w:val="21"/>
              </w:rPr>
            </w:pPr>
            <w:r>
              <w:rPr>
                <w:sz w:val="21"/>
              </w:rPr>
              <w:t>12.1</w:t>
            </w:r>
            <w:r>
              <w:rPr>
                <w:spacing w:val="-6"/>
                <w:sz w:val="21"/>
              </w:rPr>
              <w:t> 男性特定疾病定义</w:t>
            </w:r>
            <w:r>
              <w:rPr>
                <w:sz w:val="21"/>
              </w:rPr>
              <w:t> </w:t>
            </w:r>
            <w:r>
              <w:rPr>
                <w:rFonts w:ascii="微软雅黑" w:eastAsia="微软雅黑"/>
                <w:b/>
                <w:spacing w:val="-2"/>
                <w:sz w:val="21"/>
              </w:rPr>
              <w:t>13．女性特定疾病</w:t>
            </w:r>
          </w:p>
          <w:p>
            <w:pPr>
              <w:pStyle w:val="TableParagraph"/>
              <w:spacing w:line="268" w:lineRule="exact"/>
              <w:ind w:left="511"/>
              <w:rPr>
                <w:sz w:val="21"/>
              </w:rPr>
            </w:pPr>
            <w:r>
              <w:rPr>
                <w:spacing w:val="-2"/>
                <w:sz w:val="21"/>
              </w:rPr>
              <w:t>13.1</w:t>
            </w:r>
            <w:r>
              <w:rPr>
                <w:spacing w:val="-4"/>
                <w:sz w:val="21"/>
              </w:rPr>
              <w:t>女性特定疾病定义</w:t>
            </w:r>
          </w:p>
        </w:tc>
      </w:tr>
    </w:tbl>
    <w:p>
      <w:pPr>
        <w:pStyle w:val="BodyText"/>
        <w:spacing w:line="278" w:lineRule="auto" w:before="122"/>
        <w:ind w:left="232" w:right="408"/>
      </w:pPr>
      <w:r>
        <w:rPr>
          <w:spacing w:val="-2"/>
        </w:rPr>
        <w:t>在本条款中，“您”指投保人，“我们”、“本公司”均指百年人寿保险股份有限公司，“本合同”指您</w:t>
      </w:r>
      <w:r>
        <w:rPr/>
        <w:t>与我们之间订立的“百年康多保（2022</w:t>
      </w:r>
      <w:r>
        <w:rPr>
          <w:spacing w:val="-23"/>
        </w:rPr>
        <w:t> 版</w:t>
      </w:r>
      <w:r>
        <w:rPr/>
        <w:t>）终身重大疾病保险合同”。</w:t>
      </w:r>
    </w:p>
    <w:p>
      <w:pPr>
        <w:spacing w:after="0" w:line="278" w:lineRule="auto"/>
        <w:sectPr>
          <w:headerReference w:type="default" r:id="rId5"/>
          <w:footerReference w:type="default" r:id="rId6"/>
          <w:type w:val="continuous"/>
          <w:pgSz w:w="11910" w:h="16840"/>
          <w:pgMar w:header="566" w:footer="664" w:top="1340" w:bottom="860" w:left="900" w:right="720"/>
          <w:pgNumType w:start="1"/>
        </w:sectPr>
      </w:pPr>
    </w:p>
    <w:p>
      <w:pPr>
        <w:pStyle w:val="BodyText"/>
        <w:spacing w:before="8"/>
        <w:rPr>
          <w:sz w:val="9"/>
        </w:rPr>
      </w:pPr>
    </w:p>
    <w:p>
      <w:pPr>
        <w:tabs>
          <w:tab w:pos="1269" w:val="left" w:leader="none"/>
        </w:tabs>
        <w:spacing w:line="199" w:lineRule="auto" w:before="42"/>
        <w:ind w:left="232" w:right="0" w:firstLine="0"/>
        <w:jc w:val="left"/>
        <w:rPr>
          <w:rFonts w:ascii="微软雅黑" w:hAnsi="微软雅黑" w:eastAsia="微软雅黑"/>
          <w:b/>
          <w:sz w:val="24"/>
        </w:rPr>
      </w:pPr>
      <w:r>
        <w:rPr>
          <w:rFonts w:ascii="微软雅黑" w:hAnsi="微软雅黑" w:eastAsia="微软雅黑"/>
          <w:b/>
          <w:spacing w:val="-10"/>
          <w:position w:val="-5"/>
          <w:sz w:val="28"/>
        </w:rPr>
        <w:t>⒈</w:t>
      </w:r>
      <w:r>
        <w:rPr>
          <w:rFonts w:ascii="微软雅黑" w:hAnsi="微软雅黑" w:eastAsia="微软雅黑"/>
          <w:b/>
          <w:position w:val="-5"/>
          <w:sz w:val="28"/>
        </w:rPr>
        <w:tab/>
      </w:r>
      <w:r>
        <w:rPr>
          <w:rFonts w:ascii="微软雅黑" w:hAnsi="微软雅黑" w:eastAsia="微软雅黑"/>
          <w:b/>
          <w:spacing w:val="-2"/>
          <w:sz w:val="24"/>
        </w:rPr>
        <w:t>保什么、保多久</w:t>
      </w:r>
    </w:p>
    <w:p>
      <w:pPr>
        <w:spacing w:before="34"/>
        <w:ind w:left="1270" w:right="0" w:firstLine="0"/>
        <w:jc w:val="left"/>
        <w:rPr>
          <w:rFonts w:ascii="微软雅黑" w:eastAsia="微软雅黑"/>
          <w:b/>
          <w:sz w:val="21"/>
        </w:rPr>
      </w:pPr>
      <w:r>
        <w:rPr>
          <w:rFonts w:ascii="微软雅黑" w:eastAsia="微软雅黑"/>
          <w:b/>
          <w:spacing w:val="-3"/>
          <w:sz w:val="21"/>
        </w:rPr>
        <w:t>这部分描述的是您通过本合同可以获得哪些保障及我们提供保障的期间。</w:t>
      </w:r>
    </w:p>
    <w:p>
      <w:pPr>
        <w:pStyle w:val="BodyText"/>
        <w:spacing w:before="17"/>
        <w:rPr>
          <w:rFonts w:ascii="微软雅黑"/>
          <w:b/>
          <w:sz w:val="7"/>
        </w:rPr>
      </w:pPr>
      <w:r>
        <w:rPr/>
        <w:drawing>
          <wp:anchor distT="0" distB="0" distL="0" distR="0" allowOverlap="1" layoutInCell="1" locked="0" behindDoc="0" simplePos="0" relativeHeight="3">
            <wp:simplePos x="0" y="0"/>
            <wp:positionH relativeFrom="page">
              <wp:posOffset>688848</wp:posOffset>
            </wp:positionH>
            <wp:positionV relativeFrom="paragraph">
              <wp:posOffset>108519</wp:posOffset>
            </wp:positionV>
            <wp:extent cx="6289674" cy="9144"/>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289674" cy="9144"/>
                    </a:xfrm>
                    <a:prstGeom prst="rect">
                      <a:avLst/>
                    </a:prstGeom>
                  </pic:spPr>
                </pic:pic>
              </a:graphicData>
            </a:graphic>
          </wp:anchor>
        </w:drawing>
      </w:r>
    </w:p>
    <w:p>
      <w:pPr>
        <w:pStyle w:val="BodyText"/>
        <w:spacing w:before="12"/>
        <w:rPr>
          <w:rFonts w:ascii="微软雅黑"/>
          <w:b/>
          <w:sz w:val="4"/>
        </w:rPr>
      </w:pPr>
    </w:p>
    <w:p>
      <w:pPr>
        <w:spacing w:after="0"/>
        <w:rPr>
          <w:rFonts w:ascii="微软雅黑"/>
          <w:sz w:val="4"/>
        </w:rPr>
        <w:sectPr>
          <w:pgSz w:w="11910" w:h="16840"/>
          <w:pgMar w:header="566" w:footer="664" w:top="1340" w:bottom="860" w:left="900" w:right="720"/>
        </w:sectPr>
      </w:pPr>
    </w:p>
    <w:p>
      <w:pPr>
        <w:pStyle w:val="ListParagraph"/>
        <w:numPr>
          <w:ilvl w:val="1"/>
          <w:numId w:val="10"/>
        </w:numPr>
        <w:tabs>
          <w:tab w:pos="1269" w:val="left" w:leader="none"/>
          <w:tab w:pos="1270" w:val="left" w:leader="none"/>
          <w:tab w:pos="3036" w:val="left" w:leader="none"/>
        </w:tabs>
        <w:spacing w:line="240" w:lineRule="auto" w:before="28" w:after="0"/>
        <w:ind w:left="1270" w:right="0" w:hanging="1038"/>
        <w:jc w:val="left"/>
        <w:rPr>
          <w:rFonts w:ascii="微软雅黑" w:eastAsia="微软雅黑"/>
          <w:b/>
          <w:sz w:val="11"/>
        </w:rPr>
      </w:pPr>
      <w:r>
        <w:rPr>
          <w:rFonts w:ascii="微软雅黑" w:eastAsia="微软雅黑"/>
          <w:b/>
          <w:sz w:val="21"/>
        </w:rPr>
        <w:t>投保年</w:t>
      </w:r>
      <w:r>
        <w:rPr>
          <w:rFonts w:ascii="微软雅黑" w:eastAsia="微软雅黑"/>
          <w:b/>
          <w:spacing w:val="-10"/>
          <w:sz w:val="21"/>
        </w:rPr>
        <w:t>龄</w:t>
      </w:r>
      <w:r>
        <w:rPr>
          <w:rFonts w:ascii="微软雅黑" w:eastAsia="微软雅黑"/>
          <w:b/>
          <w:sz w:val="21"/>
        </w:rPr>
        <w:tab/>
      </w:r>
      <w:r>
        <w:rPr>
          <w:spacing w:val="-2"/>
          <w:sz w:val="21"/>
        </w:rPr>
        <w:t>本</w:t>
      </w:r>
      <w:r>
        <w:rPr>
          <w:spacing w:val="-2"/>
          <w:sz w:val="21"/>
        </w:rPr>
        <w:t>合</w:t>
      </w:r>
      <w:r>
        <w:rPr>
          <w:spacing w:val="-2"/>
          <w:sz w:val="21"/>
        </w:rPr>
        <w:t>同接受的被保险人的</w:t>
      </w:r>
      <w:r>
        <w:rPr>
          <w:spacing w:val="-2"/>
          <w:sz w:val="21"/>
        </w:rPr>
        <w:t>投</w:t>
      </w:r>
      <w:r>
        <w:rPr>
          <w:spacing w:val="-2"/>
          <w:sz w:val="21"/>
        </w:rPr>
        <w:t>保</w:t>
      </w:r>
      <w:r>
        <w:rPr>
          <w:spacing w:val="-2"/>
          <w:sz w:val="21"/>
        </w:rPr>
        <w:t>年龄范围为</w:t>
      </w:r>
      <w:r>
        <w:rPr>
          <w:spacing w:val="-54"/>
          <w:sz w:val="21"/>
        </w:rPr>
        <w:t> </w:t>
      </w:r>
      <w:r>
        <w:rPr>
          <w:spacing w:val="-2"/>
          <w:sz w:val="21"/>
        </w:rPr>
        <w:t>0</w:t>
      </w:r>
      <w:r>
        <w:rPr>
          <w:spacing w:val="-53"/>
          <w:sz w:val="21"/>
        </w:rPr>
        <w:t> </w:t>
      </w:r>
      <w:r>
        <w:rPr>
          <w:rFonts w:ascii="微软雅黑" w:eastAsia="微软雅黑"/>
          <w:b/>
          <w:spacing w:val="-2"/>
          <w:sz w:val="21"/>
        </w:rPr>
        <w:t>周岁</w:t>
      </w:r>
      <w:r>
        <w:rPr>
          <w:spacing w:val="-208"/>
          <w:w w:val="109"/>
          <w:sz w:val="21"/>
        </w:rPr>
        <w:t>（</w:t>
      </w:r>
      <w:r>
        <w:rPr>
          <w:rFonts w:ascii="微软雅黑" w:eastAsia="微软雅黑"/>
          <w:b/>
          <w:spacing w:val="-11"/>
          <w:w w:val="90"/>
          <w:position w:val="11"/>
          <w:sz w:val="11"/>
        </w:rPr>
        <w:t>1</w:t>
      </w:r>
    </w:p>
    <w:p>
      <w:pPr>
        <w:pStyle w:val="BodyText"/>
        <w:spacing w:before="96"/>
        <w:ind w:left="99"/>
      </w:pPr>
      <w:r>
        <w:rPr/>
        <w:br w:type="column"/>
      </w:r>
      <w:r>
        <w:rPr>
          <w:spacing w:val="-15"/>
        </w:rPr>
        <w:t>出生满 </w:t>
      </w:r>
      <w:r>
        <w:rPr>
          <w:spacing w:val="-2"/>
        </w:rPr>
        <w:t>28</w:t>
      </w:r>
      <w:r>
        <w:rPr>
          <w:spacing w:val="-26"/>
        </w:rPr>
        <w:t> 日</w:t>
      </w:r>
      <w:r>
        <w:rPr>
          <w:spacing w:val="-75"/>
        </w:rPr>
        <w:t>）</w:t>
      </w:r>
      <w:r>
        <w:rPr>
          <w:spacing w:val="-27"/>
        </w:rPr>
        <w:t>至 </w:t>
      </w:r>
      <w:r>
        <w:rPr>
          <w:spacing w:val="-2"/>
        </w:rPr>
        <w:t>60</w:t>
      </w:r>
      <w:r>
        <w:rPr>
          <w:spacing w:val="-18"/>
        </w:rPr>
        <w:t> 周岁。</w:t>
      </w:r>
    </w:p>
    <w:p>
      <w:pPr>
        <w:spacing w:after="0"/>
        <w:sectPr>
          <w:type w:val="continuous"/>
          <w:pgSz w:w="11910" w:h="16840"/>
          <w:pgMar w:header="566" w:footer="664" w:top="1340" w:bottom="860" w:left="900" w:right="720"/>
          <w:cols w:num="2" w:equalWidth="0">
            <w:col w:w="7507" w:space="40"/>
            <w:col w:w="2743"/>
          </w:cols>
        </w:sectPr>
      </w:pPr>
    </w:p>
    <w:p>
      <w:pPr>
        <w:pStyle w:val="ListParagraph"/>
        <w:numPr>
          <w:ilvl w:val="1"/>
          <w:numId w:val="10"/>
        </w:numPr>
        <w:tabs>
          <w:tab w:pos="1269" w:val="left" w:leader="none"/>
          <w:tab w:pos="1270" w:val="left" w:leader="none"/>
          <w:tab w:pos="3036" w:val="left" w:leader="none"/>
        </w:tabs>
        <w:spacing w:line="235" w:lineRule="auto" w:before="101" w:after="0"/>
        <w:ind w:left="3037" w:right="310" w:hanging="2805"/>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期</w:t>
      </w:r>
      <w:r>
        <w:rPr>
          <w:rFonts w:ascii="微软雅黑" w:eastAsia="微软雅黑"/>
          <w:b/>
          <w:spacing w:val="-4"/>
          <w:sz w:val="21"/>
        </w:rPr>
        <w:t>间</w:t>
      </w:r>
      <w:r>
        <w:rPr>
          <w:rFonts w:ascii="微软雅黑" w:eastAsia="微软雅黑"/>
          <w:b/>
          <w:sz w:val="21"/>
        </w:rPr>
        <w:tab/>
      </w:r>
      <w:r>
        <w:rPr>
          <w:spacing w:val="-2"/>
          <w:sz w:val="21"/>
        </w:rPr>
        <w:t>本</w:t>
      </w:r>
      <w:r>
        <w:rPr>
          <w:spacing w:val="-2"/>
          <w:sz w:val="21"/>
        </w:rPr>
        <w:t>合</w:t>
      </w:r>
      <w:r>
        <w:rPr>
          <w:spacing w:val="-2"/>
          <w:sz w:val="21"/>
        </w:rPr>
        <w:t>同的保险期间为被保</w:t>
      </w:r>
      <w:r>
        <w:rPr>
          <w:spacing w:val="-2"/>
          <w:sz w:val="21"/>
        </w:rPr>
        <w:t>险</w:t>
      </w:r>
      <w:r>
        <w:rPr>
          <w:spacing w:val="-2"/>
          <w:sz w:val="21"/>
        </w:rPr>
        <w:t>人</w:t>
      </w:r>
      <w:r>
        <w:rPr>
          <w:spacing w:val="-2"/>
          <w:sz w:val="21"/>
        </w:rPr>
        <w:t>终身，自本合同生效</w:t>
      </w:r>
      <w:r>
        <w:rPr>
          <w:spacing w:val="-2"/>
          <w:sz w:val="21"/>
        </w:rPr>
        <w:t>日</w:t>
      </w:r>
      <w:r>
        <w:rPr>
          <w:spacing w:val="-2"/>
          <w:sz w:val="21"/>
        </w:rPr>
        <w:t>零</w:t>
      </w:r>
      <w:r>
        <w:rPr>
          <w:spacing w:val="-2"/>
          <w:sz w:val="21"/>
        </w:rPr>
        <w:t>时起至被保险人</w:t>
      </w:r>
      <w:r>
        <w:rPr>
          <w:spacing w:val="-2"/>
          <w:sz w:val="21"/>
        </w:rPr>
        <w:t>身</w:t>
      </w:r>
      <w:r>
        <w:rPr>
          <w:spacing w:val="-2"/>
          <w:sz w:val="21"/>
        </w:rPr>
        <w:t>故</w:t>
      </w:r>
      <w:r>
        <w:rPr>
          <w:spacing w:val="-2"/>
          <w:sz w:val="21"/>
        </w:rPr>
        <w:t>时</w:t>
      </w:r>
      <w:r>
        <w:rPr>
          <w:spacing w:val="-2"/>
          <w:sz w:val="21"/>
        </w:rPr>
        <w:t>止</w:t>
      </w:r>
      <w:r>
        <w:rPr>
          <w:spacing w:val="-2"/>
          <w:sz w:val="21"/>
        </w:rPr>
        <w:t>，保险期间在保险单</w:t>
      </w:r>
      <w:r>
        <w:rPr>
          <w:spacing w:val="-2"/>
          <w:sz w:val="21"/>
        </w:rPr>
        <w:t>上</w:t>
      </w:r>
      <w:r>
        <w:rPr>
          <w:spacing w:val="-2"/>
          <w:sz w:val="21"/>
        </w:rPr>
        <w:t>载</w:t>
      </w:r>
      <w:r>
        <w:rPr>
          <w:spacing w:val="-2"/>
          <w:sz w:val="21"/>
        </w:rPr>
        <w:t>明。</w:t>
      </w:r>
    </w:p>
    <w:p>
      <w:pPr>
        <w:pStyle w:val="ListParagraph"/>
        <w:numPr>
          <w:ilvl w:val="1"/>
          <w:numId w:val="10"/>
        </w:numPr>
        <w:tabs>
          <w:tab w:pos="1269" w:val="left" w:leader="none"/>
          <w:tab w:pos="1270" w:val="left" w:leader="none"/>
          <w:tab w:pos="3036" w:val="left" w:leader="none"/>
        </w:tabs>
        <w:spacing w:line="240" w:lineRule="auto" w:before="146" w:after="0"/>
        <w:ind w:left="1270" w:right="0" w:hanging="1038"/>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合同有效期间内，我</w:t>
      </w:r>
      <w:r>
        <w:rPr>
          <w:spacing w:val="-2"/>
          <w:sz w:val="21"/>
        </w:rPr>
        <w:t>们</w:t>
      </w:r>
      <w:r>
        <w:rPr>
          <w:spacing w:val="-2"/>
          <w:sz w:val="21"/>
        </w:rPr>
        <w:t>承</w:t>
      </w:r>
      <w:r>
        <w:rPr>
          <w:spacing w:val="-2"/>
          <w:sz w:val="21"/>
        </w:rPr>
        <w:t>担下列保险责任</w:t>
      </w:r>
      <w:r>
        <w:rPr>
          <w:spacing w:val="-10"/>
          <w:sz w:val="21"/>
        </w:rPr>
        <w:t>：</w:t>
      </w:r>
    </w:p>
    <w:p>
      <w:pPr>
        <w:pStyle w:val="ListParagraph"/>
        <w:numPr>
          <w:ilvl w:val="2"/>
          <w:numId w:val="10"/>
        </w:numPr>
        <w:tabs>
          <w:tab w:pos="1269" w:val="left" w:leader="none"/>
          <w:tab w:pos="1270" w:val="left" w:leader="none"/>
        </w:tabs>
        <w:spacing w:line="240" w:lineRule="auto" w:before="95" w:after="0"/>
        <w:ind w:left="1270" w:right="0" w:hanging="1038"/>
        <w:jc w:val="left"/>
        <w:rPr>
          <w:rFonts w:ascii="微软雅黑" w:eastAsia="微软雅黑"/>
          <w:b/>
          <w:sz w:val="21"/>
        </w:rPr>
      </w:pPr>
      <w:r>
        <w:rPr/>
        <w:pict>
          <v:shape style="position:absolute;margin-left:196.850006pt;margin-top:6.968125pt;width:347.35pt;height:62.55pt;mso-position-horizontal-relative:page;mso-position-vertical-relative:paragraph;z-index:15731200" type="#_x0000_t202" id="docshape5"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96"/>
                    <w:gridCol w:w="2430"/>
                    <w:gridCol w:w="322"/>
                  </w:tblGrid>
                  <w:tr>
                    <w:trPr>
                      <w:trHeight w:val="285" w:hRule="atLeast"/>
                    </w:trPr>
                    <w:tc>
                      <w:tcPr>
                        <w:tcW w:w="6948" w:type="dxa"/>
                        <w:gridSpan w:val="3"/>
                        <w:tcBorders>
                          <w:bottom w:val="single" w:sz="12" w:space="0" w:color="FFFFFF"/>
                        </w:tcBorders>
                        <w:shd w:val="clear" w:color="auto" w:fill="D9D9D9"/>
                      </w:tcPr>
                      <w:p>
                        <w:pPr>
                          <w:pStyle w:val="TableParagraph"/>
                          <w:spacing w:line="265" w:lineRule="exact"/>
                          <w:rPr>
                            <w:rFonts w:ascii="微软雅黑" w:eastAsia="微软雅黑"/>
                            <w:b/>
                            <w:sz w:val="22"/>
                          </w:rPr>
                        </w:pPr>
                        <w:r>
                          <w:rPr>
                            <w:rFonts w:ascii="微软雅黑" w:eastAsia="微软雅黑"/>
                            <w:b/>
                            <w:w w:val="95"/>
                            <w:sz w:val="22"/>
                          </w:rPr>
                          <w:t>本</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生</w:t>
                        </w:r>
                        <w:r>
                          <w:rPr>
                            <w:rFonts w:ascii="微软雅黑" w:eastAsia="微软雅黑"/>
                            <w:b/>
                            <w:w w:val="95"/>
                            <w:sz w:val="22"/>
                          </w:rPr>
                          <w:t>效</w:t>
                        </w:r>
                        <w:r>
                          <w:rPr>
                            <w:rFonts w:ascii="微软雅黑" w:eastAsia="微软雅黑"/>
                            <w:b/>
                            <w:w w:val="95"/>
                            <w:sz w:val="22"/>
                          </w:rPr>
                          <w:t>日</w:t>
                        </w:r>
                        <w:r>
                          <w:rPr>
                            <w:rFonts w:ascii="微软雅黑" w:eastAsia="微软雅黑"/>
                            <w:b/>
                            <w:w w:val="95"/>
                            <w:sz w:val="22"/>
                          </w:rPr>
                          <w:t>或</w:t>
                        </w:r>
                        <w:r>
                          <w:rPr>
                            <w:rFonts w:ascii="微软雅黑" w:eastAsia="微软雅黑"/>
                            <w:b/>
                            <w:w w:val="95"/>
                            <w:sz w:val="22"/>
                          </w:rPr>
                          <w:t>本</w:t>
                        </w:r>
                        <w:r>
                          <w:rPr>
                            <w:rFonts w:ascii="微软雅黑" w:eastAsia="微软雅黑"/>
                            <w:b/>
                            <w:w w:val="95"/>
                            <w:sz w:val="22"/>
                          </w:rPr>
                          <w:t>合</w:t>
                        </w:r>
                        <w:r>
                          <w:rPr>
                            <w:rFonts w:ascii="微软雅黑" w:eastAsia="微软雅黑"/>
                            <w:b/>
                            <w:w w:val="95"/>
                            <w:sz w:val="22"/>
                          </w:rPr>
                          <w:t>同</w:t>
                        </w:r>
                        <w:r>
                          <w:rPr>
                            <w:rFonts w:ascii="微软雅黑" w:eastAsia="微软雅黑"/>
                            <w:b/>
                            <w:w w:val="95"/>
                            <w:sz w:val="22"/>
                          </w:rPr>
                          <w:t>中</w:t>
                        </w:r>
                        <w:r>
                          <w:rPr>
                            <w:rFonts w:ascii="微软雅黑" w:eastAsia="微软雅黑"/>
                            <w:b/>
                            <w:w w:val="95"/>
                            <w:sz w:val="22"/>
                          </w:rPr>
                          <w:t>止</w:t>
                        </w:r>
                        <w:r>
                          <w:rPr>
                            <w:rFonts w:ascii="微软雅黑" w:eastAsia="微软雅黑"/>
                            <w:b/>
                            <w:w w:val="95"/>
                            <w:sz w:val="22"/>
                          </w:rPr>
                          <w:t>后</w:t>
                        </w:r>
                        <w:r>
                          <w:rPr>
                            <w:rFonts w:ascii="微软雅黑" w:eastAsia="微软雅黑"/>
                            <w:b/>
                            <w:w w:val="95"/>
                            <w:sz w:val="22"/>
                          </w:rPr>
                          <w:t>的</w:t>
                        </w:r>
                        <w:r>
                          <w:rPr>
                            <w:rFonts w:ascii="微软雅黑" w:eastAsia="微软雅黑"/>
                            <w:b/>
                            <w:w w:val="95"/>
                            <w:sz w:val="22"/>
                          </w:rPr>
                          <w:t>最</w:t>
                        </w:r>
                        <w:r>
                          <w:rPr>
                            <w:rFonts w:ascii="微软雅黑" w:eastAsia="微软雅黑"/>
                            <w:b/>
                            <w:w w:val="95"/>
                            <w:sz w:val="22"/>
                          </w:rPr>
                          <w:t>后</w:t>
                        </w:r>
                        <w:r>
                          <w:rPr>
                            <w:rFonts w:ascii="微软雅黑" w:eastAsia="微软雅黑"/>
                            <w:b/>
                            <w:w w:val="95"/>
                            <w:sz w:val="22"/>
                          </w:rPr>
                          <w:t>复</w:t>
                        </w:r>
                        <w:r>
                          <w:rPr>
                            <w:rFonts w:ascii="微软雅黑" w:eastAsia="微软雅黑"/>
                            <w:b/>
                            <w:w w:val="95"/>
                            <w:sz w:val="22"/>
                          </w:rPr>
                          <w:t>效</w:t>
                        </w:r>
                        <w:r>
                          <w:rPr>
                            <w:rFonts w:ascii="微软雅黑" w:eastAsia="微软雅黑"/>
                            <w:b/>
                            <w:w w:val="95"/>
                            <w:sz w:val="22"/>
                          </w:rPr>
                          <w:t>日（</w:t>
                        </w:r>
                        <w:r>
                          <w:rPr>
                            <w:rFonts w:ascii="微软雅黑" w:eastAsia="微软雅黑"/>
                            <w:b/>
                            <w:w w:val="95"/>
                            <w:sz w:val="22"/>
                          </w:rPr>
                          <w:t>以</w:t>
                        </w:r>
                        <w:r>
                          <w:rPr>
                            <w:rFonts w:ascii="微软雅黑" w:eastAsia="微软雅黑"/>
                            <w:b/>
                            <w:w w:val="95"/>
                            <w:sz w:val="22"/>
                          </w:rPr>
                          <w:t>较</w:t>
                        </w:r>
                        <w:r>
                          <w:rPr>
                            <w:rFonts w:ascii="微软雅黑" w:eastAsia="微软雅黑"/>
                            <w:b/>
                            <w:w w:val="95"/>
                            <w:sz w:val="22"/>
                          </w:rPr>
                          <w:t>迟</w:t>
                        </w:r>
                        <w:r>
                          <w:rPr>
                            <w:rFonts w:ascii="微软雅黑" w:eastAsia="微软雅黑"/>
                            <w:b/>
                            <w:w w:val="95"/>
                            <w:sz w:val="22"/>
                          </w:rPr>
                          <w:t>者</w:t>
                        </w:r>
                        <w:r>
                          <w:rPr>
                            <w:rFonts w:ascii="微软雅黑" w:eastAsia="微软雅黑"/>
                            <w:b/>
                            <w:w w:val="95"/>
                            <w:sz w:val="22"/>
                          </w:rPr>
                          <w:t>为</w:t>
                        </w:r>
                        <w:r>
                          <w:rPr>
                            <w:rFonts w:ascii="微软雅黑" w:eastAsia="微软雅黑"/>
                            <w:b/>
                            <w:w w:val="95"/>
                            <w:sz w:val="22"/>
                          </w:rPr>
                          <w:t>准</w:t>
                        </w:r>
                        <w:r>
                          <w:rPr>
                            <w:rFonts w:ascii="微软雅黑" w:eastAsia="微软雅黑"/>
                            <w:b/>
                            <w:w w:val="95"/>
                            <w:sz w:val="22"/>
                          </w:rPr>
                          <w:t>）起</w:t>
                        </w:r>
                        <w:r>
                          <w:rPr>
                            <w:rFonts w:ascii="微软雅黑" w:eastAsia="微软雅黑"/>
                            <w:b/>
                            <w:spacing w:val="30"/>
                            <w:sz w:val="22"/>
                          </w:rPr>
                          <w:t>  </w:t>
                        </w:r>
                        <w:r>
                          <w:rPr>
                            <w:rFonts w:ascii="微软雅黑" w:eastAsia="微软雅黑"/>
                            <w:b/>
                            <w:w w:val="95"/>
                            <w:sz w:val="22"/>
                          </w:rPr>
                          <w:t>90</w:t>
                        </w:r>
                        <w:r>
                          <w:rPr>
                            <w:rFonts w:ascii="微软雅黑" w:eastAsia="微软雅黑"/>
                            <w:b/>
                            <w:spacing w:val="29"/>
                            <w:sz w:val="22"/>
                          </w:rPr>
                          <w:t>  </w:t>
                        </w:r>
                        <w:r>
                          <w:rPr>
                            <w:rFonts w:ascii="微软雅黑" w:eastAsia="微软雅黑"/>
                            <w:b/>
                            <w:spacing w:val="-5"/>
                            <w:w w:val="95"/>
                            <w:sz w:val="22"/>
                          </w:rPr>
                          <w:t>日为</w:t>
                        </w:r>
                      </w:p>
                    </w:tc>
                  </w:tr>
                  <w:tr>
                    <w:trPr>
                      <w:trHeight w:val="282" w:hRule="atLeast"/>
                    </w:trPr>
                    <w:tc>
                      <w:tcPr>
                        <w:tcW w:w="6626" w:type="dxa"/>
                        <w:gridSpan w:val="2"/>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spacing w:val="-1"/>
                            <w:sz w:val="22"/>
                          </w:rPr>
                          <w:t>等待期。等待期是指本合同生效后我们不承担保险责任的一段时间。</w:t>
                        </w:r>
                      </w:p>
                    </w:tc>
                    <w:tc>
                      <w:tcPr>
                        <w:tcW w:w="322" w:type="dxa"/>
                        <w:tcBorders>
                          <w:top w:val="single" w:sz="12" w:space="0" w:color="FFFFFF"/>
                          <w:bottom w:val="single" w:sz="12" w:space="0" w:color="FFFFFF"/>
                        </w:tcBorders>
                      </w:tcPr>
                      <w:p>
                        <w:pPr>
                          <w:pStyle w:val="TableParagraph"/>
                          <w:rPr>
                            <w:rFonts w:ascii="Times New Roman"/>
                            <w:sz w:val="20"/>
                          </w:rPr>
                        </w:pPr>
                      </w:p>
                    </w:tc>
                  </w:tr>
                  <w:tr>
                    <w:trPr>
                      <w:trHeight w:val="282" w:hRule="atLeast"/>
                    </w:trPr>
                    <w:tc>
                      <w:tcPr>
                        <w:tcW w:w="6948" w:type="dxa"/>
                        <w:gridSpan w:val="3"/>
                        <w:tcBorders>
                          <w:top w:val="single" w:sz="12" w:space="0" w:color="FFFFFF"/>
                          <w:bottom w:val="single" w:sz="12" w:space="0" w:color="FFFFFF"/>
                        </w:tcBorders>
                        <w:shd w:val="clear" w:color="auto" w:fill="D9D9D9"/>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等</w:t>
                        </w:r>
                        <w:r>
                          <w:rPr>
                            <w:rFonts w:ascii="微软雅黑" w:eastAsia="微软雅黑"/>
                            <w:b/>
                            <w:w w:val="95"/>
                            <w:sz w:val="22"/>
                          </w:rPr>
                          <w:t>待</w:t>
                        </w:r>
                        <w:r>
                          <w:rPr>
                            <w:rFonts w:ascii="微软雅黑" w:eastAsia="微软雅黑"/>
                            <w:b/>
                            <w:w w:val="95"/>
                            <w:sz w:val="22"/>
                          </w:rPr>
                          <w:t>期</w:t>
                        </w:r>
                        <w:r>
                          <w:rPr>
                            <w:rFonts w:ascii="微软雅黑" w:eastAsia="微软雅黑"/>
                            <w:b/>
                            <w:w w:val="95"/>
                            <w:sz w:val="22"/>
                          </w:rPr>
                          <w:t>内</w:t>
                        </w:r>
                        <w:r>
                          <w:rPr>
                            <w:rFonts w:ascii="微软雅黑" w:eastAsia="微软雅黑"/>
                            <w:b/>
                            <w:w w:val="95"/>
                            <w:sz w:val="22"/>
                          </w:rPr>
                          <w:t>被</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人</w:t>
                        </w:r>
                        <w:r>
                          <w:rPr>
                            <w:rFonts w:ascii="微软雅黑" w:eastAsia="微软雅黑"/>
                            <w:b/>
                            <w:w w:val="95"/>
                            <w:sz w:val="22"/>
                          </w:rPr>
                          <w:t>因</w:t>
                        </w:r>
                        <w:r>
                          <w:rPr>
                            <w:rFonts w:ascii="微软雅黑" w:eastAsia="微软雅黑"/>
                            <w:b/>
                            <w:w w:val="95"/>
                            <w:sz w:val="22"/>
                          </w:rPr>
                          <w:t>疾</w:t>
                        </w:r>
                        <w:r>
                          <w:rPr>
                            <w:rFonts w:ascii="微软雅黑" w:eastAsia="微软雅黑"/>
                            <w:b/>
                            <w:w w:val="95"/>
                            <w:sz w:val="22"/>
                          </w:rPr>
                          <w:t>病</w:t>
                        </w:r>
                        <w:r>
                          <w:rPr>
                            <w:rFonts w:ascii="微软雅黑" w:eastAsia="微软雅黑"/>
                            <w:b/>
                            <w:w w:val="95"/>
                            <w:sz w:val="22"/>
                          </w:rPr>
                          <w:t>导</w:t>
                        </w:r>
                        <w:r>
                          <w:rPr>
                            <w:rFonts w:ascii="微软雅黑" w:eastAsia="微软雅黑"/>
                            <w:b/>
                            <w:w w:val="95"/>
                            <w:sz w:val="22"/>
                          </w:rPr>
                          <w:t>致</w:t>
                        </w:r>
                        <w:r>
                          <w:rPr>
                            <w:rFonts w:ascii="微软雅黑" w:eastAsia="微软雅黑"/>
                            <w:b/>
                            <w:w w:val="95"/>
                            <w:sz w:val="22"/>
                          </w:rPr>
                          <w:t>身</w:t>
                        </w:r>
                        <w:r>
                          <w:rPr>
                            <w:rFonts w:ascii="微软雅黑" w:eastAsia="微软雅黑"/>
                            <w:b/>
                            <w:w w:val="95"/>
                            <w:sz w:val="22"/>
                          </w:rPr>
                          <w:t>故，</w:t>
                        </w:r>
                        <w:r>
                          <w:rPr>
                            <w:rFonts w:ascii="微软雅黑" w:eastAsia="微软雅黑"/>
                            <w:b/>
                            <w:w w:val="95"/>
                            <w:sz w:val="22"/>
                          </w:rPr>
                          <w:t>我</w:t>
                        </w:r>
                        <w:r>
                          <w:rPr>
                            <w:rFonts w:ascii="微软雅黑" w:eastAsia="微软雅黑"/>
                            <w:b/>
                            <w:w w:val="95"/>
                            <w:sz w:val="22"/>
                          </w:rPr>
                          <w:t>们</w:t>
                        </w:r>
                        <w:r>
                          <w:rPr>
                            <w:rFonts w:ascii="微软雅黑" w:eastAsia="微软雅黑"/>
                            <w:b/>
                            <w:w w:val="95"/>
                            <w:sz w:val="22"/>
                          </w:rPr>
                          <w:t>不</w:t>
                        </w:r>
                        <w:r>
                          <w:rPr>
                            <w:rFonts w:ascii="微软雅黑" w:eastAsia="微软雅黑"/>
                            <w:b/>
                            <w:w w:val="95"/>
                            <w:sz w:val="22"/>
                          </w:rPr>
                          <w:t>承</w:t>
                        </w:r>
                        <w:r>
                          <w:rPr>
                            <w:rFonts w:ascii="微软雅黑" w:eastAsia="微软雅黑"/>
                            <w:b/>
                            <w:w w:val="95"/>
                            <w:sz w:val="22"/>
                          </w:rPr>
                          <w:t>担</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责</w:t>
                        </w:r>
                        <w:r>
                          <w:rPr>
                            <w:rFonts w:ascii="微软雅黑" w:eastAsia="微软雅黑"/>
                            <w:b/>
                            <w:w w:val="95"/>
                            <w:sz w:val="22"/>
                          </w:rPr>
                          <w:t>任，但</w:t>
                        </w:r>
                        <w:r>
                          <w:rPr>
                            <w:rFonts w:ascii="微软雅黑" w:eastAsia="微软雅黑"/>
                            <w:b/>
                            <w:w w:val="95"/>
                            <w:sz w:val="22"/>
                          </w:rPr>
                          <w:t>向</w:t>
                        </w:r>
                        <w:r>
                          <w:rPr>
                            <w:rFonts w:ascii="微软雅黑" w:eastAsia="微软雅黑"/>
                            <w:b/>
                            <w:spacing w:val="-10"/>
                            <w:w w:val="95"/>
                            <w:sz w:val="22"/>
                          </w:rPr>
                          <w:t>您</w:t>
                        </w:r>
                      </w:p>
                    </w:tc>
                  </w:tr>
                  <w:tr>
                    <w:trPr>
                      <w:trHeight w:val="282" w:hRule="atLeast"/>
                    </w:trPr>
                    <w:tc>
                      <w:tcPr>
                        <w:tcW w:w="4196" w:type="dxa"/>
                        <w:tcBorders>
                          <w:top w:val="single" w:sz="12" w:space="0" w:color="FFFFFF"/>
                          <w:bottom w:val="single" w:sz="12" w:space="0" w:color="FFFFFF"/>
                        </w:tcBorders>
                        <w:shd w:val="clear" w:color="auto" w:fill="D9D9D9"/>
                      </w:tcPr>
                      <w:p>
                        <w:pPr>
                          <w:pStyle w:val="TableParagraph"/>
                          <w:spacing w:line="263" w:lineRule="exact"/>
                          <w:rPr>
                            <w:rFonts w:ascii="微软雅黑" w:eastAsia="微软雅黑"/>
                            <w:b/>
                            <w:sz w:val="22"/>
                          </w:rPr>
                        </w:pPr>
                        <w:r>
                          <w:rPr>
                            <w:rFonts w:ascii="微软雅黑" w:eastAsia="微软雅黑"/>
                            <w:b/>
                            <w:spacing w:val="-1"/>
                            <w:sz w:val="22"/>
                          </w:rPr>
                          <w:t>无息退还已交的保险费，本合同效力终止；</w:t>
                        </w:r>
                      </w:p>
                    </w:tc>
                    <w:tc>
                      <w:tcPr>
                        <w:tcW w:w="2752" w:type="dxa"/>
                        <w:gridSpan w:val="2"/>
                        <w:tcBorders>
                          <w:top w:val="single" w:sz="12" w:space="0" w:color="FFFFFF"/>
                        </w:tcBorders>
                      </w:tcPr>
                      <w:p>
                        <w:pPr>
                          <w:pStyle w:val="TableParagraph"/>
                          <w:rPr>
                            <w:rFonts w:ascii="Times New Roman"/>
                            <w:sz w:val="20"/>
                          </w:rPr>
                        </w:pPr>
                      </w:p>
                    </w:tc>
                  </w:tr>
                </w:tbl>
                <w:p>
                  <w:pPr>
                    <w:pStyle w:val="BodyText"/>
                  </w:pPr>
                </w:p>
              </w:txbxContent>
            </v:textbox>
            <w10:wrap type="none"/>
          </v:shape>
        </w:pict>
      </w:r>
      <w:r>
        <w:rPr>
          <w:rFonts w:ascii="微软雅黑" w:eastAsia="微软雅黑"/>
          <w:b/>
          <w:spacing w:val="-4"/>
          <w:sz w:val="21"/>
        </w:rPr>
        <w:t>等待期</w:t>
      </w:r>
    </w:p>
    <w:p>
      <w:pPr>
        <w:pStyle w:val="BodyText"/>
        <w:rPr>
          <w:rFonts w:ascii="微软雅黑"/>
          <w:b/>
          <w:sz w:val="20"/>
        </w:rPr>
      </w:pPr>
    </w:p>
    <w:p>
      <w:pPr>
        <w:pStyle w:val="BodyText"/>
        <w:spacing w:before="15"/>
        <w:rPr>
          <w:rFonts w:ascii="微软雅黑"/>
          <w:b/>
          <w:sz w:val="29"/>
        </w:rPr>
      </w:pPr>
    </w:p>
    <w:p>
      <w:pPr>
        <w:pStyle w:val="ListParagraph"/>
        <w:numPr>
          <w:ilvl w:val="3"/>
          <w:numId w:val="10"/>
        </w:numPr>
        <w:tabs>
          <w:tab w:pos="3590" w:val="left" w:leader="none"/>
        </w:tabs>
        <w:spacing w:line="184" w:lineRule="auto" w:before="0" w:after="0"/>
        <w:ind w:left="3037" w:right="300" w:firstLine="0"/>
        <w:jc w:val="left"/>
        <w:rPr>
          <w:rFonts w:ascii="微软雅黑" w:eastAsia="微软雅黑"/>
          <w:b/>
          <w:sz w:val="22"/>
        </w:rPr>
      </w:pPr>
      <w:r>
        <w:rPr>
          <w:rFonts w:ascii="微软雅黑" w:eastAsia="微软雅黑"/>
          <w:b/>
          <w:color w:val="000000"/>
          <w:w w:val="100"/>
          <w:sz w:val="22"/>
          <w:shd w:fill="D9D9D9" w:color="auto" w:val="clear"/>
        </w:rPr>
        <w:t>等待期内被保险人经认可的医院</w:t>
      </w:r>
      <w:r>
        <w:rPr>
          <w:rFonts w:ascii="微软雅黑" w:eastAsia="微软雅黑"/>
          <w:b/>
          <w:color w:val="000000"/>
          <w:spacing w:val="2"/>
          <w:w w:val="81"/>
          <w:position w:val="11"/>
          <w:sz w:val="11"/>
        </w:rPr>
        <w:t>2</w:t>
      </w:r>
      <w:r>
        <w:rPr>
          <w:rFonts w:ascii="微软雅黑" w:eastAsia="微软雅黑"/>
          <w:b/>
          <w:color w:val="000000"/>
          <w:w w:val="100"/>
          <w:sz w:val="22"/>
          <w:shd w:fill="D9D9D9" w:color="auto" w:val="clear"/>
        </w:rPr>
        <w:t>确诊患上一种或多种本合同约定</w:t>
      </w:r>
      <w:r>
        <w:rPr>
          <w:rFonts w:ascii="微软雅黑" w:eastAsia="微软雅黑"/>
          <w:b/>
          <w:color w:val="000000"/>
          <w:spacing w:val="-4"/>
          <w:w w:val="100"/>
          <w:sz w:val="22"/>
          <w:shd w:fill="D9D9D9" w:color="auto" w:val="clear"/>
        </w:rPr>
        <w:t>的重大疾病，我们不承担保险责任，但向您无息退还已交的保险费，本合同效力终止；</w:t>
      </w:r>
    </w:p>
    <w:p>
      <w:pPr>
        <w:pStyle w:val="ListParagraph"/>
        <w:numPr>
          <w:ilvl w:val="3"/>
          <w:numId w:val="10"/>
        </w:numPr>
        <w:tabs>
          <w:tab w:pos="3590" w:val="left" w:leader="none"/>
        </w:tabs>
        <w:spacing w:line="184" w:lineRule="auto" w:before="0" w:after="0"/>
        <w:ind w:left="3037" w:right="301" w:firstLine="0"/>
        <w:jc w:val="both"/>
        <w:rPr>
          <w:rFonts w:ascii="微软雅黑" w:eastAsia="微软雅黑"/>
          <w:b/>
          <w:sz w:val="22"/>
        </w:rPr>
      </w:pPr>
      <w:r>
        <w:rPr>
          <w:rFonts w:ascii="微软雅黑" w:eastAsia="微软雅黑"/>
          <w:b/>
          <w:color w:val="000000"/>
          <w:spacing w:val="-2"/>
          <w:sz w:val="22"/>
          <w:shd w:fill="D9D9D9" w:color="auto" w:val="clear"/>
        </w:rPr>
        <w:t>等待期内被保险人经认可的医院确诊患上一种或多种本合同约定的</w:t>
      </w:r>
      <w:r>
        <w:rPr>
          <w:rFonts w:ascii="微软雅黑" w:eastAsia="微软雅黑"/>
          <w:b/>
          <w:color w:val="000000"/>
          <w:spacing w:val="-2"/>
          <w:sz w:val="22"/>
          <w:shd w:fill="D9D9D9" w:color="auto" w:val="clear"/>
        </w:rPr>
        <w:t>中症疾病，我们不承担保险责任，本合同中症疾病保险金及豁免保险费</w:t>
      </w:r>
      <w:r>
        <w:rPr>
          <w:rFonts w:ascii="微软雅黑" w:eastAsia="微软雅黑"/>
          <w:b/>
          <w:color w:val="000000"/>
          <w:spacing w:val="-2"/>
          <w:sz w:val="22"/>
          <w:shd w:fill="D9D9D9" w:color="auto" w:val="clear"/>
        </w:rPr>
        <w:t>责任终止，本合同继续有效；</w:t>
      </w:r>
    </w:p>
    <w:p>
      <w:pPr>
        <w:pStyle w:val="ListParagraph"/>
        <w:numPr>
          <w:ilvl w:val="3"/>
          <w:numId w:val="10"/>
        </w:numPr>
        <w:tabs>
          <w:tab w:pos="3590" w:val="left" w:leader="none"/>
        </w:tabs>
        <w:spacing w:line="184" w:lineRule="auto" w:before="0" w:after="0"/>
        <w:ind w:left="3037" w:right="301" w:firstLine="0"/>
        <w:jc w:val="both"/>
        <w:rPr>
          <w:rFonts w:ascii="微软雅黑" w:eastAsia="微软雅黑"/>
          <w:b/>
          <w:sz w:val="22"/>
        </w:rPr>
      </w:pPr>
      <w:r>
        <w:rPr>
          <w:rFonts w:ascii="微软雅黑" w:eastAsia="微软雅黑"/>
          <w:b/>
          <w:color w:val="000000"/>
          <w:spacing w:val="-2"/>
          <w:sz w:val="22"/>
          <w:shd w:fill="D9D9D9" w:color="auto" w:val="clear"/>
        </w:rPr>
        <w:t>等待期内被保险人经认可的医院确诊患上一种或多种本合同约定的</w:t>
      </w:r>
      <w:r>
        <w:rPr>
          <w:rFonts w:ascii="微软雅黑" w:eastAsia="微软雅黑"/>
          <w:b/>
          <w:color w:val="000000"/>
          <w:spacing w:val="-2"/>
          <w:sz w:val="22"/>
          <w:shd w:fill="D9D9D9" w:color="auto" w:val="clear"/>
        </w:rPr>
        <w:t>轻症疾病，我们不承担保险责任，本合同轻症疾病保险金及豁免保险费</w:t>
      </w:r>
      <w:r>
        <w:rPr>
          <w:rFonts w:ascii="微软雅黑" w:eastAsia="微软雅黑"/>
          <w:b/>
          <w:color w:val="000000"/>
          <w:spacing w:val="13433"/>
          <w:sz w:val="22"/>
          <w:shd w:fill="D9D9D9" w:color="auto" w:val="clear"/>
        </w:rPr>
        <w:t> </w:t>
      </w:r>
      <w:r>
        <w:rPr>
          <w:rFonts w:ascii="微软雅黑" w:eastAsia="微软雅黑"/>
          <w:b/>
          <w:color w:val="000000"/>
          <w:spacing w:val="-2"/>
          <w:sz w:val="22"/>
          <w:shd w:fill="D9D9D9" w:color="auto" w:val="clear"/>
        </w:rPr>
        <w:t>责任终止，本合同继续有效；</w:t>
      </w:r>
    </w:p>
    <w:p>
      <w:pPr>
        <w:pStyle w:val="ListParagraph"/>
        <w:numPr>
          <w:ilvl w:val="3"/>
          <w:numId w:val="10"/>
        </w:numPr>
        <w:tabs>
          <w:tab w:pos="3590" w:val="left" w:leader="none"/>
        </w:tabs>
        <w:spacing w:line="184" w:lineRule="auto" w:before="0" w:after="0"/>
        <w:ind w:left="3037" w:right="301" w:firstLine="0"/>
        <w:jc w:val="both"/>
        <w:rPr>
          <w:rFonts w:ascii="微软雅黑" w:eastAsia="微软雅黑"/>
          <w:b/>
          <w:sz w:val="22"/>
        </w:rPr>
      </w:pPr>
      <w:r>
        <w:rPr>
          <w:rFonts w:ascii="微软雅黑" w:eastAsia="微软雅黑"/>
          <w:b/>
          <w:color w:val="000000"/>
          <w:spacing w:val="-2"/>
          <w:sz w:val="22"/>
          <w:shd w:fill="D9D9D9" w:color="auto" w:val="clear"/>
        </w:rPr>
        <w:t>等待期内被保险人经认可的医院确诊患上一种或多种本合同约定的</w:t>
      </w:r>
      <w:r>
        <w:rPr>
          <w:rFonts w:ascii="微软雅黑" w:eastAsia="微软雅黑"/>
          <w:b/>
          <w:color w:val="000000"/>
          <w:spacing w:val="13433"/>
          <w:sz w:val="22"/>
          <w:shd w:fill="D9D9D9" w:color="auto" w:val="clear"/>
        </w:rPr>
        <w:t> </w:t>
      </w:r>
      <w:r>
        <w:rPr>
          <w:rFonts w:ascii="微软雅黑" w:eastAsia="微软雅黑"/>
          <w:b/>
          <w:color w:val="000000"/>
          <w:spacing w:val="-2"/>
          <w:sz w:val="22"/>
          <w:shd w:fill="D9D9D9" w:color="auto" w:val="clear"/>
        </w:rPr>
        <w:t>前症疾病，我们不承担保险责任，本合同前症疾病保险金及豁免保险费</w:t>
      </w:r>
      <w:r>
        <w:rPr>
          <w:rFonts w:ascii="微软雅黑" w:eastAsia="微软雅黑"/>
          <w:b/>
          <w:color w:val="000000"/>
          <w:spacing w:val="-2"/>
          <w:sz w:val="22"/>
          <w:shd w:fill="D9D9D9" w:color="auto" w:val="clear"/>
        </w:rPr>
        <w:t>责任终止，本合同继续有效；</w:t>
      </w:r>
    </w:p>
    <w:p>
      <w:pPr>
        <w:pStyle w:val="ListParagraph"/>
        <w:numPr>
          <w:ilvl w:val="3"/>
          <w:numId w:val="10"/>
        </w:numPr>
        <w:tabs>
          <w:tab w:pos="3590" w:val="left" w:leader="none"/>
        </w:tabs>
        <w:spacing w:line="184" w:lineRule="auto" w:before="0" w:after="0"/>
        <w:ind w:left="3037" w:right="299" w:firstLine="0"/>
        <w:jc w:val="left"/>
        <w:rPr>
          <w:rFonts w:ascii="微软雅黑" w:eastAsia="微软雅黑"/>
          <w:b/>
          <w:sz w:val="22"/>
        </w:rPr>
      </w:pPr>
      <w:r>
        <w:rPr>
          <w:rFonts w:ascii="微软雅黑" w:eastAsia="微软雅黑"/>
          <w:b/>
          <w:color w:val="000000"/>
          <w:w w:val="100"/>
          <w:sz w:val="22"/>
          <w:shd w:fill="D9D9D9" w:color="auto" w:val="clear"/>
        </w:rPr>
        <w:t>等待期内被保险人发生住院</w:t>
      </w:r>
      <w:r>
        <w:rPr>
          <w:rFonts w:ascii="微软雅黑" w:eastAsia="微软雅黑"/>
          <w:b/>
          <w:color w:val="000000"/>
          <w:spacing w:val="2"/>
          <w:w w:val="81"/>
          <w:position w:val="11"/>
          <w:sz w:val="11"/>
        </w:rPr>
        <w:t>3</w:t>
      </w:r>
      <w:r>
        <w:rPr>
          <w:rFonts w:ascii="微软雅黑" w:eastAsia="微软雅黑"/>
          <w:b/>
          <w:color w:val="000000"/>
          <w:spacing w:val="-6"/>
          <w:w w:val="100"/>
          <w:sz w:val="22"/>
          <w:shd w:fill="D9D9D9" w:color="auto" w:val="clear"/>
        </w:rPr>
        <w:t>治疗的，无论治疗时间与生效之日是</w:t>
      </w:r>
      <w:r>
        <w:rPr>
          <w:rFonts w:ascii="微软雅黑" w:eastAsia="微软雅黑"/>
          <w:b/>
          <w:color w:val="000000"/>
          <w:spacing w:val="-17"/>
          <w:w w:val="100"/>
          <w:sz w:val="22"/>
          <w:shd w:fill="D9D9D9" w:color="auto" w:val="clear"/>
        </w:rPr>
        <w:t>否</w:t>
      </w:r>
      <w:r>
        <w:rPr>
          <w:rFonts w:ascii="微软雅黑" w:eastAsia="微软雅黑"/>
          <w:b/>
          <w:color w:val="000000"/>
          <w:w w:val="100"/>
          <w:sz w:val="22"/>
          <w:shd w:fill="D9D9D9" w:color="auto" w:val="clear"/>
        </w:rPr>
        <w:t>                                                                                                                                                                                                              间隔超过等待期，我们均不承担住院关爱津贴保险金责任，本合同继续有效。</w:t>
      </w:r>
    </w:p>
    <w:p>
      <w:pPr>
        <w:spacing w:line="338" w:lineRule="exact" w:before="0"/>
        <w:ind w:left="3037" w:right="0" w:firstLine="0"/>
        <w:jc w:val="left"/>
        <w:rPr>
          <w:rFonts w:ascii="微软雅黑" w:eastAsia="微软雅黑"/>
          <w:b/>
          <w:sz w:val="22"/>
        </w:rPr>
      </w:pPr>
      <w:r>
        <w:rPr>
          <w:rFonts w:ascii="微软雅黑" w:eastAsia="微软雅黑"/>
          <w:b/>
          <w:w w:val="95"/>
          <w:sz w:val="22"/>
        </w:rPr>
        <w:t>因</w:t>
      </w:r>
      <w:r>
        <w:rPr>
          <w:rFonts w:ascii="微软雅黑" w:eastAsia="微软雅黑"/>
          <w:b/>
          <w:w w:val="95"/>
          <w:sz w:val="22"/>
        </w:rPr>
        <w:t>意</w:t>
      </w:r>
      <w:r>
        <w:rPr>
          <w:rFonts w:ascii="微软雅黑" w:eastAsia="微软雅黑"/>
          <w:b/>
          <w:w w:val="95"/>
          <w:sz w:val="22"/>
        </w:rPr>
        <w:t>外</w:t>
      </w:r>
      <w:r>
        <w:rPr>
          <w:rFonts w:ascii="微软雅黑" w:eastAsia="微软雅黑"/>
          <w:b/>
          <w:w w:val="95"/>
          <w:sz w:val="22"/>
        </w:rPr>
        <w:t>伤</w:t>
      </w:r>
      <w:r>
        <w:rPr>
          <w:rFonts w:ascii="微软雅黑" w:eastAsia="微软雅黑"/>
          <w:b/>
          <w:w w:val="95"/>
          <w:sz w:val="22"/>
        </w:rPr>
        <w:t>害</w:t>
      </w:r>
      <w:r>
        <w:rPr>
          <w:rFonts w:ascii="微软雅黑" w:eastAsia="微软雅黑"/>
          <w:b/>
          <w:w w:val="95"/>
          <w:position w:val="11"/>
          <w:sz w:val="11"/>
        </w:rPr>
        <w:t>4</w:t>
      </w:r>
      <w:r>
        <w:rPr>
          <w:rFonts w:ascii="微软雅黑" w:eastAsia="微软雅黑"/>
          <w:b/>
          <w:w w:val="95"/>
          <w:sz w:val="22"/>
        </w:rPr>
        <w:t>导</w:t>
      </w:r>
      <w:r>
        <w:rPr>
          <w:rFonts w:ascii="微软雅黑" w:eastAsia="微软雅黑"/>
          <w:b/>
          <w:w w:val="95"/>
          <w:sz w:val="22"/>
        </w:rPr>
        <w:t>致</w:t>
      </w:r>
      <w:r>
        <w:rPr>
          <w:rFonts w:ascii="微软雅黑" w:eastAsia="微软雅黑"/>
          <w:b/>
          <w:w w:val="95"/>
          <w:sz w:val="22"/>
        </w:rPr>
        <w:t>的</w:t>
      </w:r>
      <w:r>
        <w:rPr>
          <w:rFonts w:ascii="微软雅黑" w:eastAsia="微软雅黑"/>
          <w:b/>
          <w:w w:val="95"/>
          <w:sz w:val="22"/>
        </w:rPr>
        <w:t>保</w:t>
      </w:r>
      <w:r>
        <w:rPr>
          <w:rFonts w:ascii="微软雅黑" w:eastAsia="微软雅黑"/>
          <w:b/>
          <w:w w:val="95"/>
          <w:sz w:val="22"/>
        </w:rPr>
        <w:t>险</w:t>
      </w:r>
      <w:r>
        <w:rPr>
          <w:rFonts w:ascii="微软雅黑" w:eastAsia="微软雅黑"/>
          <w:b/>
          <w:w w:val="95"/>
          <w:sz w:val="22"/>
        </w:rPr>
        <w:t>事</w:t>
      </w:r>
      <w:r>
        <w:rPr>
          <w:rFonts w:ascii="微软雅黑" w:eastAsia="微软雅黑"/>
          <w:b/>
          <w:w w:val="95"/>
          <w:sz w:val="22"/>
        </w:rPr>
        <w:t>故</w:t>
      </w:r>
      <w:r>
        <w:rPr>
          <w:rFonts w:ascii="微软雅黑" w:eastAsia="微软雅黑"/>
          <w:b/>
          <w:w w:val="95"/>
          <w:sz w:val="22"/>
        </w:rPr>
        <w:t>，</w:t>
      </w:r>
      <w:r>
        <w:rPr>
          <w:rFonts w:ascii="微软雅黑" w:eastAsia="微软雅黑"/>
          <w:b/>
          <w:w w:val="95"/>
          <w:sz w:val="22"/>
        </w:rPr>
        <w:t>不</w:t>
      </w:r>
      <w:r>
        <w:rPr>
          <w:rFonts w:ascii="微软雅黑" w:eastAsia="微软雅黑"/>
          <w:b/>
          <w:w w:val="95"/>
          <w:sz w:val="22"/>
        </w:rPr>
        <w:t>受</w:t>
      </w:r>
      <w:r>
        <w:rPr>
          <w:rFonts w:ascii="微软雅黑" w:eastAsia="微软雅黑"/>
          <w:b/>
          <w:w w:val="95"/>
          <w:sz w:val="22"/>
        </w:rPr>
        <w:t>上</w:t>
      </w:r>
      <w:r>
        <w:rPr>
          <w:rFonts w:ascii="微软雅黑" w:eastAsia="微软雅黑"/>
          <w:b/>
          <w:w w:val="95"/>
          <w:sz w:val="22"/>
        </w:rPr>
        <w:t>述</w:t>
      </w:r>
      <w:r>
        <w:rPr>
          <w:rFonts w:ascii="微软雅黑" w:eastAsia="微软雅黑"/>
          <w:b/>
          <w:w w:val="95"/>
          <w:sz w:val="22"/>
        </w:rPr>
        <w:t>时</w:t>
      </w:r>
      <w:r>
        <w:rPr>
          <w:rFonts w:ascii="微软雅黑" w:eastAsia="微软雅黑"/>
          <w:b/>
          <w:w w:val="95"/>
          <w:sz w:val="22"/>
        </w:rPr>
        <w:t>间</w:t>
      </w:r>
      <w:r>
        <w:rPr>
          <w:rFonts w:ascii="微软雅黑" w:eastAsia="微软雅黑"/>
          <w:b/>
          <w:w w:val="95"/>
          <w:sz w:val="22"/>
        </w:rPr>
        <w:t>的</w:t>
      </w:r>
      <w:r>
        <w:rPr>
          <w:rFonts w:ascii="微软雅黑" w:eastAsia="微软雅黑"/>
          <w:b/>
          <w:w w:val="95"/>
          <w:sz w:val="22"/>
        </w:rPr>
        <w:t>限</w:t>
      </w:r>
      <w:r>
        <w:rPr>
          <w:rFonts w:ascii="微软雅黑" w:eastAsia="微软雅黑"/>
          <w:b/>
          <w:w w:val="95"/>
          <w:sz w:val="22"/>
        </w:rPr>
        <w:t>制</w:t>
      </w:r>
      <w:r>
        <w:rPr>
          <w:rFonts w:ascii="微软雅黑" w:eastAsia="微软雅黑"/>
          <w:b/>
          <w:spacing w:val="-10"/>
          <w:w w:val="95"/>
          <w:sz w:val="22"/>
        </w:rPr>
        <w:t>。</w:t>
      </w:r>
    </w:p>
    <w:p>
      <w:pPr>
        <w:pStyle w:val="BodyText"/>
        <w:spacing w:before="17"/>
        <w:rPr>
          <w:rFonts w:ascii="微软雅黑"/>
          <w:b/>
          <w:sz w:val="12"/>
        </w:rPr>
      </w:pPr>
    </w:p>
    <w:p>
      <w:pPr>
        <w:pStyle w:val="ListParagraph"/>
        <w:numPr>
          <w:ilvl w:val="2"/>
          <w:numId w:val="10"/>
        </w:numPr>
        <w:tabs>
          <w:tab w:pos="1269" w:val="left" w:leader="none"/>
          <w:tab w:pos="1270" w:val="left" w:leader="none"/>
        </w:tabs>
        <w:spacing w:line="240" w:lineRule="auto" w:before="0" w:after="0"/>
        <w:ind w:left="1270" w:right="0" w:hanging="1038"/>
        <w:jc w:val="left"/>
        <w:rPr>
          <w:rFonts w:ascii="微软雅黑" w:eastAsia="微软雅黑"/>
          <w:b/>
          <w:sz w:val="21"/>
        </w:rPr>
      </w:pPr>
      <w:r>
        <w:rPr>
          <w:rFonts w:ascii="微软雅黑" w:eastAsia="微软雅黑"/>
          <w:b/>
          <w:spacing w:val="-3"/>
          <w:sz w:val="21"/>
        </w:rPr>
        <w:t>基本责任</w:t>
      </w:r>
    </w:p>
    <w:p>
      <w:pPr>
        <w:pStyle w:val="ListParagraph"/>
        <w:numPr>
          <w:ilvl w:val="3"/>
          <w:numId w:val="11"/>
        </w:numPr>
        <w:tabs>
          <w:tab w:pos="1269" w:val="left" w:leader="none"/>
          <w:tab w:pos="1270" w:val="left" w:leader="none"/>
          <w:tab w:pos="3036" w:val="left" w:leader="none"/>
        </w:tabs>
        <w:spacing w:line="383" w:lineRule="exact" w:before="96" w:after="0"/>
        <w:ind w:left="1270" w:right="0" w:hanging="1038"/>
        <w:jc w:val="left"/>
        <w:rPr>
          <w:sz w:val="21"/>
        </w:rPr>
      </w:pPr>
      <w:r>
        <w:rPr>
          <w:rFonts w:ascii="微软雅黑" w:eastAsia="微软雅黑"/>
          <w:b/>
          <w:sz w:val="21"/>
        </w:rPr>
        <w:t>身故保险</w:t>
      </w:r>
      <w:r>
        <w:rPr>
          <w:rFonts w:ascii="微软雅黑" w:eastAsia="微软雅黑"/>
          <w:b/>
          <w:spacing w:val="-10"/>
          <w:sz w:val="21"/>
        </w:rPr>
        <w:t>金</w:t>
      </w:r>
      <w:r>
        <w:rPr>
          <w:rFonts w:ascii="微软雅黑" w:eastAsia="微软雅黑"/>
          <w:b/>
          <w:sz w:val="21"/>
        </w:rPr>
        <w:tab/>
      </w:r>
      <w:r>
        <w:rPr>
          <w:spacing w:val="-2"/>
          <w:sz w:val="21"/>
        </w:rPr>
        <w:t>被</w:t>
      </w:r>
      <w:r>
        <w:rPr>
          <w:spacing w:val="-2"/>
          <w:sz w:val="21"/>
        </w:rPr>
        <w:t>保</w:t>
      </w:r>
      <w:r>
        <w:rPr>
          <w:spacing w:val="-2"/>
          <w:sz w:val="21"/>
        </w:rPr>
        <w:t>险人在等待期后至</w:t>
      </w:r>
      <w:r>
        <w:rPr>
          <w:spacing w:val="-42"/>
          <w:sz w:val="21"/>
        </w:rPr>
        <w:t> </w:t>
      </w:r>
      <w:r>
        <w:rPr>
          <w:spacing w:val="-2"/>
          <w:sz w:val="21"/>
        </w:rPr>
        <w:t>18</w:t>
      </w:r>
      <w:r>
        <w:rPr>
          <w:spacing w:val="-44"/>
          <w:sz w:val="21"/>
        </w:rPr>
        <w:t> </w:t>
      </w:r>
      <w:r>
        <w:rPr>
          <w:spacing w:val="-2"/>
          <w:sz w:val="21"/>
        </w:rPr>
        <w:t>周</w:t>
      </w:r>
      <w:r>
        <w:rPr>
          <w:spacing w:val="-2"/>
          <w:sz w:val="21"/>
        </w:rPr>
        <w:t>岁</w:t>
      </w:r>
      <w:r>
        <w:rPr>
          <w:spacing w:val="-2"/>
          <w:sz w:val="21"/>
        </w:rPr>
        <w:t>以前身故，我们按本</w:t>
      </w:r>
      <w:r>
        <w:rPr>
          <w:spacing w:val="-2"/>
          <w:sz w:val="21"/>
        </w:rPr>
        <w:t>合</w:t>
      </w:r>
      <w:r>
        <w:rPr>
          <w:spacing w:val="-2"/>
          <w:sz w:val="21"/>
        </w:rPr>
        <w:t>同</w:t>
      </w:r>
      <w:r>
        <w:rPr>
          <w:spacing w:val="-2"/>
          <w:sz w:val="21"/>
        </w:rPr>
        <w:t>实际交纳的保险</w:t>
      </w:r>
      <w:r>
        <w:rPr>
          <w:spacing w:val="-10"/>
          <w:sz w:val="21"/>
        </w:rPr>
        <w:t>费</w:t>
      </w:r>
    </w:p>
    <w:p>
      <w:pPr>
        <w:pStyle w:val="BodyText"/>
        <w:spacing w:line="253" w:lineRule="exact"/>
        <w:ind w:left="3037"/>
      </w:pPr>
      <w:r>
        <w:rPr>
          <w:spacing w:val="-2"/>
        </w:rPr>
        <w:t>（无息）</w:t>
      </w:r>
      <w:r>
        <w:rPr>
          <w:spacing w:val="-3"/>
        </w:rPr>
        <w:t>向受益人给付身故保险金，本合同效力终止。</w:t>
      </w:r>
    </w:p>
    <w:p>
      <w:pPr>
        <w:pStyle w:val="BodyText"/>
        <w:spacing w:line="375" w:lineRule="exact"/>
        <w:ind w:left="3037"/>
        <w:rPr>
          <w:rFonts w:ascii="微软雅黑" w:eastAsia="微软雅黑"/>
          <w:b/>
        </w:rPr>
      </w:pPr>
      <w:r>
        <w:rPr>
          <w:spacing w:val="-8"/>
        </w:rPr>
        <w:t>被保险人在等待期后且 </w:t>
      </w:r>
      <w:r>
        <w:rPr>
          <w:spacing w:val="-6"/>
        </w:rPr>
        <w:t>18</w:t>
      </w:r>
      <w:r>
        <w:rPr>
          <w:spacing w:val="-13"/>
        </w:rPr>
        <w:t> 周岁</w:t>
      </w:r>
      <w:r>
        <w:rPr>
          <w:spacing w:val="-6"/>
        </w:rPr>
        <w:t>（含当日）及以后身故，我们按本合同</w:t>
      </w:r>
      <w:r>
        <w:rPr>
          <w:rFonts w:ascii="微软雅黑" w:eastAsia="微软雅黑"/>
          <w:b/>
          <w:spacing w:val="-8"/>
        </w:rPr>
        <w:t>基本保</w:t>
      </w:r>
    </w:p>
    <w:p>
      <w:pPr>
        <w:pStyle w:val="BodyText"/>
        <w:spacing w:before="3"/>
        <w:rPr>
          <w:rFonts w:ascii="微软雅黑"/>
          <w:b/>
          <w:sz w:val="20"/>
        </w:rPr>
      </w:pPr>
      <w:r>
        <w:rPr/>
        <w:drawing>
          <wp:anchor distT="0" distB="0" distL="0" distR="0" allowOverlap="1" layoutInCell="1" locked="0" behindDoc="0" simplePos="0" relativeHeight="4">
            <wp:simplePos x="0" y="0"/>
            <wp:positionH relativeFrom="page">
              <wp:posOffset>719327</wp:posOffset>
            </wp:positionH>
            <wp:positionV relativeFrom="paragraph">
              <wp:posOffset>251658</wp:posOffset>
            </wp:positionV>
            <wp:extent cx="1829282" cy="6095"/>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1829282" cy="6095"/>
                    </a:xfrm>
                    <a:prstGeom prst="rect">
                      <a:avLst/>
                    </a:prstGeom>
                  </pic:spPr>
                </pic:pic>
              </a:graphicData>
            </a:graphic>
          </wp:anchor>
        </w:drawing>
      </w:r>
    </w:p>
    <w:p>
      <w:pPr>
        <w:spacing w:line="204" w:lineRule="auto" w:before="76"/>
        <w:ind w:left="401" w:right="501" w:hanging="169"/>
        <w:jc w:val="both"/>
        <w:rPr>
          <w:sz w:val="20"/>
        </w:rPr>
      </w:pPr>
      <w:r>
        <w:rPr>
          <w:rFonts w:ascii="微软雅黑" w:eastAsia="微软雅黑"/>
          <w:b/>
          <w:position w:val="10"/>
          <w:sz w:val="10"/>
        </w:rPr>
        <w:t>1 </w:t>
      </w:r>
      <w:r>
        <w:rPr>
          <w:rFonts w:ascii="微软雅黑" w:eastAsia="微软雅黑"/>
          <w:b/>
          <w:sz w:val="20"/>
        </w:rPr>
        <w:t>周</w:t>
      </w:r>
      <w:r>
        <w:rPr>
          <w:rFonts w:ascii="微软雅黑" w:eastAsia="微软雅黑"/>
          <w:b/>
          <w:sz w:val="20"/>
        </w:rPr>
        <w:t>岁</w:t>
      </w:r>
      <w:r>
        <w:rPr>
          <w:sz w:val="20"/>
        </w:rPr>
        <w:t>指</w:t>
      </w:r>
      <w:r>
        <w:rPr>
          <w:sz w:val="20"/>
        </w:rPr>
        <w:t>按</w:t>
      </w:r>
      <w:r>
        <w:rPr>
          <w:sz w:val="20"/>
        </w:rPr>
        <w:t>有</w:t>
      </w:r>
      <w:r>
        <w:rPr>
          <w:sz w:val="20"/>
        </w:rPr>
        <w:t>效</w:t>
      </w:r>
      <w:r>
        <w:rPr>
          <w:sz w:val="20"/>
        </w:rPr>
        <w:t>身</w:t>
      </w:r>
      <w:r>
        <w:rPr>
          <w:sz w:val="20"/>
        </w:rPr>
        <w:t>份</w:t>
      </w:r>
      <w:r>
        <w:rPr>
          <w:sz w:val="20"/>
        </w:rPr>
        <w:t>证</w:t>
      </w:r>
      <w:r>
        <w:rPr>
          <w:sz w:val="20"/>
        </w:rPr>
        <w:t>件</w:t>
      </w:r>
      <w:r>
        <w:rPr>
          <w:sz w:val="20"/>
        </w:rPr>
        <w:t>中</w:t>
      </w:r>
      <w:r>
        <w:rPr>
          <w:sz w:val="20"/>
        </w:rPr>
        <w:t>记</w:t>
      </w:r>
      <w:r>
        <w:rPr>
          <w:sz w:val="20"/>
        </w:rPr>
        <w:t>载</w:t>
      </w:r>
      <w:r>
        <w:rPr>
          <w:sz w:val="20"/>
        </w:rPr>
        <w:t>的</w:t>
      </w:r>
      <w:r>
        <w:rPr>
          <w:sz w:val="20"/>
        </w:rPr>
        <w:t>出</w:t>
      </w:r>
      <w:r>
        <w:rPr>
          <w:sz w:val="20"/>
        </w:rPr>
        <w:t>生</w:t>
      </w:r>
      <w:r>
        <w:rPr>
          <w:sz w:val="20"/>
        </w:rPr>
        <w:t>日</w:t>
      </w:r>
      <w:r>
        <w:rPr>
          <w:sz w:val="20"/>
        </w:rPr>
        <w:t>期</w:t>
      </w:r>
      <w:r>
        <w:rPr>
          <w:sz w:val="20"/>
        </w:rPr>
        <w:t>计</w:t>
      </w:r>
      <w:r>
        <w:rPr>
          <w:sz w:val="20"/>
        </w:rPr>
        <w:t>算</w:t>
      </w:r>
      <w:r>
        <w:rPr>
          <w:sz w:val="20"/>
        </w:rPr>
        <w:t>的年龄，</w:t>
      </w:r>
      <w:r>
        <w:rPr>
          <w:sz w:val="20"/>
        </w:rPr>
        <w:t>自</w:t>
      </w:r>
      <w:r>
        <w:rPr>
          <w:sz w:val="20"/>
        </w:rPr>
        <w:t>出</w:t>
      </w:r>
      <w:r>
        <w:rPr>
          <w:sz w:val="20"/>
        </w:rPr>
        <w:t>生</w:t>
      </w:r>
      <w:r>
        <w:rPr>
          <w:sz w:val="20"/>
        </w:rPr>
        <w:t>之</w:t>
      </w:r>
      <w:r>
        <w:rPr>
          <w:sz w:val="20"/>
        </w:rPr>
        <w:t>日</w:t>
      </w:r>
      <w:r>
        <w:rPr>
          <w:sz w:val="20"/>
        </w:rPr>
        <w:t>起</w:t>
      </w:r>
      <w:r>
        <w:rPr>
          <w:sz w:val="20"/>
        </w:rPr>
        <w:t>为</w:t>
      </w:r>
      <w:r>
        <w:rPr>
          <w:sz w:val="20"/>
        </w:rPr>
        <w:t>零</w:t>
      </w:r>
      <w:r>
        <w:rPr>
          <w:sz w:val="20"/>
        </w:rPr>
        <w:t>周岁，</w:t>
      </w:r>
      <w:r>
        <w:rPr>
          <w:sz w:val="20"/>
        </w:rPr>
        <w:t>每</w:t>
      </w:r>
      <w:r>
        <w:rPr>
          <w:sz w:val="20"/>
        </w:rPr>
        <w:t>经</w:t>
      </w:r>
      <w:r>
        <w:rPr>
          <w:sz w:val="20"/>
        </w:rPr>
        <w:t>过</w:t>
      </w:r>
      <w:r>
        <w:rPr>
          <w:sz w:val="20"/>
        </w:rPr>
        <w:t>一</w:t>
      </w:r>
      <w:r>
        <w:rPr>
          <w:sz w:val="20"/>
        </w:rPr>
        <w:t>年</w:t>
      </w:r>
      <w:r>
        <w:rPr>
          <w:sz w:val="20"/>
        </w:rPr>
        <w:t>增</w:t>
      </w:r>
      <w:r>
        <w:rPr>
          <w:sz w:val="20"/>
        </w:rPr>
        <w:t>加</w:t>
      </w:r>
      <w:r>
        <w:rPr>
          <w:sz w:val="20"/>
        </w:rPr>
        <w:t>一</w:t>
      </w:r>
      <w:r>
        <w:rPr>
          <w:sz w:val="20"/>
        </w:rPr>
        <w:t>岁</w:t>
      </w:r>
      <w:r>
        <w:rPr>
          <w:sz w:val="20"/>
        </w:rPr>
        <w:t>，不足</w:t>
      </w:r>
      <w:r>
        <w:rPr>
          <w:spacing w:val="-2"/>
          <w:sz w:val="20"/>
        </w:rPr>
        <w:t>一</w:t>
      </w:r>
      <w:r>
        <w:rPr>
          <w:spacing w:val="-2"/>
          <w:sz w:val="20"/>
        </w:rPr>
        <w:t>年</w:t>
      </w:r>
      <w:r>
        <w:rPr>
          <w:spacing w:val="-2"/>
          <w:sz w:val="20"/>
        </w:rPr>
        <w:t>的</w:t>
      </w:r>
      <w:r>
        <w:rPr>
          <w:spacing w:val="-2"/>
          <w:sz w:val="20"/>
        </w:rPr>
        <w:t>不</w:t>
      </w:r>
      <w:r>
        <w:rPr>
          <w:spacing w:val="-2"/>
          <w:sz w:val="20"/>
        </w:rPr>
        <w:t>计</w:t>
      </w:r>
      <w:r>
        <w:rPr>
          <w:spacing w:val="-2"/>
          <w:sz w:val="20"/>
        </w:rPr>
        <w:t>。</w:t>
      </w:r>
    </w:p>
    <w:p>
      <w:pPr>
        <w:spacing w:line="184" w:lineRule="auto" w:before="8"/>
        <w:ind w:left="374" w:right="481" w:hanging="143"/>
        <w:jc w:val="both"/>
        <w:rPr>
          <w:sz w:val="20"/>
        </w:rPr>
      </w:pPr>
      <w:r>
        <w:rPr>
          <w:rFonts w:ascii="微软雅黑" w:eastAsia="微软雅黑"/>
          <w:b/>
          <w:w w:val="81"/>
          <w:position w:val="10"/>
          <w:sz w:val="10"/>
        </w:rPr>
        <w:t>2</w:t>
      </w:r>
      <w:r>
        <w:rPr>
          <w:rFonts w:ascii="微软雅黑" w:eastAsia="微软雅黑"/>
          <w:b/>
          <w:spacing w:val="4"/>
          <w:position w:val="10"/>
          <w:sz w:val="10"/>
        </w:rPr>
        <w:t>   </w:t>
      </w:r>
      <w:r>
        <w:rPr>
          <w:rFonts w:ascii="微软雅黑" w:eastAsia="微软雅黑"/>
          <w:b/>
          <w:spacing w:val="1"/>
          <w:w w:val="99"/>
          <w:sz w:val="20"/>
        </w:rPr>
        <w:t>认可的医院</w:t>
      </w:r>
      <w:r>
        <w:rPr>
          <w:w w:val="99"/>
          <w:sz w:val="20"/>
        </w:rPr>
        <w:t>指经中华人民共和国卫生行政部门评审确定的二级或二级以上的公立医院，</w:t>
      </w:r>
      <w:r>
        <w:rPr>
          <w:rFonts w:ascii="微软雅黑" w:eastAsia="微软雅黑"/>
          <w:b/>
          <w:color w:val="000000"/>
          <w:w w:val="99"/>
          <w:sz w:val="20"/>
          <w:shd w:fill="D9D9D9" w:color="auto" w:val="clear"/>
        </w:rPr>
        <w:t>但不包括精神病院及</w:t>
      </w:r>
      <w:r>
        <w:rPr>
          <w:rFonts w:ascii="微软雅黑" w:eastAsia="微软雅黑"/>
          <w:b/>
          <w:color w:val="000000"/>
          <w:w w:val="99"/>
          <w:sz w:val="20"/>
          <w:shd w:fill="D9D9D9" w:color="auto" w:val="clear"/>
        </w:rPr>
        <w:t>                                                                                                                                                                                                                                                                                                                        专供康复、休养、戒毒、戒酒、护理、养老等非以直接诊治病人为目的的医疗机构。</w:t>
      </w:r>
      <w:r>
        <w:rPr>
          <w:color w:val="000000"/>
          <w:w w:val="99"/>
          <w:sz w:val="20"/>
        </w:rPr>
        <w:t>该医院必须具有符合国家有关医院管理规则设置标准的医疗设备，且全天</w:t>
      </w:r>
      <w:r>
        <w:rPr>
          <w:color w:val="000000"/>
          <w:spacing w:val="-48"/>
          <w:sz w:val="20"/>
        </w:rPr>
        <w:t> </w:t>
      </w:r>
      <w:r>
        <w:rPr>
          <w:color w:val="000000"/>
          <w:spacing w:val="1"/>
          <w:w w:val="99"/>
          <w:sz w:val="20"/>
        </w:rPr>
        <w:t>2</w:t>
      </w:r>
      <w:r>
        <w:rPr>
          <w:color w:val="000000"/>
          <w:w w:val="99"/>
          <w:sz w:val="20"/>
        </w:rPr>
        <w:t>4</w:t>
      </w:r>
      <w:r>
        <w:rPr>
          <w:color w:val="000000"/>
          <w:spacing w:val="-49"/>
          <w:sz w:val="20"/>
        </w:rPr>
        <w:t> </w:t>
      </w:r>
      <w:r>
        <w:rPr>
          <w:color w:val="000000"/>
          <w:w w:val="99"/>
          <w:sz w:val="20"/>
        </w:rPr>
        <w:t>小时有合格医师及护士驻院提供医疗及护理服务。</w:t>
      </w:r>
    </w:p>
    <w:p>
      <w:pPr>
        <w:spacing w:line="168" w:lineRule="auto" w:before="31"/>
        <w:ind w:left="374" w:right="410" w:hanging="143"/>
        <w:jc w:val="both"/>
        <w:rPr>
          <w:rFonts w:ascii="微软雅黑" w:eastAsia="微软雅黑"/>
          <w:b/>
          <w:sz w:val="20"/>
        </w:rPr>
      </w:pPr>
      <w:r>
        <w:rPr>
          <w:rFonts w:ascii="微软雅黑" w:eastAsia="微软雅黑"/>
          <w:b/>
          <w:w w:val="95"/>
          <w:position w:val="10"/>
          <w:sz w:val="10"/>
        </w:rPr>
        <w:t>3</w:t>
      </w:r>
      <w:r>
        <w:rPr>
          <w:rFonts w:ascii="微软雅黑" w:eastAsia="微软雅黑"/>
          <w:b/>
          <w:spacing w:val="71"/>
          <w:w w:val="150"/>
          <w:position w:val="10"/>
          <w:sz w:val="10"/>
        </w:rPr>
        <w:t>  </w:t>
      </w:r>
      <w:r>
        <w:rPr>
          <w:rFonts w:ascii="微软雅黑" w:eastAsia="微软雅黑"/>
          <w:b/>
          <w:w w:val="95"/>
          <w:sz w:val="20"/>
        </w:rPr>
        <w:t>住</w:t>
      </w:r>
      <w:r>
        <w:rPr>
          <w:rFonts w:ascii="微软雅黑" w:eastAsia="微软雅黑"/>
          <w:b/>
          <w:w w:val="95"/>
          <w:sz w:val="20"/>
        </w:rPr>
        <w:t>院</w:t>
      </w:r>
      <w:r>
        <w:rPr>
          <w:w w:val="95"/>
          <w:sz w:val="20"/>
        </w:rPr>
        <w:t>指</w:t>
      </w:r>
      <w:r>
        <w:rPr>
          <w:w w:val="95"/>
          <w:sz w:val="20"/>
        </w:rPr>
        <w:t>被</w:t>
      </w:r>
      <w:r>
        <w:rPr>
          <w:w w:val="95"/>
          <w:sz w:val="20"/>
        </w:rPr>
        <w:t>保</w:t>
      </w:r>
      <w:r>
        <w:rPr>
          <w:w w:val="95"/>
          <w:sz w:val="20"/>
        </w:rPr>
        <w:t>险</w:t>
      </w:r>
      <w:r>
        <w:rPr>
          <w:w w:val="95"/>
          <w:sz w:val="20"/>
        </w:rPr>
        <w:t>人</w:t>
      </w:r>
      <w:r>
        <w:rPr>
          <w:w w:val="95"/>
          <w:sz w:val="20"/>
        </w:rPr>
        <w:t>因</w:t>
      </w:r>
      <w:r>
        <w:rPr>
          <w:w w:val="95"/>
          <w:sz w:val="20"/>
        </w:rPr>
        <w:t>疾</w:t>
      </w:r>
      <w:r>
        <w:rPr>
          <w:w w:val="95"/>
          <w:sz w:val="20"/>
        </w:rPr>
        <w:t>病</w:t>
      </w:r>
      <w:r>
        <w:rPr>
          <w:w w:val="95"/>
          <w:sz w:val="20"/>
        </w:rPr>
        <w:t>或</w:t>
      </w:r>
      <w:r>
        <w:rPr>
          <w:w w:val="95"/>
          <w:sz w:val="20"/>
        </w:rPr>
        <w:t>意</w:t>
      </w:r>
      <w:r>
        <w:rPr>
          <w:w w:val="95"/>
          <w:sz w:val="20"/>
        </w:rPr>
        <w:t>外</w:t>
      </w:r>
      <w:r>
        <w:rPr>
          <w:w w:val="95"/>
          <w:sz w:val="20"/>
        </w:rPr>
        <w:t>伤</w:t>
      </w:r>
      <w:r>
        <w:rPr>
          <w:w w:val="95"/>
          <w:sz w:val="20"/>
        </w:rPr>
        <w:t>害</w:t>
      </w:r>
      <w:r>
        <w:rPr>
          <w:w w:val="95"/>
          <w:sz w:val="20"/>
        </w:rPr>
        <w:t>而</w:t>
      </w:r>
      <w:r>
        <w:rPr>
          <w:w w:val="95"/>
          <w:sz w:val="20"/>
        </w:rPr>
        <w:t>入</w:t>
      </w:r>
      <w:r>
        <w:rPr>
          <w:w w:val="95"/>
          <w:sz w:val="20"/>
        </w:rPr>
        <w:t>住</w:t>
      </w:r>
      <w:r>
        <w:rPr>
          <w:w w:val="95"/>
          <w:sz w:val="20"/>
        </w:rPr>
        <w:t>医</w:t>
      </w:r>
      <w:r>
        <w:rPr>
          <w:w w:val="95"/>
          <w:sz w:val="20"/>
        </w:rPr>
        <w:t>院</w:t>
      </w:r>
      <w:r>
        <w:rPr>
          <w:w w:val="95"/>
          <w:sz w:val="20"/>
        </w:rPr>
        <w:t>的正式</w:t>
      </w:r>
      <w:r>
        <w:rPr>
          <w:w w:val="95"/>
          <w:sz w:val="20"/>
        </w:rPr>
        <w:t>病</w:t>
      </w:r>
      <w:r>
        <w:rPr>
          <w:w w:val="95"/>
          <w:sz w:val="20"/>
        </w:rPr>
        <w:t>房</w:t>
      </w:r>
      <w:r>
        <w:rPr>
          <w:w w:val="95"/>
          <w:sz w:val="20"/>
        </w:rPr>
        <w:t>，接受</w:t>
      </w:r>
      <w:r>
        <w:rPr>
          <w:w w:val="95"/>
          <w:sz w:val="20"/>
        </w:rPr>
        <w:t>全</w:t>
      </w:r>
      <w:r>
        <w:rPr>
          <w:w w:val="95"/>
          <w:sz w:val="20"/>
        </w:rPr>
        <w:t>天</w:t>
      </w:r>
      <w:r>
        <w:rPr>
          <w:spacing w:val="17"/>
          <w:sz w:val="20"/>
        </w:rPr>
        <w:t> </w:t>
      </w:r>
      <w:r>
        <w:rPr>
          <w:w w:val="95"/>
          <w:sz w:val="20"/>
        </w:rPr>
        <w:t>24</w:t>
      </w:r>
      <w:r>
        <w:rPr>
          <w:spacing w:val="15"/>
          <w:sz w:val="20"/>
        </w:rPr>
        <w:t> </w:t>
      </w:r>
      <w:r>
        <w:rPr>
          <w:w w:val="95"/>
          <w:sz w:val="20"/>
        </w:rPr>
        <w:t>小</w:t>
      </w:r>
      <w:r>
        <w:rPr>
          <w:w w:val="95"/>
          <w:sz w:val="20"/>
        </w:rPr>
        <w:t>时</w:t>
      </w:r>
      <w:r>
        <w:rPr>
          <w:w w:val="95"/>
          <w:sz w:val="20"/>
        </w:rPr>
        <w:t>监护、</w:t>
      </w:r>
      <w:r>
        <w:rPr>
          <w:w w:val="95"/>
          <w:sz w:val="20"/>
        </w:rPr>
        <w:t>护</w:t>
      </w:r>
      <w:r>
        <w:rPr>
          <w:w w:val="95"/>
          <w:sz w:val="20"/>
        </w:rPr>
        <w:t>理</w:t>
      </w:r>
      <w:r>
        <w:rPr>
          <w:w w:val="95"/>
          <w:sz w:val="20"/>
        </w:rPr>
        <w:t>、治疗</w:t>
      </w:r>
      <w:r>
        <w:rPr>
          <w:w w:val="95"/>
          <w:sz w:val="20"/>
        </w:rPr>
        <w:t>的</w:t>
      </w:r>
      <w:r>
        <w:rPr>
          <w:w w:val="95"/>
          <w:sz w:val="20"/>
        </w:rPr>
        <w:t>过</w:t>
      </w:r>
      <w:r>
        <w:rPr>
          <w:w w:val="95"/>
          <w:sz w:val="20"/>
        </w:rPr>
        <w:t>程</w:t>
      </w:r>
      <w:r>
        <w:rPr>
          <w:w w:val="95"/>
          <w:sz w:val="20"/>
        </w:rPr>
        <w:t>，并</w:t>
      </w:r>
      <w:r>
        <w:rPr>
          <w:w w:val="95"/>
          <w:sz w:val="20"/>
        </w:rPr>
        <w:t>正</w:t>
      </w:r>
      <w:r>
        <w:rPr>
          <w:spacing w:val="-2"/>
          <w:sz w:val="20"/>
        </w:rPr>
        <w:t>式</w:t>
      </w:r>
      <w:r>
        <w:rPr>
          <w:spacing w:val="-2"/>
          <w:sz w:val="20"/>
        </w:rPr>
        <w:t>办</w:t>
      </w:r>
      <w:r>
        <w:rPr>
          <w:spacing w:val="-2"/>
          <w:sz w:val="20"/>
        </w:rPr>
        <w:t>理</w:t>
      </w:r>
      <w:r>
        <w:rPr>
          <w:spacing w:val="-2"/>
          <w:sz w:val="20"/>
        </w:rPr>
        <w:t>入</w:t>
      </w:r>
      <w:r>
        <w:rPr>
          <w:spacing w:val="-2"/>
          <w:sz w:val="20"/>
        </w:rPr>
        <w:t>出</w:t>
      </w:r>
      <w:r>
        <w:rPr>
          <w:spacing w:val="-2"/>
          <w:sz w:val="20"/>
        </w:rPr>
        <w:t>院</w:t>
      </w:r>
      <w:r>
        <w:rPr>
          <w:spacing w:val="-2"/>
          <w:sz w:val="20"/>
        </w:rPr>
        <w:t>手</w:t>
      </w:r>
      <w:r>
        <w:rPr>
          <w:spacing w:val="-2"/>
          <w:sz w:val="20"/>
        </w:rPr>
        <w:t>续</w:t>
      </w:r>
      <w:r>
        <w:rPr>
          <w:spacing w:val="-2"/>
          <w:sz w:val="20"/>
        </w:rPr>
        <w:t>，</w:t>
      </w:r>
      <w:r>
        <w:rPr>
          <w:rFonts w:ascii="微软雅黑" w:eastAsia="微软雅黑"/>
          <w:b/>
          <w:color w:val="000000"/>
          <w:spacing w:val="-2"/>
          <w:sz w:val="20"/>
          <w:shd w:fill="E4E4E4" w:color="auto" w:val="clear"/>
        </w:rPr>
        <w:t>不</w:t>
      </w:r>
      <w:r>
        <w:rPr>
          <w:rFonts w:ascii="微软雅黑" w:eastAsia="微软雅黑"/>
          <w:b/>
          <w:color w:val="000000"/>
          <w:spacing w:val="-2"/>
          <w:sz w:val="20"/>
          <w:shd w:fill="E4E4E4" w:color="auto" w:val="clear"/>
        </w:rPr>
        <w:t>包</w:t>
      </w:r>
      <w:r>
        <w:rPr>
          <w:rFonts w:ascii="微软雅黑" w:eastAsia="微软雅黑"/>
          <w:b/>
          <w:color w:val="000000"/>
          <w:spacing w:val="-2"/>
          <w:sz w:val="20"/>
          <w:shd w:fill="E4E4E4" w:color="auto" w:val="clear"/>
        </w:rPr>
        <w:t>括</w:t>
      </w:r>
      <w:r>
        <w:rPr>
          <w:rFonts w:ascii="微软雅黑" w:eastAsia="微软雅黑"/>
          <w:b/>
          <w:color w:val="000000"/>
          <w:spacing w:val="-2"/>
          <w:sz w:val="20"/>
          <w:shd w:fill="E4E4E4" w:color="auto" w:val="clear"/>
        </w:rPr>
        <w:t>入</w:t>
      </w:r>
      <w:r>
        <w:rPr>
          <w:rFonts w:ascii="微软雅黑" w:eastAsia="微软雅黑"/>
          <w:b/>
          <w:color w:val="000000"/>
          <w:spacing w:val="-2"/>
          <w:sz w:val="20"/>
          <w:shd w:fill="E4E4E4" w:color="auto" w:val="clear"/>
        </w:rPr>
        <w:t>住</w:t>
      </w:r>
      <w:r>
        <w:rPr>
          <w:rFonts w:ascii="微软雅黑" w:eastAsia="微软雅黑"/>
          <w:b/>
          <w:color w:val="000000"/>
          <w:spacing w:val="-2"/>
          <w:sz w:val="20"/>
          <w:shd w:fill="E4E4E4" w:color="auto" w:val="clear"/>
        </w:rPr>
        <w:t>门</w:t>
      </w:r>
      <w:r>
        <w:rPr>
          <w:rFonts w:ascii="微软雅黑" w:eastAsia="微软雅黑"/>
          <w:b/>
          <w:color w:val="000000"/>
          <w:spacing w:val="-2"/>
          <w:sz w:val="20"/>
          <w:shd w:fill="E4E4E4" w:color="auto" w:val="clear"/>
        </w:rPr>
        <w:t>诊</w:t>
      </w:r>
      <w:r>
        <w:rPr>
          <w:rFonts w:ascii="微软雅黑" w:eastAsia="微软雅黑"/>
          <w:b/>
          <w:color w:val="000000"/>
          <w:spacing w:val="-2"/>
          <w:sz w:val="20"/>
          <w:shd w:fill="E4E4E4" w:color="auto" w:val="clear"/>
        </w:rPr>
        <w:t>观</w:t>
      </w:r>
      <w:r>
        <w:rPr>
          <w:rFonts w:ascii="微软雅黑" w:eastAsia="微软雅黑"/>
          <w:b/>
          <w:color w:val="000000"/>
          <w:spacing w:val="-2"/>
          <w:sz w:val="20"/>
          <w:shd w:fill="E4E4E4" w:color="auto" w:val="clear"/>
        </w:rPr>
        <w:t>察</w:t>
      </w:r>
      <w:r>
        <w:rPr>
          <w:rFonts w:ascii="微软雅黑" w:eastAsia="微软雅黑"/>
          <w:b/>
          <w:color w:val="000000"/>
          <w:spacing w:val="-2"/>
          <w:sz w:val="20"/>
          <w:shd w:fill="E4E4E4" w:color="auto" w:val="clear"/>
        </w:rPr>
        <w:t>室</w:t>
      </w:r>
      <w:r>
        <w:rPr>
          <w:rFonts w:ascii="微软雅黑" w:eastAsia="微软雅黑"/>
          <w:b/>
          <w:color w:val="000000"/>
          <w:spacing w:val="-2"/>
          <w:sz w:val="20"/>
          <w:shd w:fill="E4E4E4" w:color="auto" w:val="clear"/>
        </w:rPr>
        <w:t>、</w:t>
      </w:r>
      <w:r>
        <w:rPr>
          <w:rFonts w:ascii="微软雅黑" w:eastAsia="微软雅黑"/>
          <w:b/>
          <w:color w:val="000000"/>
          <w:spacing w:val="-2"/>
          <w:sz w:val="20"/>
          <w:shd w:fill="E4E4E4" w:color="auto" w:val="clear"/>
        </w:rPr>
        <w:t>家</w:t>
      </w:r>
      <w:r>
        <w:rPr>
          <w:rFonts w:ascii="微软雅黑" w:eastAsia="微软雅黑"/>
          <w:b/>
          <w:color w:val="000000"/>
          <w:spacing w:val="-2"/>
          <w:sz w:val="20"/>
          <w:shd w:fill="E4E4E4" w:color="auto" w:val="clear"/>
        </w:rPr>
        <w:t>庭病床</w:t>
      </w:r>
      <w:r>
        <w:rPr>
          <w:rFonts w:ascii="微软雅黑" w:eastAsia="微软雅黑"/>
          <w:b/>
          <w:color w:val="000000"/>
          <w:spacing w:val="-2"/>
          <w:sz w:val="20"/>
          <w:shd w:fill="E4E4E4" w:color="auto" w:val="clear"/>
        </w:rPr>
        <w:t>、</w:t>
      </w:r>
      <w:r>
        <w:rPr>
          <w:rFonts w:ascii="微软雅黑" w:eastAsia="微软雅黑"/>
          <w:b/>
          <w:color w:val="000000"/>
          <w:spacing w:val="-2"/>
          <w:sz w:val="20"/>
          <w:shd w:fill="E4E4E4" w:color="auto" w:val="clear"/>
        </w:rPr>
        <w:t>挂</w:t>
      </w:r>
      <w:r>
        <w:rPr>
          <w:rFonts w:ascii="微软雅黑" w:eastAsia="微软雅黑"/>
          <w:b/>
          <w:color w:val="000000"/>
          <w:spacing w:val="-2"/>
          <w:sz w:val="20"/>
          <w:shd w:fill="E4E4E4" w:color="auto" w:val="clear"/>
        </w:rPr>
        <w:t>床</w:t>
      </w:r>
      <w:r>
        <w:rPr>
          <w:rFonts w:ascii="微软雅黑" w:eastAsia="微软雅黑"/>
          <w:b/>
          <w:color w:val="000000"/>
          <w:spacing w:val="-2"/>
          <w:sz w:val="20"/>
          <w:shd w:fill="E4E4E4" w:color="auto" w:val="clear"/>
        </w:rPr>
        <w:t>住</w:t>
      </w:r>
      <w:r>
        <w:rPr>
          <w:rFonts w:ascii="微软雅黑" w:eastAsia="微软雅黑"/>
          <w:b/>
          <w:color w:val="000000"/>
          <w:spacing w:val="-2"/>
          <w:sz w:val="20"/>
          <w:shd w:fill="E4E4E4" w:color="auto" w:val="clear"/>
        </w:rPr>
        <w:t>院</w:t>
      </w:r>
      <w:r>
        <w:rPr>
          <w:rFonts w:ascii="微软雅黑" w:eastAsia="微软雅黑"/>
          <w:b/>
          <w:color w:val="000000"/>
          <w:spacing w:val="-2"/>
          <w:sz w:val="20"/>
          <w:shd w:fill="E4E4E4" w:color="auto" w:val="clear"/>
        </w:rPr>
        <w:t>或</w:t>
      </w:r>
      <w:r>
        <w:rPr>
          <w:rFonts w:ascii="微软雅黑" w:eastAsia="微软雅黑"/>
          <w:b/>
          <w:color w:val="000000"/>
          <w:spacing w:val="-2"/>
          <w:sz w:val="20"/>
          <w:shd w:fill="E4E4E4" w:color="auto" w:val="clear"/>
        </w:rPr>
        <w:t>其</w:t>
      </w:r>
      <w:r>
        <w:rPr>
          <w:rFonts w:ascii="微软雅黑" w:eastAsia="微软雅黑"/>
          <w:b/>
          <w:color w:val="000000"/>
          <w:spacing w:val="-2"/>
          <w:sz w:val="20"/>
          <w:shd w:fill="E4E4E4" w:color="auto" w:val="clear"/>
        </w:rPr>
        <w:t>他</w:t>
      </w:r>
      <w:r>
        <w:rPr>
          <w:rFonts w:ascii="微软雅黑" w:eastAsia="微软雅黑"/>
          <w:b/>
          <w:color w:val="000000"/>
          <w:spacing w:val="-2"/>
          <w:sz w:val="20"/>
          <w:shd w:fill="E4E4E4" w:color="auto" w:val="clear"/>
        </w:rPr>
        <w:t>不</w:t>
      </w:r>
      <w:r>
        <w:rPr>
          <w:rFonts w:ascii="微软雅黑" w:eastAsia="微软雅黑"/>
          <w:b/>
          <w:color w:val="000000"/>
          <w:spacing w:val="-2"/>
          <w:sz w:val="20"/>
          <w:shd w:fill="E4E4E4" w:color="auto" w:val="clear"/>
        </w:rPr>
        <w:t>合理的</w:t>
      </w:r>
      <w:r>
        <w:rPr>
          <w:rFonts w:ascii="微软雅黑" w:eastAsia="微软雅黑"/>
          <w:b/>
          <w:color w:val="000000"/>
          <w:spacing w:val="-2"/>
          <w:sz w:val="20"/>
          <w:shd w:fill="E4E4E4" w:color="auto" w:val="clear"/>
        </w:rPr>
        <w:t>住</w:t>
      </w:r>
      <w:r>
        <w:rPr>
          <w:rFonts w:ascii="微软雅黑" w:eastAsia="微软雅黑"/>
          <w:b/>
          <w:color w:val="000000"/>
          <w:spacing w:val="-2"/>
          <w:sz w:val="20"/>
          <w:shd w:fill="E4E4E4" w:color="auto" w:val="clear"/>
        </w:rPr>
        <w:t>院</w:t>
      </w:r>
      <w:r>
        <w:rPr>
          <w:rFonts w:ascii="微软雅黑" w:eastAsia="微软雅黑"/>
          <w:b/>
          <w:color w:val="000000"/>
          <w:spacing w:val="-2"/>
          <w:sz w:val="20"/>
          <w:shd w:fill="E4E4E4" w:color="auto" w:val="clear"/>
        </w:rPr>
        <w:t>。</w:t>
      </w:r>
    </w:p>
    <w:p>
      <w:pPr>
        <w:spacing w:line="269" w:lineRule="exact" w:before="0"/>
        <w:ind w:left="374" w:right="0" w:firstLine="0"/>
        <w:jc w:val="left"/>
        <w:rPr>
          <w:sz w:val="20"/>
        </w:rPr>
      </w:pPr>
      <w:r>
        <w:rPr>
          <w:rFonts w:ascii="微软雅黑" w:eastAsia="微软雅黑"/>
          <w:b/>
          <w:w w:val="95"/>
          <w:sz w:val="20"/>
        </w:rPr>
        <w:t>挂</w:t>
      </w:r>
      <w:r>
        <w:rPr>
          <w:rFonts w:ascii="微软雅黑" w:eastAsia="微软雅黑"/>
          <w:b/>
          <w:w w:val="95"/>
          <w:sz w:val="20"/>
        </w:rPr>
        <w:t>床</w:t>
      </w:r>
      <w:r>
        <w:rPr>
          <w:rFonts w:ascii="微软雅黑" w:eastAsia="微软雅黑"/>
          <w:b/>
          <w:w w:val="95"/>
          <w:sz w:val="20"/>
        </w:rPr>
        <w:t>住</w:t>
      </w:r>
      <w:r>
        <w:rPr>
          <w:rFonts w:ascii="微软雅黑" w:eastAsia="微软雅黑"/>
          <w:b/>
          <w:w w:val="95"/>
          <w:sz w:val="20"/>
        </w:rPr>
        <w:t>院</w:t>
      </w:r>
      <w:r>
        <w:rPr>
          <w:w w:val="95"/>
          <w:sz w:val="20"/>
        </w:rPr>
        <w:t>指</w:t>
      </w:r>
      <w:r>
        <w:rPr>
          <w:w w:val="95"/>
          <w:sz w:val="20"/>
        </w:rPr>
        <w:t>办</w:t>
      </w:r>
      <w:r>
        <w:rPr>
          <w:w w:val="95"/>
          <w:sz w:val="20"/>
        </w:rPr>
        <w:t>理</w:t>
      </w:r>
      <w:r>
        <w:rPr>
          <w:w w:val="95"/>
          <w:sz w:val="20"/>
        </w:rPr>
        <w:t>正</w:t>
      </w:r>
      <w:r>
        <w:rPr>
          <w:w w:val="95"/>
          <w:sz w:val="20"/>
        </w:rPr>
        <w:t>式</w:t>
      </w:r>
      <w:r>
        <w:rPr>
          <w:w w:val="95"/>
          <w:sz w:val="20"/>
        </w:rPr>
        <w:t>住</w:t>
      </w:r>
      <w:r>
        <w:rPr>
          <w:w w:val="95"/>
          <w:sz w:val="20"/>
        </w:rPr>
        <w:t>院</w:t>
      </w:r>
      <w:r>
        <w:rPr>
          <w:w w:val="95"/>
          <w:sz w:val="20"/>
        </w:rPr>
        <w:t>手</w:t>
      </w:r>
      <w:r>
        <w:rPr>
          <w:w w:val="95"/>
          <w:sz w:val="20"/>
        </w:rPr>
        <w:t>续</w:t>
      </w:r>
      <w:r>
        <w:rPr>
          <w:w w:val="95"/>
          <w:sz w:val="20"/>
        </w:rPr>
        <w:t>的</w:t>
      </w:r>
      <w:r>
        <w:rPr>
          <w:w w:val="95"/>
          <w:sz w:val="20"/>
        </w:rPr>
        <w:t>被</w:t>
      </w:r>
      <w:r>
        <w:rPr>
          <w:w w:val="95"/>
          <w:sz w:val="20"/>
        </w:rPr>
        <w:t>保</w:t>
      </w:r>
      <w:r>
        <w:rPr>
          <w:w w:val="95"/>
          <w:sz w:val="20"/>
        </w:rPr>
        <w:t>险</w:t>
      </w:r>
      <w:r>
        <w:rPr>
          <w:w w:val="95"/>
          <w:sz w:val="20"/>
        </w:rPr>
        <w:t>人</w:t>
      </w:r>
      <w:r>
        <w:rPr>
          <w:w w:val="95"/>
          <w:sz w:val="20"/>
        </w:rPr>
        <w:t>，</w:t>
      </w:r>
      <w:r>
        <w:rPr>
          <w:w w:val="95"/>
          <w:sz w:val="20"/>
        </w:rPr>
        <w:t>在</w:t>
      </w:r>
      <w:r>
        <w:rPr>
          <w:w w:val="95"/>
          <w:sz w:val="20"/>
        </w:rPr>
        <w:t>住</w:t>
      </w:r>
      <w:r>
        <w:rPr>
          <w:w w:val="95"/>
          <w:sz w:val="20"/>
        </w:rPr>
        <w:t>院期间</w:t>
      </w:r>
      <w:r>
        <w:rPr>
          <w:w w:val="95"/>
          <w:sz w:val="20"/>
        </w:rPr>
        <w:t>每</w:t>
      </w:r>
      <w:r>
        <w:rPr>
          <w:w w:val="95"/>
          <w:sz w:val="20"/>
        </w:rPr>
        <w:t>日</w:t>
      </w:r>
      <w:r>
        <w:rPr>
          <w:w w:val="95"/>
          <w:sz w:val="20"/>
        </w:rPr>
        <w:t>非</w:t>
      </w:r>
      <w:r>
        <w:rPr>
          <w:spacing w:val="22"/>
          <w:sz w:val="20"/>
        </w:rPr>
        <w:t>  </w:t>
      </w:r>
      <w:r>
        <w:rPr>
          <w:w w:val="95"/>
          <w:sz w:val="20"/>
        </w:rPr>
        <w:t>24</w:t>
      </w:r>
      <w:r>
        <w:rPr>
          <w:spacing w:val="22"/>
          <w:sz w:val="20"/>
        </w:rPr>
        <w:t>  </w:t>
      </w:r>
      <w:r>
        <w:rPr>
          <w:w w:val="95"/>
          <w:sz w:val="20"/>
        </w:rPr>
        <w:t>小</w:t>
      </w:r>
      <w:r>
        <w:rPr>
          <w:w w:val="95"/>
          <w:sz w:val="20"/>
        </w:rPr>
        <w:t>时</w:t>
      </w:r>
      <w:r>
        <w:rPr>
          <w:w w:val="95"/>
          <w:sz w:val="20"/>
        </w:rPr>
        <w:t>在</w:t>
      </w:r>
      <w:r>
        <w:rPr>
          <w:w w:val="95"/>
          <w:sz w:val="20"/>
        </w:rPr>
        <w:t>床、在院。</w:t>
      </w:r>
      <w:r>
        <w:rPr>
          <w:w w:val="95"/>
          <w:sz w:val="20"/>
        </w:rPr>
        <w:t>具</w:t>
      </w:r>
      <w:r>
        <w:rPr>
          <w:w w:val="95"/>
          <w:sz w:val="20"/>
        </w:rPr>
        <w:t>体</w:t>
      </w:r>
      <w:r>
        <w:rPr>
          <w:w w:val="95"/>
          <w:sz w:val="20"/>
        </w:rPr>
        <w:t>表</w:t>
      </w:r>
      <w:r>
        <w:rPr>
          <w:w w:val="95"/>
          <w:sz w:val="20"/>
        </w:rPr>
        <w:t>现</w:t>
      </w:r>
      <w:r>
        <w:rPr>
          <w:w w:val="95"/>
          <w:sz w:val="20"/>
        </w:rPr>
        <w:t>包</w:t>
      </w:r>
      <w:r>
        <w:rPr>
          <w:w w:val="95"/>
          <w:sz w:val="20"/>
        </w:rPr>
        <w:t>括</w:t>
      </w:r>
      <w:r>
        <w:rPr>
          <w:w w:val="95"/>
          <w:sz w:val="20"/>
        </w:rPr>
        <w:t>在</w:t>
      </w:r>
      <w:r>
        <w:rPr>
          <w:w w:val="95"/>
          <w:sz w:val="20"/>
        </w:rPr>
        <w:t>住</w:t>
      </w:r>
      <w:r>
        <w:rPr>
          <w:w w:val="95"/>
          <w:sz w:val="20"/>
        </w:rPr>
        <w:t>院</w:t>
      </w:r>
      <w:r>
        <w:rPr>
          <w:w w:val="95"/>
          <w:sz w:val="20"/>
        </w:rPr>
        <w:t>期</w:t>
      </w:r>
      <w:r>
        <w:rPr>
          <w:spacing w:val="-10"/>
          <w:w w:val="95"/>
          <w:sz w:val="20"/>
        </w:rPr>
        <w:t>间</w:t>
      </w:r>
    </w:p>
    <w:p>
      <w:pPr>
        <w:spacing w:line="203" w:lineRule="exact" w:before="0"/>
        <w:ind w:left="374" w:right="0" w:firstLine="0"/>
        <w:jc w:val="left"/>
        <w:rPr>
          <w:sz w:val="20"/>
        </w:rPr>
      </w:pPr>
      <w:r>
        <w:rPr>
          <w:w w:val="95"/>
          <w:sz w:val="20"/>
        </w:rPr>
        <w:t>连</w:t>
      </w:r>
      <w:r>
        <w:rPr>
          <w:w w:val="95"/>
          <w:sz w:val="20"/>
        </w:rPr>
        <w:t>续</w:t>
      </w:r>
      <w:r>
        <w:rPr>
          <w:w w:val="95"/>
          <w:sz w:val="20"/>
        </w:rPr>
        <w:t>若</w:t>
      </w:r>
      <w:r>
        <w:rPr>
          <w:w w:val="95"/>
          <w:sz w:val="20"/>
        </w:rPr>
        <w:t>干</w:t>
      </w:r>
      <w:r>
        <w:rPr>
          <w:w w:val="95"/>
          <w:sz w:val="20"/>
        </w:rPr>
        <w:t>日</w:t>
      </w:r>
      <w:r>
        <w:rPr>
          <w:w w:val="95"/>
          <w:sz w:val="20"/>
        </w:rPr>
        <w:t>无</w:t>
      </w:r>
      <w:r>
        <w:rPr>
          <w:w w:val="95"/>
          <w:sz w:val="20"/>
        </w:rPr>
        <w:t>任</w:t>
      </w:r>
      <w:r>
        <w:rPr>
          <w:w w:val="95"/>
          <w:sz w:val="20"/>
        </w:rPr>
        <w:t>何</w:t>
      </w:r>
      <w:r>
        <w:rPr>
          <w:w w:val="95"/>
          <w:sz w:val="20"/>
        </w:rPr>
        <w:t>治</w:t>
      </w:r>
      <w:r>
        <w:rPr>
          <w:w w:val="95"/>
          <w:sz w:val="20"/>
        </w:rPr>
        <w:t>疗，只</w:t>
      </w:r>
      <w:r>
        <w:rPr>
          <w:w w:val="95"/>
          <w:sz w:val="20"/>
        </w:rPr>
        <w:t>发</w:t>
      </w:r>
      <w:r>
        <w:rPr>
          <w:w w:val="95"/>
          <w:sz w:val="20"/>
        </w:rPr>
        <w:t>生</w:t>
      </w:r>
      <w:r>
        <w:rPr>
          <w:w w:val="95"/>
          <w:sz w:val="20"/>
        </w:rPr>
        <w:t>护</w:t>
      </w:r>
      <w:r>
        <w:rPr>
          <w:w w:val="95"/>
          <w:sz w:val="20"/>
        </w:rPr>
        <w:t>理</w:t>
      </w:r>
      <w:r>
        <w:rPr>
          <w:w w:val="95"/>
          <w:sz w:val="20"/>
        </w:rPr>
        <w:t>费</w:t>
      </w:r>
      <w:r>
        <w:rPr>
          <w:w w:val="95"/>
          <w:sz w:val="20"/>
        </w:rPr>
        <w:t>、</w:t>
      </w:r>
      <w:r>
        <w:rPr>
          <w:w w:val="95"/>
          <w:sz w:val="20"/>
        </w:rPr>
        <w:t>诊</w:t>
      </w:r>
      <w:r>
        <w:rPr>
          <w:w w:val="95"/>
          <w:sz w:val="20"/>
        </w:rPr>
        <w:t>疗</w:t>
      </w:r>
      <w:r>
        <w:rPr>
          <w:w w:val="95"/>
          <w:sz w:val="20"/>
        </w:rPr>
        <w:t>费</w:t>
      </w:r>
      <w:r>
        <w:rPr>
          <w:w w:val="95"/>
          <w:sz w:val="20"/>
        </w:rPr>
        <w:t>、床位</w:t>
      </w:r>
      <w:r>
        <w:rPr>
          <w:w w:val="95"/>
          <w:sz w:val="20"/>
        </w:rPr>
        <w:t>费</w:t>
      </w:r>
      <w:r>
        <w:rPr>
          <w:w w:val="95"/>
          <w:sz w:val="20"/>
        </w:rPr>
        <w:t>等</w:t>
      </w:r>
      <w:r>
        <w:rPr>
          <w:w w:val="95"/>
          <w:sz w:val="20"/>
        </w:rPr>
        <w:t>情</w:t>
      </w:r>
      <w:r>
        <w:rPr>
          <w:spacing w:val="-5"/>
          <w:w w:val="95"/>
          <w:sz w:val="20"/>
        </w:rPr>
        <w:t>况。</w:t>
      </w:r>
    </w:p>
    <w:p>
      <w:pPr>
        <w:spacing w:line="338" w:lineRule="exact" w:before="0"/>
        <w:ind w:left="232" w:right="0" w:firstLine="0"/>
        <w:jc w:val="left"/>
        <w:rPr>
          <w:sz w:val="20"/>
        </w:rPr>
      </w:pPr>
      <w:r>
        <w:rPr>
          <w:rFonts w:ascii="微软雅黑" w:eastAsia="微软雅黑"/>
          <w:b/>
          <w:w w:val="95"/>
          <w:position w:val="10"/>
          <w:sz w:val="10"/>
        </w:rPr>
        <w:t>4</w:t>
      </w:r>
      <w:r>
        <w:rPr>
          <w:rFonts w:ascii="微软雅黑" w:eastAsia="微软雅黑"/>
          <w:b/>
          <w:spacing w:val="78"/>
          <w:position w:val="10"/>
          <w:sz w:val="10"/>
        </w:rPr>
        <w:t>    </w:t>
      </w:r>
      <w:r>
        <w:rPr>
          <w:rFonts w:ascii="微软雅黑" w:eastAsia="微软雅黑"/>
          <w:b/>
          <w:w w:val="95"/>
          <w:sz w:val="20"/>
        </w:rPr>
        <w:t>意</w:t>
      </w:r>
      <w:r>
        <w:rPr>
          <w:rFonts w:ascii="微软雅黑" w:eastAsia="微软雅黑"/>
          <w:b/>
          <w:w w:val="95"/>
          <w:sz w:val="20"/>
        </w:rPr>
        <w:t>外</w:t>
      </w:r>
      <w:r>
        <w:rPr>
          <w:rFonts w:ascii="微软雅黑" w:eastAsia="微软雅黑"/>
          <w:b/>
          <w:w w:val="95"/>
          <w:sz w:val="20"/>
        </w:rPr>
        <w:t>伤害</w:t>
      </w:r>
      <w:r>
        <w:rPr>
          <w:w w:val="95"/>
          <w:sz w:val="20"/>
        </w:rPr>
        <w:t>指</w:t>
      </w:r>
      <w:r>
        <w:rPr>
          <w:w w:val="95"/>
          <w:sz w:val="20"/>
        </w:rPr>
        <w:t>遭</w:t>
      </w:r>
      <w:r>
        <w:rPr>
          <w:w w:val="95"/>
          <w:sz w:val="20"/>
        </w:rPr>
        <w:t>受</w:t>
      </w:r>
      <w:r>
        <w:rPr>
          <w:w w:val="95"/>
          <w:sz w:val="20"/>
        </w:rPr>
        <w:t>外</w:t>
      </w:r>
      <w:r>
        <w:rPr>
          <w:w w:val="95"/>
          <w:sz w:val="20"/>
        </w:rPr>
        <w:t>来的、</w:t>
      </w:r>
      <w:r>
        <w:rPr>
          <w:w w:val="95"/>
          <w:sz w:val="20"/>
        </w:rPr>
        <w:t>突</w:t>
      </w:r>
      <w:r>
        <w:rPr>
          <w:w w:val="95"/>
          <w:sz w:val="20"/>
        </w:rPr>
        <w:t>发</w:t>
      </w:r>
      <w:r>
        <w:rPr>
          <w:w w:val="95"/>
          <w:sz w:val="20"/>
        </w:rPr>
        <w:t>的</w:t>
      </w:r>
      <w:r>
        <w:rPr>
          <w:w w:val="95"/>
          <w:sz w:val="20"/>
        </w:rPr>
        <w:t>、</w:t>
      </w:r>
      <w:r>
        <w:rPr>
          <w:w w:val="95"/>
          <w:sz w:val="20"/>
        </w:rPr>
        <w:t>非</w:t>
      </w:r>
      <w:r>
        <w:rPr>
          <w:w w:val="95"/>
          <w:sz w:val="20"/>
        </w:rPr>
        <w:t>本</w:t>
      </w:r>
      <w:r>
        <w:rPr>
          <w:w w:val="95"/>
          <w:sz w:val="20"/>
        </w:rPr>
        <w:t>意</w:t>
      </w:r>
      <w:r>
        <w:rPr>
          <w:w w:val="95"/>
          <w:sz w:val="20"/>
        </w:rPr>
        <w:t>的</w:t>
      </w:r>
      <w:r>
        <w:rPr>
          <w:w w:val="95"/>
          <w:sz w:val="20"/>
        </w:rPr>
        <w:t>、</w:t>
      </w:r>
      <w:r>
        <w:rPr>
          <w:w w:val="95"/>
          <w:sz w:val="20"/>
        </w:rPr>
        <w:t>非疾病</w:t>
      </w:r>
      <w:r>
        <w:rPr>
          <w:w w:val="95"/>
          <w:sz w:val="20"/>
        </w:rPr>
        <w:t>的</w:t>
      </w:r>
      <w:r>
        <w:rPr>
          <w:w w:val="95"/>
          <w:sz w:val="20"/>
        </w:rPr>
        <w:t>客</w:t>
      </w:r>
      <w:r>
        <w:rPr>
          <w:w w:val="95"/>
          <w:sz w:val="20"/>
        </w:rPr>
        <w:t>观</w:t>
      </w:r>
      <w:r>
        <w:rPr>
          <w:w w:val="95"/>
          <w:sz w:val="20"/>
        </w:rPr>
        <w:t>事</w:t>
      </w:r>
      <w:r>
        <w:rPr>
          <w:w w:val="95"/>
          <w:sz w:val="20"/>
        </w:rPr>
        <w:t>件</w:t>
      </w:r>
      <w:r>
        <w:rPr>
          <w:w w:val="95"/>
          <w:sz w:val="20"/>
        </w:rPr>
        <w:t>直</w:t>
      </w:r>
      <w:r>
        <w:rPr>
          <w:w w:val="95"/>
          <w:sz w:val="20"/>
        </w:rPr>
        <w:t>接</w:t>
      </w:r>
      <w:r>
        <w:rPr>
          <w:w w:val="95"/>
          <w:sz w:val="20"/>
        </w:rPr>
        <w:t>致</w:t>
      </w:r>
      <w:r>
        <w:rPr>
          <w:w w:val="95"/>
          <w:sz w:val="20"/>
        </w:rPr>
        <w:t>使</w:t>
      </w:r>
      <w:r>
        <w:rPr>
          <w:w w:val="95"/>
          <w:sz w:val="20"/>
        </w:rPr>
        <w:t>身体受</w:t>
      </w:r>
      <w:r>
        <w:rPr>
          <w:w w:val="95"/>
          <w:sz w:val="20"/>
        </w:rPr>
        <w:t>到</w:t>
      </w:r>
      <w:r>
        <w:rPr>
          <w:w w:val="95"/>
          <w:sz w:val="20"/>
        </w:rPr>
        <w:t>的</w:t>
      </w:r>
      <w:r>
        <w:rPr>
          <w:w w:val="95"/>
          <w:sz w:val="20"/>
        </w:rPr>
        <w:t>伤</w:t>
      </w:r>
      <w:r>
        <w:rPr>
          <w:spacing w:val="-5"/>
          <w:w w:val="95"/>
          <w:sz w:val="20"/>
        </w:rPr>
        <w:t>害。</w:t>
      </w:r>
    </w:p>
    <w:p>
      <w:pPr>
        <w:spacing w:after="0" w:line="338" w:lineRule="exact"/>
        <w:jc w:val="left"/>
        <w:rPr>
          <w:sz w:val="20"/>
        </w:rPr>
        <w:sectPr>
          <w:type w:val="continuous"/>
          <w:pgSz w:w="11910" w:h="16840"/>
          <w:pgMar w:header="566" w:footer="664" w:top="1340" w:bottom="860" w:left="900" w:right="720"/>
        </w:sectPr>
      </w:pPr>
    </w:p>
    <w:p>
      <w:pPr>
        <w:pStyle w:val="BodyText"/>
        <w:spacing w:before="18"/>
        <w:ind w:left="3037"/>
      </w:pPr>
      <w:r>
        <w:rPr>
          <w:rFonts w:ascii="微软雅黑" w:eastAsia="微软雅黑"/>
          <w:b/>
          <w:w w:val="95"/>
        </w:rPr>
        <w:t>额</w:t>
      </w:r>
      <w:r>
        <w:rPr>
          <w:rFonts w:ascii="微软雅黑" w:eastAsia="微软雅黑"/>
          <w:b/>
          <w:w w:val="95"/>
          <w:position w:val="11"/>
          <w:sz w:val="11"/>
        </w:rPr>
        <w:t>5</w:t>
      </w:r>
      <w:r>
        <w:rPr>
          <w:w w:val="95"/>
        </w:rPr>
        <w:t>向受益人给付身故保险</w:t>
      </w:r>
      <w:r>
        <w:rPr>
          <w:w w:val="95"/>
        </w:rPr>
        <w:t>金</w:t>
      </w:r>
      <w:r>
        <w:rPr>
          <w:spacing w:val="-2"/>
          <w:w w:val="95"/>
        </w:rPr>
        <w:t>，本合同效力终止。</w:t>
      </w:r>
    </w:p>
    <w:p>
      <w:pPr>
        <w:pStyle w:val="ListParagraph"/>
        <w:numPr>
          <w:ilvl w:val="3"/>
          <w:numId w:val="11"/>
        </w:numPr>
        <w:tabs>
          <w:tab w:pos="1270" w:val="left" w:leader="none"/>
        </w:tabs>
        <w:spacing w:line="194" w:lineRule="auto" w:before="148" w:after="0"/>
        <w:ind w:left="3037" w:right="298" w:hanging="2805"/>
        <w:jc w:val="both"/>
        <w:rPr>
          <w:rFonts w:ascii="微软雅黑" w:eastAsia="微软雅黑"/>
          <w:b/>
          <w:sz w:val="21"/>
        </w:rPr>
      </w:pPr>
      <w:r>
        <w:rPr>
          <w:rFonts w:ascii="微软雅黑" w:eastAsia="微软雅黑"/>
          <w:b/>
          <w:spacing w:val="27"/>
          <w:sz w:val="21"/>
        </w:rPr>
        <w:t>重大疾病保险金 </w:t>
      </w:r>
      <w:r>
        <w:rPr>
          <w:sz w:val="21"/>
        </w:rPr>
        <w:t>本合同所列的重大疾病共120</w:t>
      </w:r>
      <w:r>
        <w:rPr>
          <w:spacing w:val="-28"/>
          <w:sz w:val="21"/>
        </w:rPr>
        <w:t>种，</w:t>
      </w:r>
      <w:r>
        <w:rPr>
          <w:rFonts w:ascii="微软雅黑" w:eastAsia="微软雅黑"/>
          <w:b/>
          <w:spacing w:val="-5"/>
          <w:sz w:val="21"/>
        </w:rPr>
        <w:t>累计给付次数以两次为限，当累计给付达到</w:t>
      </w:r>
      <w:r>
        <w:rPr>
          <w:rFonts w:ascii="微软雅黑" w:eastAsia="微软雅黑"/>
          <w:b/>
          <w:spacing w:val="-2"/>
          <w:sz w:val="21"/>
        </w:rPr>
        <w:t>两次时，本项保险责任终止。</w:t>
      </w:r>
    </w:p>
    <w:p>
      <w:pPr>
        <w:spacing w:line="194" w:lineRule="auto" w:before="0"/>
        <w:ind w:left="3037" w:right="299" w:firstLine="0"/>
        <w:jc w:val="both"/>
        <w:rPr>
          <w:rFonts w:ascii="微软雅黑" w:eastAsia="微软雅黑"/>
          <w:b/>
          <w:sz w:val="21"/>
        </w:rPr>
      </w:pPr>
      <w:r>
        <w:rPr>
          <w:rFonts w:ascii="微软雅黑" w:eastAsia="微软雅黑"/>
          <w:b/>
          <w:spacing w:val="-2"/>
          <w:sz w:val="21"/>
        </w:rPr>
        <w:t>若被保险人因同一疾病原因、同次医疗行为或同次意外伤害事故导致初次患</w:t>
      </w:r>
      <w:r>
        <w:rPr>
          <w:rFonts w:ascii="微软雅黑" w:eastAsia="微软雅黑"/>
          <w:b/>
          <w:spacing w:val="-2"/>
          <w:sz w:val="21"/>
        </w:rPr>
        <w:t>上本合同所列的两种或两种以上重大疾病，我们仅按一种重大疾病给付重大</w:t>
      </w:r>
      <w:r>
        <w:rPr>
          <w:rFonts w:ascii="微软雅黑" w:eastAsia="微软雅黑"/>
          <w:b/>
          <w:spacing w:val="-2"/>
          <w:sz w:val="21"/>
        </w:rPr>
        <w:t>疾病保险金。</w:t>
      </w:r>
    </w:p>
    <w:p>
      <w:pPr>
        <w:pStyle w:val="ListParagraph"/>
        <w:numPr>
          <w:ilvl w:val="4"/>
          <w:numId w:val="11"/>
        </w:numPr>
        <w:tabs>
          <w:tab w:pos="3566" w:val="left" w:leader="none"/>
        </w:tabs>
        <w:spacing w:line="240" w:lineRule="auto" w:before="96" w:after="0"/>
        <w:ind w:left="3566" w:right="0" w:hanging="529"/>
        <w:jc w:val="left"/>
        <w:rPr>
          <w:rFonts w:ascii="微软雅黑" w:eastAsia="微软雅黑"/>
          <w:b/>
          <w:sz w:val="21"/>
        </w:rPr>
      </w:pPr>
      <w:r>
        <w:rPr>
          <w:rFonts w:ascii="微软雅黑" w:eastAsia="微软雅黑"/>
          <w:b/>
          <w:spacing w:val="-3"/>
          <w:sz w:val="21"/>
        </w:rPr>
        <w:t>第一次重大疾病保险金</w:t>
      </w:r>
    </w:p>
    <w:p>
      <w:pPr>
        <w:pStyle w:val="BodyText"/>
        <w:spacing w:line="278" w:lineRule="auto" w:before="148"/>
        <w:ind w:left="3037" w:right="310"/>
        <w:jc w:val="both"/>
      </w:pPr>
      <w:r>
        <w:rPr>
          <w:spacing w:val="-2"/>
        </w:rPr>
        <w:t>被保险人在等待期以后经认可的医院确诊初次患上一种或多种本合同约定的</w:t>
      </w:r>
      <w:r>
        <w:rPr>
          <w:spacing w:val="-2"/>
        </w:rPr>
        <w:t>重大疾病，我们按本合同基本保额向受益人给付第一次重大疾病保险金，给</w:t>
      </w:r>
      <w:r>
        <w:rPr>
          <w:spacing w:val="-2"/>
        </w:rPr>
        <w:t>付后该种重大疾病的保险责任终止，轻症疾病保险金、中症疾病保险金、住</w:t>
      </w:r>
      <w:r>
        <w:rPr>
          <w:spacing w:val="-3"/>
        </w:rPr>
        <w:t>院关爱津贴保险金、身故保险金以及您自主选择的前症疾病保险金及豁免保</w:t>
      </w:r>
    </w:p>
    <w:p>
      <w:pPr>
        <w:spacing w:line="283" w:lineRule="exact" w:before="0"/>
        <w:ind w:left="3037" w:right="0" w:firstLine="0"/>
        <w:jc w:val="left"/>
        <w:rPr>
          <w:rFonts w:ascii="微软雅黑" w:eastAsia="微软雅黑"/>
          <w:b/>
          <w:sz w:val="21"/>
        </w:rPr>
      </w:pPr>
      <w:r>
        <w:rPr>
          <w:spacing w:val="-2"/>
          <w:sz w:val="21"/>
        </w:rPr>
        <w:t>险费责任均效力终止。</w:t>
      </w:r>
      <w:r>
        <w:rPr>
          <w:rFonts w:ascii="微软雅黑" w:eastAsia="微软雅黑"/>
          <w:b/>
          <w:spacing w:val="-3"/>
          <w:sz w:val="21"/>
        </w:rPr>
        <w:t>同时，本合同自第一次重大疾病确诊之日起现金价值</w:t>
      </w:r>
    </w:p>
    <w:p>
      <w:pPr>
        <w:pStyle w:val="BodyText"/>
        <w:spacing w:line="346" w:lineRule="exact"/>
        <w:ind w:left="3037"/>
      </w:pPr>
      <w:r>
        <w:rPr>
          <w:rFonts w:ascii="微软雅黑" w:eastAsia="微软雅黑"/>
          <w:b/>
          <w:spacing w:val="-2"/>
        </w:rPr>
        <w:t>降为零，</w:t>
      </w:r>
      <w:r>
        <w:rPr>
          <w:spacing w:val="-3"/>
        </w:rPr>
        <w:t>我们将继续承担第二次重大疾病保险金以及您自主选择的第二次心</w:t>
      </w:r>
    </w:p>
    <w:p>
      <w:pPr>
        <w:pStyle w:val="BodyText"/>
        <w:spacing w:line="265" w:lineRule="exact"/>
        <w:ind w:left="3037"/>
      </w:pPr>
      <w:r>
        <w:rPr>
          <w:spacing w:val="-3"/>
        </w:rPr>
        <w:t>脑血管特定疾病保险金责任。</w:t>
      </w:r>
    </w:p>
    <w:p>
      <w:pPr>
        <w:pStyle w:val="ListParagraph"/>
        <w:numPr>
          <w:ilvl w:val="4"/>
          <w:numId w:val="11"/>
        </w:numPr>
        <w:tabs>
          <w:tab w:pos="3566" w:val="left" w:leader="none"/>
        </w:tabs>
        <w:spacing w:line="240" w:lineRule="auto" w:before="132" w:after="0"/>
        <w:ind w:left="3566" w:right="0" w:hanging="529"/>
        <w:jc w:val="left"/>
        <w:rPr>
          <w:rFonts w:ascii="微软雅黑" w:eastAsia="微软雅黑"/>
          <w:b/>
          <w:sz w:val="21"/>
        </w:rPr>
      </w:pPr>
      <w:r>
        <w:rPr>
          <w:rFonts w:ascii="微软雅黑" w:eastAsia="微软雅黑"/>
          <w:b/>
          <w:spacing w:val="-3"/>
          <w:sz w:val="21"/>
        </w:rPr>
        <w:t>第二次重大疾病保险金</w:t>
      </w:r>
    </w:p>
    <w:p>
      <w:pPr>
        <w:pStyle w:val="BodyText"/>
        <w:spacing w:line="278" w:lineRule="auto" w:before="148"/>
        <w:ind w:left="3037" w:right="296"/>
        <w:jc w:val="both"/>
      </w:pPr>
      <w:r>
        <w:rPr>
          <w:spacing w:val="-2"/>
        </w:rPr>
        <w:t>我们给付第一次重大疾病保险金后，若被保险人自第一次重大疾病保险金对</w:t>
      </w:r>
      <w:r>
        <w:rPr>
          <w:spacing w:val="-2"/>
        </w:rPr>
        <w:t>应疾病确诊之日起1</w:t>
      </w:r>
      <w:r>
        <w:rPr>
          <w:spacing w:val="-12"/>
        </w:rPr>
        <w:t>年后，经认可的医院确诊初次患上本合同约定的除第一次</w:t>
      </w:r>
      <w:r>
        <w:rPr>
          <w:spacing w:val="-2"/>
        </w:rPr>
        <w:t>重大疾病保险金对应疾病以外的重大疾病（无论一种或多种），我们按本合</w:t>
      </w:r>
      <w:r>
        <w:rPr>
          <w:spacing w:val="-2"/>
        </w:rPr>
        <w:t>同基本保额向受益人给付第二次重大疾病保险金。</w:t>
      </w:r>
    </w:p>
    <w:p>
      <w:pPr>
        <w:pStyle w:val="ListParagraph"/>
        <w:numPr>
          <w:ilvl w:val="3"/>
          <w:numId w:val="11"/>
        </w:numPr>
        <w:tabs>
          <w:tab w:pos="1270" w:val="left" w:leader="none"/>
        </w:tabs>
        <w:spacing w:line="211" w:lineRule="auto" w:before="133" w:after="0"/>
        <w:ind w:left="3037" w:right="298" w:hanging="2805"/>
        <w:jc w:val="both"/>
        <w:rPr>
          <w:sz w:val="21"/>
        </w:rPr>
      </w:pPr>
      <w:r>
        <w:rPr>
          <w:rFonts w:ascii="微软雅黑" w:eastAsia="微软雅黑"/>
          <w:b/>
          <w:spacing w:val="27"/>
          <w:sz w:val="21"/>
        </w:rPr>
        <w:t>中症疾病保险金 </w:t>
      </w:r>
      <w:r>
        <w:rPr>
          <w:sz w:val="21"/>
        </w:rPr>
        <w:t>被保险人在等待期以后经认可的医院确诊初次患上一种或多种本合同约定的</w:t>
      </w:r>
      <w:r>
        <w:rPr>
          <w:rFonts w:ascii="微软雅黑" w:eastAsia="微软雅黑"/>
          <w:b/>
          <w:spacing w:val="-4"/>
          <w:sz w:val="21"/>
        </w:rPr>
        <w:t>中症疾病</w:t>
      </w:r>
      <w:r>
        <w:rPr>
          <w:spacing w:val="-4"/>
          <w:sz w:val="21"/>
        </w:rPr>
        <w:t>（20种），我们按本合同基本保额的60%向受益人给付中症疾病保险</w:t>
      </w:r>
      <w:r>
        <w:rPr>
          <w:spacing w:val="-2"/>
          <w:sz w:val="21"/>
        </w:rPr>
        <w:t>金，每种中症疾病只给付一次中症疾病保险金，给付后该种中症疾病保险金</w:t>
      </w:r>
    </w:p>
    <w:p>
      <w:pPr>
        <w:pStyle w:val="BodyText"/>
        <w:spacing w:line="257" w:lineRule="exact" w:before="53"/>
        <w:ind w:left="3037"/>
      </w:pPr>
      <w:r>
        <w:rPr>
          <w:spacing w:val="-4"/>
        </w:rPr>
        <w:t>责任效力终止。</w:t>
      </w:r>
    </w:p>
    <w:p>
      <w:pPr>
        <w:spacing w:line="337" w:lineRule="exact" w:before="0"/>
        <w:ind w:left="3037" w:right="0" w:firstLine="0"/>
        <w:jc w:val="left"/>
        <w:rPr>
          <w:rFonts w:ascii="微软雅黑" w:eastAsia="微软雅黑"/>
          <w:b/>
          <w:sz w:val="21"/>
        </w:rPr>
      </w:pPr>
      <w:r>
        <w:rPr>
          <w:rFonts w:ascii="微软雅黑" w:eastAsia="微软雅黑"/>
          <w:b/>
          <w:spacing w:val="-3"/>
          <w:sz w:val="21"/>
        </w:rPr>
        <w:t>本合同的中症疾病保险金累计给付以两次为限，本合同继续有效。</w:t>
      </w:r>
    </w:p>
    <w:p>
      <w:pPr>
        <w:spacing w:line="194" w:lineRule="auto" w:before="15"/>
        <w:ind w:left="3037" w:right="299" w:firstLine="0"/>
        <w:jc w:val="both"/>
        <w:rPr>
          <w:rFonts w:ascii="微软雅黑" w:eastAsia="微软雅黑"/>
          <w:b/>
          <w:sz w:val="21"/>
        </w:rPr>
      </w:pPr>
      <w:r>
        <w:rPr>
          <w:rFonts w:ascii="微软雅黑" w:eastAsia="微软雅黑"/>
          <w:b/>
          <w:spacing w:val="-2"/>
          <w:sz w:val="21"/>
        </w:rPr>
        <w:t>若被保险人因同一疾病原因、同次医疗行为或同次意外伤害事故导致初次患</w:t>
      </w:r>
      <w:r>
        <w:rPr>
          <w:rFonts w:ascii="微软雅黑" w:eastAsia="微软雅黑"/>
          <w:b/>
          <w:spacing w:val="-2"/>
          <w:sz w:val="21"/>
        </w:rPr>
        <w:t>上本合同所列的两种或两种以上中症疾病，我们仅按一种中症疾病给付中症</w:t>
      </w:r>
      <w:r>
        <w:rPr>
          <w:rFonts w:ascii="微软雅黑" w:eastAsia="微软雅黑"/>
          <w:b/>
          <w:spacing w:val="-2"/>
          <w:sz w:val="21"/>
        </w:rPr>
        <w:t>疾病保险金。</w:t>
      </w:r>
    </w:p>
    <w:p>
      <w:pPr>
        <w:pStyle w:val="ListParagraph"/>
        <w:numPr>
          <w:ilvl w:val="3"/>
          <w:numId w:val="11"/>
        </w:numPr>
        <w:tabs>
          <w:tab w:pos="1270" w:val="left" w:leader="none"/>
        </w:tabs>
        <w:spacing w:line="312" w:lineRule="exact" w:before="140" w:after="0"/>
        <w:ind w:left="3037" w:right="298" w:hanging="2805"/>
        <w:jc w:val="both"/>
        <w:rPr>
          <w:sz w:val="21"/>
        </w:rPr>
      </w:pPr>
      <w:r>
        <w:rPr>
          <w:rFonts w:ascii="微软雅黑" w:eastAsia="微软雅黑"/>
          <w:b/>
          <w:spacing w:val="27"/>
          <w:sz w:val="21"/>
        </w:rPr>
        <w:t>轻症疾病保险金 </w:t>
      </w:r>
      <w:r>
        <w:rPr>
          <w:sz w:val="21"/>
        </w:rPr>
        <w:t>被保险人在等待期以后经认可的医院确诊初次患上一种或多种本合同约定的</w:t>
      </w:r>
      <w:r>
        <w:rPr>
          <w:rFonts w:ascii="微软雅黑" w:eastAsia="微软雅黑"/>
          <w:b/>
          <w:spacing w:val="-4"/>
          <w:sz w:val="21"/>
        </w:rPr>
        <w:t>轻症疾病</w:t>
      </w:r>
      <w:r>
        <w:rPr>
          <w:spacing w:val="-4"/>
          <w:sz w:val="21"/>
        </w:rPr>
        <w:t>（35种），我们按本合同基本保额的30%向受益人给付轻症疾病保险</w:t>
      </w:r>
      <w:r>
        <w:rPr>
          <w:spacing w:val="-2"/>
          <w:sz w:val="21"/>
        </w:rPr>
        <w:t>金，每种轻症疾病只给付一次轻症疾病保险金，给付后该种轻症疾病保险金</w:t>
      </w:r>
      <w:r>
        <w:rPr>
          <w:spacing w:val="-2"/>
          <w:sz w:val="21"/>
        </w:rPr>
        <w:t>责任效力终止。</w:t>
      </w:r>
    </w:p>
    <w:p>
      <w:pPr>
        <w:spacing w:line="322" w:lineRule="exact" w:before="0"/>
        <w:ind w:left="3037" w:right="0" w:firstLine="0"/>
        <w:jc w:val="left"/>
        <w:rPr>
          <w:rFonts w:ascii="微软雅黑" w:eastAsia="微软雅黑"/>
          <w:b/>
          <w:sz w:val="21"/>
        </w:rPr>
      </w:pPr>
      <w:r>
        <w:rPr>
          <w:rFonts w:ascii="微软雅黑" w:eastAsia="微软雅黑"/>
          <w:b/>
          <w:spacing w:val="-3"/>
          <w:sz w:val="21"/>
        </w:rPr>
        <w:t>本合同的轻症疾病保险金累计给付以五次为限，本合同继续有效。</w:t>
      </w:r>
    </w:p>
    <w:p>
      <w:pPr>
        <w:spacing w:line="194" w:lineRule="auto" w:before="16"/>
        <w:ind w:left="3037" w:right="299" w:firstLine="0"/>
        <w:jc w:val="both"/>
        <w:rPr>
          <w:rFonts w:ascii="微软雅黑" w:eastAsia="微软雅黑"/>
          <w:b/>
          <w:sz w:val="21"/>
        </w:rPr>
      </w:pPr>
      <w:r>
        <w:rPr>
          <w:rFonts w:ascii="微软雅黑" w:eastAsia="微软雅黑"/>
          <w:b/>
          <w:spacing w:val="-2"/>
          <w:sz w:val="21"/>
        </w:rPr>
        <w:t>若被保险人因同一疾病原因、同次医疗行为或同次意外伤害事故导致初次患</w:t>
      </w:r>
      <w:r>
        <w:rPr>
          <w:rFonts w:ascii="微软雅黑" w:eastAsia="微软雅黑"/>
          <w:b/>
          <w:spacing w:val="-2"/>
          <w:sz w:val="21"/>
        </w:rPr>
        <w:t>上本合同所列的两种或两种以上轻症疾病，我们仅按一种轻症疾病给付轻症</w:t>
      </w:r>
      <w:r>
        <w:rPr>
          <w:rFonts w:ascii="微软雅黑" w:eastAsia="微软雅黑"/>
          <w:b/>
          <w:spacing w:val="-2"/>
          <w:sz w:val="21"/>
        </w:rPr>
        <w:t>疾病保险金。</w:t>
      </w:r>
    </w:p>
    <w:p>
      <w:pPr>
        <w:pStyle w:val="BodyText"/>
        <w:spacing w:before="17"/>
        <w:rPr>
          <w:rFonts w:ascii="微软雅黑"/>
          <w:b/>
          <w:sz w:val="5"/>
        </w:rPr>
      </w:pPr>
    </w:p>
    <w:p>
      <w:pPr>
        <w:spacing w:after="0"/>
        <w:rPr>
          <w:rFonts w:ascii="微软雅黑"/>
          <w:sz w:val="5"/>
        </w:rPr>
        <w:sectPr>
          <w:pgSz w:w="11910" w:h="16840"/>
          <w:pgMar w:header="566" w:footer="664" w:top="1340" w:bottom="860" w:left="900" w:right="720"/>
        </w:sectPr>
      </w:pPr>
    </w:p>
    <w:p>
      <w:pPr>
        <w:pStyle w:val="ListParagraph"/>
        <w:numPr>
          <w:ilvl w:val="3"/>
          <w:numId w:val="11"/>
        </w:numPr>
        <w:tabs>
          <w:tab w:pos="1269" w:val="left" w:leader="none"/>
          <w:tab w:pos="1270" w:val="left" w:leader="none"/>
        </w:tabs>
        <w:spacing w:line="350" w:lineRule="exact" w:before="4" w:after="0"/>
        <w:ind w:left="1270" w:right="0" w:hanging="1038"/>
        <w:jc w:val="left"/>
        <w:rPr>
          <w:rFonts w:ascii="微软雅黑" w:eastAsia="微软雅黑"/>
          <w:b/>
          <w:sz w:val="21"/>
        </w:rPr>
      </w:pPr>
      <w:r>
        <w:rPr>
          <w:rFonts w:ascii="微软雅黑" w:eastAsia="微软雅黑"/>
          <w:b/>
          <w:spacing w:val="-2"/>
          <w:sz w:val="21"/>
        </w:rPr>
        <w:t>重大疾病、中症</w:t>
      </w:r>
    </w:p>
    <w:p>
      <w:pPr>
        <w:spacing w:line="194" w:lineRule="auto" w:before="15"/>
        <w:ind w:left="1270" w:right="0" w:firstLine="0"/>
        <w:jc w:val="left"/>
        <w:rPr>
          <w:rFonts w:ascii="微软雅黑" w:eastAsia="微软雅黑"/>
          <w:b/>
          <w:sz w:val="21"/>
        </w:rPr>
      </w:pPr>
      <w:r>
        <w:rPr>
          <w:rFonts w:ascii="微软雅黑" w:eastAsia="微软雅黑"/>
          <w:b/>
          <w:spacing w:val="-2"/>
          <w:sz w:val="21"/>
        </w:rPr>
        <w:t>疾病、轻症疾病</w:t>
      </w:r>
      <w:r>
        <w:rPr>
          <w:rFonts w:ascii="微软雅黑" w:eastAsia="微软雅黑"/>
          <w:b/>
          <w:spacing w:val="-2"/>
          <w:sz w:val="21"/>
        </w:rPr>
        <w:t>豁免保险费</w:t>
      </w:r>
    </w:p>
    <w:p>
      <w:pPr>
        <w:pStyle w:val="BodyText"/>
        <w:spacing w:line="278" w:lineRule="auto" w:before="71"/>
        <w:ind w:left="232" w:right="310"/>
        <w:jc w:val="both"/>
      </w:pPr>
      <w:r>
        <w:rPr/>
        <w:br w:type="column"/>
      </w:r>
      <w:r>
        <w:rPr>
          <w:spacing w:val="-2"/>
        </w:rPr>
        <w:t>给付重大疾病、中症疾病、轻症疾病保险金后，我们将逐期豁免本合同约定</w:t>
      </w:r>
      <w:r>
        <w:rPr>
          <w:spacing w:val="-2"/>
        </w:rPr>
        <w:t>的重大疾病、中症疾病、轻症疾病确诊日后余下各期的本合同保险费，您每</w:t>
      </w:r>
      <w:r>
        <w:rPr>
          <w:spacing w:val="-2"/>
        </w:rPr>
        <w:t>期被豁免的保险费视为您已支付。</w:t>
      </w:r>
    </w:p>
    <w:p>
      <w:pPr>
        <w:spacing w:after="0" w:line="278" w:lineRule="auto"/>
        <w:jc w:val="both"/>
        <w:sectPr>
          <w:type w:val="continuous"/>
          <w:pgSz w:w="11910" w:h="16840"/>
          <w:pgMar w:header="566" w:footer="664" w:top="1340" w:bottom="860" w:left="900" w:right="720"/>
          <w:cols w:num="2" w:equalWidth="0">
            <w:col w:w="2749" w:space="55"/>
            <w:col w:w="7486"/>
          </w:cols>
        </w:sectPr>
      </w:pPr>
    </w:p>
    <w:p>
      <w:pPr>
        <w:pStyle w:val="BodyText"/>
        <w:spacing w:before="5"/>
        <w:rPr>
          <w:sz w:val="28"/>
        </w:rPr>
      </w:pPr>
    </w:p>
    <w:p>
      <w:pPr>
        <w:pStyle w:val="BodyText"/>
        <w:spacing w:line="20" w:lineRule="exact"/>
        <w:ind w:left="232"/>
        <w:rPr>
          <w:sz w:val="2"/>
        </w:rPr>
      </w:pPr>
      <w:r>
        <w:rPr>
          <w:sz w:val="2"/>
        </w:rPr>
        <w:drawing>
          <wp:inline distT="0" distB="0" distL="0" distR="0">
            <wp:extent cx="1829511" cy="6096"/>
            <wp:effectExtent l="0" t="0" r="0" b="0"/>
            <wp:docPr id="13" name="image7.png"/>
            <wp:cNvGraphicFramePr>
              <a:graphicFrameLocks noChangeAspect="1"/>
            </wp:cNvGraphicFramePr>
            <a:graphic>
              <a:graphicData uri="http://schemas.openxmlformats.org/drawingml/2006/picture">
                <pic:pic>
                  <pic:nvPicPr>
                    <pic:cNvPr id="14" name="image7.png"/>
                    <pic:cNvPicPr/>
                  </pic:nvPicPr>
                  <pic:blipFill>
                    <a:blip r:embed="rId12" cstate="print"/>
                    <a:stretch>
                      <a:fillRect/>
                    </a:stretch>
                  </pic:blipFill>
                  <pic:spPr>
                    <a:xfrm>
                      <a:off x="0" y="0"/>
                      <a:ext cx="1829511" cy="6096"/>
                    </a:xfrm>
                    <a:prstGeom prst="rect">
                      <a:avLst/>
                    </a:prstGeom>
                  </pic:spPr>
                </pic:pic>
              </a:graphicData>
            </a:graphic>
          </wp:inline>
        </w:drawing>
      </w:r>
      <w:r>
        <w:rPr>
          <w:sz w:val="2"/>
        </w:rPr>
      </w:r>
    </w:p>
    <w:p>
      <w:pPr>
        <w:spacing w:line="204" w:lineRule="auto" w:before="65"/>
        <w:ind w:left="374" w:right="414" w:hanging="143"/>
        <w:jc w:val="left"/>
        <w:rPr>
          <w:sz w:val="20"/>
        </w:rPr>
      </w:pPr>
      <w:r>
        <w:rPr>
          <w:rFonts w:ascii="微软雅黑" w:eastAsia="微软雅黑"/>
          <w:b/>
          <w:position w:val="10"/>
          <w:sz w:val="10"/>
        </w:rPr>
        <w:t>5</w:t>
      </w:r>
      <w:r>
        <w:rPr>
          <w:rFonts w:ascii="微软雅黑" w:eastAsia="微软雅黑"/>
          <w:b/>
          <w:spacing w:val="80"/>
          <w:position w:val="10"/>
          <w:sz w:val="10"/>
        </w:rPr>
        <w:t> </w:t>
      </w:r>
      <w:r>
        <w:rPr>
          <w:rFonts w:ascii="微软雅黑" w:eastAsia="微软雅黑"/>
          <w:b/>
          <w:sz w:val="20"/>
        </w:rPr>
        <w:t>基本保额</w:t>
      </w:r>
      <w:r>
        <w:rPr>
          <w:sz w:val="20"/>
        </w:rPr>
        <w:t>为</w:t>
      </w:r>
      <w:r>
        <w:rPr>
          <w:sz w:val="20"/>
        </w:rPr>
        <w:t>本</w:t>
      </w:r>
      <w:r>
        <w:rPr>
          <w:sz w:val="20"/>
        </w:rPr>
        <w:t>合</w:t>
      </w:r>
      <w:r>
        <w:rPr>
          <w:sz w:val="20"/>
        </w:rPr>
        <w:t>同</w:t>
      </w:r>
      <w:r>
        <w:rPr>
          <w:sz w:val="20"/>
        </w:rPr>
        <w:t>保</w:t>
      </w:r>
      <w:r>
        <w:rPr>
          <w:sz w:val="20"/>
        </w:rPr>
        <w:t>险</w:t>
      </w:r>
      <w:r>
        <w:rPr>
          <w:sz w:val="20"/>
        </w:rPr>
        <w:t>费</w:t>
      </w:r>
      <w:r>
        <w:rPr>
          <w:sz w:val="20"/>
        </w:rPr>
        <w:t>的</w:t>
      </w:r>
      <w:r>
        <w:rPr>
          <w:sz w:val="20"/>
        </w:rPr>
        <w:t>计</w:t>
      </w:r>
      <w:r>
        <w:rPr>
          <w:sz w:val="20"/>
        </w:rPr>
        <w:t>算</w:t>
      </w:r>
      <w:r>
        <w:rPr>
          <w:sz w:val="20"/>
        </w:rPr>
        <w:t>基</w:t>
      </w:r>
      <w:r>
        <w:rPr>
          <w:sz w:val="20"/>
        </w:rPr>
        <w:t>础</w:t>
      </w:r>
      <w:r>
        <w:rPr>
          <w:sz w:val="20"/>
        </w:rPr>
        <w:t>，</w:t>
      </w:r>
      <w:r>
        <w:rPr>
          <w:sz w:val="20"/>
        </w:rPr>
        <w:t>由</w:t>
      </w:r>
      <w:r>
        <w:rPr>
          <w:sz w:val="20"/>
        </w:rPr>
        <w:t>您</w:t>
      </w:r>
      <w:r>
        <w:rPr>
          <w:sz w:val="20"/>
        </w:rPr>
        <w:t>与</w:t>
      </w:r>
      <w:r>
        <w:rPr>
          <w:sz w:val="20"/>
        </w:rPr>
        <w:t>我</w:t>
      </w:r>
      <w:r>
        <w:rPr>
          <w:sz w:val="20"/>
        </w:rPr>
        <w:t>们</w:t>
      </w:r>
      <w:r>
        <w:rPr>
          <w:sz w:val="20"/>
        </w:rPr>
        <w:t>约</w:t>
      </w:r>
      <w:r>
        <w:rPr>
          <w:sz w:val="20"/>
        </w:rPr>
        <w:t>定</w:t>
      </w:r>
      <w:r>
        <w:rPr>
          <w:sz w:val="20"/>
        </w:rPr>
        <w:t>并</w:t>
      </w:r>
      <w:r>
        <w:rPr>
          <w:sz w:val="20"/>
        </w:rPr>
        <w:t>在</w:t>
      </w:r>
      <w:r>
        <w:rPr>
          <w:sz w:val="20"/>
        </w:rPr>
        <w:t>保</w:t>
      </w:r>
      <w:r>
        <w:rPr>
          <w:sz w:val="20"/>
        </w:rPr>
        <w:t>险</w:t>
      </w:r>
      <w:r>
        <w:rPr>
          <w:sz w:val="20"/>
        </w:rPr>
        <w:t>单</w:t>
      </w:r>
      <w:r>
        <w:rPr>
          <w:sz w:val="20"/>
        </w:rPr>
        <w:t>上</w:t>
      </w:r>
      <w:r>
        <w:rPr>
          <w:sz w:val="20"/>
        </w:rPr>
        <w:t>载</w:t>
      </w:r>
      <w:r>
        <w:rPr>
          <w:sz w:val="20"/>
        </w:rPr>
        <w:t>明</w:t>
      </w:r>
      <w:r>
        <w:rPr>
          <w:sz w:val="20"/>
        </w:rPr>
        <w:t>。若您</w:t>
      </w:r>
      <w:r>
        <w:rPr>
          <w:sz w:val="20"/>
        </w:rPr>
        <w:t>后</w:t>
      </w:r>
      <w:r>
        <w:rPr>
          <w:sz w:val="20"/>
        </w:rPr>
        <w:t>续</w:t>
      </w:r>
      <w:r>
        <w:rPr>
          <w:sz w:val="20"/>
        </w:rPr>
        <w:t>变</w:t>
      </w:r>
      <w:r>
        <w:rPr>
          <w:sz w:val="20"/>
        </w:rPr>
        <w:t>更</w:t>
      </w:r>
      <w:r>
        <w:rPr>
          <w:sz w:val="20"/>
        </w:rPr>
        <w:t>基</w:t>
      </w:r>
      <w:r>
        <w:rPr>
          <w:sz w:val="20"/>
        </w:rPr>
        <w:t>本</w:t>
      </w:r>
      <w:r>
        <w:rPr>
          <w:sz w:val="20"/>
        </w:rPr>
        <w:t>保</w:t>
      </w:r>
      <w:r>
        <w:rPr>
          <w:sz w:val="20"/>
        </w:rPr>
        <w:t>额</w:t>
      </w:r>
      <w:r>
        <w:rPr>
          <w:sz w:val="20"/>
        </w:rPr>
        <w:t>，</w:t>
      </w:r>
      <w:r>
        <w:rPr>
          <w:sz w:val="20"/>
        </w:rPr>
        <w:t>我</w:t>
      </w:r>
      <w:r>
        <w:rPr>
          <w:sz w:val="20"/>
        </w:rPr>
        <w:t>们</w:t>
      </w:r>
      <w:r>
        <w:rPr>
          <w:sz w:val="20"/>
        </w:rPr>
        <w:t>将</w:t>
      </w:r>
      <w:r>
        <w:rPr>
          <w:spacing w:val="-2"/>
          <w:sz w:val="20"/>
        </w:rPr>
        <w:t>根</w:t>
      </w:r>
      <w:r>
        <w:rPr>
          <w:spacing w:val="-2"/>
          <w:sz w:val="20"/>
        </w:rPr>
        <w:t>据</w:t>
      </w:r>
      <w:r>
        <w:rPr>
          <w:spacing w:val="-2"/>
          <w:sz w:val="20"/>
        </w:rPr>
        <w:t>变</w:t>
      </w:r>
      <w:r>
        <w:rPr>
          <w:spacing w:val="-2"/>
          <w:sz w:val="20"/>
        </w:rPr>
        <w:t>更</w:t>
      </w:r>
      <w:r>
        <w:rPr>
          <w:spacing w:val="-2"/>
          <w:sz w:val="20"/>
        </w:rPr>
        <w:t>后</w:t>
      </w:r>
      <w:r>
        <w:rPr>
          <w:spacing w:val="-2"/>
          <w:sz w:val="20"/>
        </w:rPr>
        <w:t>的</w:t>
      </w:r>
      <w:r>
        <w:rPr>
          <w:spacing w:val="-2"/>
          <w:sz w:val="20"/>
        </w:rPr>
        <w:t>基</w:t>
      </w:r>
      <w:r>
        <w:rPr>
          <w:spacing w:val="-2"/>
          <w:sz w:val="20"/>
        </w:rPr>
        <w:t>本</w:t>
      </w:r>
      <w:r>
        <w:rPr>
          <w:spacing w:val="-2"/>
          <w:sz w:val="20"/>
        </w:rPr>
        <w:t>保</w:t>
      </w:r>
      <w:r>
        <w:rPr>
          <w:spacing w:val="-2"/>
          <w:sz w:val="20"/>
        </w:rPr>
        <w:t>额及对</w:t>
      </w:r>
      <w:r>
        <w:rPr>
          <w:spacing w:val="-2"/>
          <w:sz w:val="20"/>
        </w:rPr>
        <w:t>应</w:t>
      </w:r>
      <w:r>
        <w:rPr>
          <w:spacing w:val="-2"/>
          <w:sz w:val="20"/>
        </w:rPr>
        <w:t>的</w:t>
      </w:r>
      <w:r>
        <w:rPr>
          <w:spacing w:val="-2"/>
          <w:sz w:val="20"/>
        </w:rPr>
        <w:t>保</w:t>
      </w:r>
      <w:r>
        <w:rPr>
          <w:spacing w:val="-2"/>
          <w:sz w:val="20"/>
        </w:rPr>
        <w:t>险</w:t>
      </w:r>
      <w:r>
        <w:rPr>
          <w:spacing w:val="-2"/>
          <w:sz w:val="20"/>
        </w:rPr>
        <w:t>费</w:t>
      </w:r>
      <w:r>
        <w:rPr>
          <w:spacing w:val="-2"/>
          <w:sz w:val="20"/>
        </w:rPr>
        <w:t>计</w:t>
      </w:r>
      <w:r>
        <w:rPr>
          <w:spacing w:val="-2"/>
          <w:sz w:val="20"/>
        </w:rPr>
        <w:t>算</w:t>
      </w:r>
      <w:r>
        <w:rPr>
          <w:spacing w:val="-2"/>
          <w:sz w:val="20"/>
        </w:rPr>
        <w:t>各</w:t>
      </w:r>
      <w:r>
        <w:rPr>
          <w:spacing w:val="-2"/>
          <w:sz w:val="20"/>
        </w:rPr>
        <w:t>项</w:t>
      </w:r>
      <w:r>
        <w:rPr>
          <w:spacing w:val="-2"/>
          <w:sz w:val="20"/>
        </w:rPr>
        <w:t>保险金。</w:t>
      </w:r>
    </w:p>
    <w:p>
      <w:pPr>
        <w:spacing w:after="0" w:line="204" w:lineRule="auto"/>
        <w:jc w:val="left"/>
        <w:rPr>
          <w:sz w:val="20"/>
        </w:rPr>
        <w:sectPr>
          <w:type w:val="continuous"/>
          <w:pgSz w:w="11910" w:h="16840"/>
          <w:pgMar w:header="566" w:footer="664" w:top="1340" w:bottom="860" w:left="900" w:right="720"/>
        </w:sectPr>
      </w:pPr>
    </w:p>
    <w:p>
      <w:pPr>
        <w:pStyle w:val="ListParagraph"/>
        <w:numPr>
          <w:ilvl w:val="3"/>
          <w:numId w:val="11"/>
        </w:numPr>
        <w:tabs>
          <w:tab w:pos="1269" w:val="left" w:leader="none"/>
          <w:tab w:pos="1270" w:val="left" w:leader="none"/>
        </w:tabs>
        <w:spacing w:line="350" w:lineRule="exact" w:before="18" w:after="0"/>
        <w:ind w:left="1270" w:right="0" w:hanging="1038"/>
        <w:jc w:val="left"/>
        <w:rPr>
          <w:rFonts w:ascii="微软雅黑" w:eastAsia="微软雅黑"/>
          <w:b/>
          <w:sz w:val="21"/>
        </w:rPr>
      </w:pPr>
      <w:r>
        <w:rPr>
          <w:rFonts w:ascii="微软雅黑" w:eastAsia="微软雅黑"/>
          <w:b/>
          <w:spacing w:val="-2"/>
          <w:sz w:val="21"/>
        </w:rPr>
        <w:t>男女特定疾病额</w:t>
      </w:r>
    </w:p>
    <w:p>
      <w:pPr>
        <w:spacing w:line="350" w:lineRule="exact" w:before="0"/>
        <w:ind w:left="1270" w:right="0" w:firstLine="0"/>
        <w:jc w:val="left"/>
        <w:rPr>
          <w:rFonts w:ascii="微软雅黑" w:eastAsia="微软雅黑"/>
          <w:b/>
          <w:sz w:val="21"/>
        </w:rPr>
      </w:pPr>
      <w:r>
        <w:rPr>
          <w:rFonts w:ascii="微软雅黑" w:eastAsia="微软雅黑"/>
          <w:b/>
          <w:spacing w:val="-3"/>
          <w:sz w:val="21"/>
        </w:rPr>
        <w:t>外保险金</w:t>
      </w:r>
    </w:p>
    <w:p>
      <w:pPr>
        <w:spacing w:line="194" w:lineRule="auto" w:before="70"/>
        <w:ind w:left="232" w:right="312" w:firstLine="0"/>
        <w:jc w:val="left"/>
        <w:rPr>
          <w:sz w:val="21"/>
        </w:rPr>
      </w:pPr>
      <w:r>
        <w:rPr/>
        <w:br w:type="column"/>
      </w:r>
      <w:r>
        <w:rPr>
          <w:spacing w:val="-2"/>
          <w:sz w:val="21"/>
        </w:rPr>
        <w:t>若被保险人经认可的医院确诊初次患上的第一次重大疾病为本合同约定的</w:t>
      </w:r>
      <w:r>
        <w:rPr>
          <w:rFonts w:ascii="微软雅黑" w:eastAsia="微软雅黑"/>
          <w:b/>
          <w:spacing w:val="-2"/>
          <w:sz w:val="21"/>
        </w:rPr>
        <w:t>男</w:t>
      </w:r>
      <w:r>
        <w:rPr>
          <w:rFonts w:ascii="微软雅黑" w:eastAsia="微软雅黑"/>
          <w:b/>
          <w:sz w:val="21"/>
        </w:rPr>
        <w:t>性特定疾病（9</w:t>
      </w:r>
      <w:r>
        <w:rPr>
          <w:rFonts w:ascii="微软雅黑" w:eastAsia="微软雅黑"/>
          <w:b/>
          <w:spacing w:val="-1"/>
          <w:sz w:val="21"/>
        </w:rPr>
        <w:t> 种</w:t>
      </w:r>
      <w:r>
        <w:rPr>
          <w:rFonts w:ascii="微软雅黑" w:eastAsia="微软雅黑"/>
          <w:b/>
          <w:sz w:val="21"/>
        </w:rPr>
        <w:t>）或女性特定疾病（6</w:t>
      </w:r>
      <w:r>
        <w:rPr>
          <w:rFonts w:ascii="微软雅黑" w:eastAsia="微软雅黑"/>
          <w:b/>
          <w:spacing w:val="-1"/>
          <w:sz w:val="21"/>
        </w:rPr>
        <w:t> 种</w:t>
      </w:r>
      <w:r>
        <w:rPr>
          <w:rFonts w:ascii="微软雅黑" w:eastAsia="微软雅黑"/>
          <w:b/>
          <w:spacing w:val="-106"/>
          <w:sz w:val="21"/>
        </w:rPr>
        <w:t>）</w:t>
      </w:r>
      <w:r>
        <w:rPr>
          <w:spacing w:val="-7"/>
          <w:sz w:val="21"/>
        </w:rPr>
        <w:t>，且被保险人未满 </w:t>
      </w:r>
      <w:r>
        <w:rPr>
          <w:sz w:val="21"/>
        </w:rPr>
        <w:t>60</w:t>
      </w:r>
      <w:r>
        <w:rPr>
          <w:spacing w:val="-10"/>
          <w:sz w:val="21"/>
        </w:rPr>
        <w:t> 周岁，我</w:t>
      </w:r>
    </w:p>
    <w:p>
      <w:pPr>
        <w:pStyle w:val="BodyText"/>
        <w:spacing w:line="278" w:lineRule="auto" w:before="12"/>
        <w:ind w:left="232" w:right="363"/>
      </w:pPr>
      <w:r>
        <w:rPr>
          <w:spacing w:val="-2"/>
        </w:rPr>
        <w:t>们在给付第一次重大疾病保险金的同时按本合同基本保额的 </w:t>
      </w:r>
      <w:r>
        <w:rPr/>
        <w:t>50%向受益人额</w:t>
      </w:r>
      <w:r>
        <w:rPr>
          <w:spacing w:val="-2"/>
        </w:rPr>
        <w:t>外给付男女特定疾病额外保险金。</w:t>
      </w:r>
    </w:p>
    <w:p>
      <w:pPr>
        <w:spacing w:line="320" w:lineRule="exact" w:before="0"/>
        <w:ind w:left="232" w:right="0" w:firstLine="0"/>
        <w:jc w:val="left"/>
        <w:rPr>
          <w:rFonts w:ascii="微软雅黑" w:eastAsia="微软雅黑"/>
          <w:b/>
          <w:sz w:val="21"/>
        </w:rPr>
      </w:pPr>
      <w:r>
        <w:rPr>
          <w:rFonts w:ascii="微软雅黑" w:eastAsia="微软雅黑"/>
          <w:b/>
          <w:spacing w:val="-3"/>
          <w:sz w:val="21"/>
        </w:rPr>
        <w:t>本合同男女特定疾病额外保险金的给付次数以一次为限。</w:t>
      </w:r>
    </w:p>
    <w:p>
      <w:pPr>
        <w:spacing w:after="0" w:line="320" w:lineRule="exact"/>
        <w:jc w:val="left"/>
        <w:rPr>
          <w:rFonts w:ascii="微软雅黑" w:eastAsia="微软雅黑"/>
          <w:sz w:val="21"/>
        </w:rPr>
        <w:sectPr>
          <w:pgSz w:w="11910" w:h="16840"/>
          <w:pgMar w:header="566" w:footer="664" w:top="1340" w:bottom="860" w:left="900" w:right="720"/>
          <w:cols w:num="2" w:equalWidth="0">
            <w:col w:w="2749" w:space="55"/>
            <w:col w:w="7486"/>
          </w:cols>
        </w:sectPr>
      </w:pPr>
    </w:p>
    <w:p>
      <w:pPr>
        <w:pStyle w:val="BodyText"/>
        <w:spacing w:line="288" w:lineRule="exact"/>
        <w:ind w:left="3037"/>
        <w:rPr>
          <w:rFonts w:ascii="微软雅黑"/>
          <w:sz w:val="20"/>
        </w:rPr>
      </w:pPr>
      <w:r>
        <w:rPr>
          <w:rFonts w:ascii="微软雅黑"/>
          <w:position w:val="-5"/>
          <w:sz w:val="20"/>
        </w:rPr>
        <w:pict>
          <v:shape style="width:342.3pt;height:14.4pt;mso-position-horizontal-relative:char;mso-position-vertical-relative:line" type="#_x0000_t202" id="docshape6"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3"/>
                      <w:sz w:val="22"/>
                    </w:rPr>
                    <w:t>若被保险人确诊的第一次重大疾病不属于本合同约定的男女特定疾病，</w:t>
                  </w:r>
                </w:p>
              </w:txbxContent>
            </v:textbox>
            <v:fill type="solid"/>
          </v:shape>
        </w:pict>
      </w:r>
      <w:r>
        <w:rPr>
          <w:rFonts w:ascii="微软雅黑"/>
          <w:position w:val="-5"/>
          <w:sz w:val="20"/>
        </w:rPr>
      </w:r>
    </w:p>
    <w:p>
      <w:pPr>
        <w:pStyle w:val="BodyText"/>
        <w:spacing w:line="288" w:lineRule="exact"/>
        <w:ind w:left="3037"/>
        <w:rPr>
          <w:rFonts w:ascii="微软雅黑"/>
          <w:sz w:val="20"/>
        </w:rPr>
      </w:pPr>
      <w:r>
        <w:rPr>
          <w:rFonts w:ascii="微软雅黑"/>
          <w:position w:val="-5"/>
          <w:sz w:val="20"/>
        </w:rPr>
        <w:pict>
          <v:shape style="width:342.3pt;height:14.4pt;mso-position-horizontal-relative:char;mso-position-vertical-relative:line" type="#_x0000_t202" id="docshape7"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3"/>
                      <w:sz w:val="22"/>
                    </w:rPr>
                    <w:t>我们不承担给付男女特定疾病额外保险金的保险责任，同时本项保险责</w:t>
                  </w:r>
                </w:p>
              </w:txbxContent>
            </v:textbox>
            <v:fill type="solid"/>
          </v:shape>
        </w:pict>
      </w:r>
      <w:r>
        <w:rPr>
          <w:rFonts w:ascii="微软雅黑"/>
          <w:position w:val="-5"/>
          <w:sz w:val="20"/>
        </w:rPr>
      </w:r>
    </w:p>
    <w:p>
      <w:pPr>
        <w:pStyle w:val="BodyText"/>
        <w:rPr>
          <w:rFonts w:ascii="微软雅黑"/>
          <w:b/>
          <w:sz w:val="2"/>
        </w:rPr>
      </w:pPr>
    </w:p>
    <w:p>
      <w:pPr>
        <w:pStyle w:val="BodyText"/>
        <w:spacing w:line="288" w:lineRule="exact"/>
        <w:ind w:left="3037"/>
        <w:rPr>
          <w:rFonts w:ascii="微软雅黑"/>
          <w:sz w:val="20"/>
        </w:rPr>
      </w:pPr>
      <w:r>
        <w:rPr>
          <w:rFonts w:ascii="微软雅黑"/>
          <w:position w:val="-5"/>
          <w:sz w:val="20"/>
        </w:rPr>
        <w:pict>
          <v:shape style="width:44.2pt;height:14.4pt;mso-position-horizontal-relative:char;mso-position-vertical-relative:line" type="#_x0000_t202" id="docshape8"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6"/>
                      <w:sz w:val="22"/>
                    </w:rPr>
                    <w:t>任终止。</w:t>
                  </w:r>
                </w:p>
              </w:txbxContent>
            </v:textbox>
            <v:fill type="solid"/>
          </v:shape>
        </w:pict>
      </w:r>
      <w:r>
        <w:rPr>
          <w:rFonts w:ascii="微软雅黑"/>
          <w:position w:val="-5"/>
          <w:sz w:val="20"/>
        </w:rPr>
      </w:r>
    </w:p>
    <w:p>
      <w:pPr>
        <w:pStyle w:val="BodyText"/>
        <w:spacing w:before="14"/>
        <w:rPr>
          <w:rFonts w:ascii="微软雅黑"/>
          <w:b/>
          <w:sz w:val="6"/>
        </w:rPr>
      </w:pPr>
    </w:p>
    <w:p>
      <w:pPr>
        <w:spacing w:after="0"/>
        <w:rPr>
          <w:rFonts w:ascii="微软雅黑"/>
          <w:sz w:val="6"/>
        </w:rPr>
        <w:sectPr>
          <w:type w:val="continuous"/>
          <w:pgSz w:w="11910" w:h="16840"/>
          <w:pgMar w:header="566" w:footer="664" w:top="1340" w:bottom="860" w:left="900" w:right="720"/>
        </w:sectPr>
      </w:pPr>
    </w:p>
    <w:p>
      <w:pPr>
        <w:pStyle w:val="ListParagraph"/>
        <w:numPr>
          <w:ilvl w:val="3"/>
          <w:numId w:val="11"/>
        </w:numPr>
        <w:tabs>
          <w:tab w:pos="1269" w:val="left" w:leader="none"/>
          <w:tab w:pos="1270" w:val="left" w:leader="none"/>
        </w:tabs>
        <w:spacing w:line="194" w:lineRule="auto" w:before="57" w:after="0"/>
        <w:ind w:left="1270" w:right="0" w:hanging="1038"/>
        <w:jc w:val="left"/>
        <w:rPr>
          <w:rFonts w:ascii="微软雅黑" w:eastAsia="微软雅黑"/>
          <w:b/>
          <w:sz w:val="21"/>
        </w:rPr>
      </w:pPr>
      <w:r>
        <w:rPr>
          <w:rFonts w:ascii="微软雅黑" w:eastAsia="微软雅黑"/>
          <w:b/>
          <w:spacing w:val="-2"/>
          <w:sz w:val="21"/>
        </w:rPr>
        <w:t>住院关爱津贴保</w:t>
      </w:r>
      <w:r>
        <w:rPr>
          <w:rFonts w:ascii="微软雅黑" w:eastAsia="微软雅黑"/>
          <w:b/>
          <w:spacing w:val="-6"/>
          <w:sz w:val="21"/>
        </w:rPr>
        <w:t>险金</w:t>
      </w:r>
    </w:p>
    <w:p>
      <w:pPr>
        <w:pStyle w:val="BodyText"/>
        <w:spacing w:line="228" w:lineRule="auto" w:before="82"/>
        <w:ind w:left="232" w:right="310"/>
        <w:jc w:val="both"/>
      </w:pPr>
      <w:r>
        <w:rPr/>
        <w:br w:type="column"/>
      </w:r>
      <w:r>
        <w:rPr>
          <w:spacing w:val="-2"/>
        </w:rPr>
        <w:t>若被保险人从未患上本合同约定的重大疾病，且在等待期后，被保险人在年</w:t>
      </w:r>
      <w:r>
        <w:rPr>
          <w:spacing w:val="-7"/>
        </w:rPr>
        <w:t>满 </w:t>
      </w:r>
      <w:r>
        <w:rPr>
          <w:spacing w:val="-2"/>
        </w:rPr>
        <w:t>60</w:t>
      </w:r>
      <w:r>
        <w:rPr>
          <w:spacing w:val="-6"/>
        </w:rPr>
        <w:t> 周岁的</w:t>
      </w:r>
      <w:r>
        <w:rPr>
          <w:rFonts w:ascii="微软雅黑" w:eastAsia="微软雅黑"/>
          <w:b/>
          <w:spacing w:val="-2"/>
        </w:rPr>
        <w:t>保单周年日</w:t>
      </w:r>
      <w:r>
        <w:rPr>
          <w:rFonts w:ascii="微软雅黑" w:eastAsia="微软雅黑"/>
          <w:b/>
          <w:spacing w:val="-2"/>
          <w:position w:val="11"/>
          <w:sz w:val="11"/>
        </w:rPr>
        <w:t>6</w:t>
      </w:r>
      <w:r>
        <w:rPr>
          <w:spacing w:val="-2"/>
        </w:rPr>
        <w:t>后在认可的医院接受住院治疗的，我们按本合同基</w:t>
      </w:r>
      <w:r>
        <w:rPr>
          <w:spacing w:val="-9"/>
        </w:rPr>
        <w:t>本保额的 </w:t>
      </w:r>
      <w:r>
        <w:rPr/>
        <w:t>0.1%乘以实际住院天数向受益人给付住院关爱津贴保险金。</w:t>
      </w:r>
    </w:p>
    <w:p>
      <w:pPr>
        <w:pStyle w:val="BodyText"/>
        <w:spacing w:line="363" w:lineRule="exact"/>
        <w:ind w:left="232"/>
      </w:pPr>
      <w:r>
        <w:rPr>
          <w:w w:val="95"/>
        </w:rPr>
        <w:t>同</w:t>
      </w:r>
      <w:r>
        <w:rPr>
          <w:w w:val="95"/>
        </w:rPr>
        <w:t>一</w:t>
      </w:r>
      <w:r>
        <w:rPr>
          <w:w w:val="95"/>
        </w:rPr>
        <w:t>个</w:t>
      </w:r>
      <w:r>
        <w:rPr>
          <w:rFonts w:ascii="微软雅黑" w:eastAsia="微软雅黑"/>
          <w:b/>
          <w:w w:val="95"/>
        </w:rPr>
        <w:t>保</w:t>
      </w:r>
      <w:r>
        <w:rPr>
          <w:rFonts w:ascii="微软雅黑" w:eastAsia="微软雅黑"/>
          <w:b/>
          <w:w w:val="95"/>
        </w:rPr>
        <w:t>单</w:t>
      </w:r>
      <w:r>
        <w:rPr>
          <w:rFonts w:ascii="微软雅黑" w:eastAsia="微软雅黑"/>
          <w:b/>
          <w:w w:val="95"/>
        </w:rPr>
        <w:t>年</w:t>
      </w:r>
      <w:r>
        <w:rPr>
          <w:rFonts w:ascii="微软雅黑" w:eastAsia="微软雅黑"/>
          <w:b/>
          <w:w w:val="95"/>
        </w:rPr>
        <w:t>度</w:t>
      </w:r>
      <w:r>
        <w:rPr>
          <w:rFonts w:ascii="微软雅黑" w:eastAsia="微软雅黑"/>
          <w:b/>
          <w:w w:val="95"/>
          <w:position w:val="11"/>
          <w:sz w:val="11"/>
        </w:rPr>
        <w:t>7</w:t>
      </w:r>
      <w:r>
        <w:rPr>
          <w:w w:val="95"/>
        </w:rPr>
        <w:t>内，</w:t>
      </w:r>
      <w:r>
        <w:rPr>
          <w:w w:val="95"/>
        </w:rPr>
        <w:t>被</w:t>
      </w:r>
      <w:r>
        <w:rPr>
          <w:w w:val="95"/>
        </w:rPr>
        <w:t>保</w:t>
      </w:r>
      <w:r>
        <w:rPr>
          <w:w w:val="95"/>
        </w:rPr>
        <w:t>险</w:t>
      </w:r>
      <w:r>
        <w:rPr>
          <w:w w:val="95"/>
        </w:rPr>
        <w:t>人</w:t>
      </w:r>
      <w:r>
        <w:rPr>
          <w:w w:val="95"/>
        </w:rPr>
        <w:t>无论一次或多次住院</w:t>
      </w:r>
      <w:r>
        <w:rPr>
          <w:w w:val="95"/>
        </w:rPr>
        <w:t>治</w:t>
      </w:r>
      <w:r>
        <w:rPr>
          <w:w w:val="95"/>
        </w:rPr>
        <w:t>疗</w:t>
      </w:r>
      <w:r>
        <w:rPr>
          <w:w w:val="95"/>
        </w:rPr>
        <w:t>，本合同住院</w:t>
      </w:r>
      <w:r>
        <w:rPr>
          <w:w w:val="95"/>
        </w:rPr>
        <w:t>关</w:t>
      </w:r>
      <w:r>
        <w:rPr>
          <w:w w:val="95"/>
        </w:rPr>
        <w:t>爱</w:t>
      </w:r>
      <w:r>
        <w:rPr>
          <w:spacing w:val="-10"/>
          <w:w w:val="95"/>
        </w:rPr>
        <w:t>津</w:t>
      </w:r>
    </w:p>
    <w:p>
      <w:pPr>
        <w:pStyle w:val="BodyText"/>
        <w:spacing w:line="278" w:lineRule="auto"/>
        <w:ind w:left="232" w:right="296"/>
      </w:pPr>
      <w:r>
        <w:rPr>
          <w:spacing w:val="-5"/>
        </w:rPr>
        <w:t>贴保险金的累计给付天数以 </w:t>
      </w:r>
      <w:r>
        <w:rPr/>
        <w:t>90</w:t>
      </w:r>
      <w:r>
        <w:rPr>
          <w:spacing w:val="-14"/>
        </w:rPr>
        <w:t> 日为限；本合同保险期间内住院关爱津贴保险</w:t>
      </w:r>
      <w:r>
        <w:rPr>
          <w:spacing w:val="-3"/>
        </w:rPr>
        <w:t>金的累计给付金额达到本合同基本保额的 </w:t>
      </w:r>
      <w:r>
        <w:rPr/>
        <w:t>90%时，本项保险责任终止。</w:t>
      </w:r>
    </w:p>
    <w:p>
      <w:pPr>
        <w:pStyle w:val="BodyText"/>
        <w:spacing w:line="278" w:lineRule="auto"/>
        <w:ind w:left="232" w:right="310"/>
      </w:pPr>
      <w:r>
        <w:rPr>
          <w:spacing w:val="-2"/>
        </w:rPr>
        <w:t>若我们已经按约定给付住院关爱津贴保险金，则我们在给付第一次重大疾病</w:t>
      </w:r>
      <w:r>
        <w:rPr>
          <w:spacing w:val="-2"/>
        </w:rPr>
        <w:t>保险金、身故保险金时，均需扣减累计已给付的住院关爱津贴保险金。</w:t>
      </w:r>
    </w:p>
    <w:p>
      <w:pPr>
        <w:spacing w:after="0" w:line="278" w:lineRule="auto"/>
        <w:sectPr>
          <w:type w:val="continuous"/>
          <w:pgSz w:w="11910" w:h="16840"/>
          <w:pgMar w:header="566" w:footer="664" w:top="1340" w:bottom="860" w:left="900" w:right="720"/>
          <w:cols w:num="2" w:equalWidth="0">
            <w:col w:w="2749" w:space="55"/>
            <w:col w:w="7486"/>
          </w:cols>
        </w:sectPr>
      </w:pPr>
    </w:p>
    <w:p>
      <w:pPr>
        <w:pStyle w:val="ListParagraph"/>
        <w:numPr>
          <w:ilvl w:val="2"/>
          <w:numId w:val="10"/>
        </w:numPr>
        <w:tabs>
          <w:tab w:pos="1269" w:val="left" w:leader="none"/>
          <w:tab w:pos="1270" w:val="left" w:leader="none"/>
        </w:tabs>
        <w:spacing w:line="240" w:lineRule="auto" w:before="97" w:after="0"/>
        <w:ind w:left="1270" w:right="0" w:hanging="1038"/>
        <w:jc w:val="left"/>
        <w:rPr>
          <w:rFonts w:ascii="微软雅黑" w:eastAsia="微软雅黑"/>
          <w:b/>
          <w:sz w:val="21"/>
        </w:rPr>
      </w:pPr>
      <w:r>
        <w:rPr>
          <w:rFonts w:ascii="微软雅黑" w:eastAsia="微软雅黑"/>
          <w:b/>
          <w:spacing w:val="-3"/>
          <w:sz w:val="21"/>
        </w:rPr>
        <w:t>可选责任</w:t>
      </w:r>
    </w:p>
    <w:p>
      <w:pPr>
        <w:spacing w:after="0" w:line="240" w:lineRule="auto"/>
        <w:jc w:val="left"/>
        <w:rPr>
          <w:rFonts w:ascii="微软雅黑" w:eastAsia="微软雅黑"/>
          <w:sz w:val="21"/>
        </w:rPr>
        <w:sectPr>
          <w:type w:val="continuous"/>
          <w:pgSz w:w="11910" w:h="16840"/>
          <w:pgMar w:header="566" w:footer="664" w:top="1340" w:bottom="860" w:left="900" w:right="720"/>
        </w:sectPr>
      </w:pPr>
    </w:p>
    <w:p>
      <w:pPr>
        <w:pStyle w:val="ListParagraph"/>
        <w:numPr>
          <w:ilvl w:val="3"/>
          <w:numId w:val="12"/>
        </w:numPr>
        <w:tabs>
          <w:tab w:pos="1269" w:val="left" w:leader="none"/>
          <w:tab w:pos="1270" w:val="left" w:leader="none"/>
        </w:tabs>
        <w:spacing w:line="350" w:lineRule="exact" w:before="95" w:after="0"/>
        <w:ind w:left="1270" w:right="0" w:hanging="1038"/>
        <w:jc w:val="left"/>
        <w:rPr>
          <w:rFonts w:ascii="微软雅黑" w:eastAsia="微软雅黑"/>
          <w:b/>
          <w:sz w:val="21"/>
        </w:rPr>
      </w:pPr>
      <w:r>
        <w:rPr>
          <w:rFonts w:ascii="微软雅黑" w:eastAsia="微软雅黑"/>
          <w:b/>
          <w:spacing w:val="-2"/>
          <w:sz w:val="21"/>
        </w:rPr>
        <w:t>前症疾病保险金</w:t>
      </w:r>
    </w:p>
    <w:p>
      <w:pPr>
        <w:spacing w:line="350" w:lineRule="exact" w:before="0"/>
        <w:ind w:left="1270" w:right="0" w:firstLine="0"/>
        <w:jc w:val="left"/>
        <w:rPr>
          <w:rFonts w:ascii="微软雅黑" w:eastAsia="微软雅黑"/>
          <w:b/>
          <w:sz w:val="21"/>
        </w:rPr>
      </w:pPr>
      <w:r>
        <w:rPr>
          <w:rFonts w:ascii="微软雅黑" w:eastAsia="微软雅黑"/>
          <w:b/>
          <w:spacing w:val="-2"/>
          <w:sz w:val="21"/>
        </w:rPr>
        <w:t>及豁免保险费</w:t>
      </w:r>
    </w:p>
    <w:p>
      <w:pPr>
        <w:pStyle w:val="BodyText"/>
        <w:spacing w:line="278" w:lineRule="auto" w:before="162"/>
        <w:ind w:left="232" w:right="310"/>
        <w:jc w:val="both"/>
      </w:pPr>
      <w:r>
        <w:rPr/>
        <w:br w:type="column"/>
      </w:r>
      <w:r>
        <w:rPr>
          <w:spacing w:val="-2"/>
        </w:rPr>
        <w:t>被保险人在等待期以后经认可的医院确诊初次患上一种或多种本合同约定的</w:t>
      </w:r>
      <w:r>
        <w:rPr>
          <w:w w:val="95"/>
        </w:rPr>
        <w:t>前</w:t>
      </w:r>
      <w:r>
        <w:rPr>
          <w:w w:val="95"/>
        </w:rPr>
        <w:t>症</w:t>
      </w:r>
      <w:r>
        <w:rPr>
          <w:w w:val="95"/>
        </w:rPr>
        <w:t>疾病（20</w:t>
      </w:r>
      <w:r>
        <w:rPr>
          <w:spacing w:val="32"/>
        </w:rPr>
        <w:t> </w:t>
      </w:r>
      <w:r>
        <w:rPr>
          <w:w w:val="95"/>
        </w:rPr>
        <w:t>种</w:t>
      </w:r>
      <w:r>
        <w:rPr>
          <w:spacing w:val="-106"/>
          <w:w w:val="95"/>
        </w:rPr>
        <w:t>）</w:t>
      </w:r>
      <w:r>
        <w:rPr>
          <w:spacing w:val="-2"/>
          <w:w w:val="95"/>
        </w:rPr>
        <w:t>，并经</w:t>
      </w:r>
      <w:r>
        <w:rPr>
          <w:w w:val="95"/>
        </w:rPr>
        <w:t>本</w:t>
      </w:r>
      <w:r>
        <w:rPr>
          <w:w w:val="95"/>
        </w:rPr>
        <w:t>合</w:t>
      </w:r>
      <w:r>
        <w:rPr>
          <w:w w:val="95"/>
        </w:rPr>
        <w:t>同“11.1</w:t>
      </w:r>
      <w:r>
        <w:rPr>
          <w:spacing w:val="32"/>
        </w:rPr>
        <w:t> </w:t>
      </w:r>
      <w:r>
        <w:rPr>
          <w:w w:val="95"/>
        </w:rPr>
        <w:t>前症疾</w:t>
      </w:r>
      <w:r>
        <w:rPr>
          <w:w w:val="95"/>
        </w:rPr>
        <w:t>病</w:t>
      </w:r>
      <w:r>
        <w:rPr>
          <w:w w:val="95"/>
        </w:rPr>
        <w:t>定</w:t>
      </w:r>
      <w:r>
        <w:rPr>
          <w:w w:val="95"/>
        </w:rPr>
        <w:t>义</w:t>
      </w:r>
      <w:r>
        <w:rPr>
          <w:w w:val="95"/>
        </w:rPr>
        <w:t>”中约定的治疗后，</w:t>
      </w:r>
      <w:r>
        <w:rPr>
          <w:w w:val="95"/>
        </w:rPr>
        <w:t>我</w:t>
      </w:r>
      <w:r>
        <w:rPr>
          <w:spacing w:val="-4"/>
        </w:rPr>
        <w:t>们按本合同基本保额的 </w:t>
      </w:r>
      <w:r>
        <w:rPr/>
        <w:t>20%向受益人给付前症疾病保险金。</w:t>
      </w:r>
    </w:p>
    <w:p>
      <w:pPr>
        <w:spacing w:line="316" w:lineRule="exact" w:before="0"/>
        <w:ind w:left="232" w:right="0" w:firstLine="0"/>
        <w:jc w:val="left"/>
        <w:rPr>
          <w:rFonts w:ascii="微软雅黑" w:eastAsia="微软雅黑"/>
          <w:b/>
          <w:sz w:val="21"/>
        </w:rPr>
      </w:pPr>
      <w:r>
        <w:rPr>
          <w:rFonts w:ascii="微软雅黑" w:eastAsia="微软雅黑"/>
          <w:b/>
          <w:spacing w:val="-3"/>
          <w:sz w:val="21"/>
        </w:rPr>
        <w:t>本合同前症疾病保险金的给付次数以一次为限。</w:t>
      </w:r>
    </w:p>
    <w:p>
      <w:pPr>
        <w:pStyle w:val="BodyText"/>
        <w:spacing w:line="278" w:lineRule="auto"/>
        <w:ind w:left="232" w:right="310"/>
      </w:pPr>
      <w:r>
        <w:rPr>
          <w:spacing w:val="-2"/>
        </w:rPr>
        <w:t>给付前症疾病保险金后，我们将逐期豁免本合同约定的前症疾病确诊日后余</w:t>
      </w:r>
      <w:r>
        <w:rPr>
          <w:spacing w:val="-2"/>
        </w:rPr>
        <w:t>下各期的本合同保险费，您每期被豁免的保险费视为您已支付。</w:t>
      </w:r>
    </w:p>
    <w:p>
      <w:pPr>
        <w:spacing w:after="0" w:line="278" w:lineRule="auto"/>
        <w:sectPr>
          <w:type w:val="continuous"/>
          <w:pgSz w:w="11910" w:h="16840"/>
          <w:pgMar w:header="566" w:footer="664" w:top="1340" w:bottom="860" w:left="900" w:right="720"/>
          <w:cols w:num="2" w:equalWidth="0">
            <w:col w:w="2749" w:space="55"/>
            <w:col w:w="7486"/>
          </w:cols>
        </w:sectPr>
      </w:pPr>
    </w:p>
    <w:p>
      <w:pPr>
        <w:pStyle w:val="ListParagraph"/>
        <w:numPr>
          <w:ilvl w:val="3"/>
          <w:numId w:val="12"/>
        </w:numPr>
        <w:tabs>
          <w:tab w:pos="1037" w:val="left" w:leader="none"/>
          <w:tab w:pos="1270" w:val="left" w:leader="none"/>
        </w:tabs>
        <w:spacing w:line="350" w:lineRule="exact" w:before="100" w:after="0"/>
        <w:ind w:left="1270" w:right="0" w:hanging="1270"/>
        <w:jc w:val="right"/>
        <w:rPr>
          <w:rFonts w:ascii="微软雅黑" w:eastAsia="微软雅黑"/>
          <w:b/>
          <w:sz w:val="21"/>
        </w:rPr>
      </w:pPr>
      <w:r>
        <w:rPr>
          <w:rFonts w:ascii="微软雅黑" w:eastAsia="微软雅黑"/>
          <w:b/>
          <w:spacing w:val="-2"/>
          <w:sz w:val="21"/>
        </w:rPr>
        <w:t>第二次心脑血管</w:t>
      </w:r>
    </w:p>
    <w:p>
      <w:pPr>
        <w:spacing w:line="350" w:lineRule="exact" w:before="0"/>
        <w:ind w:left="0" w:right="0" w:firstLine="0"/>
        <w:jc w:val="right"/>
        <w:rPr>
          <w:rFonts w:ascii="微软雅黑" w:eastAsia="微软雅黑"/>
          <w:b/>
          <w:sz w:val="21"/>
        </w:rPr>
      </w:pPr>
      <w:r>
        <w:rPr>
          <w:rFonts w:ascii="微软雅黑" w:eastAsia="微软雅黑"/>
          <w:b/>
          <w:spacing w:val="-2"/>
          <w:sz w:val="21"/>
        </w:rPr>
        <w:t>特定疾病保险金</w:t>
      </w:r>
    </w:p>
    <w:p>
      <w:pPr>
        <w:pStyle w:val="BodyText"/>
        <w:spacing w:line="312" w:lineRule="exact" w:before="127"/>
        <w:ind w:left="232" w:right="300"/>
        <w:jc w:val="both"/>
      </w:pPr>
      <w:r>
        <w:rPr/>
        <w:br w:type="column"/>
      </w:r>
      <w:r>
        <w:rPr>
          <w:spacing w:val="-2"/>
        </w:rPr>
        <w:t>我们给付重大疾病保险金后，若所患重大疾病为本合同约定的</w:t>
      </w:r>
      <w:r>
        <w:rPr>
          <w:rFonts w:ascii="微软雅黑" w:eastAsia="微软雅黑"/>
          <w:b/>
          <w:spacing w:val="-2"/>
        </w:rPr>
        <w:t>心脑血管特定</w:t>
      </w:r>
      <w:r>
        <w:rPr>
          <w:rFonts w:ascii="微软雅黑" w:eastAsia="微软雅黑"/>
          <w:b/>
          <w:spacing w:val="-2"/>
        </w:rPr>
        <w:t>疾病</w:t>
      </w:r>
      <w:r>
        <w:rPr>
          <w:spacing w:val="-2"/>
        </w:rPr>
        <w:t>（无论一种或多种）</w:t>
      </w:r>
      <w:r>
        <w:rPr>
          <w:spacing w:val="-4"/>
        </w:rPr>
        <w:t>，且被保险人自该重大疾病确诊日起 </w:t>
      </w:r>
      <w:r>
        <w:rPr>
          <w:spacing w:val="-2"/>
        </w:rPr>
        <w:t>1</w:t>
      </w:r>
      <w:r>
        <w:rPr>
          <w:spacing w:val="-7"/>
        </w:rPr>
        <w:t> 年后，经认</w:t>
      </w:r>
      <w:r>
        <w:rPr>
          <w:spacing w:val="-3"/>
        </w:rPr>
        <w:t>可的医院确诊再次发生同一种重大疾病，我们按本合同基本保额的 </w:t>
      </w:r>
      <w:r>
        <w:rPr>
          <w:spacing w:val="-2"/>
        </w:rPr>
        <w:t>100%向受</w:t>
      </w:r>
      <w:r>
        <w:rPr>
          <w:spacing w:val="-2"/>
        </w:rPr>
        <w:t>益人给付第二次心脑血管特定疾病保险金。</w:t>
      </w:r>
    </w:p>
    <w:p>
      <w:pPr>
        <w:spacing w:line="194" w:lineRule="auto" w:before="25"/>
        <w:ind w:left="232" w:right="299" w:firstLine="0"/>
        <w:jc w:val="left"/>
        <w:rPr>
          <w:rFonts w:ascii="微软雅黑" w:eastAsia="微软雅黑"/>
          <w:b/>
          <w:sz w:val="21"/>
        </w:rPr>
      </w:pPr>
      <w:r>
        <w:rPr>
          <w:rFonts w:ascii="微软雅黑" w:eastAsia="微软雅黑"/>
          <w:b/>
          <w:spacing w:val="-2"/>
          <w:sz w:val="21"/>
        </w:rPr>
        <w:t>本合同第二次心脑血管特定疾病保险金的给付次数以一次为限，给付后该项</w:t>
      </w:r>
      <w:r>
        <w:rPr>
          <w:rFonts w:ascii="微软雅黑" w:eastAsia="微软雅黑"/>
          <w:b/>
          <w:spacing w:val="-2"/>
          <w:sz w:val="21"/>
        </w:rPr>
        <w:t>保险责任终止。</w:t>
      </w:r>
    </w:p>
    <w:p>
      <w:pPr>
        <w:spacing w:line="350" w:lineRule="exact" w:before="101"/>
        <w:ind w:left="232" w:right="0" w:firstLine="0"/>
        <w:jc w:val="left"/>
        <w:rPr>
          <w:rFonts w:ascii="微软雅黑" w:eastAsia="微软雅黑"/>
          <w:b/>
          <w:sz w:val="21"/>
        </w:rPr>
      </w:pPr>
      <w:r>
        <w:rPr>
          <w:rFonts w:ascii="微软雅黑" w:eastAsia="微软雅黑"/>
          <w:b/>
          <w:w w:val="95"/>
          <w:sz w:val="21"/>
        </w:rPr>
        <w:t>本</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所</w:t>
      </w:r>
      <w:r>
        <w:rPr>
          <w:rFonts w:ascii="微软雅黑" w:eastAsia="微软雅黑"/>
          <w:b/>
          <w:w w:val="95"/>
          <w:sz w:val="21"/>
        </w:rPr>
        <w:t>列</w:t>
      </w:r>
      <w:r>
        <w:rPr>
          <w:rFonts w:ascii="微软雅黑" w:eastAsia="微软雅黑"/>
          <w:b/>
          <w:w w:val="95"/>
          <w:sz w:val="21"/>
        </w:rPr>
        <w:t>的</w:t>
      </w:r>
      <w:r>
        <w:rPr>
          <w:rFonts w:ascii="微软雅黑" w:eastAsia="微软雅黑"/>
          <w:b/>
          <w:w w:val="95"/>
          <w:sz w:val="21"/>
        </w:rPr>
        <w:t>心</w:t>
      </w:r>
      <w:r>
        <w:rPr>
          <w:rFonts w:ascii="微软雅黑" w:eastAsia="微软雅黑"/>
          <w:b/>
          <w:w w:val="95"/>
          <w:sz w:val="21"/>
        </w:rPr>
        <w:t>脑</w:t>
      </w:r>
      <w:r>
        <w:rPr>
          <w:rFonts w:ascii="微软雅黑" w:eastAsia="微软雅黑"/>
          <w:b/>
          <w:w w:val="95"/>
          <w:sz w:val="21"/>
        </w:rPr>
        <w:t>血管特</w:t>
      </w:r>
      <w:r>
        <w:rPr>
          <w:rFonts w:ascii="微软雅黑" w:eastAsia="微软雅黑"/>
          <w:b/>
          <w:w w:val="95"/>
          <w:sz w:val="21"/>
        </w:rPr>
        <w:t>定</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共</w:t>
      </w:r>
      <w:r>
        <w:rPr>
          <w:rFonts w:ascii="微软雅黑" w:eastAsia="微软雅黑"/>
          <w:b/>
          <w:spacing w:val="77"/>
          <w:sz w:val="21"/>
        </w:rPr>
        <w:t> </w:t>
      </w:r>
      <w:r>
        <w:rPr>
          <w:rFonts w:ascii="微软雅黑" w:eastAsia="微软雅黑"/>
          <w:b/>
          <w:w w:val="95"/>
          <w:sz w:val="21"/>
        </w:rPr>
        <w:t>3</w:t>
      </w:r>
      <w:r>
        <w:rPr>
          <w:rFonts w:ascii="微软雅黑" w:eastAsia="微软雅黑"/>
          <w:b/>
          <w:spacing w:val="78"/>
          <w:sz w:val="21"/>
        </w:rPr>
        <w:t> </w:t>
      </w:r>
      <w:r>
        <w:rPr>
          <w:rFonts w:ascii="微软雅黑" w:eastAsia="微软雅黑"/>
          <w:b/>
          <w:w w:val="95"/>
          <w:sz w:val="21"/>
        </w:rPr>
        <w:t>种</w:t>
      </w:r>
      <w:r>
        <w:rPr>
          <w:rFonts w:ascii="微软雅黑" w:eastAsia="微软雅黑"/>
          <w:b/>
          <w:w w:val="95"/>
          <w:sz w:val="21"/>
        </w:rPr>
        <w:t>，</w:t>
      </w:r>
      <w:r>
        <w:rPr>
          <w:rFonts w:ascii="微软雅黑" w:eastAsia="微软雅黑"/>
          <w:b/>
          <w:w w:val="95"/>
          <w:sz w:val="21"/>
        </w:rPr>
        <w:t>包</w:t>
      </w:r>
      <w:r>
        <w:rPr>
          <w:rFonts w:ascii="微软雅黑" w:eastAsia="微软雅黑"/>
          <w:b/>
          <w:w w:val="95"/>
          <w:sz w:val="21"/>
        </w:rPr>
        <w:t>括</w:t>
      </w:r>
      <w:r>
        <w:rPr>
          <w:rFonts w:ascii="微软雅黑" w:eastAsia="微软雅黑"/>
          <w:b/>
          <w:spacing w:val="-10"/>
          <w:w w:val="95"/>
          <w:sz w:val="21"/>
        </w:rPr>
        <w:t>：</w:t>
      </w:r>
    </w:p>
    <w:p>
      <w:pPr>
        <w:spacing w:line="194" w:lineRule="auto" w:before="15"/>
        <w:ind w:left="232" w:right="297" w:firstLine="0"/>
        <w:jc w:val="left"/>
        <w:rPr>
          <w:rFonts w:ascii="微软雅黑" w:eastAsia="微软雅黑"/>
          <w:b/>
          <w:sz w:val="21"/>
        </w:rPr>
      </w:pPr>
      <w:r>
        <w:rPr>
          <w:rFonts w:ascii="微软雅黑" w:eastAsia="微软雅黑"/>
          <w:b/>
          <w:spacing w:val="-2"/>
          <w:sz w:val="21"/>
        </w:rPr>
        <w:t>较重急性心肌梗死、严重脑中风后遗症、冠状动脉搭桥术（或称冠状动脉旁</w:t>
      </w:r>
      <w:r>
        <w:rPr>
          <w:rFonts w:ascii="微软雅黑" w:eastAsia="微软雅黑"/>
          <w:b/>
          <w:spacing w:val="-2"/>
          <w:sz w:val="21"/>
        </w:rPr>
        <w:t>路移植术）。</w:t>
      </w:r>
    </w:p>
    <w:p>
      <w:pPr>
        <w:spacing w:line="194" w:lineRule="auto" w:before="0"/>
        <w:ind w:left="232" w:right="299" w:firstLine="0"/>
        <w:jc w:val="left"/>
        <w:rPr>
          <w:rFonts w:ascii="微软雅黑" w:eastAsia="微软雅黑"/>
          <w:b/>
          <w:sz w:val="21"/>
        </w:rPr>
      </w:pPr>
      <w:r>
        <w:rPr>
          <w:rFonts w:ascii="微软雅黑" w:eastAsia="微软雅黑"/>
          <w:b/>
          <w:spacing w:val="-2"/>
          <w:sz w:val="21"/>
        </w:rPr>
        <w:t>其中，第二次确诊的严重脑中风后遗症须由颅脑显影或影像学检查证实为新</w:t>
      </w:r>
      <w:r>
        <w:rPr>
          <w:rFonts w:ascii="微软雅黑" w:eastAsia="微软雅黑"/>
          <w:b/>
          <w:spacing w:val="-2"/>
          <w:sz w:val="21"/>
        </w:rPr>
        <w:t>一次的中风，并符合本合同约定的严重脑中风后遗症。</w:t>
      </w:r>
    </w:p>
    <w:p>
      <w:pPr>
        <w:spacing w:after="0" w:line="194" w:lineRule="auto"/>
        <w:jc w:val="left"/>
        <w:rPr>
          <w:rFonts w:ascii="微软雅黑" w:eastAsia="微软雅黑"/>
          <w:sz w:val="21"/>
        </w:rPr>
        <w:sectPr>
          <w:type w:val="continuous"/>
          <w:pgSz w:w="11910" w:h="16840"/>
          <w:pgMar w:header="566" w:footer="664" w:top="1340" w:bottom="860" w:left="900" w:right="720"/>
          <w:cols w:num="2" w:equalWidth="0">
            <w:col w:w="2749" w:space="55"/>
            <w:col w:w="7486"/>
          </w:cols>
        </w:sectPr>
      </w:pPr>
    </w:p>
    <w:p>
      <w:pPr>
        <w:pStyle w:val="BodyText"/>
        <w:spacing w:before="15"/>
        <w:rPr>
          <w:rFonts w:ascii="微软雅黑"/>
          <w:b/>
          <w:sz w:val="5"/>
        </w:rPr>
      </w:pPr>
    </w:p>
    <w:p>
      <w:pPr>
        <w:pStyle w:val="ListParagraph"/>
        <w:numPr>
          <w:ilvl w:val="2"/>
          <w:numId w:val="10"/>
        </w:numPr>
        <w:tabs>
          <w:tab w:pos="1269" w:val="left" w:leader="none"/>
          <w:tab w:pos="1270" w:val="left" w:leader="none"/>
          <w:tab w:pos="3036" w:val="left" w:leader="none"/>
        </w:tabs>
        <w:spacing w:line="194" w:lineRule="auto" w:before="57" w:after="0"/>
        <w:ind w:left="3037" w:right="193" w:hanging="2805"/>
        <w:jc w:val="left"/>
        <w:rPr>
          <w:rFonts w:ascii="微软雅黑" w:hAnsi="微软雅黑" w:eastAsia="微软雅黑"/>
          <w:b/>
          <w:sz w:val="21"/>
        </w:rPr>
      </w:pPr>
      <w:r>
        <w:rPr>
          <w:rFonts w:ascii="微软雅黑" w:hAnsi="微软雅黑" w:eastAsia="微软雅黑"/>
          <w:b/>
          <w:spacing w:val="-2"/>
          <w:sz w:val="21"/>
        </w:rPr>
        <w:t>特</w:t>
      </w:r>
      <w:r>
        <w:rPr>
          <w:rFonts w:ascii="微软雅黑" w:hAnsi="微软雅黑" w:eastAsia="微软雅黑"/>
          <w:b/>
          <w:spacing w:val="-2"/>
          <w:sz w:val="21"/>
        </w:rPr>
        <w:t>别</w:t>
      </w:r>
      <w:r>
        <w:rPr>
          <w:rFonts w:ascii="微软雅黑" w:hAnsi="微软雅黑" w:eastAsia="微软雅黑"/>
          <w:b/>
          <w:spacing w:val="-2"/>
          <w:sz w:val="21"/>
        </w:rPr>
        <w:t>注</w:t>
      </w:r>
      <w:r>
        <w:rPr>
          <w:rFonts w:ascii="微软雅黑" w:hAnsi="微软雅黑" w:eastAsia="微软雅黑"/>
          <w:b/>
          <w:spacing w:val="-2"/>
          <w:sz w:val="21"/>
        </w:rPr>
        <w:t>意</w:t>
      </w:r>
      <w:r>
        <w:rPr>
          <w:rFonts w:ascii="微软雅黑" w:hAnsi="微软雅黑" w:eastAsia="微软雅黑"/>
          <w:b/>
          <w:spacing w:val="-2"/>
          <w:sz w:val="21"/>
        </w:rPr>
        <w:t>事</w:t>
      </w:r>
      <w:r>
        <w:rPr>
          <w:rFonts w:ascii="微软雅黑" w:hAnsi="微软雅黑" w:eastAsia="微软雅黑"/>
          <w:b/>
          <w:spacing w:val="-2"/>
          <w:sz w:val="21"/>
        </w:rPr>
        <w:t>项</w:t>
      </w:r>
      <w:r>
        <w:rPr>
          <w:rFonts w:ascii="微软雅黑" w:hAnsi="微软雅黑" w:eastAsia="微软雅黑"/>
          <w:b/>
          <w:sz w:val="21"/>
        </w:rPr>
        <w:tab/>
      </w:r>
      <w:r>
        <w:rPr>
          <w:rFonts w:ascii="微软雅黑" w:hAnsi="微软雅黑" w:eastAsia="微软雅黑"/>
          <w:b/>
          <w:spacing w:val="-2"/>
          <w:sz w:val="21"/>
        </w:rPr>
        <w:t>若</w:t>
      </w:r>
      <w:r>
        <w:rPr>
          <w:rFonts w:ascii="微软雅黑" w:hAnsi="微软雅黑" w:eastAsia="微软雅黑"/>
          <w:b/>
          <w:spacing w:val="-2"/>
          <w:sz w:val="21"/>
        </w:rPr>
        <w:t>被</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人</w:t>
      </w:r>
      <w:r>
        <w:rPr>
          <w:rFonts w:ascii="微软雅黑" w:hAnsi="微软雅黑" w:eastAsia="微软雅黑"/>
          <w:b/>
          <w:spacing w:val="-2"/>
          <w:sz w:val="21"/>
        </w:rPr>
        <w:t>因</w:t>
      </w:r>
      <w:r>
        <w:rPr>
          <w:rFonts w:ascii="微软雅黑" w:hAnsi="微软雅黑" w:eastAsia="微软雅黑"/>
          <w:b/>
          <w:spacing w:val="-2"/>
          <w:sz w:val="21"/>
        </w:rPr>
        <w:t>同</w:t>
      </w:r>
      <w:r>
        <w:rPr>
          <w:rFonts w:ascii="微软雅黑" w:hAnsi="微软雅黑" w:eastAsia="微软雅黑"/>
          <w:b/>
          <w:spacing w:val="-2"/>
          <w:sz w:val="21"/>
        </w:rPr>
        <w:t>一</w:t>
      </w:r>
      <w:r>
        <w:rPr>
          <w:rFonts w:ascii="微软雅黑" w:hAnsi="微软雅黑" w:eastAsia="微软雅黑"/>
          <w:b/>
          <w:spacing w:val="-2"/>
          <w:sz w:val="21"/>
        </w:rPr>
        <w:t>疾病原因、</w:t>
      </w:r>
      <w:r>
        <w:rPr>
          <w:rFonts w:ascii="微软雅黑" w:hAnsi="微软雅黑" w:eastAsia="微软雅黑"/>
          <w:b/>
          <w:spacing w:val="-2"/>
          <w:sz w:val="21"/>
        </w:rPr>
        <w:t>同</w:t>
      </w:r>
      <w:r>
        <w:rPr>
          <w:rFonts w:ascii="微软雅黑" w:hAnsi="微软雅黑" w:eastAsia="微软雅黑"/>
          <w:b/>
          <w:spacing w:val="-2"/>
          <w:sz w:val="21"/>
        </w:rPr>
        <w:t>次</w:t>
      </w:r>
      <w:r>
        <w:rPr>
          <w:rFonts w:ascii="微软雅黑" w:hAnsi="微软雅黑" w:eastAsia="微软雅黑"/>
          <w:b/>
          <w:spacing w:val="-2"/>
          <w:sz w:val="21"/>
        </w:rPr>
        <w:t>医</w:t>
      </w:r>
      <w:r>
        <w:rPr>
          <w:rFonts w:ascii="微软雅黑" w:hAnsi="微软雅黑" w:eastAsia="微软雅黑"/>
          <w:b/>
          <w:spacing w:val="-2"/>
          <w:sz w:val="21"/>
        </w:rPr>
        <w:t>疗</w:t>
      </w:r>
      <w:r>
        <w:rPr>
          <w:rFonts w:ascii="微软雅黑" w:hAnsi="微软雅黑" w:eastAsia="微软雅黑"/>
          <w:b/>
          <w:spacing w:val="-2"/>
          <w:sz w:val="21"/>
        </w:rPr>
        <w:t>行</w:t>
      </w:r>
      <w:r>
        <w:rPr>
          <w:rFonts w:ascii="微软雅黑" w:hAnsi="微软雅黑" w:eastAsia="微软雅黑"/>
          <w:b/>
          <w:spacing w:val="-2"/>
          <w:sz w:val="21"/>
        </w:rPr>
        <w:t>为</w:t>
      </w:r>
      <w:r>
        <w:rPr>
          <w:rFonts w:ascii="微软雅黑" w:hAnsi="微软雅黑" w:eastAsia="微软雅黑"/>
          <w:b/>
          <w:spacing w:val="-2"/>
          <w:sz w:val="21"/>
        </w:rPr>
        <w:t>或</w:t>
      </w:r>
      <w:r>
        <w:rPr>
          <w:rFonts w:ascii="微软雅黑" w:hAnsi="微软雅黑" w:eastAsia="微软雅黑"/>
          <w:b/>
          <w:spacing w:val="-2"/>
          <w:sz w:val="21"/>
        </w:rPr>
        <w:t>同</w:t>
      </w:r>
      <w:r>
        <w:rPr>
          <w:rFonts w:ascii="微软雅黑" w:hAnsi="微软雅黑" w:eastAsia="微软雅黑"/>
          <w:b/>
          <w:spacing w:val="-2"/>
          <w:sz w:val="21"/>
        </w:rPr>
        <w:t>次</w:t>
      </w:r>
      <w:r>
        <w:rPr>
          <w:rFonts w:ascii="微软雅黑" w:hAnsi="微软雅黑" w:eastAsia="微软雅黑"/>
          <w:b/>
          <w:spacing w:val="-2"/>
          <w:sz w:val="21"/>
        </w:rPr>
        <w:t>意</w:t>
      </w:r>
      <w:r>
        <w:rPr>
          <w:rFonts w:ascii="微软雅黑" w:hAnsi="微软雅黑" w:eastAsia="微软雅黑"/>
          <w:b/>
          <w:spacing w:val="-2"/>
          <w:sz w:val="21"/>
        </w:rPr>
        <w:t>外</w:t>
      </w:r>
      <w:r>
        <w:rPr>
          <w:rFonts w:ascii="微软雅黑" w:hAnsi="微软雅黑" w:eastAsia="微软雅黑"/>
          <w:b/>
          <w:spacing w:val="-2"/>
          <w:sz w:val="21"/>
        </w:rPr>
        <w:t>伤</w:t>
      </w:r>
      <w:r>
        <w:rPr>
          <w:rFonts w:ascii="微软雅黑" w:hAnsi="微软雅黑" w:eastAsia="微软雅黑"/>
          <w:b/>
          <w:spacing w:val="-2"/>
          <w:sz w:val="21"/>
        </w:rPr>
        <w:t>害</w:t>
      </w:r>
      <w:r>
        <w:rPr>
          <w:rFonts w:ascii="微软雅黑" w:hAnsi="微软雅黑" w:eastAsia="微软雅黑"/>
          <w:b/>
          <w:spacing w:val="-2"/>
          <w:sz w:val="21"/>
        </w:rPr>
        <w:t>事</w:t>
      </w:r>
      <w:r>
        <w:rPr>
          <w:rFonts w:ascii="微软雅黑" w:hAnsi="微软雅黑" w:eastAsia="微软雅黑"/>
          <w:b/>
          <w:spacing w:val="-2"/>
          <w:sz w:val="21"/>
        </w:rPr>
        <w:t>故</w:t>
      </w:r>
      <w:r>
        <w:rPr>
          <w:rFonts w:ascii="微软雅黑" w:hAnsi="微软雅黑" w:eastAsia="微软雅黑"/>
          <w:b/>
          <w:spacing w:val="-2"/>
          <w:sz w:val="21"/>
        </w:rPr>
        <w:t>导</w:t>
      </w:r>
      <w:r>
        <w:rPr>
          <w:rFonts w:ascii="微软雅黑" w:hAnsi="微软雅黑" w:eastAsia="微软雅黑"/>
          <w:b/>
          <w:spacing w:val="-2"/>
          <w:sz w:val="21"/>
        </w:rPr>
        <w:t>致</w:t>
      </w:r>
      <w:r>
        <w:rPr>
          <w:rFonts w:ascii="微软雅黑" w:hAnsi="微软雅黑" w:eastAsia="微软雅黑"/>
          <w:b/>
          <w:spacing w:val="-2"/>
          <w:sz w:val="21"/>
        </w:rPr>
        <w:t>符</w:t>
      </w:r>
      <w:r>
        <w:rPr>
          <w:rFonts w:ascii="微软雅黑" w:hAnsi="微软雅黑" w:eastAsia="微软雅黑"/>
          <w:b/>
          <w:spacing w:val="-2"/>
          <w:sz w:val="21"/>
        </w:rPr>
        <w:t>合</w:t>
      </w:r>
      <w:r>
        <w:rPr>
          <w:rFonts w:ascii="微软雅黑" w:hAnsi="微软雅黑" w:eastAsia="微软雅黑"/>
          <w:b/>
          <w:spacing w:val="-2"/>
          <w:sz w:val="21"/>
        </w:rPr>
        <w:t>本</w:t>
      </w:r>
      <w:r>
        <w:rPr>
          <w:rFonts w:ascii="微软雅黑" w:hAnsi="微软雅黑" w:eastAsia="微软雅黑"/>
          <w:b/>
          <w:spacing w:val="-6"/>
          <w:sz w:val="21"/>
        </w:rPr>
        <w:t>合</w:t>
      </w:r>
      <w:r>
        <w:rPr>
          <w:rFonts w:ascii="微软雅黑" w:hAnsi="微软雅黑" w:eastAsia="微软雅黑"/>
          <w:b/>
          <w:spacing w:val="-6"/>
          <w:sz w:val="21"/>
        </w:rPr>
        <w:t>同</w:t>
      </w:r>
      <w:r>
        <w:rPr>
          <w:rFonts w:ascii="微软雅黑" w:hAnsi="微软雅黑" w:eastAsia="微软雅黑"/>
          <w:b/>
          <w:spacing w:val="-6"/>
          <w:sz w:val="21"/>
        </w:rPr>
        <w:t>所</w:t>
      </w:r>
      <w:r>
        <w:rPr>
          <w:rFonts w:ascii="微软雅黑" w:hAnsi="微软雅黑" w:eastAsia="微软雅黑"/>
          <w:b/>
          <w:spacing w:val="-6"/>
          <w:sz w:val="21"/>
        </w:rPr>
        <w:t>列</w:t>
      </w:r>
      <w:r>
        <w:rPr>
          <w:rFonts w:ascii="微软雅黑" w:hAnsi="微软雅黑" w:eastAsia="微软雅黑"/>
          <w:b/>
          <w:spacing w:val="-6"/>
          <w:sz w:val="21"/>
        </w:rPr>
        <w:t>的“</w:t>
      </w:r>
      <w:r>
        <w:rPr>
          <w:rFonts w:ascii="微软雅黑" w:hAnsi="微软雅黑" w:eastAsia="微软雅黑"/>
          <w:b/>
          <w:spacing w:val="-6"/>
          <w:sz w:val="21"/>
        </w:rPr>
        <w:t>前</w:t>
      </w:r>
      <w:r>
        <w:rPr>
          <w:rFonts w:ascii="微软雅黑" w:hAnsi="微软雅黑" w:eastAsia="微软雅黑"/>
          <w:b/>
          <w:spacing w:val="-6"/>
          <w:sz w:val="21"/>
        </w:rPr>
        <w:t>症</w:t>
      </w:r>
      <w:r>
        <w:rPr>
          <w:rFonts w:ascii="微软雅黑" w:hAnsi="微软雅黑" w:eastAsia="微软雅黑"/>
          <w:b/>
          <w:spacing w:val="-6"/>
          <w:sz w:val="21"/>
        </w:rPr>
        <w:t>疾病保</w:t>
      </w:r>
      <w:r>
        <w:rPr>
          <w:rFonts w:ascii="微软雅黑" w:hAnsi="微软雅黑" w:eastAsia="微软雅黑"/>
          <w:b/>
          <w:spacing w:val="-6"/>
          <w:sz w:val="21"/>
        </w:rPr>
        <w:t>险</w:t>
      </w:r>
      <w:r>
        <w:rPr>
          <w:rFonts w:ascii="微软雅黑" w:hAnsi="微软雅黑" w:eastAsia="微软雅黑"/>
          <w:b/>
          <w:spacing w:val="-6"/>
          <w:sz w:val="21"/>
        </w:rPr>
        <w:t>金</w:t>
      </w:r>
      <w:r>
        <w:rPr>
          <w:rFonts w:ascii="微软雅黑" w:hAnsi="微软雅黑" w:eastAsia="微软雅黑"/>
          <w:b/>
          <w:spacing w:val="-6"/>
          <w:sz w:val="21"/>
        </w:rPr>
        <w:t>”</w:t>
      </w:r>
      <w:r>
        <w:rPr>
          <w:rFonts w:ascii="微软雅黑" w:hAnsi="微软雅黑" w:eastAsia="微软雅黑"/>
          <w:b/>
          <w:spacing w:val="-82"/>
          <w:sz w:val="21"/>
        </w:rPr>
        <w:t>、</w:t>
      </w:r>
      <w:r>
        <w:rPr>
          <w:rFonts w:ascii="微软雅黑" w:hAnsi="微软雅黑" w:eastAsia="微软雅黑"/>
          <w:b/>
          <w:spacing w:val="-6"/>
          <w:sz w:val="21"/>
        </w:rPr>
        <w:t>“</w:t>
      </w:r>
      <w:r>
        <w:rPr>
          <w:rFonts w:ascii="微软雅黑" w:hAnsi="微软雅黑" w:eastAsia="微软雅黑"/>
          <w:b/>
          <w:spacing w:val="-6"/>
          <w:sz w:val="21"/>
        </w:rPr>
        <w:t>轻</w:t>
      </w:r>
      <w:r>
        <w:rPr>
          <w:rFonts w:ascii="微软雅黑" w:hAnsi="微软雅黑" w:eastAsia="微软雅黑"/>
          <w:b/>
          <w:spacing w:val="-6"/>
          <w:sz w:val="21"/>
        </w:rPr>
        <w:t>症</w:t>
      </w:r>
      <w:r>
        <w:rPr>
          <w:rFonts w:ascii="微软雅黑" w:hAnsi="微软雅黑" w:eastAsia="微软雅黑"/>
          <w:b/>
          <w:spacing w:val="-6"/>
          <w:sz w:val="21"/>
        </w:rPr>
        <w:t>疾</w:t>
      </w:r>
      <w:r>
        <w:rPr>
          <w:rFonts w:ascii="微软雅黑" w:hAnsi="微软雅黑" w:eastAsia="微软雅黑"/>
          <w:b/>
          <w:spacing w:val="-6"/>
          <w:sz w:val="21"/>
        </w:rPr>
        <w:t>病</w:t>
      </w:r>
      <w:r>
        <w:rPr>
          <w:rFonts w:ascii="微软雅黑" w:hAnsi="微软雅黑" w:eastAsia="微软雅黑"/>
          <w:b/>
          <w:spacing w:val="-6"/>
          <w:sz w:val="21"/>
        </w:rPr>
        <w:t>保</w:t>
      </w:r>
      <w:r>
        <w:rPr>
          <w:rFonts w:ascii="微软雅黑" w:hAnsi="微软雅黑" w:eastAsia="微软雅黑"/>
          <w:b/>
          <w:spacing w:val="-6"/>
          <w:sz w:val="21"/>
        </w:rPr>
        <w:t>险</w:t>
      </w:r>
      <w:r>
        <w:rPr>
          <w:rFonts w:ascii="微软雅黑" w:hAnsi="微软雅黑" w:eastAsia="微软雅黑"/>
          <w:b/>
          <w:spacing w:val="-6"/>
          <w:sz w:val="21"/>
        </w:rPr>
        <w:t>金”</w:t>
      </w:r>
      <w:r>
        <w:rPr>
          <w:rFonts w:ascii="微软雅黑" w:hAnsi="微软雅黑" w:eastAsia="微软雅黑"/>
          <w:b/>
          <w:spacing w:val="-82"/>
          <w:sz w:val="21"/>
        </w:rPr>
        <w:t>、</w:t>
      </w:r>
      <w:r>
        <w:rPr>
          <w:rFonts w:ascii="微软雅黑" w:hAnsi="微软雅黑" w:eastAsia="微软雅黑"/>
          <w:b/>
          <w:spacing w:val="-6"/>
          <w:sz w:val="21"/>
        </w:rPr>
        <w:t>“</w:t>
      </w:r>
      <w:r>
        <w:rPr>
          <w:rFonts w:ascii="微软雅黑" w:hAnsi="微软雅黑" w:eastAsia="微软雅黑"/>
          <w:b/>
          <w:spacing w:val="-6"/>
          <w:sz w:val="21"/>
        </w:rPr>
        <w:t>中</w:t>
      </w:r>
      <w:r>
        <w:rPr>
          <w:rFonts w:ascii="微软雅黑" w:hAnsi="微软雅黑" w:eastAsia="微软雅黑"/>
          <w:b/>
          <w:spacing w:val="-6"/>
          <w:sz w:val="21"/>
        </w:rPr>
        <w:t>症</w:t>
      </w:r>
      <w:r>
        <w:rPr>
          <w:rFonts w:ascii="微软雅黑" w:hAnsi="微软雅黑" w:eastAsia="微软雅黑"/>
          <w:b/>
          <w:spacing w:val="-6"/>
          <w:sz w:val="21"/>
        </w:rPr>
        <w:t>疾</w:t>
      </w:r>
      <w:r>
        <w:rPr>
          <w:rFonts w:ascii="微软雅黑" w:hAnsi="微软雅黑" w:eastAsia="微软雅黑"/>
          <w:b/>
          <w:spacing w:val="-6"/>
          <w:sz w:val="21"/>
        </w:rPr>
        <w:t>病</w:t>
      </w:r>
      <w:r>
        <w:rPr>
          <w:rFonts w:ascii="微软雅黑" w:hAnsi="微软雅黑" w:eastAsia="微软雅黑"/>
          <w:b/>
          <w:spacing w:val="-6"/>
          <w:sz w:val="21"/>
        </w:rPr>
        <w:t>保</w:t>
      </w:r>
      <w:r>
        <w:rPr>
          <w:rFonts w:ascii="微软雅黑" w:hAnsi="微软雅黑" w:eastAsia="微软雅黑"/>
          <w:b/>
          <w:spacing w:val="-6"/>
          <w:sz w:val="21"/>
        </w:rPr>
        <w:t>险</w:t>
      </w:r>
      <w:r>
        <w:rPr>
          <w:rFonts w:ascii="微软雅黑" w:hAnsi="微软雅黑" w:eastAsia="微软雅黑"/>
          <w:b/>
          <w:spacing w:val="-6"/>
          <w:sz w:val="21"/>
        </w:rPr>
        <w:t>金</w:t>
      </w:r>
      <w:r>
        <w:rPr>
          <w:rFonts w:ascii="微软雅黑" w:hAnsi="微软雅黑" w:eastAsia="微软雅黑"/>
          <w:b/>
          <w:spacing w:val="-6"/>
          <w:sz w:val="21"/>
        </w:rPr>
        <w:t>”</w:t>
      </w:r>
      <w:r>
        <w:rPr>
          <w:rFonts w:ascii="微软雅黑" w:hAnsi="微软雅黑" w:eastAsia="微软雅黑"/>
          <w:b/>
          <w:spacing w:val="-6"/>
          <w:sz w:val="21"/>
        </w:rPr>
        <w:t>、</w:t>
      </w:r>
      <w:r>
        <w:rPr>
          <w:rFonts w:ascii="微软雅黑" w:hAnsi="微软雅黑" w:eastAsia="微软雅黑"/>
          <w:b/>
          <w:spacing w:val="-6"/>
          <w:sz w:val="21"/>
        </w:rPr>
        <w:t> </w:t>
      </w:r>
      <w:r>
        <w:rPr>
          <w:rFonts w:ascii="微软雅黑" w:hAnsi="微软雅黑" w:eastAsia="微软雅黑"/>
          <w:b/>
          <w:spacing w:val="-2"/>
          <w:sz w:val="21"/>
        </w:rPr>
        <w:t>“</w:t>
      </w:r>
      <w:r>
        <w:rPr>
          <w:rFonts w:ascii="微软雅黑" w:hAnsi="微软雅黑" w:eastAsia="微软雅黑"/>
          <w:b/>
          <w:spacing w:val="-2"/>
          <w:sz w:val="21"/>
        </w:rPr>
        <w:t>重</w:t>
      </w:r>
      <w:r>
        <w:rPr>
          <w:rFonts w:ascii="微软雅黑" w:hAnsi="微软雅黑" w:eastAsia="微软雅黑"/>
          <w:b/>
          <w:spacing w:val="-2"/>
          <w:sz w:val="21"/>
        </w:rPr>
        <w:t>大</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金”中多</w:t>
      </w:r>
      <w:r>
        <w:rPr>
          <w:rFonts w:ascii="微软雅黑" w:hAnsi="微软雅黑" w:eastAsia="微软雅黑"/>
          <w:b/>
          <w:spacing w:val="-2"/>
          <w:sz w:val="21"/>
        </w:rPr>
        <w:t>项</w:t>
      </w:r>
      <w:r>
        <w:rPr>
          <w:rFonts w:ascii="微软雅黑" w:hAnsi="微软雅黑" w:eastAsia="微软雅黑"/>
          <w:b/>
          <w:spacing w:val="-2"/>
          <w:sz w:val="21"/>
        </w:rPr>
        <w:t>责</w:t>
      </w:r>
      <w:r>
        <w:rPr>
          <w:rFonts w:ascii="微软雅黑" w:hAnsi="微软雅黑" w:eastAsia="微软雅黑"/>
          <w:b/>
          <w:spacing w:val="-2"/>
          <w:sz w:val="21"/>
        </w:rPr>
        <w:t>任</w:t>
      </w:r>
      <w:r>
        <w:rPr>
          <w:rFonts w:ascii="微软雅黑" w:hAnsi="微软雅黑" w:eastAsia="微软雅黑"/>
          <w:b/>
          <w:spacing w:val="-2"/>
          <w:sz w:val="21"/>
        </w:rPr>
        <w:t>的</w:t>
      </w:r>
      <w:r>
        <w:rPr>
          <w:rFonts w:ascii="微软雅黑" w:hAnsi="微软雅黑" w:eastAsia="微软雅黑"/>
          <w:b/>
          <w:spacing w:val="-2"/>
          <w:sz w:val="21"/>
        </w:rPr>
        <w:t>给</w:t>
      </w:r>
      <w:r>
        <w:rPr>
          <w:rFonts w:ascii="微软雅黑" w:hAnsi="微软雅黑" w:eastAsia="微软雅黑"/>
          <w:b/>
          <w:spacing w:val="-2"/>
          <w:sz w:val="21"/>
        </w:rPr>
        <w:t>付</w:t>
      </w:r>
      <w:r>
        <w:rPr>
          <w:rFonts w:ascii="微软雅黑" w:hAnsi="微软雅黑" w:eastAsia="微软雅黑"/>
          <w:b/>
          <w:spacing w:val="-2"/>
          <w:sz w:val="21"/>
        </w:rPr>
        <w:t>条</w:t>
      </w:r>
      <w:r>
        <w:rPr>
          <w:rFonts w:ascii="微软雅黑" w:hAnsi="微软雅黑" w:eastAsia="微软雅黑"/>
          <w:b/>
          <w:spacing w:val="-2"/>
          <w:sz w:val="21"/>
        </w:rPr>
        <w:t>件，我们</w:t>
      </w:r>
      <w:r>
        <w:rPr>
          <w:rFonts w:ascii="微软雅黑" w:hAnsi="微软雅黑" w:eastAsia="微软雅黑"/>
          <w:b/>
          <w:spacing w:val="-2"/>
          <w:sz w:val="21"/>
        </w:rPr>
        <w:t>仅</w:t>
      </w:r>
      <w:r>
        <w:rPr>
          <w:rFonts w:ascii="微软雅黑" w:hAnsi="微软雅黑" w:eastAsia="微软雅黑"/>
          <w:b/>
          <w:spacing w:val="-2"/>
          <w:sz w:val="21"/>
        </w:rPr>
        <w:t>承</w:t>
      </w:r>
      <w:r>
        <w:rPr>
          <w:rFonts w:ascii="微软雅黑" w:hAnsi="微软雅黑" w:eastAsia="微软雅黑"/>
          <w:b/>
          <w:spacing w:val="-2"/>
          <w:sz w:val="21"/>
        </w:rPr>
        <w:t>担</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金</w:t>
      </w:r>
      <w:r>
        <w:rPr>
          <w:rFonts w:ascii="微软雅黑" w:hAnsi="微软雅黑" w:eastAsia="微软雅黑"/>
          <w:b/>
          <w:spacing w:val="-2"/>
          <w:sz w:val="21"/>
        </w:rPr>
        <w:t>额</w:t>
      </w:r>
      <w:r>
        <w:rPr>
          <w:rFonts w:ascii="微软雅黑" w:hAnsi="微软雅黑" w:eastAsia="微软雅黑"/>
          <w:b/>
          <w:spacing w:val="-2"/>
          <w:sz w:val="21"/>
        </w:rPr>
        <w:t>最</w:t>
      </w:r>
      <w:r>
        <w:rPr>
          <w:rFonts w:ascii="微软雅黑" w:hAnsi="微软雅黑" w:eastAsia="微软雅黑"/>
          <w:b/>
          <w:spacing w:val="-2"/>
          <w:sz w:val="21"/>
        </w:rPr>
        <w:t>高</w:t>
      </w:r>
      <w:r>
        <w:rPr>
          <w:rFonts w:ascii="微软雅黑" w:hAnsi="微软雅黑" w:eastAsia="微软雅黑"/>
          <w:b/>
          <w:spacing w:val="-2"/>
          <w:sz w:val="21"/>
        </w:rPr>
        <w:t>的</w:t>
      </w:r>
      <w:r>
        <w:rPr>
          <w:rFonts w:ascii="微软雅黑" w:hAnsi="微软雅黑" w:eastAsia="微软雅黑"/>
          <w:b/>
          <w:spacing w:val="-2"/>
          <w:sz w:val="21"/>
        </w:rPr>
        <w:t>一</w:t>
      </w:r>
    </w:p>
    <w:p>
      <w:pPr>
        <w:pStyle w:val="BodyText"/>
        <w:spacing w:before="17"/>
        <w:rPr>
          <w:rFonts w:ascii="微软雅黑"/>
          <w:b/>
          <w:sz w:val="23"/>
        </w:rPr>
      </w:pPr>
      <w:r>
        <w:rPr/>
        <w:drawing>
          <wp:anchor distT="0" distB="0" distL="0" distR="0" allowOverlap="1" layoutInCell="1" locked="0" behindDoc="0" simplePos="0" relativeHeight="9">
            <wp:simplePos x="0" y="0"/>
            <wp:positionH relativeFrom="page">
              <wp:posOffset>719327</wp:posOffset>
            </wp:positionH>
            <wp:positionV relativeFrom="paragraph">
              <wp:posOffset>295465</wp:posOffset>
            </wp:positionV>
            <wp:extent cx="1829282" cy="6096"/>
            <wp:effectExtent l="0" t="0" r="0" b="0"/>
            <wp:wrapTopAndBottom/>
            <wp:docPr id="15" name="image7.png"/>
            <wp:cNvGraphicFramePr>
              <a:graphicFrameLocks noChangeAspect="1"/>
            </wp:cNvGraphicFramePr>
            <a:graphic>
              <a:graphicData uri="http://schemas.openxmlformats.org/drawingml/2006/picture">
                <pic:pic>
                  <pic:nvPicPr>
                    <pic:cNvPr id="16" name="image7.png"/>
                    <pic:cNvPicPr/>
                  </pic:nvPicPr>
                  <pic:blipFill>
                    <a:blip r:embed="rId12" cstate="print"/>
                    <a:stretch>
                      <a:fillRect/>
                    </a:stretch>
                  </pic:blipFill>
                  <pic:spPr>
                    <a:xfrm>
                      <a:off x="0" y="0"/>
                      <a:ext cx="1829282" cy="6096"/>
                    </a:xfrm>
                    <a:prstGeom prst="rect">
                      <a:avLst/>
                    </a:prstGeom>
                  </pic:spPr>
                </pic:pic>
              </a:graphicData>
            </a:graphic>
          </wp:anchor>
        </w:drawing>
      </w:r>
    </w:p>
    <w:p>
      <w:pPr>
        <w:spacing w:line="204" w:lineRule="auto" w:before="75"/>
        <w:ind w:left="374" w:right="415" w:hanging="143"/>
        <w:jc w:val="left"/>
        <w:rPr>
          <w:sz w:val="20"/>
        </w:rPr>
      </w:pPr>
      <w:r>
        <w:rPr>
          <w:position w:val="10"/>
          <w:sz w:val="10"/>
        </w:rPr>
        <w:t>6</w:t>
      </w:r>
      <w:r>
        <w:rPr>
          <w:spacing w:val="17"/>
          <w:position w:val="10"/>
          <w:sz w:val="10"/>
        </w:rPr>
        <w:t> </w:t>
      </w:r>
      <w:r>
        <w:rPr>
          <w:rFonts w:ascii="微软雅黑" w:eastAsia="微软雅黑"/>
          <w:b/>
          <w:sz w:val="20"/>
        </w:rPr>
        <w:t>保</w:t>
      </w:r>
      <w:r>
        <w:rPr>
          <w:rFonts w:ascii="微软雅黑" w:eastAsia="微软雅黑"/>
          <w:b/>
          <w:sz w:val="20"/>
        </w:rPr>
        <w:t>单</w:t>
      </w:r>
      <w:r>
        <w:rPr>
          <w:rFonts w:ascii="微软雅黑" w:eastAsia="微软雅黑"/>
          <w:b/>
          <w:sz w:val="20"/>
        </w:rPr>
        <w:t>周</w:t>
      </w:r>
      <w:r>
        <w:rPr>
          <w:rFonts w:ascii="微软雅黑" w:eastAsia="微软雅黑"/>
          <w:b/>
          <w:sz w:val="20"/>
        </w:rPr>
        <w:t>年</w:t>
      </w:r>
      <w:r>
        <w:rPr>
          <w:rFonts w:ascii="微软雅黑" w:eastAsia="微软雅黑"/>
          <w:b/>
          <w:sz w:val="20"/>
        </w:rPr>
        <w:t>日</w:t>
      </w:r>
      <w:r>
        <w:rPr>
          <w:sz w:val="20"/>
        </w:rPr>
        <w:t>指</w:t>
      </w:r>
      <w:r>
        <w:rPr>
          <w:sz w:val="20"/>
        </w:rPr>
        <w:t>本</w:t>
      </w:r>
      <w:r>
        <w:rPr>
          <w:sz w:val="20"/>
        </w:rPr>
        <w:t>合</w:t>
      </w:r>
      <w:r>
        <w:rPr>
          <w:sz w:val="20"/>
        </w:rPr>
        <w:t>同</w:t>
      </w:r>
      <w:r>
        <w:rPr>
          <w:sz w:val="20"/>
        </w:rPr>
        <w:t>生</w:t>
      </w:r>
      <w:r>
        <w:rPr>
          <w:sz w:val="20"/>
        </w:rPr>
        <w:t>效</w:t>
      </w:r>
      <w:r>
        <w:rPr>
          <w:sz w:val="20"/>
        </w:rPr>
        <w:t>日</w:t>
      </w:r>
      <w:r>
        <w:rPr>
          <w:sz w:val="20"/>
        </w:rPr>
        <w:t>在</w:t>
      </w:r>
      <w:r>
        <w:rPr>
          <w:sz w:val="20"/>
        </w:rPr>
        <w:t>合</w:t>
      </w:r>
      <w:r>
        <w:rPr>
          <w:sz w:val="20"/>
        </w:rPr>
        <w:t>同</w:t>
      </w:r>
      <w:r>
        <w:rPr>
          <w:sz w:val="20"/>
        </w:rPr>
        <w:t>生</w:t>
      </w:r>
      <w:r>
        <w:rPr>
          <w:sz w:val="20"/>
        </w:rPr>
        <w:t>效</w:t>
      </w:r>
      <w:r>
        <w:rPr>
          <w:sz w:val="20"/>
        </w:rPr>
        <w:t>后</w:t>
      </w:r>
      <w:r>
        <w:rPr>
          <w:sz w:val="20"/>
        </w:rPr>
        <w:t>每</w:t>
      </w:r>
      <w:r>
        <w:rPr>
          <w:sz w:val="20"/>
        </w:rPr>
        <w:t>年</w:t>
      </w:r>
      <w:r>
        <w:rPr>
          <w:spacing w:val="-9"/>
          <w:sz w:val="20"/>
        </w:rPr>
        <w:t>的对应日，不含</w:t>
      </w:r>
      <w:r>
        <w:rPr>
          <w:sz w:val="20"/>
        </w:rPr>
        <w:t>合</w:t>
      </w:r>
      <w:r>
        <w:rPr>
          <w:sz w:val="20"/>
        </w:rPr>
        <w:t>同</w:t>
      </w:r>
      <w:r>
        <w:rPr>
          <w:sz w:val="20"/>
        </w:rPr>
        <w:t>生</w:t>
      </w:r>
      <w:r>
        <w:rPr>
          <w:sz w:val="20"/>
        </w:rPr>
        <w:t>效</w:t>
      </w:r>
      <w:r>
        <w:rPr>
          <w:sz w:val="20"/>
        </w:rPr>
        <w:t>日</w:t>
      </w:r>
      <w:r>
        <w:rPr>
          <w:spacing w:val="-19"/>
          <w:sz w:val="20"/>
        </w:rPr>
        <w:t>当日。</w:t>
      </w:r>
      <w:r>
        <w:rPr>
          <w:sz w:val="20"/>
        </w:rPr>
        <w:t>如</w:t>
      </w:r>
      <w:r>
        <w:rPr>
          <w:sz w:val="20"/>
        </w:rPr>
        <w:t>果</w:t>
      </w:r>
      <w:r>
        <w:rPr>
          <w:sz w:val="20"/>
        </w:rPr>
        <w:t>当</w:t>
      </w:r>
      <w:r>
        <w:rPr>
          <w:sz w:val="20"/>
        </w:rPr>
        <w:t>月</w:t>
      </w:r>
      <w:r>
        <w:rPr>
          <w:sz w:val="20"/>
        </w:rPr>
        <w:t>没</w:t>
      </w:r>
      <w:r>
        <w:rPr>
          <w:sz w:val="20"/>
        </w:rPr>
        <w:t>有</w:t>
      </w:r>
      <w:r>
        <w:rPr>
          <w:sz w:val="20"/>
        </w:rPr>
        <w:t>对</w:t>
      </w:r>
      <w:r>
        <w:rPr>
          <w:sz w:val="20"/>
        </w:rPr>
        <w:t>应</w:t>
      </w:r>
      <w:r>
        <w:rPr>
          <w:sz w:val="20"/>
        </w:rPr>
        <w:t>的</w:t>
      </w:r>
      <w:r>
        <w:rPr>
          <w:sz w:val="20"/>
        </w:rPr>
        <w:t>同一日，</w:t>
      </w:r>
      <w:r>
        <w:rPr>
          <w:spacing w:val="-2"/>
          <w:sz w:val="20"/>
        </w:rPr>
        <w:t>则</w:t>
      </w:r>
      <w:r>
        <w:rPr>
          <w:spacing w:val="-2"/>
          <w:sz w:val="20"/>
        </w:rPr>
        <w:t>以</w:t>
      </w:r>
      <w:r>
        <w:rPr>
          <w:spacing w:val="-2"/>
          <w:sz w:val="20"/>
        </w:rPr>
        <w:t>该</w:t>
      </w:r>
      <w:r>
        <w:rPr>
          <w:spacing w:val="-2"/>
          <w:sz w:val="20"/>
        </w:rPr>
        <w:t>月</w:t>
      </w:r>
      <w:r>
        <w:rPr>
          <w:spacing w:val="-2"/>
          <w:sz w:val="20"/>
        </w:rPr>
        <w:t>最</w:t>
      </w:r>
      <w:r>
        <w:rPr>
          <w:spacing w:val="-2"/>
          <w:sz w:val="20"/>
        </w:rPr>
        <w:t>后</w:t>
      </w:r>
      <w:r>
        <w:rPr>
          <w:spacing w:val="-2"/>
          <w:sz w:val="20"/>
        </w:rPr>
        <w:t>一</w:t>
      </w:r>
      <w:r>
        <w:rPr>
          <w:spacing w:val="-2"/>
          <w:sz w:val="20"/>
        </w:rPr>
        <w:t>日</w:t>
      </w:r>
      <w:r>
        <w:rPr>
          <w:spacing w:val="-2"/>
          <w:sz w:val="20"/>
        </w:rPr>
        <w:t>为</w:t>
      </w:r>
      <w:r>
        <w:rPr>
          <w:spacing w:val="-2"/>
          <w:sz w:val="20"/>
        </w:rPr>
        <w:t>对应日。</w:t>
      </w:r>
    </w:p>
    <w:p>
      <w:pPr>
        <w:spacing w:line="293" w:lineRule="exact" w:before="0"/>
        <w:ind w:left="232" w:right="0" w:firstLine="0"/>
        <w:jc w:val="left"/>
        <w:rPr>
          <w:sz w:val="20"/>
        </w:rPr>
      </w:pPr>
      <w:r>
        <w:rPr>
          <w:rFonts w:ascii="微软雅黑" w:eastAsia="微软雅黑"/>
          <w:b/>
          <w:w w:val="95"/>
          <w:position w:val="10"/>
          <w:sz w:val="10"/>
        </w:rPr>
        <w:t>7</w:t>
      </w:r>
      <w:r>
        <w:rPr>
          <w:rFonts w:ascii="微软雅黑" w:eastAsia="微软雅黑"/>
          <w:b/>
          <w:spacing w:val="71"/>
          <w:w w:val="95"/>
          <w:position w:val="10"/>
          <w:sz w:val="10"/>
        </w:rPr>
        <w:t>     </w:t>
      </w:r>
      <w:r>
        <w:rPr>
          <w:rFonts w:ascii="微软雅黑" w:eastAsia="微软雅黑"/>
          <w:b/>
          <w:w w:val="95"/>
          <w:sz w:val="20"/>
        </w:rPr>
        <w:t>保</w:t>
      </w:r>
      <w:r>
        <w:rPr>
          <w:rFonts w:ascii="微软雅黑" w:eastAsia="微软雅黑"/>
          <w:b/>
          <w:w w:val="95"/>
          <w:sz w:val="20"/>
        </w:rPr>
        <w:t>单</w:t>
      </w:r>
      <w:r>
        <w:rPr>
          <w:rFonts w:ascii="微软雅黑" w:eastAsia="微软雅黑"/>
          <w:b/>
          <w:w w:val="95"/>
          <w:sz w:val="20"/>
        </w:rPr>
        <w:t>年度</w:t>
      </w:r>
      <w:r>
        <w:rPr>
          <w:w w:val="95"/>
          <w:sz w:val="20"/>
        </w:rPr>
        <w:t>指</w:t>
      </w:r>
      <w:r>
        <w:rPr>
          <w:w w:val="95"/>
          <w:sz w:val="20"/>
        </w:rPr>
        <w:t>从</w:t>
      </w:r>
      <w:r>
        <w:rPr>
          <w:w w:val="95"/>
          <w:sz w:val="20"/>
        </w:rPr>
        <w:t>保</w:t>
      </w:r>
      <w:r>
        <w:rPr>
          <w:w w:val="95"/>
          <w:sz w:val="20"/>
        </w:rPr>
        <w:t>险</w:t>
      </w:r>
      <w:r>
        <w:rPr>
          <w:w w:val="95"/>
          <w:sz w:val="20"/>
        </w:rPr>
        <w:t>合同生</w:t>
      </w:r>
      <w:r>
        <w:rPr>
          <w:w w:val="95"/>
          <w:sz w:val="20"/>
        </w:rPr>
        <w:t>效</w:t>
      </w:r>
      <w:r>
        <w:rPr>
          <w:w w:val="95"/>
          <w:sz w:val="20"/>
        </w:rPr>
        <w:t>日</w:t>
      </w:r>
      <w:r>
        <w:rPr>
          <w:w w:val="95"/>
          <w:sz w:val="20"/>
        </w:rPr>
        <w:t>或</w:t>
      </w:r>
      <w:r>
        <w:rPr>
          <w:rFonts w:ascii="微软雅黑" w:eastAsia="微软雅黑"/>
          <w:b/>
          <w:w w:val="95"/>
          <w:sz w:val="20"/>
        </w:rPr>
        <w:t>保</w:t>
      </w:r>
      <w:r>
        <w:rPr>
          <w:rFonts w:ascii="微软雅黑" w:eastAsia="微软雅黑"/>
          <w:b/>
          <w:w w:val="95"/>
          <w:sz w:val="20"/>
        </w:rPr>
        <w:t>单</w:t>
      </w:r>
      <w:r>
        <w:rPr>
          <w:rFonts w:ascii="微软雅黑" w:eastAsia="微软雅黑"/>
          <w:b/>
          <w:w w:val="95"/>
          <w:sz w:val="20"/>
        </w:rPr>
        <w:t>周</w:t>
      </w:r>
      <w:r>
        <w:rPr>
          <w:rFonts w:ascii="微软雅黑" w:eastAsia="微软雅黑"/>
          <w:b/>
          <w:w w:val="95"/>
          <w:sz w:val="20"/>
        </w:rPr>
        <w:t>年</w:t>
      </w:r>
      <w:r>
        <w:rPr>
          <w:rFonts w:ascii="微软雅黑" w:eastAsia="微软雅黑"/>
          <w:b/>
          <w:w w:val="95"/>
          <w:sz w:val="20"/>
        </w:rPr>
        <w:t>日</w:t>
      </w:r>
      <w:r>
        <w:rPr>
          <w:w w:val="95"/>
          <w:sz w:val="20"/>
        </w:rPr>
        <w:t>零</w:t>
      </w:r>
      <w:r>
        <w:rPr>
          <w:w w:val="95"/>
          <w:sz w:val="20"/>
        </w:rPr>
        <w:t>时</w:t>
      </w:r>
      <w:r>
        <w:rPr>
          <w:w w:val="95"/>
          <w:sz w:val="20"/>
        </w:rPr>
        <w:t>起</w:t>
      </w:r>
      <w:r>
        <w:rPr>
          <w:w w:val="95"/>
          <w:sz w:val="20"/>
        </w:rPr>
        <w:t>至</w:t>
      </w:r>
      <w:r>
        <w:rPr>
          <w:w w:val="95"/>
          <w:sz w:val="20"/>
        </w:rPr>
        <w:t>下</w:t>
      </w:r>
      <w:r>
        <w:rPr>
          <w:w w:val="95"/>
          <w:sz w:val="20"/>
        </w:rPr>
        <w:t>一</w:t>
      </w:r>
      <w:r>
        <w:rPr>
          <w:w w:val="95"/>
          <w:sz w:val="20"/>
        </w:rPr>
        <w:t>年</w:t>
      </w:r>
      <w:r>
        <w:rPr>
          <w:w w:val="95"/>
          <w:sz w:val="20"/>
        </w:rPr>
        <w:t>度</w:t>
      </w:r>
      <w:r>
        <w:rPr>
          <w:w w:val="95"/>
          <w:sz w:val="20"/>
        </w:rPr>
        <w:t>保</w:t>
      </w:r>
      <w:r>
        <w:rPr>
          <w:w w:val="95"/>
          <w:sz w:val="20"/>
        </w:rPr>
        <w:t>险</w:t>
      </w:r>
      <w:r>
        <w:rPr>
          <w:w w:val="95"/>
          <w:sz w:val="20"/>
        </w:rPr>
        <w:t>合</w:t>
      </w:r>
      <w:r>
        <w:rPr>
          <w:w w:val="95"/>
          <w:sz w:val="20"/>
        </w:rPr>
        <w:t>同</w:t>
      </w:r>
      <w:r>
        <w:rPr>
          <w:w w:val="95"/>
          <w:sz w:val="20"/>
        </w:rPr>
        <w:t>保</w:t>
      </w:r>
      <w:r>
        <w:rPr>
          <w:w w:val="95"/>
          <w:sz w:val="20"/>
        </w:rPr>
        <w:t>单周年日</w:t>
      </w:r>
      <w:r>
        <w:rPr>
          <w:w w:val="95"/>
          <w:sz w:val="20"/>
        </w:rPr>
        <w:t>零</w:t>
      </w:r>
      <w:r>
        <w:rPr>
          <w:w w:val="95"/>
          <w:sz w:val="20"/>
        </w:rPr>
        <w:t>时</w:t>
      </w:r>
      <w:r>
        <w:rPr>
          <w:w w:val="95"/>
          <w:sz w:val="20"/>
        </w:rPr>
        <w:t>止</w:t>
      </w:r>
      <w:r>
        <w:rPr>
          <w:w w:val="95"/>
          <w:sz w:val="20"/>
        </w:rPr>
        <w:t>的</w:t>
      </w:r>
      <w:r>
        <w:rPr>
          <w:w w:val="95"/>
          <w:sz w:val="20"/>
        </w:rPr>
        <w:t>期</w:t>
      </w:r>
      <w:r>
        <w:rPr>
          <w:w w:val="95"/>
          <w:sz w:val="20"/>
        </w:rPr>
        <w:t>间</w:t>
      </w:r>
      <w:r>
        <w:rPr>
          <w:w w:val="95"/>
          <w:sz w:val="20"/>
        </w:rPr>
        <w:t>为</w:t>
      </w:r>
      <w:r>
        <w:rPr>
          <w:w w:val="95"/>
          <w:sz w:val="20"/>
        </w:rPr>
        <w:t>一</w:t>
      </w:r>
      <w:r>
        <w:rPr>
          <w:w w:val="95"/>
          <w:sz w:val="20"/>
        </w:rPr>
        <w:t>个</w:t>
      </w:r>
      <w:r>
        <w:rPr>
          <w:w w:val="95"/>
          <w:sz w:val="20"/>
        </w:rPr>
        <w:t>保</w:t>
      </w:r>
      <w:r>
        <w:rPr>
          <w:spacing w:val="-10"/>
          <w:w w:val="95"/>
          <w:sz w:val="20"/>
        </w:rPr>
        <w:t>单</w:t>
      </w:r>
    </w:p>
    <w:p>
      <w:pPr>
        <w:spacing w:line="234" w:lineRule="exact" w:before="0"/>
        <w:ind w:left="374" w:right="0" w:firstLine="0"/>
        <w:jc w:val="left"/>
        <w:rPr>
          <w:sz w:val="20"/>
        </w:rPr>
      </w:pPr>
      <w:r>
        <w:rPr>
          <w:w w:val="95"/>
          <w:sz w:val="20"/>
        </w:rPr>
        <w:t>年</w:t>
      </w:r>
      <w:r>
        <w:rPr>
          <w:w w:val="95"/>
          <w:sz w:val="20"/>
        </w:rPr>
        <w:t>度</w:t>
      </w:r>
      <w:r>
        <w:rPr>
          <w:spacing w:val="-10"/>
          <w:w w:val="95"/>
          <w:sz w:val="20"/>
        </w:rPr>
        <w:t>。</w:t>
      </w:r>
    </w:p>
    <w:p>
      <w:pPr>
        <w:spacing w:after="0" w:line="234" w:lineRule="exact"/>
        <w:jc w:val="left"/>
        <w:rPr>
          <w:sz w:val="20"/>
        </w:rPr>
        <w:sectPr>
          <w:type w:val="continuous"/>
          <w:pgSz w:w="11910" w:h="16840"/>
          <w:pgMar w:header="566" w:footer="664" w:top="1340" w:bottom="860" w:left="900" w:right="720"/>
        </w:sectPr>
      </w:pPr>
    </w:p>
    <w:p>
      <w:pPr>
        <w:spacing w:before="18"/>
        <w:ind w:left="3037" w:right="0" w:firstLine="0"/>
        <w:jc w:val="left"/>
        <w:rPr>
          <w:rFonts w:ascii="微软雅黑" w:eastAsia="微软雅黑"/>
          <w:b/>
          <w:sz w:val="21"/>
        </w:rPr>
      </w:pPr>
      <w:r>
        <w:rPr>
          <w:rFonts w:ascii="微软雅黑" w:eastAsia="微软雅黑"/>
          <w:b/>
          <w:spacing w:val="-2"/>
          <w:sz w:val="21"/>
        </w:rPr>
        <w:t>项保险责任。</w:t>
      </w:r>
    </w:p>
    <w:p>
      <w:pPr>
        <w:pStyle w:val="BodyText"/>
        <w:spacing w:before="3"/>
        <w:rPr>
          <w:rFonts w:ascii="微软雅黑"/>
          <w:b/>
          <w:sz w:val="6"/>
        </w:rPr>
      </w:pPr>
      <w:r>
        <w:rPr/>
        <w:pict>
          <v:shape style="position:absolute;margin-left:196.850006pt;margin-top:6.889502pt;width:342.3pt;height:14.4pt;mso-position-horizontal-relative:page;mso-position-vertical-relative:paragraph;z-index:-15723520;mso-wrap-distance-left:0;mso-wrap-distance-right:0" type="#_x0000_t202" id="docshape9" filled="true" fillcolor="#d9d9d9" stroked="false">
            <v:textbox inset="0,0,0,0">
              <w:txbxContent>
                <w:p>
                  <w:pPr>
                    <w:spacing w:line="288" w:lineRule="exact" w:before="0"/>
                    <w:ind w:left="0" w:right="0" w:firstLine="0"/>
                    <w:jc w:val="left"/>
                    <w:rPr>
                      <w:rFonts w:ascii="微软雅黑" w:hAnsi="微软雅黑" w:eastAsia="微软雅黑"/>
                      <w:b/>
                      <w:color w:val="000000"/>
                      <w:sz w:val="22"/>
                    </w:rPr>
                  </w:pPr>
                  <w:r>
                    <w:rPr>
                      <w:rFonts w:ascii="微软雅黑" w:hAnsi="微软雅黑" w:eastAsia="微软雅黑"/>
                      <w:b/>
                      <w:color w:val="000000"/>
                      <w:spacing w:val="-1"/>
                      <w:sz w:val="22"/>
                    </w:rPr>
                    <w:t>本合同中的“身故保险金”与“重大疾病保险金”二者不可兼得，即若</w:t>
                  </w:r>
                </w:p>
              </w:txbxContent>
            </v:textbox>
            <v:fill type="solid"/>
            <w10:wrap type="topAndBottom"/>
          </v:shape>
        </w:pict>
      </w:r>
    </w:p>
    <w:p>
      <w:pPr>
        <w:pStyle w:val="BodyText"/>
        <w:rPr>
          <w:rFonts w:ascii="微软雅黑"/>
          <w:b/>
          <w:sz w:val="2"/>
        </w:rPr>
      </w:pPr>
    </w:p>
    <w:p>
      <w:pPr>
        <w:pStyle w:val="BodyText"/>
        <w:spacing w:line="288" w:lineRule="exact"/>
        <w:ind w:left="3037"/>
        <w:rPr>
          <w:rFonts w:ascii="微软雅黑"/>
          <w:sz w:val="20"/>
        </w:rPr>
      </w:pPr>
      <w:r>
        <w:rPr>
          <w:rFonts w:ascii="微软雅黑"/>
          <w:position w:val="-5"/>
          <w:sz w:val="20"/>
        </w:rPr>
        <w:pict>
          <v:shape style="width:265.05pt;height:14.4pt;mso-position-horizontal-relative:char;mso-position-vertical-relative:line" type="#_x0000_t202" id="docshape10"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3"/>
                      <w:sz w:val="22"/>
                    </w:rPr>
                    <w:t>我们给付其中一项保险金，则另一保险金将不再给付。</w:t>
                  </w:r>
                </w:p>
              </w:txbxContent>
            </v:textbox>
            <v:fill type="solid"/>
          </v:shape>
        </w:pict>
      </w:r>
      <w:r>
        <w:rPr>
          <w:rFonts w:ascii="微软雅黑"/>
          <w:position w:val="-5"/>
          <w:sz w:val="20"/>
        </w:rPr>
      </w:r>
    </w:p>
    <w:p>
      <w:pPr>
        <w:pStyle w:val="BodyText"/>
        <w:spacing w:before="9"/>
        <w:rPr>
          <w:rFonts w:ascii="微软雅黑"/>
          <w:b/>
          <w:sz w:val="12"/>
        </w:rPr>
      </w:pPr>
    </w:p>
    <w:p>
      <w:pPr>
        <w:tabs>
          <w:tab w:pos="1269" w:val="left" w:leader="none"/>
        </w:tabs>
        <w:spacing w:line="196" w:lineRule="auto" w:before="42"/>
        <w:ind w:left="232" w:right="0" w:firstLine="0"/>
        <w:jc w:val="left"/>
        <w:rPr>
          <w:rFonts w:ascii="微软雅黑" w:hAnsi="微软雅黑" w:eastAsia="微软雅黑"/>
          <w:b/>
          <w:sz w:val="24"/>
        </w:rPr>
      </w:pPr>
      <w:r>
        <w:rPr>
          <w:rFonts w:ascii="微软雅黑" w:hAnsi="微软雅黑" w:eastAsia="微软雅黑"/>
          <w:b/>
          <w:spacing w:val="-10"/>
          <w:position w:val="-5"/>
          <w:sz w:val="28"/>
        </w:rPr>
        <w:t>⒉</w:t>
      </w:r>
      <w:r>
        <w:rPr>
          <w:rFonts w:ascii="微软雅黑" w:hAnsi="微软雅黑" w:eastAsia="微软雅黑"/>
          <w:b/>
          <w:position w:val="-5"/>
          <w:sz w:val="28"/>
        </w:rPr>
        <w:tab/>
      </w:r>
      <w:r>
        <w:rPr>
          <w:rFonts w:ascii="微软雅黑" w:hAnsi="微软雅黑" w:eastAsia="微软雅黑"/>
          <w:b/>
          <w:spacing w:val="-3"/>
          <w:sz w:val="24"/>
        </w:rPr>
        <w:t>不保什么</w:t>
      </w:r>
    </w:p>
    <w:p>
      <w:pPr>
        <w:spacing w:before="111"/>
        <w:ind w:left="1270" w:right="0" w:firstLine="0"/>
        <w:jc w:val="left"/>
        <w:rPr>
          <w:rFonts w:ascii="微软雅黑" w:eastAsia="微软雅黑"/>
          <w:b/>
          <w:sz w:val="21"/>
        </w:rPr>
      </w:pPr>
      <w:r>
        <w:rPr/>
        <w:pict>
          <v:shape style="position:absolute;margin-left:196.850006pt;margin-top:38.848133pt;width:342.3pt;height:14.4pt;mso-position-horizontal-relative:page;mso-position-vertical-relative:paragraph;z-index:15737856" type="#_x0000_t202" id="docshape11" filled="true" fillcolor="#d9d9d9"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1"/>
                      <w:sz w:val="22"/>
                    </w:rPr>
                    <w:t>因下列情形之一，导致被保险人身故的，我们不承担给付身故保险金的</w:t>
                  </w:r>
                </w:p>
              </w:txbxContent>
            </v:textbox>
            <v:fill type="solid"/>
            <w10:wrap type="none"/>
          </v:shape>
        </w:pict>
      </w:r>
      <w:r>
        <w:rPr>
          <w:rFonts w:ascii="微软雅黑" w:eastAsia="微软雅黑"/>
          <w:b/>
          <w:spacing w:val="-3"/>
          <w:sz w:val="21"/>
        </w:rPr>
        <w:t>这部分描述的是我们不承担保险责任的情况。</w:t>
      </w:r>
    </w:p>
    <w:p>
      <w:pPr>
        <w:pStyle w:val="BodyText"/>
        <w:spacing w:before="3"/>
        <w:rPr>
          <w:rFonts w:ascii="微软雅黑"/>
          <w:b/>
          <w:sz w:val="4"/>
        </w:rPr>
      </w:pPr>
      <w:r>
        <w:rPr/>
        <w:drawing>
          <wp:anchor distT="0" distB="0" distL="0" distR="0" allowOverlap="1" layoutInCell="1" locked="0" behindDoc="0" simplePos="0" relativeHeight="12">
            <wp:simplePos x="0" y="0"/>
            <wp:positionH relativeFrom="page">
              <wp:posOffset>667512</wp:posOffset>
            </wp:positionH>
            <wp:positionV relativeFrom="paragraph">
              <wp:posOffset>64057</wp:posOffset>
            </wp:positionV>
            <wp:extent cx="6311264" cy="9144"/>
            <wp:effectExtent l="0" t="0" r="0" b="0"/>
            <wp:wrapTopAndBottom/>
            <wp:docPr id="17" name="image8.png"/>
            <wp:cNvGraphicFramePr>
              <a:graphicFrameLocks noChangeAspect="1"/>
            </wp:cNvGraphicFramePr>
            <a:graphic>
              <a:graphicData uri="http://schemas.openxmlformats.org/drawingml/2006/picture">
                <pic:pic>
                  <pic:nvPicPr>
                    <pic:cNvPr id="18" name="image8.png"/>
                    <pic:cNvPicPr/>
                  </pic:nvPicPr>
                  <pic:blipFill>
                    <a:blip r:embed="rId13" cstate="print"/>
                    <a:stretch>
                      <a:fillRect/>
                    </a:stretch>
                  </pic:blipFill>
                  <pic:spPr>
                    <a:xfrm>
                      <a:off x="0" y="0"/>
                      <a:ext cx="6311264" cy="9144"/>
                    </a:xfrm>
                    <a:prstGeom prst="rect">
                      <a:avLst/>
                    </a:prstGeom>
                  </pic:spPr>
                </pic:pic>
              </a:graphicData>
            </a:graphic>
          </wp:anchor>
        </w:drawing>
      </w:r>
    </w:p>
    <w:p>
      <w:pPr>
        <w:pStyle w:val="ListParagraph"/>
        <w:numPr>
          <w:ilvl w:val="1"/>
          <w:numId w:val="13"/>
        </w:numPr>
        <w:tabs>
          <w:tab w:pos="1269" w:val="left" w:leader="none"/>
          <w:tab w:pos="1270" w:val="left" w:leader="none"/>
        </w:tabs>
        <w:spacing w:line="240" w:lineRule="auto" w:before="107" w:after="0"/>
        <w:ind w:left="1270" w:right="0" w:hanging="1038"/>
        <w:jc w:val="left"/>
        <w:rPr>
          <w:rFonts w:ascii="微软雅黑" w:eastAsia="微软雅黑"/>
          <w:b/>
          <w:sz w:val="21"/>
        </w:rPr>
      </w:pPr>
      <w:r>
        <w:rPr>
          <w:rFonts w:ascii="微软雅黑" w:eastAsia="微软雅黑"/>
          <w:b/>
          <w:spacing w:val="-3"/>
          <w:sz w:val="21"/>
        </w:rPr>
        <w:t>责任免除</w:t>
      </w:r>
    </w:p>
    <w:p>
      <w:pPr>
        <w:pStyle w:val="BodyText"/>
        <w:spacing w:line="288" w:lineRule="exact"/>
        <w:ind w:left="3037"/>
        <w:rPr>
          <w:rFonts w:ascii="微软雅黑"/>
          <w:sz w:val="20"/>
        </w:rPr>
      </w:pPr>
      <w:r>
        <w:rPr>
          <w:rFonts w:ascii="微软雅黑"/>
          <w:position w:val="-5"/>
          <w:sz w:val="20"/>
        </w:rPr>
        <w:pict>
          <v:shape style="width:33.15pt;height:14.4pt;mso-position-horizontal-relative:char;mso-position-vertical-relative:line" type="#_x0000_t202" id="docshape12"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7"/>
                      <w:sz w:val="22"/>
                    </w:rPr>
                    <w:t>责任：</w:t>
                  </w:r>
                </w:p>
              </w:txbxContent>
            </v:textbox>
            <v:fill type="solid"/>
          </v:shape>
        </w:pict>
      </w:r>
      <w:r>
        <w:rPr>
          <w:rFonts w:ascii="微软雅黑"/>
          <w:position w:val="-5"/>
          <w:sz w:val="20"/>
        </w:rPr>
      </w:r>
    </w:p>
    <w:p>
      <w:pPr>
        <w:pStyle w:val="BodyText"/>
        <w:spacing w:line="288" w:lineRule="exact"/>
        <w:ind w:left="3037"/>
        <w:rPr>
          <w:rFonts w:ascii="微软雅黑"/>
          <w:sz w:val="20"/>
        </w:rPr>
      </w:pPr>
      <w:r>
        <w:rPr>
          <w:rFonts w:ascii="微软雅黑"/>
          <w:position w:val="-5"/>
          <w:sz w:val="20"/>
        </w:rPr>
        <w:pict>
          <v:shape style="width:237.5pt;height:14.4pt;mso-position-horizontal-relative:char;mso-position-vertical-relative:line" type="#_x0000_t202" id="docshape13"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（1）</w:t>
                  </w:r>
                  <w:r>
                    <w:rPr>
                      <w:rFonts w:ascii="微软雅黑" w:eastAsia="微软雅黑"/>
                      <w:b/>
                      <w:color w:val="000000"/>
                      <w:spacing w:val="-1"/>
                      <w:w w:val="95"/>
                      <w:sz w:val="22"/>
                    </w:rPr>
                    <w:t>投保人对被保险人的故意杀害、故意伤害；</w:t>
                  </w:r>
                </w:p>
              </w:txbxContent>
            </v:textbox>
            <v:fill type="solid"/>
          </v:shape>
        </w:pict>
      </w:r>
      <w:r>
        <w:rPr>
          <w:rFonts w:ascii="微软雅黑"/>
          <w:position w:val="-5"/>
          <w:sz w:val="20"/>
        </w:rPr>
      </w:r>
    </w:p>
    <w:p>
      <w:pPr>
        <w:pStyle w:val="BodyText"/>
        <w:rPr>
          <w:rFonts w:ascii="微软雅黑"/>
          <w:b/>
          <w:sz w:val="2"/>
        </w:rPr>
      </w:pPr>
    </w:p>
    <w:p>
      <w:pPr>
        <w:pStyle w:val="BodyText"/>
        <w:spacing w:line="288" w:lineRule="exact"/>
        <w:ind w:left="3037"/>
        <w:rPr>
          <w:rFonts w:ascii="微软雅黑"/>
          <w:sz w:val="20"/>
        </w:rPr>
      </w:pPr>
      <w:r>
        <w:rPr>
          <w:rFonts w:ascii="微软雅黑"/>
          <w:position w:val="-5"/>
          <w:sz w:val="20"/>
        </w:rPr>
        <w:pict>
          <v:shape style="width:281.7pt;height:14.4pt;mso-position-horizontal-relative:char;mso-position-vertical-relative:line" type="#_x0000_t202" id="docshape14"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（2）</w:t>
                  </w:r>
                  <w:r>
                    <w:rPr>
                      <w:rFonts w:ascii="微软雅黑" w:eastAsia="微软雅黑"/>
                      <w:b/>
                      <w:color w:val="000000"/>
                      <w:spacing w:val="-1"/>
                      <w:w w:val="95"/>
                      <w:sz w:val="22"/>
                    </w:rPr>
                    <w:t>被保险人故意犯罪或抗拒依法采取的刑事强制措施；</w:t>
                  </w:r>
                </w:p>
              </w:txbxContent>
            </v:textbox>
            <v:fill type="solid"/>
          </v:shape>
        </w:pict>
      </w:r>
      <w:r>
        <w:rPr>
          <w:rFonts w:ascii="微软雅黑"/>
          <w:position w:val="-5"/>
          <w:sz w:val="20"/>
        </w:rPr>
      </w:r>
    </w:p>
    <w:p>
      <w:pPr>
        <w:spacing w:line="307" w:lineRule="exact" w:before="0"/>
        <w:ind w:left="9762" w:right="0" w:firstLine="0"/>
        <w:jc w:val="left"/>
        <w:rPr>
          <w:rFonts w:ascii="微软雅黑" w:eastAsia="微软雅黑"/>
          <w:b/>
          <w:sz w:val="22"/>
        </w:rPr>
      </w:pPr>
      <w:r>
        <w:rPr/>
        <w:pict>
          <v:shape style="position:absolute;margin-left:196.850006pt;margin-top:.756738pt;width:336.3pt;height:14.4pt;mso-position-horizontal-relative:page;mso-position-vertical-relative:paragraph;z-index:15737344" type="#_x0000_t202" id="docshape15" filled="true" fillcolor="#d9d9d9" stroked="false">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w w:val="95"/>
                      <w:sz w:val="22"/>
                    </w:rPr>
                    <w:t>（3）</w:t>
                  </w:r>
                  <w:r>
                    <w:rPr>
                      <w:rFonts w:ascii="微软雅黑" w:eastAsia="微软雅黑"/>
                      <w:b/>
                      <w:color w:val="000000"/>
                      <w:w w:val="95"/>
                      <w:sz w:val="22"/>
                    </w:rPr>
                    <w:t>被</w:t>
                  </w:r>
                  <w:r>
                    <w:rPr>
                      <w:rFonts w:ascii="微软雅黑" w:eastAsia="微软雅黑"/>
                      <w:b/>
                      <w:color w:val="000000"/>
                      <w:w w:val="95"/>
                      <w:sz w:val="22"/>
                    </w:rPr>
                    <w:t>保</w:t>
                  </w:r>
                  <w:r>
                    <w:rPr>
                      <w:rFonts w:ascii="微软雅黑" w:eastAsia="微软雅黑"/>
                      <w:b/>
                      <w:color w:val="000000"/>
                      <w:w w:val="95"/>
                      <w:sz w:val="22"/>
                    </w:rPr>
                    <w:t>险</w:t>
                  </w:r>
                  <w:r>
                    <w:rPr>
                      <w:rFonts w:ascii="微软雅黑" w:eastAsia="微软雅黑"/>
                      <w:b/>
                      <w:color w:val="000000"/>
                      <w:w w:val="95"/>
                      <w:sz w:val="22"/>
                    </w:rPr>
                    <w:t>人</w:t>
                  </w:r>
                  <w:r>
                    <w:rPr>
                      <w:rFonts w:ascii="微软雅黑" w:eastAsia="微软雅黑"/>
                      <w:b/>
                      <w:color w:val="000000"/>
                      <w:w w:val="95"/>
                      <w:sz w:val="22"/>
                    </w:rPr>
                    <w:t>自</w:t>
                  </w:r>
                  <w:r>
                    <w:rPr>
                      <w:rFonts w:ascii="微软雅黑" w:eastAsia="微软雅黑"/>
                      <w:b/>
                      <w:color w:val="000000"/>
                      <w:w w:val="95"/>
                      <w:sz w:val="22"/>
                    </w:rPr>
                    <w:t>本</w:t>
                  </w:r>
                  <w:r>
                    <w:rPr>
                      <w:rFonts w:ascii="微软雅黑" w:eastAsia="微软雅黑"/>
                      <w:b/>
                      <w:color w:val="000000"/>
                      <w:w w:val="95"/>
                      <w:sz w:val="22"/>
                    </w:rPr>
                    <w:t>合</w:t>
                  </w:r>
                  <w:r>
                    <w:rPr>
                      <w:rFonts w:ascii="微软雅黑" w:eastAsia="微软雅黑"/>
                      <w:b/>
                      <w:color w:val="000000"/>
                      <w:w w:val="95"/>
                      <w:sz w:val="22"/>
                    </w:rPr>
                    <w:t>同</w:t>
                  </w:r>
                  <w:r>
                    <w:rPr>
                      <w:rFonts w:ascii="微软雅黑" w:eastAsia="微软雅黑"/>
                      <w:b/>
                      <w:color w:val="000000"/>
                      <w:w w:val="95"/>
                      <w:sz w:val="22"/>
                    </w:rPr>
                    <w:t>成</w:t>
                  </w:r>
                  <w:r>
                    <w:rPr>
                      <w:rFonts w:ascii="微软雅黑" w:eastAsia="微软雅黑"/>
                      <w:b/>
                      <w:color w:val="000000"/>
                      <w:w w:val="95"/>
                      <w:sz w:val="22"/>
                    </w:rPr>
                    <w:t>立</w:t>
                  </w:r>
                  <w:r>
                    <w:rPr>
                      <w:rFonts w:ascii="微软雅黑" w:eastAsia="微软雅黑"/>
                      <w:b/>
                      <w:color w:val="000000"/>
                      <w:w w:val="95"/>
                      <w:sz w:val="22"/>
                    </w:rPr>
                    <w:t>或</w:t>
                  </w:r>
                  <w:r>
                    <w:rPr>
                      <w:rFonts w:ascii="微软雅黑" w:eastAsia="微软雅黑"/>
                      <w:b/>
                      <w:color w:val="000000"/>
                      <w:w w:val="95"/>
                      <w:sz w:val="22"/>
                    </w:rPr>
                    <w:t>者</w:t>
                  </w:r>
                  <w:r>
                    <w:rPr>
                      <w:rFonts w:ascii="微软雅黑" w:eastAsia="微软雅黑"/>
                      <w:b/>
                      <w:color w:val="000000"/>
                      <w:w w:val="95"/>
                      <w:sz w:val="22"/>
                    </w:rPr>
                    <w:t>本</w:t>
                  </w:r>
                  <w:r>
                    <w:rPr>
                      <w:rFonts w:ascii="微软雅黑" w:eastAsia="微软雅黑"/>
                      <w:b/>
                      <w:color w:val="000000"/>
                      <w:w w:val="95"/>
                      <w:sz w:val="22"/>
                    </w:rPr>
                    <w:t>合</w:t>
                  </w:r>
                  <w:r>
                    <w:rPr>
                      <w:rFonts w:ascii="微软雅黑" w:eastAsia="微软雅黑"/>
                      <w:b/>
                      <w:color w:val="000000"/>
                      <w:w w:val="95"/>
                      <w:sz w:val="22"/>
                    </w:rPr>
                    <w:t>同</w:t>
                  </w:r>
                  <w:r>
                    <w:rPr>
                      <w:rFonts w:ascii="微软雅黑" w:eastAsia="微软雅黑"/>
                      <w:b/>
                      <w:color w:val="000000"/>
                      <w:w w:val="95"/>
                      <w:sz w:val="22"/>
                    </w:rPr>
                    <w:t>效</w:t>
                  </w:r>
                  <w:r>
                    <w:rPr>
                      <w:rFonts w:ascii="微软雅黑" w:eastAsia="微软雅黑"/>
                      <w:b/>
                      <w:color w:val="000000"/>
                      <w:w w:val="95"/>
                      <w:sz w:val="22"/>
                    </w:rPr>
                    <w:t>力</w:t>
                  </w:r>
                  <w:r>
                    <w:rPr>
                      <w:rFonts w:ascii="微软雅黑" w:eastAsia="微软雅黑"/>
                      <w:b/>
                      <w:color w:val="000000"/>
                      <w:w w:val="95"/>
                      <w:sz w:val="22"/>
                    </w:rPr>
                    <w:t>恢</w:t>
                  </w:r>
                  <w:r>
                    <w:rPr>
                      <w:rFonts w:ascii="微软雅黑" w:eastAsia="微软雅黑"/>
                      <w:b/>
                      <w:color w:val="000000"/>
                      <w:w w:val="95"/>
                      <w:sz w:val="22"/>
                    </w:rPr>
                    <w:t>复</w:t>
                  </w:r>
                  <w:r>
                    <w:rPr>
                      <w:rFonts w:ascii="微软雅黑" w:eastAsia="微软雅黑"/>
                      <w:b/>
                      <w:color w:val="000000"/>
                      <w:w w:val="95"/>
                      <w:sz w:val="22"/>
                    </w:rPr>
                    <w:t>之</w:t>
                  </w:r>
                  <w:r>
                    <w:rPr>
                      <w:rFonts w:ascii="微软雅黑" w:eastAsia="微软雅黑"/>
                      <w:b/>
                      <w:color w:val="000000"/>
                      <w:w w:val="95"/>
                      <w:sz w:val="22"/>
                    </w:rPr>
                    <w:t>日</w:t>
                  </w:r>
                  <w:r>
                    <w:rPr>
                      <w:rFonts w:ascii="微软雅黑" w:eastAsia="微软雅黑"/>
                      <w:b/>
                      <w:color w:val="000000"/>
                      <w:w w:val="95"/>
                      <w:sz w:val="22"/>
                    </w:rPr>
                    <w:t>起</w:t>
                  </w:r>
                  <w:r>
                    <w:rPr>
                      <w:rFonts w:ascii="微软雅黑" w:eastAsia="微软雅黑"/>
                      <w:b/>
                      <w:color w:val="000000"/>
                      <w:spacing w:val="29"/>
                      <w:sz w:val="22"/>
                    </w:rPr>
                    <w:t>  </w:t>
                  </w:r>
                  <w:r>
                    <w:rPr>
                      <w:rFonts w:ascii="微软雅黑" w:eastAsia="微软雅黑"/>
                      <w:b/>
                      <w:color w:val="000000"/>
                      <w:w w:val="95"/>
                      <w:sz w:val="22"/>
                    </w:rPr>
                    <w:t>2</w:t>
                  </w:r>
                  <w:r>
                    <w:rPr>
                      <w:rFonts w:ascii="微软雅黑" w:eastAsia="微软雅黑"/>
                      <w:b/>
                      <w:color w:val="000000"/>
                      <w:spacing w:val="27"/>
                      <w:sz w:val="22"/>
                    </w:rPr>
                    <w:t>  </w:t>
                  </w:r>
                  <w:r>
                    <w:rPr>
                      <w:rFonts w:ascii="微软雅黑" w:eastAsia="微软雅黑"/>
                      <w:b/>
                      <w:color w:val="000000"/>
                      <w:w w:val="95"/>
                      <w:sz w:val="22"/>
                    </w:rPr>
                    <w:t>年</w:t>
                  </w:r>
                  <w:r>
                    <w:rPr>
                      <w:rFonts w:ascii="微软雅黑" w:eastAsia="微软雅黑"/>
                      <w:b/>
                      <w:color w:val="000000"/>
                      <w:w w:val="95"/>
                      <w:sz w:val="22"/>
                    </w:rPr>
                    <w:t>内</w:t>
                  </w:r>
                  <w:r>
                    <w:rPr>
                      <w:rFonts w:ascii="微软雅黑" w:eastAsia="微软雅黑"/>
                      <w:b/>
                      <w:color w:val="000000"/>
                      <w:w w:val="95"/>
                      <w:sz w:val="22"/>
                    </w:rPr>
                    <w:t>自</w:t>
                  </w:r>
                  <w:r>
                    <w:rPr>
                      <w:rFonts w:ascii="微软雅黑" w:eastAsia="微软雅黑"/>
                      <w:b/>
                      <w:color w:val="000000"/>
                      <w:w w:val="95"/>
                      <w:sz w:val="22"/>
                    </w:rPr>
                    <w:t>杀</w:t>
                  </w:r>
                  <w:r>
                    <w:rPr>
                      <w:rFonts w:ascii="微软雅黑" w:eastAsia="微软雅黑"/>
                      <w:b/>
                      <w:color w:val="000000"/>
                      <w:spacing w:val="-10"/>
                      <w:w w:val="95"/>
                      <w:sz w:val="22"/>
                    </w:rPr>
                    <w:t>，</w:t>
                  </w:r>
                </w:p>
              </w:txbxContent>
            </v:textbox>
            <v:fill type="solid"/>
            <w10:wrap type="none"/>
          </v:shape>
        </w:pict>
      </w:r>
      <w:r>
        <w:rPr>
          <w:rFonts w:ascii="微软雅黑" w:eastAsia="微软雅黑"/>
          <w:b/>
          <w:w w:val="100"/>
          <w:sz w:val="22"/>
        </w:rPr>
        <w:t>但</w:t>
      </w:r>
    </w:p>
    <w:p>
      <w:pPr>
        <w:spacing w:line="312" w:lineRule="exact" w:before="0"/>
        <w:ind w:left="3037" w:right="0" w:firstLine="0"/>
        <w:jc w:val="left"/>
        <w:rPr>
          <w:rFonts w:ascii="微软雅黑" w:eastAsia="微软雅黑"/>
          <w:b/>
          <w:sz w:val="22"/>
        </w:rPr>
      </w:pPr>
      <w:r>
        <w:rPr>
          <w:rFonts w:ascii="微软雅黑" w:eastAsia="微软雅黑"/>
          <w:b/>
          <w:spacing w:val="-1"/>
          <w:sz w:val="22"/>
        </w:rPr>
        <w:t>被保险人自杀时为无民事行为能力人的除外；</w:t>
      </w:r>
    </w:p>
    <w:p>
      <w:pPr>
        <w:pStyle w:val="ListParagraph"/>
        <w:numPr>
          <w:ilvl w:val="2"/>
          <w:numId w:val="13"/>
        </w:numPr>
        <w:tabs>
          <w:tab w:pos="3590" w:val="left" w:leader="none"/>
        </w:tabs>
        <w:spacing w:line="350" w:lineRule="exact" w:before="0" w:after="0"/>
        <w:ind w:left="3590" w:right="0" w:hanging="553"/>
        <w:jc w:val="left"/>
        <w:rPr>
          <w:rFonts w:ascii="微软雅黑" w:eastAsia="微软雅黑"/>
          <w:b/>
          <w:sz w:val="22"/>
        </w:rPr>
      </w:pPr>
      <w:r>
        <w:rPr>
          <w:rFonts w:ascii="微软雅黑" w:eastAsia="微软雅黑"/>
          <w:b/>
          <w:color w:val="000000"/>
          <w:sz w:val="22"/>
          <w:shd w:fill="D9D9D9" w:color="auto" w:val="clear"/>
        </w:rPr>
        <w:t>被保险人服用、吸食或注射毒品</w:t>
      </w:r>
      <w:r>
        <w:rPr>
          <w:rFonts w:ascii="微软雅黑" w:eastAsia="微软雅黑"/>
          <w:b/>
          <w:color w:val="000000"/>
          <w:spacing w:val="-5"/>
          <w:position w:val="11"/>
          <w:sz w:val="11"/>
        </w:rPr>
        <w:t>8</w:t>
      </w:r>
      <w:r>
        <w:rPr>
          <w:rFonts w:ascii="微软雅黑" w:eastAsia="微软雅黑"/>
          <w:b/>
          <w:color w:val="000000"/>
          <w:spacing w:val="-5"/>
          <w:sz w:val="22"/>
          <w:shd w:fill="D9D9D9" w:color="auto" w:val="clear"/>
        </w:rPr>
        <w:t>；</w:t>
      </w:r>
    </w:p>
    <w:p>
      <w:pPr>
        <w:pStyle w:val="ListParagraph"/>
        <w:numPr>
          <w:ilvl w:val="2"/>
          <w:numId w:val="13"/>
        </w:numPr>
        <w:tabs>
          <w:tab w:pos="3590" w:val="left" w:leader="none"/>
        </w:tabs>
        <w:spacing w:line="274" w:lineRule="exact" w:before="0" w:after="0"/>
        <w:ind w:left="3590" w:right="0" w:hanging="553"/>
        <w:jc w:val="left"/>
        <w:rPr>
          <w:rFonts w:ascii="微软雅黑" w:eastAsia="微软雅黑"/>
          <w:b/>
          <w:sz w:val="22"/>
        </w:rPr>
      </w:pPr>
      <w:r>
        <w:rPr>
          <w:rFonts w:ascii="微软雅黑" w:eastAsia="微软雅黑"/>
          <w:b/>
          <w:color w:val="000000"/>
          <w:w w:val="95"/>
          <w:sz w:val="22"/>
          <w:shd w:fill="D9D9D9" w:color="auto" w:val="clear"/>
        </w:rPr>
        <w:t>被</w:t>
      </w:r>
      <w:r>
        <w:rPr>
          <w:rFonts w:ascii="微软雅黑" w:eastAsia="微软雅黑"/>
          <w:b/>
          <w:color w:val="000000"/>
          <w:w w:val="95"/>
          <w:sz w:val="22"/>
          <w:shd w:fill="D9D9D9" w:color="auto" w:val="clear"/>
        </w:rPr>
        <w:t>保</w:t>
      </w:r>
      <w:r>
        <w:rPr>
          <w:rFonts w:ascii="微软雅黑" w:eastAsia="微软雅黑"/>
          <w:b/>
          <w:color w:val="000000"/>
          <w:w w:val="95"/>
          <w:sz w:val="22"/>
          <w:shd w:fill="D9D9D9" w:color="auto" w:val="clear"/>
        </w:rPr>
        <w:t>险</w:t>
      </w:r>
      <w:r>
        <w:rPr>
          <w:rFonts w:ascii="微软雅黑" w:eastAsia="微软雅黑"/>
          <w:b/>
          <w:color w:val="000000"/>
          <w:w w:val="95"/>
          <w:sz w:val="22"/>
          <w:shd w:fill="D9D9D9" w:color="auto" w:val="clear"/>
        </w:rPr>
        <w:t>人</w:t>
      </w:r>
      <w:r>
        <w:rPr>
          <w:rFonts w:ascii="微软雅黑" w:eastAsia="微软雅黑"/>
          <w:b/>
          <w:color w:val="000000"/>
          <w:w w:val="95"/>
          <w:sz w:val="22"/>
          <w:shd w:fill="D9D9D9" w:color="auto" w:val="clear"/>
        </w:rPr>
        <w:t>酒</w:t>
      </w:r>
      <w:r>
        <w:rPr>
          <w:rFonts w:ascii="微软雅黑" w:eastAsia="微软雅黑"/>
          <w:b/>
          <w:color w:val="000000"/>
          <w:w w:val="95"/>
          <w:sz w:val="22"/>
          <w:shd w:fill="D9D9D9" w:color="auto" w:val="clear"/>
        </w:rPr>
        <w:t>后</w:t>
      </w:r>
      <w:r>
        <w:rPr>
          <w:rFonts w:ascii="微软雅黑" w:eastAsia="微软雅黑"/>
          <w:b/>
          <w:color w:val="000000"/>
          <w:w w:val="95"/>
          <w:sz w:val="22"/>
          <w:shd w:fill="D9D9D9" w:color="auto" w:val="clear"/>
        </w:rPr>
        <w:t>驾驶</w:t>
      </w:r>
      <w:r>
        <w:rPr>
          <w:rFonts w:ascii="微软雅黑" w:eastAsia="微软雅黑"/>
          <w:b/>
          <w:color w:val="000000"/>
          <w:w w:val="95"/>
          <w:position w:val="11"/>
          <w:sz w:val="11"/>
        </w:rPr>
        <w:t>9</w:t>
      </w:r>
      <w:r>
        <w:rPr>
          <w:rFonts w:ascii="微软雅黑" w:eastAsia="微软雅黑"/>
          <w:b/>
          <w:color w:val="000000"/>
          <w:w w:val="95"/>
          <w:sz w:val="22"/>
          <w:shd w:fill="D9D9D9" w:color="auto" w:val="clear"/>
        </w:rPr>
        <w:t>、</w:t>
      </w:r>
      <w:r>
        <w:rPr>
          <w:rFonts w:ascii="微软雅黑" w:eastAsia="微软雅黑"/>
          <w:b/>
          <w:color w:val="000000"/>
          <w:w w:val="95"/>
          <w:sz w:val="22"/>
          <w:shd w:fill="D9D9D9" w:color="auto" w:val="clear"/>
        </w:rPr>
        <w:t>无</w:t>
      </w:r>
      <w:r>
        <w:rPr>
          <w:rFonts w:ascii="微软雅黑" w:eastAsia="微软雅黑"/>
          <w:b/>
          <w:color w:val="000000"/>
          <w:w w:val="95"/>
          <w:sz w:val="22"/>
          <w:shd w:fill="D9D9D9" w:color="auto" w:val="clear"/>
        </w:rPr>
        <w:t>合</w:t>
      </w:r>
      <w:r>
        <w:rPr>
          <w:rFonts w:ascii="微软雅黑" w:eastAsia="微软雅黑"/>
          <w:b/>
          <w:color w:val="000000"/>
          <w:w w:val="95"/>
          <w:sz w:val="22"/>
          <w:shd w:fill="D9D9D9" w:color="auto" w:val="clear"/>
        </w:rPr>
        <w:t>法</w:t>
      </w:r>
      <w:r>
        <w:rPr>
          <w:rFonts w:ascii="微软雅黑" w:eastAsia="微软雅黑"/>
          <w:b/>
          <w:color w:val="000000"/>
          <w:w w:val="95"/>
          <w:sz w:val="22"/>
          <w:shd w:fill="D9D9D9" w:color="auto" w:val="clear"/>
        </w:rPr>
        <w:t>有</w:t>
      </w:r>
      <w:r>
        <w:rPr>
          <w:rFonts w:ascii="微软雅黑" w:eastAsia="微软雅黑"/>
          <w:b/>
          <w:color w:val="000000"/>
          <w:w w:val="95"/>
          <w:sz w:val="22"/>
          <w:shd w:fill="D9D9D9" w:color="auto" w:val="clear"/>
        </w:rPr>
        <w:t>效</w:t>
      </w:r>
      <w:r>
        <w:rPr>
          <w:rFonts w:ascii="微软雅黑" w:eastAsia="微软雅黑"/>
          <w:b/>
          <w:color w:val="000000"/>
          <w:w w:val="95"/>
          <w:sz w:val="22"/>
          <w:shd w:fill="D9D9D9" w:color="auto" w:val="clear"/>
        </w:rPr>
        <w:t>驾</w:t>
      </w:r>
      <w:r>
        <w:rPr>
          <w:rFonts w:ascii="微软雅黑" w:eastAsia="微软雅黑"/>
          <w:b/>
          <w:color w:val="000000"/>
          <w:w w:val="95"/>
          <w:sz w:val="22"/>
          <w:shd w:fill="D9D9D9" w:color="auto" w:val="clear"/>
        </w:rPr>
        <w:t>驶</w:t>
      </w:r>
      <w:r>
        <w:rPr>
          <w:rFonts w:ascii="微软雅黑" w:eastAsia="微软雅黑"/>
          <w:b/>
          <w:color w:val="000000"/>
          <w:w w:val="95"/>
          <w:sz w:val="22"/>
          <w:shd w:fill="D9D9D9" w:color="auto" w:val="clear"/>
        </w:rPr>
        <w:t>证</w:t>
      </w:r>
      <w:r>
        <w:rPr>
          <w:rFonts w:ascii="微软雅黑" w:eastAsia="微软雅黑"/>
          <w:b/>
          <w:color w:val="000000"/>
          <w:w w:val="95"/>
          <w:sz w:val="22"/>
          <w:shd w:fill="D9D9D9" w:color="auto" w:val="clear"/>
        </w:rPr>
        <w:t>驾</w:t>
      </w:r>
      <w:r>
        <w:rPr>
          <w:rFonts w:ascii="微软雅黑" w:eastAsia="微软雅黑"/>
          <w:b/>
          <w:color w:val="000000"/>
          <w:w w:val="95"/>
          <w:sz w:val="22"/>
          <w:shd w:fill="D9D9D9" w:color="auto" w:val="clear"/>
        </w:rPr>
        <w:t>驶</w:t>
      </w:r>
      <w:r>
        <w:rPr>
          <w:rFonts w:ascii="微软雅黑" w:eastAsia="微软雅黑"/>
          <w:b/>
          <w:color w:val="000000"/>
          <w:w w:val="95"/>
          <w:position w:val="11"/>
          <w:sz w:val="11"/>
        </w:rPr>
        <w:t>10</w:t>
      </w:r>
      <w:r>
        <w:rPr>
          <w:rFonts w:ascii="微软雅黑" w:eastAsia="微软雅黑"/>
          <w:b/>
          <w:color w:val="000000"/>
          <w:w w:val="95"/>
          <w:sz w:val="22"/>
          <w:shd w:fill="D9D9D9" w:color="auto" w:val="clear"/>
        </w:rPr>
        <w:t>，</w:t>
      </w:r>
      <w:r>
        <w:rPr>
          <w:rFonts w:ascii="微软雅黑" w:eastAsia="微软雅黑"/>
          <w:b/>
          <w:color w:val="000000"/>
          <w:w w:val="95"/>
          <w:sz w:val="22"/>
          <w:shd w:fill="D9D9D9" w:color="auto" w:val="clear"/>
        </w:rPr>
        <w:t>或</w:t>
      </w:r>
      <w:r>
        <w:rPr>
          <w:rFonts w:ascii="微软雅黑" w:eastAsia="微软雅黑"/>
          <w:b/>
          <w:color w:val="000000"/>
          <w:w w:val="95"/>
          <w:sz w:val="22"/>
          <w:shd w:fill="D9D9D9" w:color="auto" w:val="clear"/>
        </w:rPr>
        <w:t>驾</w:t>
      </w:r>
      <w:r>
        <w:rPr>
          <w:rFonts w:ascii="微软雅黑" w:eastAsia="微软雅黑"/>
          <w:b/>
          <w:color w:val="000000"/>
          <w:w w:val="95"/>
          <w:sz w:val="22"/>
          <w:shd w:fill="D9D9D9" w:color="auto" w:val="clear"/>
        </w:rPr>
        <w:t>驶</w:t>
      </w:r>
      <w:r>
        <w:rPr>
          <w:rFonts w:ascii="微软雅黑" w:eastAsia="微软雅黑"/>
          <w:b/>
          <w:color w:val="000000"/>
          <w:w w:val="95"/>
          <w:sz w:val="22"/>
          <w:shd w:fill="D9D9D9" w:color="auto" w:val="clear"/>
        </w:rPr>
        <w:t>无</w:t>
      </w:r>
      <w:r>
        <w:rPr>
          <w:rFonts w:ascii="微软雅黑" w:eastAsia="微软雅黑"/>
          <w:b/>
          <w:color w:val="000000"/>
          <w:w w:val="95"/>
          <w:sz w:val="22"/>
          <w:shd w:fill="D9D9D9" w:color="auto" w:val="clear"/>
        </w:rPr>
        <w:t>合</w:t>
      </w:r>
      <w:r>
        <w:rPr>
          <w:rFonts w:ascii="微软雅黑" w:eastAsia="微软雅黑"/>
          <w:b/>
          <w:color w:val="000000"/>
          <w:w w:val="95"/>
          <w:sz w:val="22"/>
          <w:shd w:fill="D9D9D9" w:color="auto" w:val="clear"/>
        </w:rPr>
        <w:t>法</w:t>
      </w:r>
      <w:r>
        <w:rPr>
          <w:rFonts w:ascii="微软雅黑" w:eastAsia="微软雅黑"/>
          <w:b/>
          <w:color w:val="000000"/>
          <w:w w:val="95"/>
          <w:sz w:val="22"/>
          <w:shd w:fill="D9D9D9" w:color="auto" w:val="clear"/>
        </w:rPr>
        <w:t>有</w:t>
      </w:r>
      <w:r>
        <w:rPr>
          <w:rFonts w:ascii="微软雅黑" w:eastAsia="微软雅黑"/>
          <w:b/>
          <w:color w:val="000000"/>
          <w:spacing w:val="-10"/>
          <w:w w:val="95"/>
          <w:sz w:val="22"/>
          <w:shd w:fill="D9D9D9" w:color="auto" w:val="clear"/>
        </w:rPr>
        <w:t>效</w:t>
      </w:r>
    </w:p>
    <w:p>
      <w:pPr>
        <w:spacing w:line="312" w:lineRule="exact" w:before="0"/>
        <w:ind w:left="3037" w:right="0" w:firstLine="0"/>
        <w:jc w:val="left"/>
        <w:rPr>
          <w:rFonts w:ascii="微软雅黑" w:eastAsia="微软雅黑"/>
          <w:b/>
          <w:sz w:val="22"/>
        </w:rPr>
      </w:pPr>
      <w:r>
        <w:rPr>
          <w:rFonts w:ascii="微软雅黑" w:eastAsia="微软雅黑"/>
          <w:b/>
          <w:color w:val="000000"/>
          <w:w w:val="95"/>
          <w:sz w:val="22"/>
          <w:shd w:fill="D9D9D9" w:color="auto" w:val="clear"/>
        </w:rPr>
        <w:t>行</w:t>
      </w:r>
      <w:r>
        <w:rPr>
          <w:rFonts w:ascii="微软雅黑" w:eastAsia="微软雅黑"/>
          <w:b/>
          <w:color w:val="000000"/>
          <w:w w:val="95"/>
          <w:sz w:val="22"/>
          <w:shd w:fill="D9D9D9" w:color="auto" w:val="clear"/>
        </w:rPr>
        <w:t>驶</w:t>
      </w:r>
      <w:r>
        <w:rPr>
          <w:rFonts w:ascii="微软雅黑" w:eastAsia="微软雅黑"/>
          <w:b/>
          <w:color w:val="000000"/>
          <w:w w:val="95"/>
          <w:sz w:val="22"/>
          <w:shd w:fill="D9D9D9" w:color="auto" w:val="clear"/>
        </w:rPr>
        <w:t>证</w:t>
      </w:r>
      <w:r>
        <w:rPr>
          <w:rFonts w:ascii="微软雅黑" w:eastAsia="微软雅黑"/>
          <w:b/>
          <w:color w:val="000000"/>
          <w:w w:val="95"/>
          <w:position w:val="11"/>
          <w:sz w:val="11"/>
        </w:rPr>
        <w:t>11</w:t>
      </w:r>
      <w:r>
        <w:rPr>
          <w:rFonts w:ascii="微软雅黑" w:eastAsia="微软雅黑"/>
          <w:b/>
          <w:color w:val="000000"/>
          <w:w w:val="95"/>
          <w:sz w:val="22"/>
          <w:shd w:fill="D9D9D9" w:color="auto" w:val="clear"/>
        </w:rPr>
        <w:t>的</w:t>
      </w:r>
      <w:r>
        <w:rPr>
          <w:rFonts w:ascii="微软雅黑" w:eastAsia="微软雅黑"/>
          <w:b/>
          <w:color w:val="000000"/>
          <w:w w:val="95"/>
          <w:sz w:val="22"/>
          <w:shd w:fill="D9D9D9" w:color="auto" w:val="clear"/>
        </w:rPr>
        <w:t>机</w:t>
      </w:r>
      <w:r>
        <w:rPr>
          <w:rFonts w:ascii="微软雅黑" w:eastAsia="微软雅黑"/>
          <w:b/>
          <w:color w:val="000000"/>
          <w:w w:val="95"/>
          <w:sz w:val="22"/>
          <w:shd w:fill="D9D9D9" w:color="auto" w:val="clear"/>
        </w:rPr>
        <w:t>动</w:t>
      </w:r>
      <w:r>
        <w:rPr>
          <w:rFonts w:ascii="微软雅黑" w:eastAsia="微软雅黑"/>
          <w:b/>
          <w:color w:val="000000"/>
          <w:w w:val="95"/>
          <w:sz w:val="22"/>
          <w:shd w:fill="D9D9D9" w:color="auto" w:val="clear"/>
        </w:rPr>
        <w:t>车</w:t>
      </w:r>
      <w:r>
        <w:rPr>
          <w:rFonts w:ascii="微软雅黑" w:eastAsia="微软雅黑"/>
          <w:b/>
          <w:color w:val="000000"/>
          <w:spacing w:val="-5"/>
          <w:w w:val="95"/>
          <w:position w:val="11"/>
          <w:sz w:val="11"/>
        </w:rPr>
        <w:t>12</w:t>
      </w:r>
      <w:r>
        <w:rPr>
          <w:rFonts w:ascii="微软雅黑" w:eastAsia="微软雅黑"/>
          <w:b/>
          <w:color w:val="000000"/>
          <w:spacing w:val="-5"/>
          <w:w w:val="95"/>
          <w:sz w:val="22"/>
          <w:shd w:fill="D9D9D9" w:color="auto" w:val="clear"/>
        </w:rPr>
        <w:t>；</w:t>
      </w:r>
    </w:p>
    <w:p>
      <w:pPr>
        <w:pStyle w:val="ListParagraph"/>
        <w:numPr>
          <w:ilvl w:val="2"/>
          <w:numId w:val="13"/>
        </w:numPr>
        <w:tabs>
          <w:tab w:pos="3590" w:val="left" w:leader="none"/>
        </w:tabs>
        <w:spacing w:line="312" w:lineRule="exact" w:before="0" w:after="0"/>
        <w:ind w:left="3590" w:right="0" w:hanging="553"/>
        <w:jc w:val="left"/>
        <w:rPr>
          <w:rFonts w:ascii="微软雅黑" w:eastAsia="微软雅黑"/>
          <w:b/>
          <w:sz w:val="22"/>
        </w:rPr>
      </w:pPr>
      <w:r>
        <w:rPr>
          <w:rFonts w:ascii="微软雅黑" w:eastAsia="微软雅黑"/>
          <w:b/>
          <w:color w:val="000000"/>
          <w:spacing w:val="-1"/>
          <w:sz w:val="22"/>
          <w:shd w:fill="D9D9D9" w:color="auto" w:val="clear"/>
        </w:rPr>
        <w:t>战争、军事冲突、暴乱或武装叛乱；</w:t>
      </w:r>
    </w:p>
    <w:p>
      <w:pPr>
        <w:pStyle w:val="ListParagraph"/>
        <w:numPr>
          <w:ilvl w:val="2"/>
          <w:numId w:val="13"/>
        </w:numPr>
        <w:tabs>
          <w:tab w:pos="3590" w:val="left" w:leader="none"/>
        </w:tabs>
        <w:spacing w:line="312" w:lineRule="exact" w:before="0" w:after="0"/>
        <w:ind w:left="3590" w:right="0" w:hanging="553"/>
        <w:jc w:val="left"/>
        <w:rPr>
          <w:rFonts w:ascii="微软雅黑" w:eastAsia="微软雅黑"/>
          <w:b/>
          <w:sz w:val="22"/>
        </w:rPr>
      </w:pPr>
      <w:r>
        <w:rPr>
          <w:rFonts w:ascii="微软雅黑" w:eastAsia="微软雅黑"/>
          <w:b/>
          <w:color w:val="000000"/>
          <w:spacing w:val="-1"/>
          <w:sz w:val="22"/>
          <w:shd w:fill="D9D9D9" w:color="auto" w:val="clear"/>
        </w:rPr>
        <w:t>核爆炸、核辐射或核污染。</w:t>
      </w:r>
    </w:p>
    <w:p>
      <w:pPr>
        <w:spacing w:line="184" w:lineRule="auto" w:before="20"/>
        <w:ind w:left="3037" w:right="301" w:firstLine="0"/>
        <w:jc w:val="left"/>
        <w:rPr>
          <w:rFonts w:ascii="微软雅黑" w:eastAsia="微软雅黑"/>
          <w:b/>
          <w:sz w:val="22"/>
        </w:rPr>
      </w:pPr>
      <w:r>
        <w:rPr>
          <w:rFonts w:ascii="微软雅黑" w:eastAsia="微软雅黑"/>
          <w:b/>
          <w:color w:val="000000"/>
          <w:spacing w:val="-2"/>
          <w:sz w:val="22"/>
          <w:shd w:fill="D9D9D9" w:color="auto" w:val="clear"/>
        </w:rPr>
        <w:t>发生上述第（1）项情形导致被保险人身故的，本合同效力终止，我们向</w:t>
      </w:r>
      <w:r>
        <w:rPr>
          <w:rFonts w:ascii="微软雅黑" w:eastAsia="微软雅黑"/>
          <w:b/>
          <w:color w:val="000000"/>
          <w:spacing w:val="80"/>
          <w:w w:val="150"/>
          <w:sz w:val="22"/>
          <w:shd w:fill="D9D9D9" w:color="auto" w:val="clear"/>
        </w:rPr>
        <w:t>                                                  </w:t>
      </w:r>
      <w:r>
        <w:rPr>
          <w:rFonts w:ascii="微软雅黑" w:eastAsia="微软雅黑"/>
          <w:b/>
          <w:color w:val="000000"/>
          <w:spacing w:val="-2"/>
          <w:sz w:val="22"/>
          <w:shd w:fill="D9D9D9" w:color="auto" w:val="clear"/>
        </w:rPr>
        <w:t>被保险人的继承人（除投保人本人）退还本合同当时的现金价值。</w:t>
      </w:r>
    </w:p>
    <w:p>
      <w:pPr>
        <w:spacing w:line="184" w:lineRule="auto" w:before="0"/>
        <w:ind w:left="3037" w:right="401" w:firstLine="0"/>
        <w:jc w:val="left"/>
        <w:rPr>
          <w:rFonts w:ascii="微软雅黑" w:eastAsia="微软雅黑"/>
          <w:b/>
          <w:sz w:val="22"/>
        </w:rPr>
      </w:pPr>
      <w:r>
        <w:rPr>
          <w:rFonts w:ascii="微软雅黑" w:eastAsia="微软雅黑"/>
          <w:b/>
          <w:color w:val="000000"/>
          <w:spacing w:val="-2"/>
          <w:sz w:val="22"/>
          <w:shd w:fill="D9D9D9" w:color="auto" w:val="clear"/>
        </w:rPr>
        <w:t>发生上述其他情形导致被保险人身故的，本合同效力终止，我们向您退</w:t>
      </w:r>
      <w:r>
        <w:rPr>
          <w:rFonts w:ascii="微软雅黑" w:eastAsia="微软雅黑"/>
          <w:b/>
          <w:color w:val="000000"/>
          <w:spacing w:val="-2"/>
          <w:sz w:val="22"/>
          <w:shd w:fill="D9D9D9" w:color="auto" w:val="clear"/>
        </w:rPr>
        <w:t>还本合同当时的现金价值。</w:t>
      </w:r>
    </w:p>
    <w:p>
      <w:pPr>
        <w:pStyle w:val="BodyText"/>
        <w:spacing w:before="5"/>
        <w:rPr>
          <w:rFonts w:ascii="微软雅黑"/>
          <w:b/>
          <w:sz w:val="13"/>
        </w:rPr>
      </w:pPr>
    </w:p>
    <w:p>
      <w:pPr>
        <w:spacing w:line="184" w:lineRule="auto" w:before="66"/>
        <w:ind w:left="3037" w:right="401" w:firstLine="0"/>
        <w:jc w:val="left"/>
        <w:rPr>
          <w:rFonts w:ascii="微软雅黑" w:eastAsia="微软雅黑"/>
          <w:b/>
          <w:sz w:val="22"/>
        </w:rPr>
      </w:pPr>
      <w:r>
        <w:rPr>
          <w:rFonts w:ascii="微软雅黑" w:eastAsia="微软雅黑"/>
          <w:b/>
          <w:color w:val="000000"/>
          <w:spacing w:val="-2"/>
          <w:sz w:val="22"/>
          <w:shd w:fill="D9D9D9" w:color="auto" w:val="clear"/>
        </w:rPr>
        <w:t>因下列情形之一，导致被保险人发生疾病、达到疾病状态或进行手术或</w:t>
      </w:r>
      <w:r>
        <w:rPr>
          <w:rFonts w:ascii="微软雅黑" w:eastAsia="微软雅黑"/>
          <w:b/>
          <w:color w:val="000000"/>
          <w:spacing w:val="80"/>
          <w:w w:val="150"/>
          <w:sz w:val="22"/>
          <w:shd w:fill="D9D9D9" w:color="auto" w:val="clear"/>
        </w:rPr>
        <w:t>                                                 </w:t>
      </w:r>
      <w:r>
        <w:rPr>
          <w:rFonts w:ascii="微软雅黑" w:eastAsia="微软雅黑"/>
          <w:b/>
          <w:color w:val="000000"/>
          <w:spacing w:val="-2"/>
          <w:sz w:val="22"/>
          <w:shd w:fill="D9D9D9" w:color="auto" w:val="clear"/>
        </w:rPr>
        <w:t>接受住院治疗的，我们不承担保险责任：</w:t>
      </w:r>
    </w:p>
    <w:p>
      <w:pPr>
        <w:pStyle w:val="BodyText"/>
        <w:spacing w:before="14"/>
        <w:rPr>
          <w:rFonts w:ascii="微软雅黑"/>
          <w:b/>
        </w:rPr>
      </w:pPr>
      <w:r>
        <w:rPr/>
        <w:drawing>
          <wp:anchor distT="0" distB="0" distL="0" distR="0" allowOverlap="1" layoutInCell="1" locked="0" behindDoc="0" simplePos="0" relativeHeight="16">
            <wp:simplePos x="0" y="0"/>
            <wp:positionH relativeFrom="page">
              <wp:posOffset>719327</wp:posOffset>
            </wp:positionH>
            <wp:positionV relativeFrom="paragraph">
              <wp:posOffset>270184</wp:posOffset>
            </wp:positionV>
            <wp:extent cx="1829511" cy="6096"/>
            <wp:effectExtent l="0" t="0" r="0" b="0"/>
            <wp:wrapTopAndBottom/>
            <wp:docPr id="19" name="image7.png"/>
            <wp:cNvGraphicFramePr>
              <a:graphicFrameLocks noChangeAspect="1"/>
            </wp:cNvGraphicFramePr>
            <a:graphic>
              <a:graphicData uri="http://schemas.openxmlformats.org/drawingml/2006/picture">
                <pic:pic>
                  <pic:nvPicPr>
                    <pic:cNvPr id="20" name="image7.png"/>
                    <pic:cNvPicPr/>
                  </pic:nvPicPr>
                  <pic:blipFill>
                    <a:blip r:embed="rId12" cstate="print"/>
                    <a:stretch>
                      <a:fillRect/>
                    </a:stretch>
                  </pic:blipFill>
                  <pic:spPr>
                    <a:xfrm>
                      <a:off x="0" y="0"/>
                      <a:ext cx="1829511" cy="6096"/>
                    </a:xfrm>
                    <a:prstGeom prst="rect">
                      <a:avLst/>
                    </a:prstGeom>
                  </pic:spPr>
                </pic:pic>
              </a:graphicData>
            </a:graphic>
          </wp:anchor>
        </w:drawing>
      </w:r>
    </w:p>
    <w:p>
      <w:pPr>
        <w:spacing w:line="220" w:lineRule="auto" w:before="57"/>
        <w:ind w:left="374" w:right="414" w:hanging="143"/>
        <w:jc w:val="left"/>
        <w:rPr>
          <w:sz w:val="20"/>
        </w:rPr>
      </w:pPr>
      <w:r>
        <w:rPr>
          <w:rFonts w:ascii="微软雅黑" w:eastAsia="微软雅黑"/>
          <w:b/>
          <w:w w:val="81"/>
          <w:position w:val="10"/>
          <w:sz w:val="10"/>
        </w:rPr>
        <w:t>8</w:t>
      </w:r>
      <w:r>
        <w:rPr>
          <w:rFonts w:ascii="微软雅黑" w:eastAsia="微软雅黑"/>
          <w:b/>
          <w:spacing w:val="4"/>
          <w:position w:val="10"/>
          <w:sz w:val="10"/>
        </w:rPr>
        <w:t>   </w:t>
      </w:r>
      <w:r>
        <w:rPr>
          <w:rFonts w:ascii="微软雅黑" w:eastAsia="微软雅黑"/>
          <w:b/>
          <w:spacing w:val="2"/>
          <w:w w:val="99"/>
          <w:sz w:val="20"/>
        </w:rPr>
        <w:t>毒品</w:t>
      </w:r>
      <w:r>
        <w:rPr>
          <w:spacing w:val="-1"/>
          <w:w w:val="99"/>
          <w:sz w:val="20"/>
        </w:rPr>
        <w:t>指中华人民共和国刑法规定的鸦片、海洛因、甲基苯丙胺</w:t>
      </w:r>
      <w:r>
        <w:rPr>
          <w:w w:val="99"/>
          <w:sz w:val="20"/>
        </w:rPr>
        <w:t>（</w:t>
      </w:r>
      <w:r>
        <w:rPr>
          <w:spacing w:val="1"/>
          <w:w w:val="99"/>
          <w:sz w:val="20"/>
        </w:rPr>
        <w:t>冰毒</w:t>
      </w:r>
      <w:r>
        <w:rPr>
          <w:spacing w:val="-101"/>
          <w:w w:val="99"/>
          <w:sz w:val="20"/>
        </w:rPr>
        <w:t>）</w:t>
      </w:r>
      <w:r>
        <w:rPr>
          <w:spacing w:val="-2"/>
          <w:w w:val="99"/>
          <w:sz w:val="20"/>
        </w:rPr>
        <w:t>、吗啡、大麻、可卡因以及国家规定管</w:t>
      </w:r>
      <w:r>
        <w:rPr>
          <w:w w:val="99"/>
          <w:sz w:val="20"/>
        </w:rPr>
        <w:t>制的其他能够使人形成瘾癖的麻醉药品和精神药品，但不包括由医生开具用于治疗疾病的含有毒品成分的处方药品。</w:t>
      </w:r>
    </w:p>
    <w:p>
      <w:pPr>
        <w:spacing w:line="292" w:lineRule="exact" w:before="0"/>
        <w:ind w:left="232" w:right="0" w:firstLine="0"/>
        <w:jc w:val="left"/>
        <w:rPr>
          <w:sz w:val="20"/>
        </w:rPr>
      </w:pPr>
      <w:r>
        <w:rPr>
          <w:rFonts w:ascii="微软雅黑" w:eastAsia="微软雅黑"/>
          <w:b/>
          <w:w w:val="95"/>
          <w:position w:val="10"/>
          <w:sz w:val="10"/>
        </w:rPr>
        <w:t>9</w:t>
      </w:r>
      <w:r>
        <w:rPr>
          <w:rFonts w:ascii="微软雅黑" w:eastAsia="微软雅黑"/>
          <w:b/>
          <w:spacing w:val="78"/>
          <w:w w:val="150"/>
          <w:position w:val="10"/>
          <w:sz w:val="10"/>
        </w:rPr>
        <w:t>    </w:t>
      </w:r>
      <w:r>
        <w:rPr>
          <w:rFonts w:ascii="微软雅黑" w:eastAsia="微软雅黑"/>
          <w:b/>
          <w:w w:val="95"/>
          <w:sz w:val="20"/>
        </w:rPr>
        <w:t>酒</w:t>
      </w:r>
      <w:r>
        <w:rPr>
          <w:rFonts w:ascii="微软雅黑" w:eastAsia="微软雅黑"/>
          <w:b/>
          <w:w w:val="95"/>
          <w:sz w:val="20"/>
        </w:rPr>
        <w:t>后</w:t>
      </w:r>
      <w:r>
        <w:rPr>
          <w:rFonts w:ascii="微软雅黑" w:eastAsia="微软雅黑"/>
          <w:b/>
          <w:w w:val="95"/>
          <w:sz w:val="20"/>
        </w:rPr>
        <w:t>驾驶</w:t>
      </w:r>
      <w:r>
        <w:rPr>
          <w:w w:val="95"/>
          <w:sz w:val="20"/>
        </w:rPr>
        <w:t>指</w:t>
      </w:r>
      <w:r>
        <w:rPr>
          <w:w w:val="95"/>
          <w:sz w:val="20"/>
        </w:rPr>
        <w:t>经</w:t>
      </w:r>
      <w:r>
        <w:rPr>
          <w:w w:val="95"/>
          <w:sz w:val="20"/>
        </w:rPr>
        <w:t>检</w:t>
      </w:r>
      <w:r>
        <w:rPr>
          <w:w w:val="95"/>
          <w:sz w:val="20"/>
        </w:rPr>
        <w:t>测</w:t>
      </w:r>
      <w:r>
        <w:rPr>
          <w:w w:val="95"/>
          <w:sz w:val="20"/>
        </w:rPr>
        <w:t>或鉴定，</w:t>
      </w:r>
      <w:r>
        <w:rPr>
          <w:w w:val="95"/>
          <w:sz w:val="20"/>
        </w:rPr>
        <w:t>发</w:t>
      </w:r>
      <w:r>
        <w:rPr>
          <w:w w:val="95"/>
          <w:sz w:val="20"/>
        </w:rPr>
        <w:t>生</w:t>
      </w:r>
      <w:r>
        <w:rPr>
          <w:w w:val="95"/>
          <w:sz w:val="20"/>
        </w:rPr>
        <w:t>保</w:t>
      </w:r>
      <w:r>
        <w:rPr>
          <w:w w:val="95"/>
          <w:sz w:val="20"/>
        </w:rPr>
        <w:t>险</w:t>
      </w:r>
      <w:r>
        <w:rPr>
          <w:w w:val="95"/>
          <w:sz w:val="20"/>
        </w:rPr>
        <w:t>事</w:t>
      </w:r>
      <w:r>
        <w:rPr>
          <w:w w:val="95"/>
          <w:sz w:val="20"/>
        </w:rPr>
        <w:t>故</w:t>
      </w:r>
      <w:r>
        <w:rPr>
          <w:w w:val="95"/>
          <w:sz w:val="20"/>
        </w:rPr>
        <w:t>时</w:t>
      </w:r>
      <w:r>
        <w:rPr>
          <w:w w:val="95"/>
          <w:sz w:val="20"/>
        </w:rPr>
        <w:t>车</w:t>
      </w:r>
      <w:r>
        <w:rPr>
          <w:w w:val="95"/>
          <w:sz w:val="20"/>
        </w:rPr>
        <w:t>辆驾驶</w:t>
      </w:r>
      <w:r>
        <w:rPr>
          <w:w w:val="95"/>
          <w:sz w:val="20"/>
        </w:rPr>
        <w:t>人</w:t>
      </w:r>
      <w:r>
        <w:rPr>
          <w:w w:val="95"/>
          <w:sz w:val="20"/>
        </w:rPr>
        <w:t>员</w:t>
      </w:r>
      <w:r>
        <w:rPr>
          <w:w w:val="95"/>
          <w:sz w:val="20"/>
        </w:rPr>
        <w:t>每</w:t>
      </w:r>
      <w:r>
        <w:rPr>
          <w:w w:val="95"/>
          <w:sz w:val="20"/>
        </w:rPr>
        <w:t>百</w:t>
      </w:r>
      <w:r>
        <w:rPr>
          <w:w w:val="95"/>
          <w:sz w:val="20"/>
        </w:rPr>
        <w:t>毫</w:t>
      </w:r>
      <w:r>
        <w:rPr>
          <w:w w:val="95"/>
          <w:sz w:val="20"/>
        </w:rPr>
        <w:t>升</w:t>
      </w:r>
      <w:r>
        <w:rPr>
          <w:w w:val="95"/>
          <w:sz w:val="20"/>
        </w:rPr>
        <w:t>血</w:t>
      </w:r>
      <w:r>
        <w:rPr>
          <w:w w:val="95"/>
          <w:sz w:val="20"/>
        </w:rPr>
        <w:t>液</w:t>
      </w:r>
      <w:r>
        <w:rPr>
          <w:w w:val="95"/>
          <w:sz w:val="20"/>
        </w:rPr>
        <w:t>中</w:t>
      </w:r>
      <w:r>
        <w:rPr>
          <w:w w:val="95"/>
          <w:sz w:val="20"/>
        </w:rPr>
        <w:t>的酒精</w:t>
      </w:r>
      <w:r>
        <w:rPr>
          <w:w w:val="95"/>
          <w:sz w:val="20"/>
        </w:rPr>
        <w:t>含</w:t>
      </w:r>
      <w:r>
        <w:rPr>
          <w:w w:val="95"/>
          <w:sz w:val="20"/>
        </w:rPr>
        <w:t>量</w:t>
      </w:r>
      <w:r>
        <w:rPr>
          <w:w w:val="95"/>
          <w:sz w:val="20"/>
        </w:rPr>
        <w:t>达</w:t>
      </w:r>
      <w:r>
        <w:rPr>
          <w:w w:val="95"/>
          <w:sz w:val="20"/>
        </w:rPr>
        <w:t>到</w:t>
      </w:r>
      <w:r>
        <w:rPr>
          <w:w w:val="95"/>
          <w:sz w:val="20"/>
        </w:rPr>
        <w:t>或</w:t>
      </w:r>
      <w:r>
        <w:rPr>
          <w:w w:val="95"/>
          <w:sz w:val="20"/>
        </w:rPr>
        <w:t>超</w:t>
      </w:r>
      <w:r>
        <w:rPr>
          <w:w w:val="95"/>
          <w:sz w:val="20"/>
        </w:rPr>
        <w:t>过</w:t>
      </w:r>
      <w:r>
        <w:rPr>
          <w:w w:val="95"/>
          <w:sz w:val="20"/>
        </w:rPr>
        <w:t>道</w:t>
      </w:r>
      <w:r>
        <w:rPr>
          <w:w w:val="95"/>
          <w:sz w:val="20"/>
        </w:rPr>
        <w:t>路</w:t>
      </w:r>
      <w:r>
        <w:rPr>
          <w:w w:val="95"/>
          <w:sz w:val="20"/>
        </w:rPr>
        <w:t>交</w:t>
      </w:r>
      <w:r>
        <w:rPr>
          <w:w w:val="95"/>
          <w:sz w:val="20"/>
        </w:rPr>
        <w:t>通</w:t>
      </w:r>
      <w:r>
        <w:rPr>
          <w:spacing w:val="-10"/>
          <w:w w:val="95"/>
          <w:sz w:val="20"/>
        </w:rPr>
        <w:t>法</w:t>
      </w:r>
    </w:p>
    <w:p>
      <w:pPr>
        <w:spacing w:line="203" w:lineRule="exact" w:before="0"/>
        <w:ind w:left="374" w:right="0" w:firstLine="0"/>
        <w:jc w:val="left"/>
        <w:rPr>
          <w:sz w:val="20"/>
        </w:rPr>
      </w:pPr>
      <w:r>
        <w:rPr>
          <w:w w:val="95"/>
          <w:sz w:val="20"/>
        </w:rPr>
        <w:t>规</w:t>
      </w:r>
      <w:r>
        <w:rPr>
          <w:w w:val="95"/>
          <w:sz w:val="20"/>
        </w:rPr>
        <w:t>规</w:t>
      </w:r>
      <w:r>
        <w:rPr>
          <w:w w:val="95"/>
          <w:sz w:val="20"/>
        </w:rPr>
        <w:t>定</w:t>
      </w:r>
      <w:r>
        <w:rPr>
          <w:w w:val="95"/>
          <w:sz w:val="20"/>
        </w:rPr>
        <w:t>的</w:t>
      </w:r>
      <w:r>
        <w:rPr>
          <w:w w:val="95"/>
          <w:sz w:val="20"/>
        </w:rPr>
        <w:t>标</w:t>
      </w:r>
      <w:r>
        <w:rPr>
          <w:w w:val="95"/>
          <w:sz w:val="20"/>
        </w:rPr>
        <w:t>准</w:t>
      </w:r>
      <w:r>
        <w:rPr>
          <w:spacing w:val="-10"/>
          <w:w w:val="95"/>
          <w:sz w:val="20"/>
        </w:rPr>
        <w:t>。</w:t>
      </w:r>
    </w:p>
    <w:p>
      <w:pPr>
        <w:spacing w:line="315" w:lineRule="exact" w:before="0"/>
        <w:ind w:left="232" w:right="0" w:firstLine="0"/>
        <w:jc w:val="left"/>
        <w:rPr>
          <w:sz w:val="20"/>
        </w:rPr>
      </w:pPr>
      <w:r>
        <w:rPr>
          <w:rFonts w:ascii="微软雅黑" w:eastAsia="微软雅黑"/>
          <w:b/>
          <w:w w:val="95"/>
          <w:position w:val="10"/>
          <w:sz w:val="10"/>
        </w:rPr>
        <w:t>10</w:t>
      </w:r>
      <w:r>
        <w:rPr>
          <w:rFonts w:ascii="微软雅黑" w:eastAsia="微软雅黑"/>
          <w:b/>
          <w:spacing w:val="75"/>
          <w:w w:val="150"/>
          <w:position w:val="10"/>
          <w:sz w:val="10"/>
        </w:rPr>
        <w:t>  </w:t>
      </w:r>
      <w:r>
        <w:rPr>
          <w:rFonts w:ascii="微软雅黑" w:eastAsia="微软雅黑"/>
          <w:b/>
          <w:w w:val="95"/>
          <w:sz w:val="20"/>
        </w:rPr>
        <w:t>无</w:t>
      </w:r>
      <w:r>
        <w:rPr>
          <w:rFonts w:ascii="微软雅黑" w:eastAsia="微软雅黑"/>
          <w:b/>
          <w:w w:val="95"/>
          <w:sz w:val="20"/>
        </w:rPr>
        <w:t>合</w:t>
      </w:r>
      <w:r>
        <w:rPr>
          <w:rFonts w:ascii="微软雅黑" w:eastAsia="微软雅黑"/>
          <w:b/>
          <w:w w:val="95"/>
          <w:sz w:val="20"/>
        </w:rPr>
        <w:t>法</w:t>
      </w:r>
      <w:r>
        <w:rPr>
          <w:rFonts w:ascii="微软雅黑" w:eastAsia="微软雅黑"/>
          <w:b/>
          <w:w w:val="95"/>
          <w:sz w:val="20"/>
        </w:rPr>
        <w:t>有</w:t>
      </w:r>
      <w:r>
        <w:rPr>
          <w:rFonts w:ascii="微软雅黑" w:eastAsia="微软雅黑"/>
          <w:b/>
          <w:w w:val="95"/>
          <w:sz w:val="20"/>
        </w:rPr>
        <w:t>效</w:t>
      </w:r>
      <w:r>
        <w:rPr>
          <w:rFonts w:ascii="微软雅黑" w:eastAsia="微软雅黑"/>
          <w:b/>
          <w:w w:val="95"/>
          <w:sz w:val="20"/>
        </w:rPr>
        <w:t>驾</w:t>
      </w:r>
      <w:r>
        <w:rPr>
          <w:rFonts w:ascii="微软雅黑" w:eastAsia="微软雅黑"/>
          <w:b/>
          <w:w w:val="95"/>
          <w:sz w:val="20"/>
        </w:rPr>
        <w:t>驶</w:t>
      </w:r>
      <w:r>
        <w:rPr>
          <w:rFonts w:ascii="微软雅黑" w:eastAsia="微软雅黑"/>
          <w:b/>
          <w:w w:val="95"/>
          <w:sz w:val="20"/>
        </w:rPr>
        <w:t>证</w:t>
      </w:r>
      <w:r>
        <w:rPr>
          <w:rFonts w:ascii="微软雅黑" w:eastAsia="微软雅黑"/>
          <w:b/>
          <w:w w:val="95"/>
          <w:sz w:val="20"/>
        </w:rPr>
        <w:t>驾驶</w:t>
      </w:r>
      <w:r>
        <w:rPr>
          <w:w w:val="95"/>
          <w:sz w:val="20"/>
        </w:rPr>
        <w:t>指</w:t>
      </w:r>
      <w:r>
        <w:rPr>
          <w:w w:val="95"/>
          <w:sz w:val="20"/>
        </w:rPr>
        <w:t>下</w:t>
      </w:r>
      <w:r>
        <w:rPr>
          <w:w w:val="95"/>
          <w:sz w:val="20"/>
        </w:rPr>
        <w:t>列</w:t>
      </w:r>
      <w:r>
        <w:rPr>
          <w:w w:val="95"/>
          <w:sz w:val="20"/>
        </w:rPr>
        <w:t>情</w:t>
      </w:r>
      <w:r>
        <w:rPr>
          <w:w w:val="95"/>
          <w:sz w:val="20"/>
        </w:rPr>
        <w:t>形</w:t>
      </w:r>
      <w:r>
        <w:rPr>
          <w:w w:val="95"/>
          <w:sz w:val="20"/>
        </w:rPr>
        <w:t>之</w:t>
      </w:r>
      <w:r>
        <w:rPr>
          <w:w w:val="95"/>
          <w:sz w:val="20"/>
        </w:rPr>
        <w:t>一</w:t>
      </w:r>
      <w:r>
        <w:rPr>
          <w:spacing w:val="-10"/>
          <w:w w:val="95"/>
          <w:sz w:val="20"/>
        </w:rPr>
        <w:t>：</w:t>
      </w:r>
    </w:p>
    <w:p>
      <w:pPr>
        <w:pStyle w:val="ListParagraph"/>
        <w:numPr>
          <w:ilvl w:val="0"/>
          <w:numId w:val="14"/>
        </w:numPr>
        <w:tabs>
          <w:tab w:pos="734" w:val="left" w:leader="none"/>
        </w:tabs>
        <w:spacing w:line="234" w:lineRule="exact" w:before="0" w:after="0"/>
        <w:ind w:left="733" w:right="0" w:hanging="502"/>
        <w:jc w:val="left"/>
        <w:rPr>
          <w:sz w:val="20"/>
        </w:rPr>
      </w:pPr>
      <w:r>
        <w:rPr>
          <w:w w:val="95"/>
          <w:sz w:val="20"/>
        </w:rPr>
        <w:t>没</w:t>
      </w:r>
      <w:r>
        <w:rPr>
          <w:w w:val="95"/>
          <w:sz w:val="20"/>
        </w:rPr>
        <w:t>有</w:t>
      </w:r>
      <w:r>
        <w:rPr>
          <w:w w:val="95"/>
          <w:sz w:val="20"/>
        </w:rPr>
        <w:t>驾</w:t>
      </w:r>
      <w:r>
        <w:rPr>
          <w:w w:val="95"/>
          <w:sz w:val="20"/>
        </w:rPr>
        <w:t>驶</w:t>
      </w:r>
      <w:r>
        <w:rPr>
          <w:w w:val="95"/>
          <w:sz w:val="20"/>
        </w:rPr>
        <w:t>证</w:t>
      </w:r>
      <w:r>
        <w:rPr>
          <w:w w:val="95"/>
          <w:sz w:val="20"/>
        </w:rPr>
        <w:t>驾</w:t>
      </w:r>
      <w:r>
        <w:rPr>
          <w:w w:val="95"/>
          <w:sz w:val="20"/>
        </w:rPr>
        <w:t>驶</w:t>
      </w:r>
      <w:r>
        <w:rPr>
          <w:spacing w:val="-10"/>
          <w:w w:val="95"/>
          <w:sz w:val="20"/>
        </w:rPr>
        <w:t>；</w:t>
      </w:r>
    </w:p>
    <w:p>
      <w:pPr>
        <w:pStyle w:val="ListParagraph"/>
        <w:numPr>
          <w:ilvl w:val="0"/>
          <w:numId w:val="14"/>
        </w:numPr>
        <w:tabs>
          <w:tab w:pos="734" w:val="left" w:leader="none"/>
        </w:tabs>
        <w:spacing w:line="240" w:lineRule="auto" w:before="3" w:after="0"/>
        <w:ind w:left="733" w:right="0" w:hanging="502"/>
        <w:jc w:val="left"/>
        <w:rPr>
          <w:sz w:val="20"/>
        </w:rPr>
      </w:pPr>
      <w:r>
        <w:rPr>
          <w:w w:val="95"/>
          <w:sz w:val="20"/>
        </w:rPr>
        <w:t>驾</w:t>
      </w:r>
      <w:r>
        <w:rPr>
          <w:w w:val="95"/>
          <w:sz w:val="20"/>
        </w:rPr>
        <w:t>驶</w:t>
      </w:r>
      <w:r>
        <w:rPr>
          <w:w w:val="95"/>
          <w:sz w:val="20"/>
        </w:rPr>
        <w:t>与</w:t>
      </w:r>
      <w:r>
        <w:rPr>
          <w:w w:val="95"/>
          <w:sz w:val="20"/>
        </w:rPr>
        <w:t>驾</w:t>
      </w:r>
      <w:r>
        <w:rPr>
          <w:w w:val="95"/>
          <w:sz w:val="20"/>
        </w:rPr>
        <w:t>驶</w:t>
      </w:r>
      <w:r>
        <w:rPr>
          <w:w w:val="95"/>
          <w:sz w:val="20"/>
        </w:rPr>
        <w:t>证</w:t>
      </w:r>
      <w:r>
        <w:rPr>
          <w:w w:val="95"/>
          <w:sz w:val="20"/>
        </w:rPr>
        <w:t>准</w:t>
      </w:r>
      <w:r>
        <w:rPr>
          <w:w w:val="95"/>
          <w:sz w:val="20"/>
        </w:rPr>
        <w:t>驾</w:t>
      </w:r>
      <w:r>
        <w:rPr>
          <w:w w:val="95"/>
          <w:sz w:val="20"/>
        </w:rPr>
        <w:t>车</w:t>
      </w:r>
      <w:r>
        <w:rPr>
          <w:w w:val="95"/>
          <w:sz w:val="20"/>
        </w:rPr>
        <w:t>型</w:t>
      </w:r>
      <w:r>
        <w:rPr>
          <w:w w:val="95"/>
          <w:sz w:val="20"/>
        </w:rPr>
        <w:t>不</w:t>
      </w:r>
      <w:r>
        <w:rPr>
          <w:w w:val="95"/>
          <w:sz w:val="20"/>
        </w:rPr>
        <w:t>相</w:t>
      </w:r>
      <w:r>
        <w:rPr>
          <w:w w:val="95"/>
          <w:sz w:val="20"/>
        </w:rPr>
        <w:t>符</w:t>
      </w:r>
      <w:r>
        <w:rPr>
          <w:w w:val="95"/>
          <w:sz w:val="20"/>
        </w:rPr>
        <w:t>合</w:t>
      </w:r>
      <w:r>
        <w:rPr>
          <w:w w:val="95"/>
          <w:sz w:val="20"/>
        </w:rPr>
        <w:t>的</w:t>
      </w:r>
      <w:r>
        <w:rPr>
          <w:w w:val="95"/>
          <w:sz w:val="20"/>
        </w:rPr>
        <w:t>车</w:t>
      </w:r>
      <w:r>
        <w:rPr>
          <w:w w:val="95"/>
          <w:sz w:val="20"/>
        </w:rPr>
        <w:t>辆</w:t>
      </w:r>
      <w:r>
        <w:rPr>
          <w:spacing w:val="-10"/>
          <w:w w:val="95"/>
          <w:sz w:val="20"/>
        </w:rPr>
        <w:t>；</w:t>
      </w:r>
    </w:p>
    <w:p>
      <w:pPr>
        <w:pStyle w:val="ListParagraph"/>
        <w:numPr>
          <w:ilvl w:val="0"/>
          <w:numId w:val="14"/>
        </w:numPr>
        <w:tabs>
          <w:tab w:pos="734" w:val="left" w:leader="none"/>
        </w:tabs>
        <w:spacing w:line="240" w:lineRule="auto" w:before="3" w:after="0"/>
        <w:ind w:left="733" w:right="0" w:hanging="502"/>
        <w:jc w:val="left"/>
        <w:rPr>
          <w:sz w:val="20"/>
        </w:rPr>
      </w:pPr>
      <w:r>
        <w:rPr>
          <w:w w:val="95"/>
          <w:sz w:val="20"/>
        </w:rPr>
        <w:t>驾</w:t>
      </w:r>
      <w:r>
        <w:rPr>
          <w:w w:val="95"/>
          <w:sz w:val="20"/>
        </w:rPr>
        <w:t>驶</w:t>
      </w:r>
      <w:r>
        <w:rPr>
          <w:w w:val="95"/>
          <w:sz w:val="20"/>
        </w:rPr>
        <w:t>员</w:t>
      </w:r>
      <w:r>
        <w:rPr>
          <w:w w:val="95"/>
          <w:sz w:val="20"/>
        </w:rPr>
        <w:t>持</w:t>
      </w:r>
      <w:r>
        <w:rPr>
          <w:w w:val="95"/>
          <w:sz w:val="20"/>
        </w:rPr>
        <w:t>审</w:t>
      </w:r>
      <w:r>
        <w:rPr>
          <w:w w:val="95"/>
          <w:sz w:val="20"/>
        </w:rPr>
        <w:t>验</w:t>
      </w:r>
      <w:r>
        <w:rPr>
          <w:w w:val="95"/>
          <w:sz w:val="20"/>
        </w:rPr>
        <w:t>不</w:t>
      </w:r>
      <w:r>
        <w:rPr>
          <w:w w:val="95"/>
          <w:sz w:val="20"/>
        </w:rPr>
        <w:t>合</w:t>
      </w:r>
      <w:r>
        <w:rPr>
          <w:w w:val="95"/>
          <w:sz w:val="20"/>
        </w:rPr>
        <w:t>格</w:t>
      </w:r>
      <w:r>
        <w:rPr>
          <w:w w:val="95"/>
          <w:sz w:val="20"/>
        </w:rPr>
        <w:t>的</w:t>
      </w:r>
      <w:r>
        <w:rPr>
          <w:w w:val="95"/>
          <w:sz w:val="20"/>
        </w:rPr>
        <w:t>驾</w:t>
      </w:r>
      <w:r>
        <w:rPr>
          <w:w w:val="95"/>
          <w:sz w:val="20"/>
        </w:rPr>
        <w:t>驶</w:t>
      </w:r>
      <w:r>
        <w:rPr>
          <w:w w:val="95"/>
          <w:sz w:val="20"/>
        </w:rPr>
        <w:t>证</w:t>
      </w:r>
      <w:r>
        <w:rPr>
          <w:w w:val="95"/>
          <w:sz w:val="20"/>
        </w:rPr>
        <w:t>驾</w:t>
      </w:r>
      <w:r>
        <w:rPr>
          <w:w w:val="95"/>
          <w:sz w:val="20"/>
        </w:rPr>
        <w:t>驶</w:t>
      </w:r>
      <w:r>
        <w:rPr>
          <w:spacing w:val="-10"/>
          <w:w w:val="95"/>
          <w:sz w:val="20"/>
        </w:rPr>
        <w:t>；</w:t>
      </w:r>
    </w:p>
    <w:p>
      <w:pPr>
        <w:pStyle w:val="ListParagraph"/>
        <w:numPr>
          <w:ilvl w:val="0"/>
          <w:numId w:val="14"/>
        </w:numPr>
        <w:tabs>
          <w:tab w:pos="734" w:val="left" w:leader="none"/>
        </w:tabs>
        <w:spacing w:line="240" w:lineRule="auto" w:before="3" w:after="0"/>
        <w:ind w:left="733" w:right="0" w:hanging="502"/>
        <w:jc w:val="left"/>
        <w:rPr>
          <w:sz w:val="20"/>
        </w:rPr>
      </w:pPr>
      <w:r>
        <w:rPr>
          <w:w w:val="95"/>
          <w:sz w:val="20"/>
        </w:rPr>
        <w:t>未经公</w:t>
      </w:r>
      <w:r>
        <w:rPr>
          <w:w w:val="95"/>
          <w:sz w:val="20"/>
        </w:rPr>
        <w:t>安</w:t>
      </w:r>
      <w:r>
        <w:rPr>
          <w:w w:val="95"/>
          <w:sz w:val="20"/>
        </w:rPr>
        <w:t>机</w:t>
      </w:r>
      <w:r>
        <w:rPr>
          <w:w w:val="95"/>
          <w:sz w:val="20"/>
        </w:rPr>
        <w:t>关</w:t>
      </w:r>
      <w:r>
        <w:rPr>
          <w:w w:val="95"/>
          <w:sz w:val="20"/>
        </w:rPr>
        <w:t>交</w:t>
      </w:r>
      <w:r>
        <w:rPr>
          <w:w w:val="95"/>
          <w:sz w:val="20"/>
        </w:rPr>
        <w:t>通</w:t>
      </w:r>
      <w:r>
        <w:rPr>
          <w:w w:val="95"/>
          <w:sz w:val="20"/>
        </w:rPr>
        <w:t>管</w:t>
      </w:r>
      <w:r>
        <w:rPr>
          <w:w w:val="95"/>
          <w:sz w:val="20"/>
        </w:rPr>
        <w:t>理</w:t>
      </w:r>
      <w:r>
        <w:rPr>
          <w:w w:val="95"/>
          <w:sz w:val="20"/>
        </w:rPr>
        <w:t>部</w:t>
      </w:r>
      <w:r>
        <w:rPr>
          <w:w w:val="95"/>
          <w:sz w:val="20"/>
        </w:rPr>
        <w:t>门同</w:t>
      </w:r>
      <w:r>
        <w:rPr>
          <w:w w:val="95"/>
          <w:sz w:val="20"/>
        </w:rPr>
        <w:t>意</w:t>
      </w:r>
      <w:r>
        <w:rPr>
          <w:w w:val="95"/>
          <w:sz w:val="20"/>
        </w:rPr>
        <w:t>，持</w:t>
      </w:r>
      <w:r>
        <w:rPr>
          <w:w w:val="95"/>
          <w:sz w:val="20"/>
        </w:rPr>
        <w:t>未</w:t>
      </w:r>
      <w:r>
        <w:rPr>
          <w:w w:val="95"/>
          <w:sz w:val="20"/>
        </w:rPr>
        <w:t>审</w:t>
      </w:r>
      <w:r>
        <w:rPr>
          <w:w w:val="95"/>
          <w:sz w:val="20"/>
        </w:rPr>
        <w:t>验的驾</w:t>
      </w:r>
      <w:r>
        <w:rPr>
          <w:w w:val="95"/>
          <w:sz w:val="20"/>
        </w:rPr>
        <w:t>驶</w:t>
      </w:r>
      <w:r>
        <w:rPr>
          <w:w w:val="95"/>
          <w:sz w:val="20"/>
        </w:rPr>
        <w:t>证</w:t>
      </w:r>
      <w:r>
        <w:rPr>
          <w:w w:val="95"/>
          <w:sz w:val="20"/>
        </w:rPr>
        <w:t>驾</w:t>
      </w:r>
      <w:r>
        <w:rPr>
          <w:spacing w:val="-5"/>
          <w:w w:val="95"/>
          <w:sz w:val="20"/>
        </w:rPr>
        <w:t>驶；</w:t>
      </w:r>
    </w:p>
    <w:p>
      <w:pPr>
        <w:pStyle w:val="ListParagraph"/>
        <w:numPr>
          <w:ilvl w:val="0"/>
          <w:numId w:val="14"/>
        </w:numPr>
        <w:tabs>
          <w:tab w:pos="734" w:val="left" w:leader="none"/>
        </w:tabs>
        <w:spacing w:line="240" w:lineRule="auto" w:before="3" w:after="0"/>
        <w:ind w:left="733" w:right="0" w:hanging="502"/>
        <w:jc w:val="left"/>
        <w:rPr>
          <w:sz w:val="20"/>
        </w:rPr>
      </w:pPr>
      <w:r>
        <w:rPr>
          <w:w w:val="95"/>
          <w:sz w:val="20"/>
        </w:rPr>
        <w:t>持</w:t>
      </w:r>
      <w:r>
        <w:rPr>
          <w:w w:val="95"/>
          <w:sz w:val="20"/>
        </w:rPr>
        <w:t>学</w:t>
      </w:r>
      <w:r>
        <w:rPr>
          <w:w w:val="95"/>
          <w:sz w:val="20"/>
        </w:rPr>
        <w:t>习</w:t>
      </w:r>
      <w:r>
        <w:rPr>
          <w:w w:val="95"/>
          <w:sz w:val="20"/>
        </w:rPr>
        <w:t>驾</w:t>
      </w:r>
      <w:r>
        <w:rPr>
          <w:w w:val="95"/>
          <w:sz w:val="20"/>
        </w:rPr>
        <w:t>驶</w:t>
      </w:r>
      <w:r>
        <w:rPr>
          <w:w w:val="95"/>
          <w:sz w:val="20"/>
        </w:rPr>
        <w:t>证</w:t>
      </w:r>
      <w:r>
        <w:rPr>
          <w:w w:val="95"/>
          <w:sz w:val="20"/>
        </w:rPr>
        <w:t>学</w:t>
      </w:r>
      <w:r>
        <w:rPr>
          <w:w w:val="95"/>
          <w:sz w:val="20"/>
        </w:rPr>
        <w:t>习</w:t>
      </w:r>
      <w:r>
        <w:rPr>
          <w:w w:val="95"/>
          <w:sz w:val="20"/>
        </w:rPr>
        <w:t>驾</w:t>
      </w:r>
      <w:r>
        <w:rPr>
          <w:w w:val="95"/>
          <w:sz w:val="20"/>
        </w:rPr>
        <w:t>车</w:t>
      </w:r>
      <w:r>
        <w:rPr>
          <w:w w:val="95"/>
          <w:sz w:val="20"/>
        </w:rPr>
        <w:t>时</w:t>
      </w:r>
      <w:r>
        <w:rPr>
          <w:w w:val="95"/>
          <w:sz w:val="20"/>
        </w:rPr>
        <w:t>，无</w:t>
      </w:r>
      <w:r>
        <w:rPr>
          <w:w w:val="95"/>
          <w:sz w:val="20"/>
        </w:rPr>
        <w:t>教</w:t>
      </w:r>
      <w:r>
        <w:rPr>
          <w:w w:val="95"/>
          <w:sz w:val="20"/>
        </w:rPr>
        <w:t>练</w:t>
      </w:r>
      <w:r>
        <w:rPr>
          <w:w w:val="95"/>
          <w:sz w:val="20"/>
        </w:rPr>
        <w:t>员</w:t>
      </w:r>
      <w:r>
        <w:rPr>
          <w:w w:val="95"/>
          <w:sz w:val="20"/>
        </w:rPr>
        <w:t>随</w:t>
      </w:r>
      <w:r>
        <w:rPr>
          <w:w w:val="95"/>
          <w:sz w:val="20"/>
        </w:rPr>
        <w:t>车</w:t>
      </w:r>
      <w:r>
        <w:rPr>
          <w:w w:val="95"/>
          <w:sz w:val="20"/>
        </w:rPr>
        <w:t>指导，</w:t>
      </w:r>
      <w:r>
        <w:rPr>
          <w:w w:val="95"/>
          <w:sz w:val="20"/>
        </w:rPr>
        <w:t>或</w:t>
      </w:r>
      <w:r>
        <w:rPr>
          <w:w w:val="95"/>
          <w:sz w:val="20"/>
        </w:rPr>
        <w:t>不</w:t>
      </w:r>
      <w:r>
        <w:rPr>
          <w:w w:val="95"/>
          <w:sz w:val="20"/>
        </w:rPr>
        <w:t>按</w:t>
      </w:r>
      <w:r>
        <w:rPr>
          <w:w w:val="95"/>
          <w:sz w:val="20"/>
        </w:rPr>
        <w:t>指</w:t>
      </w:r>
      <w:r>
        <w:rPr>
          <w:w w:val="95"/>
          <w:sz w:val="20"/>
        </w:rPr>
        <w:t>定</w:t>
      </w:r>
      <w:r>
        <w:rPr>
          <w:w w:val="95"/>
          <w:sz w:val="20"/>
        </w:rPr>
        <w:t>时</w:t>
      </w:r>
      <w:r>
        <w:rPr>
          <w:w w:val="95"/>
          <w:sz w:val="20"/>
        </w:rPr>
        <w:t>间</w:t>
      </w:r>
      <w:r>
        <w:rPr>
          <w:w w:val="95"/>
          <w:sz w:val="20"/>
        </w:rPr>
        <w:t>、</w:t>
      </w:r>
      <w:r>
        <w:rPr>
          <w:w w:val="95"/>
          <w:sz w:val="20"/>
        </w:rPr>
        <w:t>路</w:t>
      </w:r>
      <w:r>
        <w:rPr>
          <w:w w:val="95"/>
          <w:sz w:val="20"/>
        </w:rPr>
        <w:t>线学习</w:t>
      </w:r>
      <w:r>
        <w:rPr>
          <w:w w:val="95"/>
          <w:sz w:val="20"/>
        </w:rPr>
        <w:t>驾</w:t>
      </w:r>
      <w:r>
        <w:rPr>
          <w:w w:val="95"/>
          <w:sz w:val="20"/>
        </w:rPr>
        <w:t>车</w:t>
      </w:r>
      <w:r>
        <w:rPr>
          <w:spacing w:val="-10"/>
          <w:w w:val="95"/>
          <w:sz w:val="20"/>
        </w:rPr>
        <w:t>；</w:t>
      </w:r>
    </w:p>
    <w:p>
      <w:pPr>
        <w:pStyle w:val="ListParagraph"/>
        <w:numPr>
          <w:ilvl w:val="0"/>
          <w:numId w:val="14"/>
        </w:numPr>
        <w:tabs>
          <w:tab w:pos="734" w:val="left" w:leader="none"/>
        </w:tabs>
        <w:spacing w:line="240" w:lineRule="auto" w:before="6" w:after="0"/>
        <w:ind w:left="733" w:right="0" w:hanging="502"/>
        <w:jc w:val="left"/>
        <w:rPr>
          <w:sz w:val="20"/>
        </w:rPr>
      </w:pPr>
      <w:r>
        <w:rPr>
          <w:w w:val="95"/>
          <w:sz w:val="20"/>
        </w:rPr>
        <w:t>公</w:t>
      </w:r>
      <w:r>
        <w:rPr>
          <w:w w:val="95"/>
          <w:sz w:val="20"/>
        </w:rPr>
        <w:t>安</w:t>
      </w:r>
      <w:r>
        <w:rPr>
          <w:w w:val="95"/>
          <w:sz w:val="20"/>
        </w:rPr>
        <w:t>机</w:t>
      </w:r>
      <w:r>
        <w:rPr>
          <w:w w:val="95"/>
          <w:sz w:val="20"/>
        </w:rPr>
        <w:t>关</w:t>
      </w:r>
      <w:r>
        <w:rPr>
          <w:w w:val="95"/>
          <w:sz w:val="20"/>
        </w:rPr>
        <w:t>交</w:t>
      </w:r>
      <w:r>
        <w:rPr>
          <w:w w:val="95"/>
          <w:sz w:val="20"/>
        </w:rPr>
        <w:t>通</w:t>
      </w:r>
      <w:r>
        <w:rPr>
          <w:w w:val="95"/>
          <w:sz w:val="20"/>
        </w:rPr>
        <w:t>管</w:t>
      </w:r>
      <w:r>
        <w:rPr>
          <w:w w:val="95"/>
          <w:sz w:val="20"/>
        </w:rPr>
        <w:t>理</w:t>
      </w:r>
      <w:r>
        <w:rPr>
          <w:w w:val="95"/>
          <w:sz w:val="20"/>
        </w:rPr>
        <w:t>部</w:t>
      </w:r>
      <w:r>
        <w:rPr>
          <w:w w:val="95"/>
          <w:sz w:val="20"/>
        </w:rPr>
        <w:t>门</w:t>
      </w:r>
      <w:r>
        <w:rPr>
          <w:w w:val="95"/>
          <w:sz w:val="20"/>
        </w:rPr>
        <w:t>规</w:t>
      </w:r>
      <w:r>
        <w:rPr>
          <w:w w:val="95"/>
          <w:sz w:val="20"/>
        </w:rPr>
        <w:t>定的</w:t>
      </w:r>
      <w:r>
        <w:rPr>
          <w:w w:val="95"/>
          <w:sz w:val="20"/>
        </w:rPr>
        <w:t>其</w:t>
      </w:r>
      <w:r>
        <w:rPr>
          <w:w w:val="95"/>
          <w:sz w:val="20"/>
        </w:rPr>
        <w:t>他</w:t>
      </w:r>
      <w:r>
        <w:rPr>
          <w:w w:val="95"/>
          <w:sz w:val="20"/>
        </w:rPr>
        <w:t>无</w:t>
      </w:r>
      <w:r>
        <w:rPr>
          <w:w w:val="95"/>
          <w:sz w:val="20"/>
        </w:rPr>
        <w:t>有</w:t>
      </w:r>
      <w:r>
        <w:rPr>
          <w:w w:val="95"/>
          <w:sz w:val="20"/>
        </w:rPr>
        <w:t>效</w:t>
      </w:r>
      <w:r>
        <w:rPr>
          <w:w w:val="95"/>
          <w:sz w:val="20"/>
        </w:rPr>
        <w:t>驾驶证</w:t>
      </w:r>
      <w:r>
        <w:rPr>
          <w:w w:val="95"/>
          <w:sz w:val="20"/>
        </w:rPr>
        <w:t>驾</w:t>
      </w:r>
      <w:r>
        <w:rPr>
          <w:w w:val="95"/>
          <w:sz w:val="20"/>
        </w:rPr>
        <w:t>驶</w:t>
      </w:r>
      <w:r>
        <w:rPr>
          <w:w w:val="95"/>
          <w:sz w:val="20"/>
        </w:rPr>
        <w:t>的</w:t>
      </w:r>
      <w:r>
        <w:rPr>
          <w:w w:val="95"/>
          <w:sz w:val="20"/>
        </w:rPr>
        <w:t>情</w:t>
      </w:r>
      <w:r>
        <w:rPr>
          <w:w w:val="95"/>
          <w:sz w:val="20"/>
        </w:rPr>
        <w:t>况</w:t>
      </w:r>
      <w:r>
        <w:rPr>
          <w:spacing w:val="-10"/>
          <w:w w:val="95"/>
          <w:sz w:val="20"/>
        </w:rPr>
        <w:t>；</w:t>
      </w:r>
    </w:p>
    <w:p>
      <w:pPr>
        <w:pStyle w:val="ListParagraph"/>
        <w:numPr>
          <w:ilvl w:val="0"/>
          <w:numId w:val="14"/>
        </w:numPr>
        <w:tabs>
          <w:tab w:pos="734" w:val="left" w:leader="none"/>
        </w:tabs>
        <w:spacing w:line="242" w:lineRule="auto" w:before="3" w:after="0"/>
        <w:ind w:left="372" w:right="411" w:hanging="140"/>
        <w:jc w:val="left"/>
        <w:rPr>
          <w:sz w:val="20"/>
        </w:rPr>
      </w:pPr>
      <w:r>
        <w:rPr>
          <w:spacing w:val="-7"/>
          <w:w w:val="99"/>
          <w:sz w:val="20"/>
        </w:rPr>
        <w:t>两轮、三轮、四轮等各类电动车相关事故是否属于“无合法有效驾驶证驾驶”的情形以当地公安机关交通</w:t>
      </w:r>
      <w:r>
        <w:rPr>
          <w:w w:val="99"/>
          <w:sz w:val="20"/>
        </w:rPr>
        <w:t>管理部门认定为准。</w:t>
      </w:r>
    </w:p>
    <w:p>
      <w:pPr>
        <w:spacing w:line="283" w:lineRule="exact" w:before="0"/>
        <w:ind w:left="232" w:right="0" w:firstLine="0"/>
        <w:jc w:val="left"/>
        <w:rPr>
          <w:sz w:val="20"/>
        </w:rPr>
      </w:pPr>
      <w:r>
        <w:rPr>
          <w:rFonts w:ascii="微软雅黑" w:eastAsia="微软雅黑"/>
          <w:b/>
          <w:w w:val="95"/>
          <w:position w:val="10"/>
          <w:sz w:val="10"/>
        </w:rPr>
        <w:t>11</w:t>
      </w:r>
      <w:r>
        <w:rPr>
          <w:rFonts w:ascii="微软雅黑" w:eastAsia="微软雅黑"/>
          <w:b/>
          <w:spacing w:val="66"/>
          <w:w w:val="150"/>
          <w:position w:val="10"/>
          <w:sz w:val="10"/>
        </w:rPr>
        <w:t>  </w:t>
      </w:r>
      <w:r>
        <w:rPr>
          <w:rFonts w:ascii="微软雅黑" w:eastAsia="微软雅黑"/>
          <w:b/>
          <w:w w:val="95"/>
          <w:sz w:val="20"/>
        </w:rPr>
        <w:t>无</w:t>
      </w:r>
      <w:r>
        <w:rPr>
          <w:rFonts w:ascii="微软雅黑" w:eastAsia="微软雅黑"/>
          <w:b/>
          <w:w w:val="95"/>
          <w:sz w:val="20"/>
        </w:rPr>
        <w:t>合</w:t>
      </w:r>
      <w:r>
        <w:rPr>
          <w:rFonts w:ascii="微软雅黑" w:eastAsia="微软雅黑"/>
          <w:b/>
          <w:w w:val="95"/>
          <w:sz w:val="20"/>
        </w:rPr>
        <w:t>法</w:t>
      </w:r>
      <w:r>
        <w:rPr>
          <w:rFonts w:ascii="微软雅黑" w:eastAsia="微软雅黑"/>
          <w:b/>
          <w:w w:val="95"/>
          <w:sz w:val="20"/>
        </w:rPr>
        <w:t>有</w:t>
      </w:r>
      <w:r>
        <w:rPr>
          <w:rFonts w:ascii="微软雅黑" w:eastAsia="微软雅黑"/>
          <w:b/>
          <w:w w:val="95"/>
          <w:sz w:val="20"/>
        </w:rPr>
        <w:t>效</w:t>
      </w:r>
      <w:r>
        <w:rPr>
          <w:rFonts w:ascii="微软雅黑" w:eastAsia="微软雅黑"/>
          <w:b/>
          <w:w w:val="95"/>
          <w:sz w:val="20"/>
        </w:rPr>
        <w:t>行</w:t>
      </w:r>
      <w:r>
        <w:rPr>
          <w:rFonts w:ascii="微软雅黑" w:eastAsia="微软雅黑"/>
          <w:b/>
          <w:w w:val="95"/>
          <w:sz w:val="20"/>
        </w:rPr>
        <w:t>驶</w:t>
      </w:r>
      <w:r>
        <w:rPr>
          <w:rFonts w:ascii="微软雅黑" w:eastAsia="微软雅黑"/>
          <w:b/>
          <w:w w:val="95"/>
          <w:sz w:val="20"/>
        </w:rPr>
        <w:t>证</w:t>
      </w:r>
      <w:r>
        <w:rPr>
          <w:w w:val="95"/>
          <w:sz w:val="20"/>
        </w:rPr>
        <w:t>指</w:t>
      </w:r>
      <w:r>
        <w:rPr>
          <w:w w:val="95"/>
          <w:sz w:val="20"/>
        </w:rPr>
        <w:t>下</w:t>
      </w:r>
      <w:r>
        <w:rPr>
          <w:w w:val="95"/>
          <w:sz w:val="20"/>
        </w:rPr>
        <w:t>列</w:t>
      </w:r>
      <w:r>
        <w:rPr>
          <w:w w:val="95"/>
          <w:sz w:val="20"/>
        </w:rPr>
        <w:t>情</w:t>
      </w:r>
      <w:r>
        <w:rPr>
          <w:w w:val="95"/>
          <w:sz w:val="20"/>
        </w:rPr>
        <w:t>形</w:t>
      </w:r>
      <w:r>
        <w:rPr>
          <w:w w:val="95"/>
          <w:sz w:val="20"/>
        </w:rPr>
        <w:t>之</w:t>
      </w:r>
      <w:r>
        <w:rPr>
          <w:spacing w:val="-5"/>
          <w:w w:val="95"/>
          <w:sz w:val="20"/>
        </w:rPr>
        <w:t>一：</w:t>
      </w:r>
    </w:p>
    <w:p>
      <w:pPr>
        <w:pStyle w:val="ListParagraph"/>
        <w:numPr>
          <w:ilvl w:val="0"/>
          <w:numId w:val="15"/>
        </w:numPr>
        <w:tabs>
          <w:tab w:pos="734" w:val="left" w:leader="none"/>
        </w:tabs>
        <w:spacing w:line="234" w:lineRule="exact" w:before="0" w:after="0"/>
        <w:ind w:left="733" w:right="0" w:hanging="502"/>
        <w:jc w:val="left"/>
        <w:rPr>
          <w:sz w:val="20"/>
        </w:rPr>
      </w:pPr>
      <w:r>
        <w:rPr>
          <w:w w:val="95"/>
          <w:sz w:val="20"/>
        </w:rPr>
        <w:t>没</w:t>
      </w:r>
      <w:r>
        <w:rPr>
          <w:w w:val="95"/>
          <w:sz w:val="20"/>
        </w:rPr>
        <w:t>有</w:t>
      </w:r>
      <w:r>
        <w:rPr>
          <w:w w:val="95"/>
          <w:sz w:val="20"/>
        </w:rPr>
        <w:t>机</w:t>
      </w:r>
      <w:r>
        <w:rPr>
          <w:w w:val="95"/>
          <w:sz w:val="20"/>
        </w:rPr>
        <w:t>动</w:t>
      </w:r>
      <w:r>
        <w:rPr>
          <w:w w:val="95"/>
          <w:sz w:val="20"/>
        </w:rPr>
        <w:t>车</w:t>
      </w:r>
      <w:r>
        <w:rPr>
          <w:w w:val="95"/>
          <w:sz w:val="20"/>
        </w:rPr>
        <w:t>行</w:t>
      </w:r>
      <w:r>
        <w:rPr>
          <w:w w:val="95"/>
          <w:sz w:val="20"/>
        </w:rPr>
        <w:t>驶</w:t>
      </w:r>
      <w:r>
        <w:rPr>
          <w:w w:val="95"/>
          <w:sz w:val="20"/>
        </w:rPr>
        <w:t>证</w:t>
      </w:r>
      <w:r>
        <w:rPr>
          <w:spacing w:val="-10"/>
          <w:w w:val="95"/>
          <w:sz w:val="20"/>
        </w:rPr>
        <w:t>；</w:t>
      </w:r>
    </w:p>
    <w:p>
      <w:pPr>
        <w:pStyle w:val="ListParagraph"/>
        <w:numPr>
          <w:ilvl w:val="0"/>
          <w:numId w:val="15"/>
        </w:numPr>
        <w:tabs>
          <w:tab w:pos="734" w:val="left" w:leader="none"/>
        </w:tabs>
        <w:spacing w:line="240" w:lineRule="auto" w:before="3" w:after="0"/>
        <w:ind w:left="733" w:right="0" w:hanging="502"/>
        <w:jc w:val="left"/>
        <w:rPr>
          <w:sz w:val="20"/>
        </w:rPr>
      </w:pPr>
      <w:r>
        <w:rPr>
          <w:w w:val="95"/>
          <w:sz w:val="20"/>
        </w:rPr>
        <w:t>未</w:t>
      </w:r>
      <w:r>
        <w:rPr>
          <w:w w:val="95"/>
          <w:sz w:val="20"/>
        </w:rPr>
        <w:t>在</w:t>
      </w:r>
      <w:r>
        <w:rPr>
          <w:w w:val="95"/>
          <w:sz w:val="20"/>
        </w:rPr>
        <w:t>法</w:t>
      </w:r>
      <w:r>
        <w:rPr>
          <w:w w:val="95"/>
          <w:sz w:val="20"/>
        </w:rPr>
        <w:t>律</w:t>
      </w:r>
      <w:r>
        <w:rPr>
          <w:w w:val="95"/>
          <w:sz w:val="20"/>
        </w:rPr>
        <w:t>规</w:t>
      </w:r>
      <w:r>
        <w:rPr>
          <w:w w:val="95"/>
          <w:sz w:val="20"/>
        </w:rPr>
        <w:t>定</w:t>
      </w:r>
      <w:r>
        <w:rPr>
          <w:w w:val="95"/>
          <w:sz w:val="20"/>
        </w:rPr>
        <w:t>期</w:t>
      </w:r>
      <w:r>
        <w:rPr>
          <w:w w:val="95"/>
          <w:sz w:val="20"/>
        </w:rPr>
        <w:t>限</w:t>
      </w:r>
      <w:r>
        <w:rPr>
          <w:w w:val="95"/>
          <w:sz w:val="20"/>
        </w:rPr>
        <w:t>内</w:t>
      </w:r>
      <w:r>
        <w:rPr>
          <w:w w:val="95"/>
          <w:sz w:val="20"/>
        </w:rPr>
        <w:t>按</w:t>
      </w:r>
      <w:r>
        <w:rPr>
          <w:w w:val="95"/>
          <w:sz w:val="20"/>
        </w:rPr>
        <w:t>时</w:t>
      </w:r>
      <w:r>
        <w:rPr>
          <w:w w:val="95"/>
          <w:sz w:val="20"/>
        </w:rPr>
        <w:t>进</w:t>
      </w:r>
      <w:r>
        <w:rPr>
          <w:w w:val="95"/>
          <w:sz w:val="20"/>
        </w:rPr>
        <w:t>行</w:t>
      </w:r>
      <w:r>
        <w:rPr>
          <w:w w:val="95"/>
          <w:sz w:val="20"/>
        </w:rPr>
        <w:t>或</w:t>
      </w:r>
      <w:r>
        <w:rPr>
          <w:w w:val="95"/>
          <w:sz w:val="20"/>
        </w:rPr>
        <w:t>通</w:t>
      </w:r>
      <w:r>
        <w:rPr>
          <w:w w:val="95"/>
          <w:sz w:val="20"/>
        </w:rPr>
        <w:t>过</w:t>
      </w:r>
      <w:r>
        <w:rPr>
          <w:w w:val="95"/>
          <w:sz w:val="20"/>
        </w:rPr>
        <w:t>安</w:t>
      </w:r>
      <w:r>
        <w:rPr>
          <w:w w:val="95"/>
          <w:sz w:val="20"/>
        </w:rPr>
        <w:t>全</w:t>
      </w:r>
      <w:r>
        <w:rPr>
          <w:w w:val="95"/>
          <w:sz w:val="20"/>
        </w:rPr>
        <w:t>技术检</w:t>
      </w:r>
      <w:r>
        <w:rPr>
          <w:w w:val="95"/>
          <w:sz w:val="20"/>
        </w:rPr>
        <w:t>验</w:t>
      </w:r>
      <w:r>
        <w:rPr>
          <w:spacing w:val="-10"/>
          <w:w w:val="95"/>
          <w:sz w:val="20"/>
        </w:rPr>
        <w:t>；</w:t>
      </w:r>
    </w:p>
    <w:p>
      <w:pPr>
        <w:pStyle w:val="ListParagraph"/>
        <w:numPr>
          <w:ilvl w:val="0"/>
          <w:numId w:val="15"/>
        </w:numPr>
        <w:tabs>
          <w:tab w:pos="734" w:val="left" w:leader="none"/>
        </w:tabs>
        <w:spacing w:line="242" w:lineRule="auto" w:before="2" w:after="0"/>
        <w:ind w:left="374" w:right="412" w:hanging="143"/>
        <w:jc w:val="left"/>
        <w:rPr>
          <w:sz w:val="20"/>
        </w:rPr>
      </w:pPr>
      <w:r>
        <w:rPr>
          <w:spacing w:val="-6"/>
          <w:w w:val="99"/>
          <w:sz w:val="20"/>
        </w:rPr>
        <w:t>两轮、三轮、四轮等各类电动车相关事故是否属于“无合法有效行驶证”的情形以当地公安机关交通管</w:t>
      </w:r>
      <w:r>
        <w:rPr>
          <w:w w:val="99"/>
          <w:sz w:val="20"/>
        </w:rPr>
        <w:t>理部门认定为准。</w:t>
      </w:r>
    </w:p>
    <w:p>
      <w:pPr>
        <w:spacing w:line="283" w:lineRule="exact" w:before="0"/>
        <w:ind w:left="232" w:right="0" w:firstLine="0"/>
        <w:jc w:val="left"/>
        <w:rPr>
          <w:sz w:val="20"/>
        </w:rPr>
      </w:pPr>
      <w:r>
        <w:rPr>
          <w:rFonts w:ascii="微软雅黑" w:eastAsia="微软雅黑"/>
          <w:b/>
          <w:w w:val="95"/>
          <w:position w:val="10"/>
          <w:sz w:val="10"/>
        </w:rPr>
        <w:t>12</w:t>
      </w:r>
      <w:r>
        <w:rPr>
          <w:rFonts w:ascii="微软雅黑" w:eastAsia="微软雅黑"/>
          <w:b/>
          <w:spacing w:val="78"/>
          <w:w w:val="150"/>
          <w:position w:val="10"/>
          <w:sz w:val="10"/>
        </w:rPr>
        <w:t>    </w:t>
      </w:r>
      <w:r>
        <w:rPr>
          <w:rFonts w:ascii="微软雅黑" w:eastAsia="微软雅黑"/>
          <w:b/>
          <w:w w:val="95"/>
          <w:sz w:val="20"/>
        </w:rPr>
        <w:t>机</w:t>
      </w:r>
      <w:r>
        <w:rPr>
          <w:rFonts w:ascii="微软雅黑" w:eastAsia="微软雅黑"/>
          <w:b/>
          <w:w w:val="95"/>
          <w:sz w:val="20"/>
        </w:rPr>
        <w:t>动</w:t>
      </w:r>
      <w:r>
        <w:rPr>
          <w:rFonts w:ascii="微软雅黑" w:eastAsia="微软雅黑"/>
          <w:b/>
          <w:w w:val="95"/>
          <w:sz w:val="20"/>
        </w:rPr>
        <w:t>车</w:t>
      </w:r>
      <w:r>
        <w:rPr>
          <w:w w:val="95"/>
          <w:sz w:val="20"/>
        </w:rPr>
        <w:t>指</w:t>
      </w:r>
      <w:r>
        <w:rPr>
          <w:w w:val="95"/>
          <w:sz w:val="20"/>
        </w:rPr>
        <w:t>以</w:t>
      </w:r>
      <w:r>
        <w:rPr>
          <w:w w:val="95"/>
          <w:sz w:val="20"/>
        </w:rPr>
        <w:t>动</w:t>
      </w:r>
      <w:r>
        <w:rPr>
          <w:w w:val="95"/>
          <w:sz w:val="20"/>
        </w:rPr>
        <w:t>力</w:t>
      </w:r>
      <w:r>
        <w:rPr>
          <w:w w:val="95"/>
          <w:sz w:val="20"/>
        </w:rPr>
        <w:t>装</w:t>
      </w:r>
      <w:r>
        <w:rPr>
          <w:w w:val="95"/>
          <w:sz w:val="20"/>
        </w:rPr>
        <w:t>置</w:t>
      </w:r>
      <w:r>
        <w:rPr>
          <w:w w:val="95"/>
          <w:sz w:val="20"/>
        </w:rPr>
        <w:t>驱</w:t>
      </w:r>
      <w:r>
        <w:rPr>
          <w:w w:val="95"/>
          <w:sz w:val="20"/>
        </w:rPr>
        <w:t>动</w:t>
      </w:r>
      <w:r>
        <w:rPr>
          <w:w w:val="95"/>
          <w:sz w:val="20"/>
        </w:rPr>
        <w:t>或</w:t>
      </w:r>
      <w:r>
        <w:rPr>
          <w:w w:val="95"/>
          <w:sz w:val="20"/>
        </w:rPr>
        <w:t>者</w:t>
      </w:r>
      <w:r>
        <w:rPr>
          <w:w w:val="95"/>
          <w:sz w:val="20"/>
        </w:rPr>
        <w:t>牵</w:t>
      </w:r>
      <w:r>
        <w:rPr>
          <w:w w:val="95"/>
          <w:sz w:val="20"/>
        </w:rPr>
        <w:t>引</w:t>
      </w:r>
      <w:r>
        <w:rPr>
          <w:spacing w:val="-80"/>
          <w:w w:val="95"/>
          <w:sz w:val="20"/>
        </w:rPr>
        <w:t>，</w:t>
      </w:r>
      <w:r>
        <w:rPr>
          <w:w w:val="95"/>
          <w:sz w:val="20"/>
        </w:rPr>
        <w:t>供</w:t>
      </w:r>
      <w:r>
        <w:rPr>
          <w:w w:val="95"/>
          <w:sz w:val="20"/>
        </w:rPr>
        <w:t>人</w:t>
      </w:r>
      <w:r>
        <w:rPr>
          <w:w w:val="95"/>
          <w:sz w:val="20"/>
        </w:rPr>
        <w:t>员</w:t>
      </w:r>
      <w:r>
        <w:rPr>
          <w:w w:val="95"/>
          <w:sz w:val="20"/>
        </w:rPr>
        <w:t>乘</w:t>
      </w:r>
      <w:r>
        <w:rPr>
          <w:w w:val="95"/>
          <w:sz w:val="20"/>
        </w:rPr>
        <w:t>用</w:t>
      </w:r>
      <w:r>
        <w:rPr>
          <w:w w:val="95"/>
          <w:sz w:val="20"/>
        </w:rPr>
        <w:t>或</w:t>
      </w:r>
      <w:r>
        <w:rPr>
          <w:w w:val="95"/>
          <w:sz w:val="20"/>
        </w:rPr>
        <w:t>者</w:t>
      </w:r>
      <w:r>
        <w:rPr>
          <w:w w:val="95"/>
          <w:sz w:val="20"/>
        </w:rPr>
        <w:t>用</w:t>
      </w:r>
      <w:r>
        <w:rPr>
          <w:w w:val="95"/>
          <w:sz w:val="20"/>
        </w:rPr>
        <w:t>于</w:t>
      </w:r>
      <w:r>
        <w:rPr>
          <w:w w:val="95"/>
          <w:sz w:val="20"/>
        </w:rPr>
        <w:t>运</w:t>
      </w:r>
      <w:r>
        <w:rPr>
          <w:w w:val="95"/>
          <w:sz w:val="20"/>
        </w:rPr>
        <w:t>送</w:t>
      </w:r>
      <w:r>
        <w:rPr>
          <w:w w:val="95"/>
          <w:sz w:val="20"/>
        </w:rPr>
        <w:t>物</w:t>
      </w:r>
      <w:r>
        <w:rPr>
          <w:w w:val="95"/>
          <w:sz w:val="20"/>
        </w:rPr>
        <w:t>品</w:t>
      </w:r>
      <w:r>
        <w:rPr>
          <w:w w:val="95"/>
          <w:sz w:val="20"/>
        </w:rPr>
        <w:t>以</w:t>
      </w:r>
      <w:r>
        <w:rPr>
          <w:w w:val="95"/>
          <w:sz w:val="20"/>
        </w:rPr>
        <w:t>及</w:t>
      </w:r>
      <w:r>
        <w:rPr>
          <w:w w:val="95"/>
          <w:sz w:val="20"/>
        </w:rPr>
        <w:t>进</w:t>
      </w:r>
      <w:r>
        <w:rPr>
          <w:w w:val="95"/>
          <w:sz w:val="20"/>
        </w:rPr>
        <w:t>行工程</w:t>
      </w:r>
      <w:r>
        <w:rPr>
          <w:w w:val="95"/>
          <w:sz w:val="20"/>
        </w:rPr>
        <w:t>专</w:t>
      </w:r>
      <w:r>
        <w:rPr>
          <w:w w:val="95"/>
          <w:sz w:val="20"/>
        </w:rPr>
        <w:t>项</w:t>
      </w:r>
      <w:r>
        <w:rPr>
          <w:w w:val="95"/>
          <w:sz w:val="20"/>
        </w:rPr>
        <w:t>作</w:t>
      </w:r>
      <w:r>
        <w:rPr>
          <w:w w:val="95"/>
          <w:sz w:val="20"/>
        </w:rPr>
        <w:t>业</w:t>
      </w:r>
      <w:r>
        <w:rPr>
          <w:w w:val="95"/>
          <w:sz w:val="20"/>
        </w:rPr>
        <w:t>的</w:t>
      </w:r>
      <w:r>
        <w:rPr>
          <w:w w:val="95"/>
          <w:sz w:val="20"/>
        </w:rPr>
        <w:t>轮</w:t>
      </w:r>
      <w:r>
        <w:rPr>
          <w:spacing w:val="-26"/>
          <w:w w:val="95"/>
          <w:sz w:val="20"/>
        </w:rPr>
        <w:t>式车辆</w:t>
      </w:r>
      <w:r>
        <w:rPr>
          <w:w w:val="95"/>
          <w:sz w:val="20"/>
        </w:rPr>
        <w:t>（</w:t>
      </w:r>
      <w:r>
        <w:rPr>
          <w:w w:val="95"/>
          <w:sz w:val="20"/>
        </w:rPr>
        <w:t>两</w:t>
      </w:r>
      <w:r>
        <w:rPr>
          <w:w w:val="95"/>
          <w:sz w:val="20"/>
        </w:rPr>
        <w:t>轮</w:t>
      </w:r>
      <w:r>
        <w:rPr>
          <w:spacing w:val="-10"/>
          <w:w w:val="95"/>
          <w:sz w:val="20"/>
        </w:rPr>
        <w:t>、</w:t>
      </w:r>
    </w:p>
    <w:p>
      <w:pPr>
        <w:spacing w:line="234" w:lineRule="exact" w:before="0"/>
        <w:ind w:left="374" w:right="0" w:firstLine="0"/>
        <w:jc w:val="left"/>
        <w:rPr>
          <w:sz w:val="20"/>
        </w:rPr>
      </w:pPr>
      <w:r>
        <w:rPr>
          <w:w w:val="95"/>
          <w:sz w:val="20"/>
        </w:rPr>
        <w:t>三</w:t>
      </w:r>
      <w:r>
        <w:rPr>
          <w:w w:val="95"/>
          <w:sz w:val="20"/>
        </w:rPr>
        <w:t>轮</w:t>
      </w:r>
      <w:r>
        <w:rPr>
          <w:w w:val="95"/>
          <w:sz w:val="20"/>
        </w:rPr>
        <w:t>、</w:t>
      </w:r>
      <w:r>
        <w:rPr>
          <w:w w:val="95"/>
          <w:sz w:val="20"/>
        </w:rPr>
        <w:t>四</w:t>
      </w:r>
      <w:r>
        <w:rPr>
          <w:w w:val="95"/>
          <w:sz w:val="20"/>
        </w:rPr>
        <w:t>轮</w:t>
      </w:r>
      <w:r>
        <w:rPr>
          <w:w w:val="95"/>
          <w:sz w:val="20"/>
        </w:rPr>
        <w:t>等</w:t>
      </w:r>
      <w:r>
        <w:rPr>
          <w:w w:val="95"/>
          <w:sz w:val="20"/>
        </w:rPr>
        <w:t>各</w:t>
      </w:r>
      <w:r>
        <w:rPr>
          <w:w w:val="95"/>
          <w:sz w:val="20"/>
        </w:rPr>
        <w:t>类</w:t>
      </w:r>
      <w:r>
        <w:rPr>
          <w:w w:val="95"/>
          <w:sz w:val="20"/>
        </w:rPr>
        <w:t>电</w:t>
      </w:r>
      <w:r>
        <w:rPr>
          <w:w w:val="95"/>
          <w:sz w:val="20"/>
        </w:rPr>
        <w:t>动车属</w:t>
      </w:r>
      <w:r>
        <w:rPr>
          <w:w w:val="95"/>
          <w:sz w:val="20"/>
        </w:rPr>
        <w:t>性</w:t>
      </w:r>
      <w:r>
        <w:rPr>
          <w:w w:val="95"/>
          <w:sz w:val="20"/>
        </w:rPr>
        <w:t>分</w:t>
      </w:r>
      <w:r>
        <w:rPr>
          <w:w w:val="95"/>
          <w:sz w:val="20"/>
        </w:rPr>
        <w:t>类</w:t>
      </w:r>
      <w:r>
        <w:rPr>
          <w:w w:val="95"/>
          <w:sz w:val="20"/>
        </w:rPr>
        <w:t>以</w:t>
      </w:r>
      <w:r>
        <w:rPr>
          <w:w w:val="95"/>
          <w:sz w:val="20"/>
        </w:rPr>
        <w:t>当</w:t>
      </w:r>
      <w:r>
        <w:rPr>
          <w:w w:val="95"/>
          <w:sz w:val="20"/>
        </w:rPr>
        <w:t>地</w:t>
      </w:r>
      <w:r>
        <w:rPr>
          <w:w w:val="95"/>
          <w:sz w:val="20"/>
        </w:rPr>
        <w:t>公</w:t>
      </w:r>
      <w:r>
        <w:rPr>
          <w:w w:val="95"/>
          <w:sz w:val="20"/>
        </w:rPr>
        <w:t>安</w:t>
      </w:r>
      <w:r>
        <w:rPr>
          <w:w w:val="95"/>
          <w:sz w:val="20"/>
        </w:rPr>
        <w:t>机</w:t>
      </w:r>
      <w:r>
        <w:rPr>
          <w:w w:val="95"/>
          <w:sz w:val="20"/>
        </w:rPr>
        <w:t>关交通</w:t>
      </w:r>
      <w:r>
        <w:rPr>
          <w:w w:val="95"/>
          <w:sz w:val="20"/>
        </w:rPr>
        <w:t>管</w:t>
      </w:r>
      <w:r>
        <w:rPr>
          <w:w w:val="95"/>
          <w:sz w:val="20"/>
        </w:rPr>
        <w:t>理</w:t>
      </w:r>
      <w:r>
        <w:rPr>
          <w:w w:val="95"/>
          <w:sz w:val="20"/>
        </w:rPr>
        <w:t>部</w:t>
      </w:r>
      <w:r>
        <w:rPr>
          <w:w w:val="95"/>
          <w:sz w:val="20"/>
        </w:rPr>
        <w:t>门</w:t>
      </w:r>
      <w:r>
        <w:rPr>
          <w:w w:val="95"/>
          <w:sz w:val="20"/>
        </w:rPr>
        <w:t>认</w:t>
      </w:r>
      <w:r>
        <w:rPr>
          <w:w w:val="95"/>
          <w:sz w:val="20"/>
        </w:rPr>
        <w:t>定</w:t>
      </w:r>
      <w:r>
        <w:rPr>
          <w:w w:val="95"/>
          <w:sz w:val="20"/>
        </w:rPr>
        <w:t>为准</w:t>
      </w:r>
      <w:r>
        <w:rPr>
          <w:spacing w:val="-99"/>
          <w:w w:val="95"/>
          <w:sz w:val="20"/>
        </w:rPr>
        <w:t>）</w:t>
      </w:r>
      <w:r>
        <w:rPr>
          <w:spacing w:val="-10"/>
          <w:w w:val="95"/>
          <w:sz w:val="20"/>
        </w:rPr>
        <w:t>。</w:t>
      </w:r>
    </w:p>
    <w:p>
      <w:pPr>
        <w:spacing w:after="0" w:line="234" w:lineRule="exact"/>
        <w:jc w:val="left"/>
        <w:rPr>
          <w:sz w:val="20"/>
        </w:rPr>
        <w:sectPr>
          <w:pgSz w:w="11910" w:h="16840"/>
          <w:pgMar w:header="566" w:footer="664" w:top="1340" w:bottom="860" w:left="900" w:right="720"/>
        </w:sectPr>
      </w:pPr>
    </w:p>
    <w:p>
      <w:pPr>
        <w:pStyle w:val="BodyText"/>
        <w:spacing w:before="10"/>
        <w:rPr>
          <w:sz w:val="5"/>
        </w:rPr>
      </w:pPr>
    </w:p>
    <w:p>
      <w:pPr>
        <w:pStyle w:val="BodyText"/>
        <w:ind w:left="3037"/>
        <w:rPr>
          <w:sz w:val="20"/>
        </w:rPr>
      </w:pPr>
      <w:r>
        <w:rPr>
          <w:sz w:val="20"/>
        </w:rPr>
        <w:pict>
          <v:shape style="width:237.5pt;height:14.4pt;mso-position-horizontal-relative:char;mso-position-vertical-relative:line" type="#_x0000_t202" id="docshape16"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（1）</w:t>
                  </w:r>
                  <w:r>
                    <w:rPr>
                      <w:rFonts w:ascii="微软雅黑" w:eastAsia="微软雅黑"/>
                      <w:b/>
                      <w:color w:val="000000"/>
                      <w:spacing w:val="-1"/>
                      <w:w w:val="95"/>
                      <w:sz w:val="22"/>
                    </w:rPr>
                    <w:t>投保人对被保险人的故意杀害、故意伤害；</w:t>
                  </w:r>
                </w:p>
              </w:txbxContent>
            </v:textbox>
            <v:fill type="solid"/>
          </v:shape>
        </w:pict>
      </w:r>
      <w:r>
        <w:rPr>
          <w:sz w:val="20"/>
        </w:rPr>
      </w:r>
    </w:p>
    <w:p>
      <w:pPr>
        <w:pStyle w:val="BodyText"/>
        <w:ind w:left="3037"/>
        <w:rPr>
          <w:sz w:val="20"/>
        </w:rPr>
      </w:pPr>
      <w:r>
        <w:rPr>
          <w:sz w:val="20"/>
        </w:rPr>
        <w:pict>
          <v:shape style="width:281.7pt;height:14.45pt;mso-position-horizontal-relative:char;mso-position-vertical-relative:line" type="#_x0000_t202" id="docshape17"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（2）</w:t>
                  </w:r>
                  <w:r>
                    <w:rPr>
                      <w:rFonts w:ascii="微软雅黑" w:eastAsia="微软雅黑"/>
                      <w:b/>
                      <w:color w:val="000000"/>
                      <w:spacing w:val="-1"/>
                      <w:w w:val="95"/>
                      <w:sz w:val="22"/>
                    </w:rPr>
                    <w:t>被保险人故意犯罪或抗拒依法采取的刑事强制措施；</w:t>
                  </w:r>
                </w:p>
              </w:txbxContent>
            </v:textbox>
            <v:fill type="solid"/>
          </v:shape>
        </w:pict>
      </w:r>
      <w:r>
        <w:rPr>
          <w:sz w:val="20"/>
        </w:rPr>
      </w:r>
    </w:p>
    <w:p>
      <w:pPr>
        <w:pStyle w:val="BodyText"/>
        <w:ind w:left="3037"/>
        <w:rPr>
          <w:sz w:val="20"/>
        </w:rPr>
      </w:pPr>
      <w:r>
        <w:rPr>
          <w:sz w:val="20"/>
        </w:rPr>
        <w:pict>
          <v:shape style="width:346.25pt;height:14.4pt;mso-position-horizontal-relative:char;mso-position-vertical-relative:line" type="#_x0000_t202" id="docshape18"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（3）被保险人故意自伤、或自本合同成立或者本合同效力恢复之日起</w:t>
                  </w:r>
                  <w:r>
                    <w:rPr>
                      <w:rFonts w:ascii="微软雅黑" w:eastAsia="微软雅黑"/>
                      <w:b/>
                      <w:color w:val="000000"/>
                      <w:spacing w:val="57"/>
                      <w:sz w:val="22"/>
                    </w:rPr>
                    <w:t>   </w:t>
                  </w:r>
                  <w:r>
                    <w:rPr>
                      <w:rFonts w:ascii="微软雅黑" w:eastAsia="微软雅黑"/>
                      <w:b/>
                      <w:color w:val="000000"/>
                      <w:spacing w:val="-10"/>
                      <w:w w:val="95"/>
                      <w:sz w:val="22"/>
                    </w:rPr>
                    <w:t>2</w:t>
                  </w:r>
                </w:p>
              </w:txbxContent>
            </v:textbox>
            <v:fill type="solid"/>
          </v:shape>
        </w:pict>
      </w:r>
      <w:r>
        <w:rPr>
          <w:sz w:val="20"/>
        </w:rPr>
      </w:r>
    </w:p>
    <w:p>
      <w:pPr>
        <w:spacing w:line="330" w:lineRule="exact" w:before="0"/>
        <w:ind w:left="4141" w:right="0" w:firstLine="0"/>
        <w:jc w:val="left"/>
        <w:rPr>
          <w:rFonts w:ascii="微软雅黑" w:eastAsia="微软雅黑"/>
          <w:b/>
          <w:sz w:val="22"/>
        </w:rPr>
      </w:pPr>
      <w:r>
        <w:rPr/>
        <w:pict>
          <v:shape style="position:absolute;margin-left:196.850006pt;margin-top:15.190625pt;width:193.35pt;height:14.4pt;mso-position-horizontal-relative:page;mso-position-vertical-relative:paragraph;z-index:15741952" type="#_x0000_t202" id="docshape19" filled="true" fillcolor="#d9d9d9"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（4）</w:t>
                  </w:r>
                  <w:r>
                    <w:rPr>
                      <w:rFonts w:ascii="微软雅黑" w:eastAsia="微软雅黑"/>
                      <w:b/>
                      <w:color w:val="000000"/>
                      <w:w w:val="95"/>
                      <w:sz w:val="22"/>
                    </w:rPr>
                    <w:t>被</w:t>
                  </w:r>
                  <w:r>
                    <w:rPr>
                      <w:rFonts w:ascii="微软雅黑" w:eastAsia="微软雅黑"/>
                      <w:b/>
                      <w:color w:val="000000"/>
                      <w:w w:val="95"/>
                      <w:sz w:val="22"/>
                    </w:rPr>
                    <w:t>保</w:t>
                  </w:r>
                  <w:r>
                    <w:rPr>
                      <w:rFonts w:ascii="微软雅黑" w:eastAsia="微软雅黑"/>
                      <w:b/>
                      <w:color w:val="000000"/>
                      <w:w w:val="95"/>
                      <w:sz w:val="22"/>
                    </w:rPr>
                    <w:t>险</w:t>
                  </w:r>
                  <w:r>
                    <w:rPr>
                      <w:rFonts w:ascii="微软雅黑" w:eastAsia="微软雅黑"/>
                      <w:b/>
                      <w:color w:val="000000"/>
                      <w:w w:val="95"/>
                      <w:sz w:val="22"/>
                    </w:rPr>
                    <w:t>人</w:t>
                  </w:r>
                  <w:r>
                    <w:rPr>
                      <w:rFonts w:ascii="微软雅黑" w:eastAsia="微软雅黑"/>
                      <w:b/>
                      <w:color w:val="000000"/>
                      <w:w w:val="95"/>
                      <w:sz w:val="22"/>
                    </w:rPr>
                    <w:t>服</w:t>
                  </w:r>
                  <w:r>
                    <w:rPr>
                      <w:rFonts w:ascii="微软雅黑" w:eastAsia="微软雅黑"/>
                      <w:b/>
                      <w:color w:val="000000"/>
                      <w:w w:val="95"/>
                      <w:sz w:val="22"/>
                    </w:rPr>
                    <w:t>用</w:t>
                  </w:r>
                  <w:r>
                    <w:rPr>
                      <w:rFonts w:ascii="微软雅黑" w:eastAsia="微软雅黑"/>
                      <w:b/>
                      <w:color w:val="000000"/>
                      <w:w w:val="95"/>
                      <w:sz w:val="22"/>
                    </w:rPr>
                    <w:t>、</w:t>
                  </w:r>
                  <w:r>
                    <w:rPr>
                      <w:rFonts w:ascii="微软雅黑" w:eastAsia="微软雅黑"/>
                      <w:b/>
                      <w:color w:val="000000"/>
                      <w:w w:val="95"/>
                      <w:sz w:val="22"/>
                    </w:rPr>
                    <w:t>吸</w:t>
                  </w:r>
                  <w:r>
                    <w:rPr>
                      <w:rFonts w:ascii="微软雅黑" w:eastAsia="微软雅黑"/>
                      <w:b/>
                      <w:color w:val="000000"/>
                      <w:w w:val="95"/>
                      <w:sz w:val="22"/>
                    </w:rPr>
                    <w:t>食</w:t>
                  </w:r>
                  <w:r>
                    <w:rPr>
                      <w:rFonts w:ascii="微软雅黑" w:eastAsia="微软雅黑"/>
                      <w:b/>
                      <w:color w:val="000000"/>
                      <w:w w:val="95"/>
                      <w:sz w:val="22"/>
                    </w:rPr>
                    <w:t>或</w:t>
                  </w:r>
                  <w:r>
                    <w:rPr>
                      <w:rFonts w:ascii="微软雅黑" w:eastAsia="微软雅黑"/>
                      <w:b/>
                      <w:color w:val="000000"/>
                      <w:w w:val="95"/>
                      <w:sz w:val="22"/>
                    </w:rPr>
                    <w:t>注</w:t>
                  </w:r>
                  <w:r>
                    <w:rPr>
                      <w:rFonts w:ascii="微软雅黑" w:eastAsia="微软雅黑"/>
                      <w:b/>
                      <w:color w:val="000000"/>
                      <w:w w:val="95"/>
                      <w:sz w:val="22"/>
                    </w:rPr>
                    <w:t>射</w:t>
                  </w:r>
                  <w:r>
                    <w:rPr>
                      <w:rFonts w:ascii="微软雅黑" w:eastAsia="微软雅黑"/>
                      <w:b/>
                      <w:color w:val="000000"/>
                      <w:w w:val="95"/>
                      <w:sz w:val="22"/>
                    </w:rPr>
                    <w:t>毒</w:t>
                  </w:r>
                  <w:r>
                    <w:rPr>
                      <w:rFonts w:ascii="微软雅黑" w:eastAsia="微软雅黑"/>
                      <w:b/>
                      <w:color w:val="000000"/>
                      <w:w w:val="95"/>
                      <w:sz w:val="22"/>
                    </w:rPr>
                    <w:t>品</w:t>
                  </w:r>
                  <w:r>
                    <w:rPr>
                      <w:rFonts w:ascii="微软雅黑" w:eastAsia="微软雅黑"/>
                      <w:b/>
                      <w:color w:val="000000"/>
                      <w:spacing w:val="-10"/>
                      <w:w w:val="95"/>
                      <w:sz w:val="22"/>
                    </w:rPr>
                    <w:t>；</w:t>
                  </w:r>
                </w:p>
              </w:txbxContent>
            </v:textbox>
            <v:fill type="solid"/>
            <w10:wrap type="none"/>
          </v:shape>
        </w:pict>
      </w:r>
      <w:r>
        <w:rPr/>
        <w:pict>
          <v:shape style="position:absolute;margin-left:196.850006pt;margin-top:-.409375pt;width:55.2pt;height:14.4pt;mso-position-horizontal-relative:page;mso-position-vertical-relative:paragraph;z-index:15742464" type="#_x0000_t202" id="docshape20" filled="true" fillcolor="#d9d9d9" stroked="false">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2"/>
                      <w:sz w:val="22"/>
                    </w:rPr>
                    <w:t>年内自杀，</w:t>
                  </w:r>
                </w:p>
              </w:txbxContent>
            </v:textbox>
            <v:fill type="solid"/>
            <w10:wrap type="none"/>
          </v:shape>
        </w:pict>
      </w:r>
      <w:r>
        <w:rPr>
          <w:rFonts w:ascii="微软雅黑" w:eastAsia="微软雅黑"/>
          <w:b/>
          <w:spacing w:val="-1"/>
          <w:sz w:val="22"/>
        </w:rPr>
        <w:t>但被保险人自杀时为无民事行为能力人的除外；</w:t>
      </w:r>
    </w:p>
    <w:p>
      <w:pPr>
        <w:pStyle w:val="BodyText"/>
        <w:spacing w:before="3"/>
        <w:rPr>
          <w:rFonts w:ascii="微软雅黑"/>
          <w:b/>
          <w:sz w:val="14"/>
        </w:rPr>
      </w:pPr>
      <w:r>
        <w:rPr/>
        <w:pict>
          <v:shape style="position:absolute;margin-left:196.850006pt;margin-top:14.28217pt;width:346.25pt;height:14.4pt;mso-position-horizontal-relative:page;mso-position-vertical-relative:paragraph;z-index:-15717376;mso-wrap-distance-left:0;mso-wrap-distance-right:0" type="#_x0000_t202" id="docshape21" filled="true" fillcolor="#d9d9d9" stroked="false">
            <v:textbox inset="0,0,0,0">
              <w:txbxContent>
                <w:p>
                  <w:pPr>
                    <w:spacing w:line="288" w:lineRule="exact" w:before="0"/>
                    <w:ind w:left="0" w:right="-29" w:firstLine="0"/>
                    <w:jc w:val="left"/>
                    <w:rPr>
                      <w:rFonts w:ascii="微软雅黑" w:eastAsia="微软雅黑"/>
                      <w:b/>
                      <w:color w:val="000000"/>
                      <w:sz w:val="22"/>
                    </w:rPr>
                  </w:pPr>
                  <w:r>
                    <w:rPr>
                      <w:rFonts w:ascii="微软雅黑" w:eastAsia="微软雅黑"/>
                      <w:b/>
                      <w:color w:val="000000"/>
                      <w:w w:val="95"/>
                      <w:sz w:val="22"/>
                    </w:rPr>
                    <w:t>（5）</w:t>
                  </w:r>
                  <w:r>
                    <w:rPr>
                      <w:rFonts w:ascii="微软雅黑" w:eastAsia="微软雅黑"/>
                      <w:b/>
                      <w:color w:val="000000"/>
                      <w:w w:val="95"/>
                      <w:sz w:val="22"/>
                    </w:rPr>
                    <w:t>被</w:t>
                  </w:r>
                  <w:r>
                    <w:rPr>
                      <w:rFonts w:ascii="微软雅黑" w:eastAsia="微软雅黑"/>
                      <w:b/>
                      <w:color w:val="000000"/>
                      <w:w w:val="95"/>
                      <w:sz w:val="22"/>
                    </w:rPr>
                    <w:t>保</w:t>
                  </w:r>
                  <w:r>
                    <w:rPr>
                      <w:rFonts w:ascii="微软雅黑" w:eastAsia="微软雅黑"/>
                      <w:b/>
                      <w:color w:val="000000"/>
                      <w:w w:val="95"/>
                      <w:sz w:val="22"/>
                    </w:rPr>
                    <w:t>险</w:t>
                  </w:r>
                  <w:r>
                    <w:rPr>
                      <w:rFonts w:ascii="微软雅黑" w:eastAsia="微软雅黑"/>
                      <w:b/>
                      <w:color w:val="000000"/>
                      <w:w w:val="95"/>
                      <w:sz w:val="22"/>
                    </w:rPr>
                    <w:t>人</w:t>
                  </w:r>
                  <w:r>
                    <w:rPr>
                      <w:rFonts w:ascii="微软雅黑" w:eastAsia="微软雅黑"/>
                      <w:b/>
                      <w:color w:val="000000"/>
                      <w:w w:val="95"/>
                      <w:sz w:val="22"/>
                    </w:rPr>
                    <w:t>酒</w:t>
                  </w:r>
                  <w:r>
                    <w:rPr>
                      <w:rFonts w:ascii="微软雅黑" w:eastAsia="微软雅黑"/>
                      <w:b/>
                      <w:color w:val="000000"/>
                      <w:w w:val="95"/>
                      <w:sz w:val="22"/>
                    </w:rPr>
                    <w:t>后</w:t>
                  </w:r>
                  <w:r>
                    <w:rPr>
                      <w:rFonts w:ascii="微软雅黑" w:eastAsia="微软雅黑"/>
                      <w:b/>
                      <w:color w:val="000000"/>
                      <w:w w:val="95"/>
                      <w:sz w:val="22"/>
                    </w:rPr>
                    <w:t>驾</w:t>
                  </w:r>
                  <w:r>
                    <w:rPr>
                      <w:rFonts w:ascii="微软雅黑" w:eastAsia="微软雅黑"/>
                      <w:b/>
                      <w:color w:val="000000"/>
                      <w:w w:val="95"/>
                      <w:sz w:val="22"/>
                    </w:rPr>
                    <w:t>驶</w:t>
                  </w:r>
                  <w:r>
                    <w:rPr>
                      <w:rFonts w:ascii="微软雅黑" w:eastAsia="微软雅黑"/>
                      <w:b/>
                      <w:color w:val="000000"/>
                      <w:w w:val="95"/>
                      <w:sz w:val="22"/>
                    </w:rPr>
                    <w:t>、无合</w:t>
                  </w:r>
                  <w:r>
                    <w:rPr>
                      <w:rFonts w:ascii="微软雅黑" w:eastAsia="微软雅黑"/>
                      <w:b/>
                      <w:color w:val="000000"/>
                      <w:w w:val="95"/>
                      <w:sz w:val="22"/>
                    </w:rPr>
                    <w:t>法</w:t>
                  </w:r>
                  <w:r>
                    <w:rPr>
                      <w:rFonts w:ascii="微软雅黑" w:eastAsia="微软雅黑"/>
                      <w:b/>
                      <w:color w:val="000000"/>
                      <w:w w:val="95"/>
                      <w:sz w:val="22"/>
                    </w:rPr>
                    <w:t>有</w:t>
                  </w:r>
                  <w:r>
                    <w:rPr>
                      <w:rFonts w:ascii="微软雅黑" w:eastAsia="微软雅黑"/>
                      <w:b/>
                      <w:color w:val="000000"/>
                      <w:w w:val="95"/>
                      <w:sz w:val="22"/>
                    </w:rPr>
                    <w:t>效</w:t>
                  </w:r>
                  <w:r>
                    <w:rPr>
                      <w:rFonts w:ascii="微软雅黑" w:eastAsia="微软雅黑"/>
                      <w:b/>
                      <w:color w:val="000000"/>
                      <w:w w:val="95"/>
                      <w:sz w:val="22"/>
                    </w:rPr>
                    <w:t>驾</w:t>
                  </w:r>
                  <w:r>
                    <w:rPr>
                      <w:rFonts w:ascii="微软雅黑" w:eastAsia="微软雅黑"/>
                      <w:b/>
                      <w:color w:val="000000"/>
                      <w:w w:val="95"/>
                      <w:sz w:val="22"/>
                    </w:rPr>
                    <w:t>驶</w:t>
                  </w:r>
                  <w:r>
                    <w:rPr>
                      <w:rFonts w:ascii="微软雅黑" w:eastAsia="微软雅黑"/>
                      <w:b/>
                      <w:color w:val="000000"/>
                      <w:w w:val="95"/>
                      <w:sz w:val="22"/>
                    </w:rPr>
                    <w:t>证</w:t>
                  </w:r>
                  <w:r>
                    <w:rPr>
                      <w:rFonts w:ascii="微软雅黑" w:eastAsia="微软雅黑"/>
                      <w:b/>
                      <w:color w:val="000000"/>
                      <w:w w:val="95"/>
                      <w:sz w:val="22"/>
                    </w:rPr>
                    <w:t>驾</w:t>
                  </w:r>
                  <w:r>
                    <w:rPr>
                      <w:rFonts w:ascii="微软雅黑" w:eastAsia="微软雅黑"/>
                      <w:b/>
                      <w:color w:val="000000"/>
                      <w:w w:val="95"/>
                      <w:sz w:val="22"/>
                    </w:rPr>
                    <w:t>驶</w:t>
                  </w:r>
                  <w:r>
                    <w:rPr>
                      <w:rFonts w:ascii="微软雅黑" w:eastAsia="微软雅黑"/>
                      <w:b/>
                      <w:color w:val="000000"/>
                      <w:w w:val="95"/>
                      <w:sz w:val="22"/>
                    </w:rPr>
                    <w:t>，或驾</w:t>
                  </w:r>
                  <w:r>
                    <w:rPr>
                      <w:rFonts w:ascii="微软雅黑" w:eastAsia="微软雅黑"/>
                      <w:b/>
                      <w:color w:val="000000"/>
                      <w:w w:val="95"/>
                      <w:sz w:val="22"/>
                    </w:rPr>
                    <w:t>驶</w:t>
                  </w:r>
                  <w:r>
                    <w:rPr>
                      <w:rFonts w:ascii="微软雅黑" w:eastAsia="微软雅黑"/>
                      <w:b/>
                      <w:color w:val="000000"/>
                      <w:w w:val="95"/>
                      <w:sz w:val="22"/>
                    </w:rPr>
                    <w:t>无</w:t>
                  </w:r>
                  <w:r>
                    <w:rPr>
                      <w:rFonts w:ascii="微软雅黑" w:eastAsia="微软雅黑"/>
                      <w:b/>
                      <w:color w:val="000000"/>
                      <w:w w:val="95"/>
                      <w:sz w:val="22"/>
                    </w:rPr>
                    <w:t>合</w:t>
                  </w:r>
                  <w:r>
                    <w:rPr>
                      <w:rFonts w:ascii="微软雅黑" w:eastAsia="微软雅黑"/>
                      <w:b/>
                      <w:color w:val="000000"/>
                      <w:w w:val="95"/>
                      <w:sz w:val="22"/>
                    </w:rPr>
                    <w:t>法</w:t>
                  </w:r>
                  <w:r>
                    <w:rPr>
                      <w:rFonts w:ascii="微软雅黑" w:eastAsia="微软雅黑"/>
                      <w:b/>
                      <w:color w:val="000000"/>
                      <w:w w:val="95"/>
                      <w:sz w:val="22"/>
                    </w:rPr>
                    <w:t>有</w:t>
                  </w:r>
                  <w:r>
                    <w:rPr>
                      <w:rFonts w:ascii="微软雅黑" w:eastAsia="微软雅黑"/>
                      <w:b/>
                      <w:color w:val="000000"/>
                      <w:w w:val="95"/>
                      <w:sz w:val="22"/>
                    </w:rPr>
                    <w:t>效</w:t>
                  </w:r>
                  <w:r>
                    <w:rPr>
                      <w:rFonts w:ascii="微软雅黑" w:eastAsia="微软雅黑"/>
                      <w:b/>
                      <w:color w:val="000000"/>
                      <w:spacing w:val="-10"/>
                      <w:w w:val="95"/>
                      <w:sz w:val="22"/>
                    </w:rPr>
                    <w:t>行</w:t>
                  </w:r>
                </w:p>
              </w:txbxContent>
            </v:textbox>
            <v:fill type="solid"/>
            <w10:wrap type="topAndBottom"/>
          </v:shape>
        </w:pict>
      </w:r>
    </w:p>
    <w:p>
      <w:pPr>
        <w:pStyle w:val="BodyText"/>
        <w:rPr>
          <w:rFonts w:ascii="微软雅黑"/>
          <w:b/>
          <w:sz w:val="2"/>
        </w:rPr>
      </w:pPr>
    </w:p>
    <w:p>
      <w:pPr>
        <w:pStyle w:val="BodyText"/>
        <w:spacing w:line="288" w:lineRule="exact"/>
        <w:ind w:left="3037"/>
        <w:rPr>
          <w:rFonts w:ascii="微软雅黑"/>
          <w:sz w:val="20"/>
        </w:rPr>
      </w:pPr>
      <w:r>
        <w:rPr>
          <w:rFonts w:ascii="微软雅黑"/>
          <w:position w:val="-5"/>
          <w:sz w:val="20"/>
        </w:rPr>
        <w:pict>
          <v:shape style="width:77.3pt;height:14.4pt;mso-position-horizontal-relative:char;mso-position-vertical-relative:line" type="#_x0000_t202" id="docshape22"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4"/>
                      <w:sz w:val="22"/>
                    </w:rPr>
                    <w:t>驶证的机动车；</w:t>
                  </w:r>
                </w:p>
              </w:txbxContent>
            </v:textbox>
            <v:fill type="solid"/>
          </v:shape>
        </w:pict>
      </w:r>
      <w:r>
        <w:rPr>
          <w:rFonts w:ascii="微软雅黑"/>
          <w:position w:val="-5"/>
          <w:sz w:val="20"/>
        </w:rPr>
      </w:r>
    </w:p>
    <w:p>
      <w:pPr>
        <w:pStyle w:val="ListParagraph"/>
        <w:numPr>
          <w:ilvl w:val="1"/>
          <w:numId w:val="15"/>
        </w:numPr>
        <w:tabs>
          <w:tab w:pos="3590" w:val="left" w:leader="none"/>
        </w:tabs>
        <w:spacing w:line="184" w:lineRule="auto" w:before="10" w:after="0"/>
        <w:ind w:left="3037" w:right="395" w:firstLine="0"/>
        <w:jc w:val="left"/>
        <w:rPr>
          <w:rFonts w:ascii="微软雅黑" w:eastAsia="微软雅黑"/>
          <w:b/>
          <w:sz w:val="22"/>
        </w:rPr>
      </w:pPr>
      <w:r>
        <w:rPr>
          <w:rFonts w:ascii="微软雅黑" w:eastAsia="微软雅黑"/>
          <w:b/>
          <w:color w:val="000000"/>
          <w:spacing w:val="-2"/>
          <w:sz w:val="22"/>
          <w:shd w:fill="D9D9D9" w:color="auto" w:val="clear"/>
        </w:rPr>
        <w:t>被保险人感染艾滋病病毒或患艾滋病</w:t>
      </w:r>
      <w:r>
        <w:rPr>
          <w:rFonts w:ascii="微软雅黑" w:eastAsia="微软雅黑"/>
          <w:b/>
          <w:color w:val="000000"/>
          <w:spacing w:val="-2"/>
          <w:position w:val="11"/>
          <w:sz w:val="11"/>
        </w:rPr>
        <w:t>13</w:t>
      </w:r>
      <w:r>
        <w:rPr>
          <w:rFonts w:ascii="微软雅黑" w:eastAsia="微软雅黑"/>
          <w:b/>
          <w:color w:val="000000"/>
          <w:spacing w:val="-2"/>
          <w:sz w:val="22"/>
        </w:rPr>
        <w:t>（本合同约定的经输血、因</w:t>
      </w:r>
      <w:r>
        <w:rPr>
          <w:rFonts w:ascii="微软雅黑" w:eastAsia="微软雅黑"/>
          <w:b/>
          <w:color w:val="000000"/>
          <w:spacing w:val="-2"/>
          <w:sz w:val="22"/>
        </w:rPr>
        <w:t>职业关系、因器官移植导致的艾滋病病毒感染或患艾滋病除外）；</w:t>
      </w:r>
    </w:p>
    <w:p>
      <w:pPr>
        <w:pStyle w:val="ListParagraph"/>
        <w:numPr>
          <w:ilvl w:val="1"/>
          <w:numId w:val="15"/>
        </w:numPr>
        <w:tabs>
          <w:tab w:pos="3590" w:val="left" w:leader="none"/>
        </w:tabs>
        <w:spacing w:line="291" w:lineRule="exact" w:before="0" w:after="0"/>
        <w:ind w:left="3590" w:right="0" w:hanging="553"/>
        <w:jc w:val="left"/>
        <w:rPr>
          <w:rFonts w:ascii="微软雅黑" w:eastAsia="微软雅黑"/>
          <w:b/>
          <w:sz w:val="22"/>
        </w:rPr>
      </w:pPr>
      <w:r>
        <w:rPr>
          <w:rFonts w:ascii="微软雅黑" w:eastAsia="微软雅黑"/>
          <w:b/>
          <w:color w:val="000000"/>
          <w:spacing w:val="-1"/>
          <w:sz w:val="22"/>
          <w:shd w:fill="D9D9D9" w:color="auto" w:val="clear"/>
        </w:rPr>
        <w:t>战争、军事冲突、暴乱或武装叛乱；</w:t>
      </w:r>
    </w:p>
    <w:p>
      <w:pPr>
        <w:pStyle w:val="ListParagraph"/>
        <w:numPr>
          <w:ilvl w:val="1"/>
          <w:numId w:val="15"/>
        </w:numPr>
        <w:tabs>
          <w:tab w:pos="3590" w:val="left" w:leader="none"/>
        </w:tabs>
        <w:spacing w:line="312" w:lineRule="exact" w:before="0" w:after="0"/>
        <w:ind w:left="3590" w:right="0" w:hanging="553"/>
        <w:jc w:val="left"/>
        <w:rPr>
          <w:rFonts w:ascii="微软雅黑" w:eastAsia="微软雅黑"/>
          <w:b/>
          <w:sz w:val="22"/>
        </w:rPr>
      </w:pPr>
      <w:r>
        <w:rPr>
          <w:rFonts w:ascii="微软雅黑" w:eastAsia="微软雅黑"/>
          <w:b/>
          <w:color w:val="000000"/>
          <w:spacing w:val="-1"/>
          <w:sz w:val="22"/>
          <w:shd w:fill="D9D9D9" w:color="auto" w:val="clear"/>
        </w:rPr>
        <w:t>核爆炸、核辐射或核污染；</w:t>
      </w:r>
    </w:p>
    <w:p>
      <w:pPr>
        <w:pStyle w:val="ListParagraph"/>
        <w:numPr>
          <w:ilvl w:val="1"/>
          <w:numId w:val="15"/>
        </w:numPr>
        <w:tabs>
          <w:tab w:pos="3590" w:val="left" w:leader="none"/>
        </w:tabs>
        <w:spacing w:line="312" w:lineRule="exact" w:before="0" w:after="0"/>
        <w:ind w:left="3590" w:right="0" w:hanging="553"/>
        <w:jc w:val="left"/>
        <w:rPr>
          <w:rFonts w:ascii="微软雅黑" w:eastAsia="微软雅黑"/>
          <w:b/>
          <w:sz w:val="22"/>
        </w:rPr>
      </w:pPr>
      <w:r>
        <w:rPr>
          <w:rFonts w:ascii="微软雅黑" w:eastAsia="微软雅黑"/>
          <w:b/>
          <w:color w:val="000000"/>
          <w:w w:val="95"/>
          <w:sz w:val="22"/>
          <w:shd w:fill="D9D9D9" w:color="auto" w:val="clear"/>
        </w:rPr>
        <w:t>遗</w:t>
      </w:r>
      <w:r>
        <w:rPr>
          <w:rFonts w:ascii="微软雅黑" w:eastAsia="微软雅黑"/>
          <w:b/>
          <w:color w:val="000000"/>
          <w:w w:val="95"/>
          <w:sz w:val="22"/>
          <w:shd w:fill="D9D9D9" w:color="auto" w:val="clear"/>
        </w:rPr>
        <w:t>传</w:t>
      </w:r>
      <w:r>
        <w:rPr>
          <w:rFonts w:ascii="微软雅黑" w:eastAsia="微软雅黑"/>
          <w:b/>
          <w:color w:val="000000"/>
          <w:w w:val="95"/>
          <w:sz w:val="22"/>
          <w:shd w:fill="D9D9D9" w:color="auto" w:val="clear"/>
        </w:rPr>
        <w:t>性</w:t>
      </w:r>
      <w:r>
        <w:rPr>
          <w:rFonts w:ascii="微软雅黑" w:eastAsia="微软雅黑"/>
          <w:b/>
          <w:color w:val="000000"/>
          <w:w w:val="95"/>
          <w:sz w:val="22"/>
          <w:shd w:fill="D9D9D9" w:color="auto" w:val="clear"/>
        </w:rPr>
        <w:t>疾</w:t>
      </w:r>
      <w:r>
        <w:rPr>
          <w:rFonts w:ascii="微软雅黑" w:eastAsia="微软雅黑"/>
          <w:b/>
          <w:color w:val="000000"/>
          <w:w w:val="95"/>
          <w:sz w:val="22"/>
          <w:shd w:fill="D9D9D9" w:color="auto" w:val="clear"/>
        </w:rPr>
        <w:t>病</w:t>
      </w:r>
      <w:r>
        <w:rPr>
          <w:rFonts w:ascii="微软雅黑" w:eastAsia="微软雅黑"/>
          <w:b/>
          <w:color w:val="000000"/>
          <w:w w:val="95"/>
          <w:position w:val="11"/>
          <w:sz w:val="11"/>
        </w:rPr>
        <w:t>14</w:t>
      </w:r>
      <w:r>
        <w:rPr>
          <w:rFonts w:ascii="微软雅黑" w:eastAsia="微软雅黑"/>
          <w:b/>
          <w:color w:val="000000"/>
          <w:w w:val="95"/>
          <w:sz w:val="22"/>
          <w:shd w:fill="D9D9D9" w:color="auto" w:val="clear"/>
        </w:rPr>
        <w:t>，先</w:t>
      </w:r>
      <w:r>
        <w:rPr>
          <w:rFonts w:ascii="微软雅黑" w:eastAsia="微软雅黑"/>
          <w:b/>
          <w:color w:val="000000"/>
          <w:w w:val="95"/>
          <w:sz w:val="22"/>
          <w:shd w:fill="D9D9D9" w:color="auto" w:val="clear"/>
        </w:rPr>
        <w:t>天</w:t>
      </w:r>
      <w:r>
        <w:rPr>
          <w:rFonts w:ascii="微软雅黑" w:eastAsia="微软雅黑"/>
          <w:b/>
          <w:color w:val="000000"/>
          <w:w w:val="95"/>
          <w:sz w:val="22"/>
          <w:shd w:fill="D9D9D9" w:color="auto" w:val="clear"/>
        </w:rPr>
        <w:t>性</w:t>
      </w:r>
      <w:r>
        <w:rPr>
          <w:rFonts w:ascii="微软雅黑" w:eastAsia="微软雅黑"/>
          <w:b/>
          <w:color w:val="000000"/>
          <w:w w:val="95"/>
          <w:sz w:val="22"/>
          <w:shd w:fill="D9D9D9" w:color="auto" w:val="clear"/>
        </w:rPr>
        <w:t>畸</w:t>
      </w:r>
      <w:r>
        <w:rPr>
          <w:rFonts w:ascii="微软雅黑" w:eastAsia="微软雅黑"/>
          <w:b/>
          <w:color w:val="000000"/>
          <w:w w:val="95"/>
          <w:sz w:val="22"/>
          <w:shd w:fill="D9D9D9" w:color="auto" w:val="clear"/>
        </w:rPr>
        <w:t>形</w:t>
      </w:r>
      <w:r>
        <w:rPr>
          <w:rFonts w:ascii="微软雅黑" w:eastAsia="微软雅黑"/>
          <w:b/>
          <w:color w:val="000000"/>
          <w:w w:val="95"/>
          <w:sz w:val="22"/>
          <w:shd w:fill="D9D9D9" w:color="auto" w:val="clear"/>
        </w:rPr>
        <w:t>、</w:t>
      </w:r>
      <w:r>
        <w:rPr>
          <w:rFonts w:ascii="微软雅黑" w:eastAsia="微软雅黑"/>
          <w:b/>
          <w:color w:val="000000"/>
          <w:w w:val="95"/>
          <w:sz w:val="22"/>
          <w:shd w:fill="D9D9D9" w:color="auto" w:val="clear"/>
        </w:rPr>
        <w:t>变</w:t>
      </w:r>
      <w:r>
        <w:rPr>
          <w:rFonts w:ascii="微软雅黑" w:eastAsia="微软雅黑"/>
          <w:b/>
          <w:color w:val="000000"/>
          <w:w w:val="95"/>
          <w:sz w:val="22"/>
          <w:shd w:fill="D9D9D9" w:color="auto" w:val="clear"/>
        </w:rPr>
        <w:t>形</w:t>
      </w:r>
      <w:r>
        <w:rPr>
          <w:rFonts w:ascii="微软雅黑" w:eastAsia="微软雅黑"/>
          <w:b/>
          <w:color w:val="000000"/>
          <w:w w:val="95"/>
          <w:sz w:val="22"/>
          <w:shd w:fill="D9D9D9" w:color="auto" w:val="clear"/>
        </w:rPr>
        <w:t>或</w:t>
      </w:r>
      <w:r>
        <w:rPr>
          <w:rFonts w:ascii="微软雅黑" w:eastAsia="微软雅黑"/>
          <w:b/>
          <w:color w:val="000000"/>
          <w:w w:val="95"/>
          <w:sz w:val="22"/>
          <w:shd w:fill="D9D9D9" w:color="auto" w:val="clear"/>
        </w:rPr>
        <w:t>染</w:t>
      </w:r>
      <w:r>
        <w:rPr>
          <w:rFonts w:ascii="微软雅黑" w:eastAsia="微软雅黑"/>
          <w:b/>
          <w:color w:val="000000"/>
          <w:w w:val="95"/>
          <w:sz w:val="22"/>
          <w:shd w:fill="D9D9D9" w:color="auto" w:val="clear"/>
        </w:rPr>
        <w:t>色</w:t>
      </w:r>
      <w:r>
        <w:rPr>
          <w:rFonts w:ascii="微软雅黑" w:eastAsia="微软雅黑"/>
          <w:b/>
          <w:color w:val="000000"/>
          <w:w w:val="95"/>
          <w:sz w:val="22"/>
          <w:shd w:fill="D9D9D9" w:color="auto" w:val="clear"/>
        </w:rPr>
        <w:t>体</w:t>
      </w:r>
      <w:r>
        <w:rPr>
          <w:rFonts w:ascii="微软雅黑" w:eastAsia="微软雅黑"/>
          <w:b/>
          <w:color w:val="000000"/>
          <w:w w:val="95"/>
          <w:sz w:val="22"/>
          <w:shd w:fill="D9D9D9" w:color="auto" w:val="clear"/>
        </w:rPr>
        <w:t>异</w:t>
      </w:r>
      <w:r>
        <w:rPr>
          <w:rFonts w:ascii="微软雅黑" w:eastAsia="微软雅黑"/>
          <w:b/>
          <w:color w:val="000000"/>
          <w:w w:val="95"/>
          <w:sz w:val="22"/>
          <w:shd w:fill="D9D9D9" w:color="auto" w:val="clear"/>
        </w:rPr>
        <w:t>常</w:t>
      </w:r>
      <w:r>
        <w:rPr>
          <w:rFonts w:ascii="微软雅黑" w:eastAsia="微软雅黑"/>
          <w:b/>
          <w:color w:val="000000"/>
          <w:w w:val="95"/>
          <w:position w:val="11"/>
          <w:sz w:val="11"/>
        </w:rPr>
        <w:t>15</w:t>
      </w:r>
      <w:r>
        <w:rPr>
          <w:rFonts w:ascii="微软雅黑" w:eastAsia="微软雅黑"/>
          <w:b/>
          <w:color w:val="000000"/>
          <w:spacing w:val="-10"/>
          <w:w w:val="95"/>
          <w:sz w:val="22"/>
        </w:rPr>
        <w:t>。</w:t>
      </w:r>
    </w:p>
    <w:p>
      <w:pPr>
        <w:spacing w:line="184" w:lineRule="auto" w:before="20"/>
        <w:ind w:left="3037" w:right="301" w:firstLine="0"/>
        <w:jc w:val="both"/>
        <w:rPr>
          <w:rFonts w:ascii="微软雅黑" w:eastAsia="微软雅黑"/>
          <w:b/>
          <w:sz w:val="22"/>
        </w:rPr>
      </w:pPr>
      <w:r>
        <w:rPr>
          <w:rFonts w:ascii="微软雅黑" w:eastAsia="微软雅黑"/>
          <w:b/>
          <w:color w:val="000000"/>
          <w:spacing w:val="-2"/>
          <w:sz w:val="22"/>
          <w:shd w:fill="D9D9D9" w:color="auto" w:val="clear"/>
        </w:rPr>
        <w:t>发生上述第（1）项情形导致被保险人发生疾病、达到疾病状态或进行手</w:t>
      </w:r>
      <w:r>
        <w:rPr>
          <w:rFonts w:ascii="微软雅黑" w:eastAsia="微软雅黑"/>
          <w:b/>
          <w:color w:val="000000"/>
          <w:spacing w:val="40"/>
          <w:sz w:val="22"/>
          <w:shd w:fill="D9D9D9" w:color="auto" w:val="clear"/>
        </w:rPr>
        <w:t> </w:t>
      </w:r>
      <w:r>
        <w:rPr>
          <w:rFonts w:ascii="微软雅黑" w:eastAsia="微软雅黑"/>
          <w:b/>
          <w:color w:val="000000"/>
          <w:spacing w:val="-2"/>
          <w:sz w:val="22"/>
          <w:shd w:fill="D9D9D9" w:color="auto" w:val="clear"/>
        </w:rPr>
        <w:t>术或接受住院治疗的，本合同效力终止，我们向被保险人退还本合同当</w:t>
      </w:r>
      <w:r>
        <w:rPr>
          <w:rFonts w:ascii="微软雅黑" w:eastAsia="微软雅黑"/>
          <w:b/>
          <w:color w:val="000000"/>
          <w:spacing w:val="-2"/>
          <w:sz w:val="22"/>
          <w:shd w:fill="D9D9D9" w:color="auto" w:val="clear"/>
        </w:rPr>
        <w:t>时的现金价值。</w:t>
      </w:r>
    </w:p>
    <w:p>
      <w:pPr>
        <w:spacing w:line="184" w:lineRule="auto" w:before="0"/>
        <w:ind w:left="3037" w:right="401" w:firstLine="0"/>
        <w:jc w:val="both"/>
        <w:rPr>
          <w:rFonts w:ascii="微软雅黑" w:eastAsia="微软雅黑"/>
          <w:b/>
          <w:sz w:val="22"/>
        </w:rPr>
      </w:pPr>
      <w:r>
        <w:rPr>
          <w:rFonts w:ascii="微软雅黑" w:eastAsia="微软雅黑"/>
          <w:b/>
          <w:color w:val="000000"/>
          <w:spacing w:val="-2"/>
          <w:sz w:val="22"/>
          <w:shd w:fill="D9D9D9" w:color="auto" w:val="clear"/>
        </w:rPr>
        <w:t>发生上述其他情形导致被保险人发生疾病、达到疾病状态或进行手术或</w:t>
      </w:r>
      <w:r>
        <w:rPr>
          <w:rFonts w:ascii="微软雅黑" w:eastAsia="微软雅黑"/>
          <w:b/>
          <w:color w:val="000000"/>
          <w:spacing w:val="40"/>
          <w:sz w:val="22"/>
          <w:shd w:fill="D9D9D9" w:color="auto" w:val="clear"/>
        </w:rPr>
        <w:t> </w:t>
      </w:r>
      <w:r>
        <w:rPr>
          <w:rFonts w:ascii="微软雅黑" w:eastAsia="微软雅黑"/>
          <w:b/>
          <w:color w:val="000000"/>
          <w:spacing w:val="-2"/>
          <w:sz w:val="22"/>
          <w:shd w:fill="D9D9D9" w:color="auto" w:val="clear"/>
        </w:rPr>
        <w:t>接受住院治疗的，本合同效力终止，我们向您退还本合同当时的现金价</w:t>
      </w:r>
      <w:r>
        <w:rPr>
          <w:rFonts w:ascii="微软雅黑" w:eastAsia="微软雅黑"/>
          <w:b/>
          <w:color w:val="000000"/>
          <w:spacing w:val="-6"/>
          <w:sz w:val="22"/>
          <w:shd w:fill="D9D9D9" w:color="auto" w:val="clear"/>
        </w:rPr>
        <w:t>值。</w:t>
      </w:r>
    </w:p>
    <w:p>
      <w:pPr>
        <w:pStyle w:val="ListParagraph"/>
        <w:numPr>
          <w:ilvl w:val="1"/>
          <w:numId w:val="13"/>
        </w:numPr>
        <w:tabs>
          <w:tab w:pos="1269" w:val="left" w:leader="none"/>
          <w:tab w:pos="1270" w:val="left" w:leader="none"/>
          <w:tab w:pos="3036" w:val="left" w:leader="none"/>
        </w:tabs>
        <w:spacing w:line="184" w:lineRule="auto" w:before="170" w:after="0"/>
        <w:ind w:left="3037" w:right="298" w:hanging="2805"/>
        <w:jc w:val="left"/>
        <w:rPr>
          <w:rFonts w:ascii="微软雅黑" w:hAnsi="微软雅黑" w:eastAsia="微软雅黑"/>
          <w:b/>
          <w:sz w:val="22"/>
        </w:rPr>
      </w:pPr>
      <w:r>
        <w:rPr>
          <w:rFonts w:ascii="微软雅黑" w:hAnsi="微软雅黑" w:eastAsia="微软雅黑"/>
          <w:b/>
          <w:spacing w:val="-2"/>
          <w:sz w:val="21"/>
        </w:rPr>
        <w:t>其</w:t>
      </w:r>
      <w:r>
        <w:rPr>
          <w:rFonts w:ascii="微软雅黑" w:hAnsi="微软雅黑" w:eastAsia="微软雅黑"/>
          <w:b/>
          <w:spacing w:val="-2"/>
          <w:sz w:val="21"/>
        </w:rPr>
        <w:t>他</w:t>
      </w:r>
      <w:r>
        <w:rPr>
          <w:rFonts w:ascii="微软雅黑" w:hAnsi="微软雅黑" w:eastAsia="微软雅黑"/>
          <w:b/>
          <w:spacing w:val="-2"/>
          <w:sz w:val="21"/>
        </w:rPr>
        <w:t>免</w:t>
      </w:r>
      <w:r>
        <w:rPr>
          <w:rFonts w:ascii="微软雅黑" w:hAnsi="微软雅黑" w:eastAsia="微软雅黑"/>
          <w:b/>
          <w:spacing w:val="-2"/>
          <w:sz w:val="21"/>
        </w:rPr>
        <w:t>责</w:t>
      </w:r>
      <w:r>
        <w:rPr>
          <w:rFonts w:ascii="微软雅黑" w:hAnsi="微软雅黑" w:eastAsia="微软雅黑"/>
          <w:b/>
          <w:spacing w:val="-2"/>
          <w:sz w:val="21"/>
        </w:rPr>
        <w:t>条</w:t>
      </w:r>
      <w:r>
        <w:rPr>
          <w:rFonts w:ascii="微软雅黑" w:hAnsi="微软雅黑" w:eastAsia="微软雅黑"/>
          <w:b/>
          <w:spacing w:val="-2"/>
          <w:sz w:val="21"/>
        </w:rPr>
        <w:t>款</w:t>
      </w:r>
      <w:r>
        <w:rPr>
          <w:rFonts w:ascii="微软雅黑" w:hAnsi="微软雅黑" w:eastAsia="微软雅黑"/>
          <w:b/>
          <w:sz w:val="21"/>
        </w:rPr>
        <w:tab/>
      </w:r>
      <w:r>
        <w:rPr>
          <w:rFonts w:ascii="微软雅黑" w:hAnsi="微软雅黑" w:eastAsia="微软雅黑"/>
          <w:b/>
          <w:color w:val="000000"/>
          <w:spacing w:val="-2"/>
          <w:sz w:val="22"/>
          <w:shd w:fill="D9D9D9" w:color="auto" w:val="clear"/>
        </w:rPr>
        <w:t>除</w:t>
      </w:r>
      <w:r>
        <w:rPr>
          <w:rFonts w:ascii="微软雅黑" w:hAnsi="微软雅黑" w:eastAsia="微软雅黑"/>
          <w:b/>
          <w:color w:val="000000"/>
          <w:spacing w:val="-2"/>
          <w:sz w:val="22"/>
          <w:shd w:fill="D9D9D9" w:color="auto" w:val="clear"/>
        </w:rPr>
        <w:t>以</w:t>
      </w:r>
      <w:r>
        <w:rPr>
          <w:rFonts w:ascii="微软雅黑" w:hAnsi="微软雅黑" w:eastAsia="微软雅黑"/>
          <w:b/>
          <w:color w:val="000000"/>
          <w:spacing w:val="-2"/>
          <w:sz w:val="22"/>
          <w:shd w:fill="D9D9D9" w:color="auto" w:val="clear"/>
        </w:rPr>
        <w:t>上“2.1</w:t>
      </w:r>
      <w:r>
        <w:rPr>
          <w:rFonts w:ascii="微软雅黑" w:hAnsi="微软雅黑" w:eastAsia="微软雅黑"/>
          <w:b/>
          <w:color w:val="000000"/>
          <w:spacing w:val="-15"/>
          <w:sz w:val="22"/>
          <w:shd w:fill="D9D9D9" w:color="auto" w:val="clear"/>
        </w:rPr>
        <w:t> </w:t>
      </w:r>
      <w:r>
        <w:rPr>
          <w:rFonts w:ascii="微软雅黑" w:hAnsi="微软雅黑" w:eastAsia="微软雅黑"/>
          <w:b/>
          <w:color w:val="000000"/>
          <w:spacing w:val="-2"/>
          <w:sz w:val="22"/>
          <w:shd w:fill="D9D9D9" w:color="auto" w:val="clear"/>
        </w:rPr>
        <w:t>责</w:t>
      </w:r>
      <w:r>
        <w:rPr>
          <w:rFonts w:ascii="微软雅黑" w:hAnsi="微软雅黑" w:eastAsia="微软雅黑"/>
          <w:b/>
          <w:color w:val="000000"/>
          <w:spacing w:val="-2"/>
          <w:sz w:val="22"/>
          <w:shd w:fill="D9D9D9" w:color="auto" w:val="clear"/>
        </w:rPr>
        <w:t>任</w:t>
      </w:r>
      <w:r>
        <w:rPr>
          <w:rFonts w:ascii="微软雅黑" w:hAnsi="微软雅黑" w:eastAsia="微软雅黑"/>
          <w:b/>
          <w:color w:val="000000"/>
          <w:spacing w:val="-2"/>
          <w:sz w:val="22"/>
          <w:shd w:fill="D9D9D9" w:color="auto" w:val="clear"/>
        </w:rPr>
        <w:t>免</w:t>
      </w:r>
      <w:r>
        <w:rPr>
          <w:rFonts w:ascii="微软雅黑" w:hAnsi="微软雅黑" w:eastAsia="微软雅黑"/>
          <w:b/>
          <w:color w:val="000000"/>
          <w:spacing w:val="-2"/>
          <w:sz w:val="22"/>
          <w:shd w:fill="D9D9D9" w:color="auto" w:val="clear"/>
        </w:rPr>
        <w:t>除</w:t>
      </w:r>
      <w:r>
        <w:rPr>
          <w:rFonts w:ascii="微软雅黑" w:hAnsi="微软雅黑" w:eastAsia="微软雅黑"/>
          <w:b/>
          <w:color w:val="000000"/>
          <w:spacing w:val="-2"/>
          <w:sz w:val="22"/>
          <w:shd w:fill="D9D9D9" w:color="auto" w:val="clear"/>
        </w:rPr>
        <w:t>”外，</w:t>
      </w:r>
      <w:r>
        <w:rPr>
          <w:rFonts w:ascii="微软雅黑" w:hAnsi="微软雅黑" w:eastAsia="微软雅黑"/>
          <w:b/>
          <w:color w:val="000000"/>
          <w:spacing w:val="-2"/>
          <w:sz w:val="22"/>
          <w:shd w:fill="D9D9D9" w:color="auto" w:val="clear"/>
        </w:rPr>
        <w:t>本</w:t>
      </w:r>
      <w:r>
        <w:rPr>
          <w:rFonts w:ascii="微软雅黑" w:hAnsi="微软雅黑" w:eastAsia="微软雅黑"/>
          <w:b/>
          <w:color w:val="000000"/>
          <w:spacing w:val="-2"/>
          <w:sz w:val="22"/>
          <w:shd w:fill="D9D9D9" w:color="auto" w:val="clear"/>
        </w:rPr>
        <w:t>合</w:t>
      </w:r>
      <w:r>
        <w:rPr>
          <w:rFonts w:ascii="微软雅黑" w:hAnsi="微软雅黑" w:eastAsia="微软雅黑"/>
          <w:b/>
          <w:color w:val="000000"/>
          <w:spacing w:val="-2"/>
          <w:sz w:val="22"/>
          <w:shd w:fill="D9D9D9" w:color="auto" w:val="clear"/>
        </w:rPr>
        <w:t>同</w:t>
      </w:r>
      <w:r>
        <w:rPr>
          <w:rFonts w:ascii="微软雅黑" w:hAnsi="微软雅黑" w:eastAsia="微软雅黑"/>
          <w:b/>
          <w:color w:val="000000"/>
          <w:spacing w:val="-2"/>
          <w:sz w:val="22"/>
          <w:shd w:fill="D9D9D9" w:color="auto" w:val="clear"/>
        </w:rPr>
        <w:t>中</w:t>
      </w:r>
      <w:r>
        <w:rPr>
          <w:rFonts w:ascii="微软雅黑" w:hAnsi="微软雅黑" w:eastAsia="微软雅黑"/>
          <w:b/>
          <w:color w:val="000000"/>
          <w:spacing w:val="-2"/>
          <w:sz w:val="22"/>
          <w:shd w:fill="D9D9D9" w:color="auto" w:val="clear"/>
        </w:rPr>
        <w:t>还</w:t>
      </w:r>
      <w:r>
        <w:rPr>
          <w:rFonts w:ascii="微软雅黑" w:hAnsi="微软雅黑" w:eastAsia="微软雅黑"/>
          <w:b/>
          <w:color w:val="000000"/>
          <w:spacing w:val="-2"/>
          <w:sz w:val="22"/>
          <w:shd w:fill="D9D9D9" w:color="auto" w:val="clear"/>
        </w:rPr>
        <w:t>有</w:t>
      </w:r>
      <w:r>
        <w:rPr>
          <w:rFonts w:ascii="微软雅黑" w:hAnsi="微软雅黑" w:eastAsia="微软雅黑"/>
          <w:b/>
          <w:color w:val="000000"/>
          <w:spacing w:val="-2"/>
          <w:sz w:val="22"/>
          <w:shd w:fill="D9D9D9" w:color="auto" w:val="clear"/>
        </w:rPr>
        <w:t>其</w:t>
      </w:r>
      <w:r>
        <w:rPr>
          <w:rFonts w:ascii="微软雅黑" w:hAnsi="微软雅黑" w:eastAsia="微软雅黑"/>
          <w:b/>
          <w:color w:val="000000"/>
          <w:spacing w:val="-2"/>
          <w:sz w:val="22"/>
          <w:shd w:fill="D9D9D9" w:color="auto" w:val="clear"/>
        </w:rPr>
        <w:t>他</w:t>
      </w:r>
      <w:r>
        <w:rPr>
          <w:rFonts w:ascii="微软雅黑" w:hAnsi="微软雅黑" w:eastAsia="微软雅黑"/>
          <w:b/>
          <w:color w:val="000000"/>
          <w:spacing w:val="-2"/>
          <w:sz w:val="22"/>
          <w:shd w:fill="D9D9D9" w:color="auto" w:val="clear"/>
        </w:rPr>
        <w:t>免</w:t>
      </w:r>
      <w:r>
        <w:rPr>
          <w:rFonts w:ascii="微软雅黑" w:hAnsi="微软雅黑" w:eastAsia="微软雅黑"/>
          <w:b/>
          <w:color w:val="000000"/>
          <w:spacing w:val="-2"/>
          <w:sz w:val="22"/>
          <w:shd w:fill="D9D9D9" w:color="auto" w:val="clear"/>
        </w:rPr>
        <w:t>除</w:t>
      </w:r>
      <w:r>
        <w:rPr>
          <w:rFonts w:ascii="微软雅黑" w:hAnsi="微软雅黑" w:eastAsia="微软雅黑"/>
          <w:b/>
          <w:color w:val="000000"/>
          <w:spacing w:val="-2"/>
          <w:sz w:val="22"/>
          <w:shd w:fill="D9D9D9" w:color="auto" w:val="clear"/>
        </w:rPr>
        <w:t>我</w:t>
      </w:r>
      <w:r>
        <w:rPr>
          <w:rFonts w:ascii="微软雅黑" w:hAnsi="微软雅黑" w:eastAsia="微软雅黑"/>
          <w:b/>
          <w:color w:val="000000"/>
          <w:spacing w:val="-2"/>
          <w:sz w:val="22"/>
          <w:shd w:fill="D9D9D9" w:color="auto" w:val="clear"/>
        </w:rPr>
        <w:t>们</w:t>
      </w:r>
      <w:r>
        <w:rPr>
          <w:rFonts w:ascii="微软雅黑" w:hAnsi="微软雅黑" w:eastAsia="微软雅黑"/>
          <w:b/>
          <w:color w:val="000000"/>
          <w:spacing w:val="-2"/>
          <w:sz w:val="22"/>
          <w:shd w:fill="D9D9D9" w:color="auto" w:val="clear"/>
        </w:rPr>
        <w:t>责</w:t>
      </w:r>
      <w:r>
        <w:rPr>
          <w:rFonts w:ascii="微软雅黑" w:hAnsi="微软雅黑" w:eastAsia="微软雅黑"/>
          <w:b/>
          <w:color w:val="000000"/>
          <w:spacing w:val="-2"/>
          <w:sz w:val="22"/>
          <w:shd w:fill="D9D9D9" w:color="auto" w:val="clear"/>
        </w:rPr>
        <w:t>任</w:t>
      </w:r>
      <w:r>
        <w:rPr>
          <w:rFonts w:ascii="微软雅黑" w:hAnsi="微软雅黑" w:eastAsia="微软雅黑"/>
          <w:b/>
          <w:color w:val="000000"/>
          <w:spacing w:val="-2"/>
          <w:sz w:val="22"/>
          <w:shd w:fill="D9D9D9" w:color="auto" w:val="clear"/>
        </w:rPr>
        <w:t>的</w:t>
      </w:r>
      <w:r>
        <w:rPr>
          <w:rFonts w:ascii="微软雅黑" w:hAnsi="微软雅黑" w:eastAsia="微软雅黑"/>
          <w:b/>
          <w:color w:val="000000"/>
          <w:spacing w:val="-2"/>
          <w:sz w:val="22"/>
          <w:shd w:fill="D9D9D9" w:color="auto" w:val="clear"/>
        </w:rPr>
        <w:t>条</w:t>
      </w:r>
      <w:r>
        <w:rPr>
          <w:rFonts w:ascii="微软雅黑" w:hAnsi="微软雅黑" w:eastAsia="微软雅黑"/>
          <w:b/>
          <w:color w:val="000000"/>
          <w:spacing w:val="-2"/>
          <w:sz w:val="22"/>
          <w:shd w:fill="D9D9D9" w:color="auto" w:val="clear"/>
        </w:rPr>
        <w:t>款</w:t>
      </w:r>
      <w:r>
        <w:rPr>
          <w:rFonts w:ascii="微软雅黑" w:hAnsi="微软雅黑" w:eastAsia="微软雅黑"/>
          <w:b/>
          <w:color w:val="000000"/>
          <w:spacing w:val="-2"/>
          <w:sz w:val="22"/>
          <w:shd w:fill="D9D9D9" w:color="auto" w:val="clear"/>
        </w:rPr>
        <w:t>，</w:t>
      </w:r>
      <w:r>
        <w:rPr>
          <w:rFonts w:ascii="微软雅黑" w:hAnsi="微软雅黑" w:eastAsia="微软雅黑"/>
          <w:b/>
          <w:color w:val="000000"/>
          <w:spacing w:val="-2"/>
          <w:sz w:val="22"/>
          <w:shd w:fill="D9D9D9" w:color="auto" w:val="clear"/>
        </w:rPr>
        <w:t>详</w:t>
      </w:r>
      <w:r>
        <w:rPr>
          <w:rFonts w:ascii="微软雅黑" w:hAnsi="微软雅黑" w:eastAsia="微软雅黑"/>
          <w:b/>
          <w:color w:val="000000"/>
          <w:spacing w:val="13433"/>
          <w:sz w:val="22"/>
          <w:shd w:fill="D9D9D9" w:color="auto" w:val="clear"/>
        </w:rPr>
        <w:t> </w:t>
      </w:r>
      <w:r>
        <w:rPr>
          <w:rFonts w:ascii="微软雅黑" w:hAnsi="微软雅黑" w:eastAsia="微软雅黑"/>
          <w:b/>
          <w:color w:val="000000"/>
          <w:sz w:val="22"/>
          <w:shd w:fill="D9D9D9" w:color="auto" w:val="clear"/>
        </w:rPr>
        <w:t>见本合同</w:t>
      </w:r>
      <w:r>
        <w:rPr>
          <w:rFonts w:ascii="微软雅黑" w:hAnsi="微软雅黑" w:eastAsia="微软雅黑"/>
          <w:b/>
          <w:color w:val="000000"/>
          <w:spacing w:val="-1"/>
          <w:w w:val="90"/>
          <w:sz w:val="22"/>
          <w:shd w:fill="D9D9D9" w:color="auto" w:val="clear"/>
        </w:rPr>
        <w:t>“</w:t>
      </w:r>
      <w:r>
        <w:rPr>
          <w:rFonts w:ascii="微软雅黑" w:hAnsi="微软雅黑" w:eastAsia="微软雅黑"/>
          <w:b/>
          <w:color w:val="000000"/>
          <w:spacing w:val="1"/>
          <w:w w:val="71"/>
          <w:sz w:val="22"/>
          <w:shd w:fill="D9D9D9" w:color="auto" w:val="clear"/>
        </w:rPr>
        <w:t>1</w:t>
      </w:r>
      <w:r>
        <w:rPr>
          <w:rFonts w:ascii="微软雅黑" w:hAnsi="微软雅黑" w:eastAsia="微软雅黑"/>
          <w:b/>
          <w:color w:val="000000"/>
          <w:spacing w:val="-1"/>
          <w:w w:val="165"/>
          <w:sz w:val="22"/>
          <w:shd w:fill="D9D9D9" w:color="auto" w:val="clear"/>
        </w:rPr>
        <w:t>.</w:t>
      </w:r>
      <w:r>
        <w:rPr>
          <w:rFonts w:ascii="微软雅黑" w:hAnsi="微软雅黑" w:eastAsia="微软雅黑"/>
          <w:b/>
          <w:color w:val="000000"/>
          <w:spacing w:val="-1"/>
          <w:w w:val="71"/>
          <w:sz w:val="22"/>
          <w:shd w:fill="D9D9D9" w:color="auto" w:val="clear"/>
        </w:rPr>
        <w:t>3</w:t>
      </w:r>
      <w:r>
        <w:rPr>
          <w:rFonts w:ascii="微软雅黑" w:hAnsi="微软雅黑" w:eastAsia="微软雅黑"/>
          <w:b/>
          <w:color w:val="000000"/>
          <w:spacing w:val="-1"/>
          <w:w w:val="99"/>
          <w:sz w:val="22"/>
          <w:shd w:fill="D9D9D9" w:color="auto" w:val="clear"/>
        </w:rPr>
        <w:t> </w:t>
      </w:r>
      <w:r>
        <w:rPr>
          <w:rFonts w:ascii="微软雅黑" w:hAnsi="微软雅黑" w:eastAsia="微软雅黑"/>
          <w:b/>
          <w:color w:val="000000"/>
          <w:sz w:val="22"/>
          <w:shd w:fill="D9D9D9" w:color="auto" w:val="clear"/>
        </w:rPr>
        <w:t>保险责任</w:t>
      </w:r>
      <w:r>
        <w:rPr>
          <w:rFonts w:ascii="微软雅黑" w:hAnsi="微软雅黑" w:eastAsia="微软雅黑"/>
          <w:b/>
          <w:color w:val="000000"/>
          <w:spacing w:val="-111"/>
          <w:sz w:val="22"/>
          <w:shd w:fill="D9D9D9" w:color="auto" w:val="clear"/>
        </w:rPr>
        <w:t>”、</w:t>
      </w:r>
      <w:r>
        <w:rPr>
          <w:rFonts w:ascii="微软雅黑" w:hAnsi="微软雅黑" w:eastAsia="微软雅黑"/>
          <w:b/>
          <w:color w:val="000000"/>
          <w:sz w:val="22"/>
          <w:shd w:fill="D9D9D9" w:color="auto" w:val="clear"/>
        </w:rPr>
        <w:t>“4.2 </w:t>
      </w:r>
      <w:r>
        <w:rPr>
          <w:rFonts w:ascii="微软雅黑" w:hAnsi="微软雅黑" w:eastAsia="微软雅黑"/>
          <w:b/>
          <w:color w:val="000000"/>
          <w:sz w:val="22"/>
          <w:shd w:fill="D9D9D9" w:color="auto" w:val="clear"/>
        </w:rPr>
        <w:t>保险事故通知</w:t>
      </w:r>
      <w:r>
        <w:rPr>
          <w:rFonts w:ascii="微软雅黑" w:hAnsi="微软雅黑" w:eastAsia="微软雅黑"/>
          <w:b/>
          <w:color w:val="000000"/>
          <w:spacing w:val="-111"/>
          <w:sz w:val="22"/>
          <w:shd w:fill="D9D9D9" w:color="auto" w:val="clear"/>
        </w:rPr>
        <w:t>”、</w:t>
      </w:r>
      <w:r>
        <w:rPr>
          <w:rFonts w:ascii="微软雅黑" w:hAnsi="微软雅黑" w:eastAsia="微软雅黑"/>
          <w:b/>
          <w:color w:val="000000"/>
          <w:sz w:val="22"/>
          <w:shd w:fill="D9D9D9" w:color="auto" w:val="clear"/>
        </w:rPr>
        <w:t>“5.1 </w:t>
      </w:r>
      <w:r>
        <w:rPr>
          <w:rFonts w:ascii="微软雅黑" w:hAnsi="微软雅黑" w:eastAsia="微软雅黑"/>
          <w:b/>
          <w:color w:val="000000"/>
          <w:sz w:val="22"/>
          <w:shd w:fill="D9D9D9" w:color="auto" w:val="clear"/>
        </w:rPr>
        <w:t>犹豫期</w:t>
      </w:r>
      <w:r>
        <w:rPr>
          <w:rFonts w:ascii="微软雅黑" w:hAnsi="微软雅黑" w:eastAsia="微软雅黑"/>
          <w:b/>
          <w:color w:val="000000"/>
          <w:spacing w:val="-111"/>
          <w:sz w:val="22"/>
          <w:shd w:fill="D9D9D9" w:color="auto" w:val="clear"/>
        </w:rPr>
        <w:t>”、</w:t>
      </w:r>
      <w:r>
        <w:rPr>
          <w:rFonts w:ascii="微软雅黑" w:hAnsi="微软雅黑" w:eastAsia="微软雅黑"/>
          <w:b/>
          <w:color w:val="000000"/>
          <w:sz w:val="22"/>
          <w:shd w:fill="D9D9D9" w:color="auto" w:val="clear"/>
        </w:rPr>
        <w:t>“7.3</w:t>
      </w:r>
      <w:r>
        <w:rPr>
          <w:rFonts w:ascii="微软雅黑" w:hAnsi="微软雅黑" w:eastAsia="微软雅黑"/>
          <w:b/>
          <w:color w:val="000000"/>
          <w:sz w:val="22"/>
          <w:shd w:fill="D9D9D9" w:color="auto" w:val="clear"/>
        </w:rPr>
        <w:t>合同效力中止与恢复</w:t>
      </w:r>
      <w:r>
        <w:rPr>
          <w:rFonts w:ascii="微软雅黑" w:hAnsi="微软雅黑" w:eastAsia="微软雅黑"/>
          <w:b/>
          <w:color w:val="000000"/>
          <w:spacing w:val="-111"/>
          <w:sz w:val="22"/>
          <w:shd w:fill="D9D9D9" w:color="auto" w:val="clear"/>
        </w:rPr>
        <w:t>”</w:t>
      </w:r>
      <w:r>
        <w:rPr>
          <w:rFonts w:ascii="微软雅黑" w:hAnsi="微软雅黑" w:eastAsia="微软雅黑"/>
          <w:b/>
          <w:color w:val="000000"/>
          <w:spacing w:val="-116"/>
          <w:sz w:val="22"/>
          <w:shd w:fill="D9D9D9" w:color="auto" w:val="clear"/>
        </w:rPr>
        <w:t>、</w:t>
      </w:r>
      <w:r>
        <w:rPr>
          <w:rFonts w:ascii="微软雅黑" w:hAnsi="微软雅黑" w:eastAsia="微软雅黑"/>
          <w:b/>
          <w:color w:val="000000"/>
          <w:sz w:val="22"/>
          <w:shd w:fill="D9D9D9" w:color="auto" w:val="clear"/>
        </w:rPr>
        <w:t>“7.5 </w:t>
      </w:r>
      <w:r>
        <w:rPr>
          <w:rFonts w:ascii="微软雅黑" w:hAnsi="微软雅黑" w:eastAsia="微软雅黑"/>
          <w:b/>
          <w:color w:val="000000"/>
          <w:sz w:val="22"/>
          <w:shd w:fill="D9D9D9" w:color="auto" w:val="clear"/>
        </w:rPr>
        <w:t>年龄性别错误的处理</w:t>
      </w:r>
      <w:r>
        <w:rPr>
          <w:rFonts w:ascii="微软雅黑" w:hAnsi="微软雅黑" w:eastAsia="微软雅黑"/>
          <w:b/>
          <w:color w:val="000000"/>
          <w:spacing w:val="-111"/>
          <w:sz w:val="22"/>
          <w:shd w:fill="D9D9D9" w:color="auto" w:val="clear"/>
        </w:rPr>
        <w:t>”</w:t>
      </w:r>
      <w:r>
        <w:rPr>
          <w:rFonts w:ascii="微软雅黑" w:hAnsi="微软雅黑" w:eastAsia="微软雅黑"/>
          <w:b/>
          <w:color w:val="000000"/>
          <w:spacing w:val="-118"/>
          <w:sz w:val="22"/>
          <w:shd w:fill="D9D9D9" w:color="auto" w:val="clear"/>
        </w:rPr>
        <w:t>、</w:t>
      </w:r>
      <w:r>
        <w:rPr>
          <w:rFonts w:ascii="微软雅黑" w:hAnsi="微软雅黑" w:eastAsia="微软雅黑"/>
          <w:b/>
          <w:color w:val="000000"/>
          <w:spacing w:val="-1"/>
          <w:w w:val="90"/>
          <w:sz w:val="22"/>
          <w:shd w:fill="D9D9D9" w:color="auto" w:val="clear"/>
        </w:rPr>
        <w:t>“</w:t>
      </w:r>
      <w:r>
        <w:rPr>
          <w:rFonts w:ascii="微软雅黑" w:hAnsi="微软雅黑" w:eastAsia="微软雅黑"/>
          <w:b/>
          <w:color w:val="000000"/>
          <w:spacing w:val="1"/>
          <w:w w:val="71"/>
          <w:sz w:val="22"/>
          <w:shd w:fill="D9D9D9" w:color="auto" w:val="clear"/>
        </w:rPr>
        <w:t>7</w:t>
      </w:r>
      <w:r>
        <w:rPr>
          <w:rFonts w:ascii="微软雅黑" w:hAnsi="微软雅黑" w:eastAsia="微软雅黑"/>
          <w:b/>
          <w:color w:val="000000"/>
          <w:spacing w:val="-1"/>
          <w:w w:val="165"/>
          <w:sz w:val="22"/>
          <w:shd w:fill="D9D9D9" w:color="auto" w:val="clear"/>
        </w:rPr>
        <w:t>.</w:t>
      </w:r>
      <w:r>
        <w:rPr>
          <w:rFonts w:ascii="微软雅黑" w:hAnsi="微软雅黑" w:eastAsia="微软雅黑"/>
          <w:b/>
          <w:color w:val="000000"/>
          <w:spacing w:val="-1"/>
          <w:w w:val="71"/>
          <w:sz w:val="22"/>
          <w:shd w:fill="D9D9D9" w:color="auto" w:val="clear"/>
        </w:rPr>
        <w:t>6</w:t>
      </w:r>
      <w:r>
        <w:rPr>
          <w:rFonts w:ascii="微软雅黑" w:hAnsi="微软雅黑" w:eastAsia="微软雅黑"/>
          <w:b/>
          <w:color w:val="000000"/>
          <w:spacing w:val="-1"/>
          <w:w w:val="99"/>
          <w:sz w:val="22"/>
          <w:shd w:fill="D9D9D9" w:color="auto" w:val="clear"/>
        </w:rPr>
        <w:t> </w:t>
      </w:r>
      <w:r>
        <w:rPr>
          <w:rFonts w:ascii="微软雅黑" w:hAnsi="微软雅黑" w:eastAsia="微软雅黑"/>
          <w:b/>
          <w:color w:val="000000"/>
          <w:sz w:val="22"/>
          <w:shd w:fill="D9D9D9" w:color="auto" w:val="clear"/>
        </w:rPr>
        <w:t>明确说明与如实告知</w:t>
      </w:r>
      <w:r>
        <w:rPr>
          <w:rFonts w:ascii="微软雅黑" w:hAnsi="微软雅黑" w:eastAsia="微软雅黑"/>
          <w:b/>
          <w:color w:val="000000"/>
          <w:spacing w:val="-111"/>
          <w:sz w:val="22"/>
          <w:shd w:fill="D9D9D9" w:color="auto" w:val="clear"/>
        </w:rPr>
        <w:t>”</w:t>
      </w:r>
      <w:r>
        <w:rPr>
          <w:rFonts w:ascii="微软雅黑" w:hAnsi="微软雅黑" w:eastAsia="微软雅黑"/>
          <w:b/>
          <w:color w:val="000000"/>
          <w:spacing w:val="-135"/>
          <w:sz w:val="22"/>
          <w:shd w:fill="D9D9D9" w:color="auto" w:val="clear"/>
        </w:rPr>
        <w:t>、</w:t>
      </w:r>
      <w:r>
        <w:rPr>
          <w:rFonts w:ascii="微软雅黑" w:hAnsi="微软雅黑" w:eastAsia="微软雅黑"/>
          <w:b/>
          <w:color w:val="000000"/>
          <w:sz w:val="22"/>
          <w:shd w:fill="D9D9D9" w:color="auto" w:val="clear"/>
        </w:rPr>
        <w:t>“8.1</w:t>
      </w:r>
      <w:r>
        <w:rPr>
          <w:rFonts w:ascii="微软雅黑" w:hAnsi="微软雅黑" w:eastAsia="微软雅黑"/>
          <w:b/>
          <w:color w:val="000000"/>
          <w:spacing w:val="-17"/>
          <w:sz w:val="22"/>
          <w:shd w:fill="D9D9D9" w:color="auto" w:val="clear"/>
        </w:rPr>
        <w:t> </w:t>
      </w:r>
      <w:r>
        <w:rPr>
          <w:rFonts w:ascii="微软雅黑" w:hAnsi="微软雅黑" w:eastAsia="微软雅黑"/>
          <w:b/>
          <w:color w:val="000000"/>
          <w:sz w:val="22"/>
          <w:shd w:fill="D9D9D9" w:color="auto" w:val="clear"/>
        </w:rPr>
        <w:t>重大疾病定义</w:t>
      </w:r>
      <w:r>
        <w:rPr>
          <w:rFonts w:ascii="微软雅黑" w:hAnsi="微软雅黑" w:eastAsia="微软雅黑"/>
          <w:b/>
          <w:color w:val="000000"/>
          <w:spacing w:val="-111"/>
          <w:sz w:val="22"/>
          <w:shd w:fill="D9D9D9" w:color="auto" w:val="clear"/>
        </w:rPr>
        <w:t>”</w:t>
      </w:r>
      <w:r>
        <w:rPr>
          <w:rFonts w:ascii="微软雅黑" w:hAnsi="微软雅黑" w:eastAsia="微软雅黑"/>
          <w:b/>
          <w:color w:val="000000"/>
          <w:spacing w:val="-135"/>
          <w:sz w:val="22"/>
          <w:shd w:fill="D9D9D9" w:color="auto" w:val="clear"/>
        </w:rPr>
        <w:t>、</w:t>
      </w:r>
      <w:r>
        <w:rPr>
          <w:rFonts w:ascii="微软雅黑" w:hAnsi="微软雅黑" w:eastAsia="微软雅黑"/>
          <w:b/>
          <w:color w:val="000000"/>
          <w:sz w:val="22"/>
          <w:shd w:fill="D9D9D9" w:color="auto" w:val="clear"/>
        </w:rPr>
        <w:t>“9.1</w:t>
      </w:r>
      <w:r>
        <w:rPr>
          <w:rFonts w:ascii="微软雅黑" w:hAnsi="微软雅黑" w:eastAsia="微软雅黑"/>
          <w:b/>
          <w:color w:val="000000"/>
          <w:spacing w:val="-16"/>
          <w:sz w:val="22"/>
          <w:shd w:fill="D9D9D9" w:color="auto" w:val="clear"/>
        </w:rPr>
        <w:t> </w:t>
      </w:r>
      <w:r>
        <w:rPr>
          <w:rFonts w:ascii="微软雅黑" w:hAnsi="微软雅黑" w:eastAsia="微软雅黑"/>
          <w:b/>
          <w:color w:val="000000"/>
          <w:sz w:val="22"/>
          <w:shd w:fill="D9D9D9" w:color="auto" w:val="clear"/>
        </w:rPr>
        <w:t>中症疾病定义</w:t>
      </w:r>
      <w:r>
        <w:rPr>
          <w:rFonts w:ascii="微软雅黑" w:hAnsi="微软雅黑" w:eastAsia="微软雅黑"/>
          <w:b/>
          <w:color w:val="000000"/>
          <w:spacing w:val="-111"/>
          <w:sz w:val="22"/>
          <w:shd w:fill="D9D9D9" w:color="auto" w:val="clear"/>
        </w:rPr>
        <w:t>”</w:t>
      </w:r>
      <w:r>
        <w:rPr>
          <w:rFonts w:ascii="微软雅黑" w:hAnsi="微软雅黑" w:eastAsia="微软雅黑"/>
          <w:b/>
          <w:color w:val="000000"/>
          <w:spacing w:val="-135"/>
          <w:sz w:val="22"/>
          <w:shd w:fill="D9D9D9" w:color="auto" w:val="clear"/>
        </w:rPr>
        <w:t>、</w:t>
      </w:r>
      <w:r>
        <w:rPr>
          <w:rFonts w:ascii="微软雅黑" w:hAnsi="微软雅黑" w:eastAsia="微软雅黑"/>
          <w:b/>
          <w:color w:val="000000"/>
          <w:sz w:val="22"/>
          <w:shd w:fill="D9D9D9" w:color="auto" w:val="clear"/>
        </w:rPr>
        <w:t>“10.1</w:t>
      </w:r>
      <w:r>
        <w:rPr>
          <w:rFonts w:ascii="微软雅黑" w:hAnsi="微软雅黑" w:eastAsia="微软雅黑"/>
          <w:b/>
          <w:color w:val="000000"/>
          <w:spacing w:val="-17"/>
          <w:sz w:val="22"/>
          <w:shd w:fill="D9D9D9" w:color="auto" w:val="clear"/>
        </w:rPr>
        <w:t> </w:t>
      </w:r>
      <w:r>
        <w:rPr>
          <w:rFonts w:ascii="微软雅黑" w:hAnsi="微软雅黑" w:eastAsia="微软雅黑"/>
          <w:b/>
          <w:color w:val="000000"/>
          <w:sz w:val="22"/>
          <w:shd w:fill="D9D9D9" w:color="auto" w:val="clear"/>
        </w:rPr>
        <w:t>轻症疾病定义</w:t>
      </w:r>
      <w:r>
        <w:rPr>
          <w:rFonts w:ascii="微软雅黑" w:hAnsi="微软雅黑" w:eastAsia="微软雅黑"/>
          <w:b/>
          <w:color w:val="000000"/>
          <w:spacing w:val="-111"/>
          <w:sz w:val="22"/>
          <w:shd w:fill="D9D9D9" w:color="auto" w:val="clear"/>
        </w:rPr>
        <w:t>”</w:t>
      </w:r>
      <w:r>
        <w:rPr>
          <w:rFonts w:ascii="微软雅黑" w:hAnsi="微软雅黑" w:eastAsia="微软雅黑"/>
          <w:b/>
          <w:color w:val="000000"/>
          <w:spacing w:val="-135"/>
          <w:sz w:val="22"/>
          <w:shd w:fill="D9D9D9" w:color="auto" w:val="clear"/>
        </w:rPr>
        <w:t>、</w:t>
      </w:r>
      <w:r>
        <w:rPr>
          <w:rFonts w:ascii="微软雅黑" w:hAnsi="微软雅黑" w:eastAsia="微软雅黑"/>
          <w:b/>
          <w:color w:val="000000"/>
          <w:sz w:val="22"/>
          <w:shd w:fill="D9D9D9" w:color="auto" w:val="clear"/>
        </w:rPr>
        <w:t>“11.1 </w:t>
      </w:r>
      <w:r>
        <w:rPr>
          <w:rFonts w:ascii="微软雅黑" w:hAnsi="微软雅黑" w:eastAsia="微软雅黑"/>
          <w:b/>
          <w:color w:val="000000"/>
          <w:sz w:val="22"/>
          <w:shd w:fill="D9D9D9" w:color="auto" w:val="clear"/>
        </w:rPr>
        <w:t>前症疾病定义</w:t>
      </w:r>
      <w:r>
        <w:rPr>
          <w:rFonts w:ascii="微软雅黑" w:hAnsi="微软雅黑" w:eastAsia="微软雅黑"/>
          <w:b/>
          <w:color w:val="000000"/>
          <w:spacing w:val="-111"/>
          <w:sz w:val="22"/>
          <w:shd w:fill="D9D9D9" w:color="auto" w:val="clear"/>
        </w:rPr>
        <w:t>”</w:t>
      </w:r>
      <w:r>
        <w:rPr>
          <w:rFonts w:ascii="微软雅黑" w:hAnsi="微软雅黑" w:eastAsia="微软雅黑"/>
          <w:b/>
          <w:color w:val="000000"/>
          <w:spacing w:val="-134"/>
          <w:sz w:val="22"/>
          <w:shd w:fill="D9D9D9" w:color="auto" w:val="clear"/>
        </w:rPr>
        <w:t>、</w:t>
      </w:r>
      <w:r>
        <w:rPr>
          <w:rFonts w:ascii="微软雅黑" w:hAnsi="微软雅黑" w:eastAsia="微软雅黑"/>
          <w:b/>
          <w:color w:val="000000"/>
          <w:spacing w:val="-1"/>
          <w:w w:val="96"/>
          <w:sz w:val="22"/>
          <w:shd w:fill="D9D9D9" w:color="auto" w:val="clear"/>
        </w:rPr>
        <w:t>“</w:t>
      </w:r>
      <w:r>
        <w:rPr>
          <w:rFonts w:ascii="微软雅黑" w:hAnsi="微软雅黑" w:eastAsia="微软雅黑"/>
          <w:b/>
          <w:color w:val="000000"/>
          <w:spacing w:val="1"/>
          <w:w w:val="77"/>
          <w:sz w:val="22"/>
          <w:shd w:fill="D9D9D9" w:color="auto" w:val="clear"/>
        </w:rPr>
        <w:t>1</w:t>
      </w:r>
      <w:r>
        <w:rPr>
          <w:rFonts w:ascii="微软雅黑" w:hAnsi="微软雅黑" w:eastAsia="微软雅黑"/>
          <w:b/>
          <w:color w:val="000000"/>
          <w:spacing w:val="-1"/>
          <w:w w:val="77"/>
          <w:sz w:val="22"/>
          <w:shd w:fill="D9D9D9" w:color="auto" w:val="clear"/>
        </w:rPr>
        <w:t>2</w:t>
      </w:r>
      <w:r>
        <w:rPr>
          <w:rFonts w:ascii="微软雅黑" w:hAnsi="微软雅黑" w:eastAsia="微软雅黑"/>
          <w:b/>
          <w:color w:val="000000"/>
          <w:spacing w:val="-1"/>
          <w:w w:val="171"/>
          <w:sz w:val="22"/>
          <w:shd w:fill="D9D9D9" w:color="auto" w:val="clear"/>
        </w:rPr>
        <w:t>.</w:t>
      </w:r>
      <w:r>
        <w:rPr>
          <w:rFonts w:ascii="微软雅黑" w:hAnsi="微软雅黑" w:eastAsia="微软雅黑"/>
          <w:b/>
          <w:color w:val="000000"/>
          <w:spacing w:val="-1"/>
          <w:w w:val="77"/>
          <w:sz w:val="22"/>
          <w:shd w:fill="D9D9D9" w:color="auto" w:val="clear"/>
        </w:rPr>
        <w:t>1</w:t>
      </w:r>
      <w:r>
        <w:rPr>
          <w:rFonts w:ascii="微软雅黑" w:hAnsi="微软雅黑" w:eastAsia="微软雅黑"/>
          <w:b/>
          <w:color w:val="000000"/>
          <w:spacing w:val="-1"/>
          <w:w w:val="99"/>
          <w:sz w:val="22"/>
          <w:shd w:fill="D9D9D9" w:color="auto" w:val="clear"/>
        </w:rPr>
        <w:t> </w:t>
      </w:r>
      <w:r>
        <w:rPr>
          <w:rFonts w:ascii="微软雅黑" w:hAnsi="微软雅黑" w:eastAsia="微软雅黑"/>
          <w:b/>
          <w:color w:val="000000"/>
          <w:sz w:val="22"/>
          <w:shd w:fill="D9D9D9" w:color="auto" w:val="clear"/>
        </w:rPr>
        <w:t>男性特定疾病定义</w:t>
      </w:r>
      <w:r>
        <w:rPr>
          <w:rFonts w:ascii="微软雅黑" w:hAnsi="微软雅黑" w:eastAsia="微软雅黑"/>
          <w:b/>
          <w:color w:val="000000"/>
          <w:spacing w:val="-111"/>
          <w:sz w:val="22"/>
          <w:shd w:fill="D9D9D9" w:color="auto" w:val="clear"/>
        </w:rPr>
        <w:t>”</w:t>
      </w:r>
      <w:r>
        <w:rPr>
          <w:rFonts w:ascii="微软雅黑" w:hAnsi="微软雅黑" w:eastAsia="微软雅黑"/>
          <w:b/>
          <w:color w:val="000000"/>
          <w:spacing w:val="-135"/>
          <w:sz w:val="22"/>
          <w:shd w:fill="D9D9D9" w:color="auto" w:val="clear"/>
        </w:rPr>
        <w:t>、</w:t>
      </w:r>
      <w:r>
        <w:rPr>
          <w:rFonts w:ascii="微软雅黑" w:hAnsi="微软雅黑" w:eastAsia="微软雅黑"/>
          <w:b/>
          <w:color w:val="000000"/>
          <w:spacing w:val="-1"/>
          <w:w w:val="96"/>
          <w:sz w:val="22"/>
          <w:shd w:fill="D9D9D9" w:color="auto" w:val="clear"/>
        </w:rPr>
        <w:t>“</w:t>
      </w:r>
      <w:r>
        <w:rPr>
          <w:rFonts w:ascii="微软雅黑" w:hAnsi="微软雅黑" w:eastAsia="微软雅黑"/>
          <w:b/>
          <w:color w:val="000000"/>
          <w:spacing w:val="1"/>
          <w:w w:val="77"/>
          <w:sz w:val="22"/>
          <w:shd w:fill="D9D9D9" w:color="auto" w:val="clear"/>
        </w:rPr>
        <w:t>1</w:t>
      </w:r>
      <w:r>
        <w:rPr>
          <w:rFonts w:ascii="微软雅黑" w:hAnsi="微软雅黑" w:eastAsia="微软雅黑"/>
          <w:b/>
          <w:color w:val="000000"/>
          <w:spacing w:val="-1"/>
          <w:w w:val="77"/>
          <w:sz w:val="22"/>
          <w:shd w:fill="D9D9D9" w:color="auto" w:val="clear"/>
        </w:rPr>
        <w:t>3</w:t>
      </w:r>
      <w:r>
        <w:rPr>
          <w:rFonts w:ascii="微软雅黑" w:hAnsi="微软雅黑" w:eastAsia="微软雅黑"/>
          <w:b/>
          <w:color w:val="000000"/>
          <w:spacing w:val="-1"/>
          <w:w w:val="171"/>
          <w:sz w:val="22"/>
          <w:shd w:fill="D9D9D9" w:color="auto" w:val="clear"/>
        </w:rPr>
        <w:t>.</w:t>
      </w:r>
      <w:r>
        <w:rPr>
          <w:rFonts w:ascii="微软雅黑" w:hAnsi="微软雅黑" w:eastAsia="微软雅黑"/>
          <w:b/>
          <w:color w:val="000000"/>
          <w:spacing w:val="-1"/>
          <w:w w:val="77"/>
          <w:sz w:val="22"/>
          <w:shd w:fill="D9D9D9" w:color="auto" w:val="clear"/>
        </w:rPr>
        <w:t>1</w:t>
      </w:r>
      <w:r>
        <w:rPr>
          <w:rFonts w:ascii="微软雅黑" w:hAnsi="微软雅黑" w:eastAsia="微软雅黑"/>
          <w:b/>
          <w:color w:val="000000"/>
          <w:spacing w:val="-1"/>
          <w:w w:val="99"/>
          <w:sz w:val="22"/>
          <w:shd w:fill="D9D9D9" w:color="auto" w:val="clear"/>
        </w:rPr>
        <w:t> </w:t>
      </w:r>
      <w:r>
        <w:rPr>
          <w:rFonts w:ascii="微软雅黑" w:hAnsi="微软雅黑" w:eastAsia="微软雅黑"/>
          <w:b/>
          <w:color w:val="000000"/>
          <w:sz w:val="22"/>
          <w:shd w:fill="D9D9D9" w:color="auto" w:val="clear"/>
        </w:rPr>
        <w:t>女性特定</w:t>
      </w:r>
      <w:r>
        <w:rPr>
          <w:rFonts w:ascii="微软雅黑" w:hAnsi="微软雅黑" w:eastAsia="微软雅黑"/>
          <w:b/>
          <w:color w:val="000000"/>
          <w:spacing w:val="-2"/>
          <w:sz w:val="22"/>
          <w:shd w:fill="D9D9D9" w:color="auto" w:val="clear"/>
        </w:rPr>
        <w:t>疾</w:t>
      </w:r>
      <w:r>
        <w:rPr>
          <w:rFonts w:ascii="微软雅黑" w:hAnsi="微软雅黑" w:eastAsia="微软雅黑"/>
          <w:b/>
          <w:color w:val="000000"/>
          <w:spacing w:val="-2"/>
          <w:sz w:val="22"/>
          <w:shd w:fill="D9D9D9" w:color="auto" w:val="clear"/>
        </w:rPr>
        <w:t>病</w:t>
      </w:r>
      <w:r>
        <w:rPr>
          <w:rFonts w:ascii="微软雅黑" w:hAnsi="微软雅黑" w:eastAsia="微软雅黑"/>
          <w:b/>
          <w:color w:val="000000"/>
          <w:spacing w:val="-2"/>
          <w:sz w:val="22"/>
          <w:shd w:fill="D9D9D9" w:color="auto" w:val="clear"/>
        </w:rPr>
        <w:t>定</w:t>
      </w:r>
      <w:r>
        <w:rPr>
          <w:rFonts w:ascii="微软雅黑" w:hAnsi="微软雅黑" w:eastAsia="微软雅黑"/>
          <w:b/>
          <w:color w:val="000000"/>
          <w:spacing w:val="-2"/>
          <w:sz w:val="22"/>
          <w:shd w:fill="D9D9D9" w:color="auto" w:val="clear"/>
        </w:rPr>
        <w:t>义</w:t>
      </w:r>
      <w:r>
        <w:rPr>
          <w:rFonts w:ascii="微软雅黑" w:hAnsi="微软雅黑" w:eastAsia="微软雅黑"/>
          <w:b/>
          <w:color w:val="000000"/>
          <w:spacing w:val="-111"/>
          <w:sz w:val="22"/>
          <w:shd w:fill="D9D9D9" w:color="auto" w:val="clear"/>
        </w:rPr>
        <w:t>”、</w:t>
      </w:r>
      <w:r>
        <w:rPr>
          <w:rFonts w:ascii="微软雅黑" w:hAnsi="微软雅黑" w:eastAsia="微软雅黑"/>
          <w:b/>
          <w:color w:val="000000"/>
          <w:spacing w:val="-2"/>
          <w:sz w:val="22"/>
          <w:shd w:fill="D9D9D9" w:color="auto" w:val="clear"/>
        </w:rPr>
        <w:t>“</w:t>
      </w:r>
      <w:r>
        <w:rPr>
          <w:rFonts w:ascii="微软雅黑" w:hAnsi="微软雅黑" w:eastAsia="微软雅黑"/>
          <w:b/>
          <w:color w:val="000000"/>
          <w:spacing w:val="-2"/>
          <w:sz w:val="22"/>
          <w:shd w:fill="D9D9D9" w:color="auto" w:val="clear"/>
        </w:rPr>
        <w:t>脚</w:t>
      </w:r>
      <w:r>
        <w:rPr>
          <w:rFonts w:ascii="微软雅黑" w:hAnsi="微软雅黑" w:eastAsia="微软雅黑"/>
          <w:b/>
          <w:color w:val="000000"/>
          <w:spacing w:val="-2"/>
          <w:sz w:val="22"/>
          <w:shd w:fill="D9D9D9" w:color="auto" w:val="clear"/>
        </w:rPr>
        <w:t>注</w:t>
      </w:r>
      <w:r>
        <w:rPr>
          <w:rFonts w:ascii="微软雅黑" w:hAnsi="微软雅黑" w:eastAsia="微软雅黑"/>
          <w:b/>
          <w:color w:val="000000"/>
          <w:spacing w:val="-2"/>
          <w:sz w:val="22"/>
          <w:shd w:fill="D9D9D9" w:color="auto" w:val="clear"/>
        </w:rPr>
        <w:t>”</w:t>
      </w:r>
      <w:r>
        <w:rPr>
          <w:rFonts w:ascii="微软雅黑" w:hAnsi="微软雅黑" w:eastAsia="微软雅黑"/>
          <w:b/>
          <w:color w:val="000000"/>
          <w:spacing w:val="-2"/>
          <w:sz w:val="22"/>
          <w:shd w:fill="D9D9D9" w:color="auto" w:val="clear"/>
        </w:rPr>
        <w:t>中</w:t>
      </w:r>
      <w:r>
        <w:rPr>
          <w:rFonts w:ascii="微软雅黑" w:hAnsi="微软雅黑" w:eastAsia="微软雅黑"/>
          <w:b/>
          <w:color w:val="000000"/>
          <w:spacing w:val="-2"/>
          <w:sz w:val="22"/>
          <w:shd w:fill="D9D9D9" w:color="auto" w:val="clear"/>
        </w:rPr>
        <w:t>背</w:t>
      </w:r>
      <w:r>
        <w:rPr>
          <w:rFonts w:ascii="微软雅黑" w:hAnsi="微软雅黑" w:eastAsia="微软雅黑"/>
          <w:b/>
          <w:color w:val="000000"/>
          <w:spacing w:val="-2"/>
          <w:sz w:val="22"/>
          <w:shd w:fill="D9D9D9" w:color="auto" w:val="clear"/>
        </w:rPr>
        <w:t>景</w:t>
      </w:r>
      <w:r>
        <w:rPr>
          <w:rFonts w:ascii="微软雅黑" w:hAnsi="微软雅黑" w:eastAsia="微软雅黑"/>
          <w:b/>
          <w:color w:val="000000"/>
          <w:spacing w:val="-2"/>
          <w:sz w:val="22"/>
          <w:shd w:fill="D9D9D9" w:color="auto" w:val="clear"/>
        </w:rPr>
        <w:t>突</w:t>
      </w:r>
      <w:r>
        <w:rPr>
          <w:rFonts w:ascii="微软雅黑" w:hAnsi="微软雅黑" w:eastAsia="微软雅黑"/>
          <w:b/>
          <w:color w:val="000000"/>
          <w:spacing w:val="-2"/>
          <w:sz w:val="22"/>
          <w:shd w:fill="D9D9D9" w:color="auto" w:val="clear"/>
        </w:rPr>
        <w:t>出</w:t>
      </w:r>
      <w:r>
        <w:rPr>
          <w:rFonts w:ascii="微软雅黑" w:hAnsi="微软雅黑" w:eastAsia="微软雅黑"/>
          <w:b/>
          <w:color w:val="000000"/>
          <w:spacing w:val="-2"/>
          <w:sz w:val="22"/>
          <w:shd w:fill="D9D9D9" w:color="auto" w:val="clear"/>
        </w:rPr>
        <w:t>显</w:t>
      </w:r>
      <w:r>
        <w:rPr>
          <w:rFonts w:ascii="微软雅黑" w:hAnsi="微软雅黑" w:eastAsia="微软雅黑"/>
          <w:b/>
          <w:color w:val="000000"/>
          <w:spacing w:val="-2"/>
          <w:sz w:val="22"/>
          <w:shd w:fill="D9D9D9" w:color="auto" w:val="clear"/>
        </w:rPr>
        <w:t>示</w:t>
      </w:r>
      <w:r>
        <w:rPr>
          <w:rFonts w:ascii="微软雅黑" w:hAnsi="微软雅黑" w:eastAsia="微软雅黑"/>
          <w:b/>
          <w:color w:val="000000"/>
          <w:spacing w:val="-2"/>
          <w:sz w:val="22"/>
          <w:shd w:fill="D9D9D9" w:color="auto" w:val="clear"/>
        </w:rPr>
        <w:t>的</w:t>
      </w:r>
      <w:r>
        <w:rPr>
          <w:rFonts w:ascii="微软雅黑" w:hAnsi="微软雅黑" w:eastAsia="微软雅黑"/>
          <w:b/>
          <w:color w:val="000000"/>
          <w:spacing w:val="-2"/>
          <w:sz w:val="22"/>
          <w:shd w:fill="D9D9D9" w:color="auto" w:val="clear"/>
        </w:rPr>
        <w:t>内</w:t>
      </w:r>
      <w:r>
        <w:rPr>
          <w:rFonts w:ascii="微软雅黑" w:hAnsi="微软雅黑" w:eastAsia="微软雅黑"/>
          <w:b/>
          <w:color w:val="000000"/>
          <w:spacing w:val="-2"/>
          <w:sz w:val="22"/>
          <w:shd w:fill="D9D9D9" w:color="auto" w:val="clear"/>
        </w:rPr>
        <w:t>容</w:t>
      </w:r>
      <w:r>
        <w:rPr>
          <w:rFonts w:ascii="微软雅黑" w:hAnsi="微软雅黑" w:eastAsia="微软雅黑"/>
          <w:b/>
          <w:color w:val="000000"/>
          <w:spacing w:val="-2"/>
          <w:sz w:val="22"/>
          <w:shd w:fill="D9D9D9" w:color="auto" w:val="clear"/>
        </w:rPr>
        <w:t>。</w:t>
      </w:r>
    </w:p>
    <w:p>
      <w:pPr>
        <w:pStyle w:val="BodyText"/>
        <w:spacing w:before="5"/>
        <w:rPr>
          <w:rFonts w:ascii="微软雅黑"/>
          <w:b/>
          <w:sz w:val="11"/>
        </w:rPr>
      </w:pPr>
    </w:p>
    <w:p>
      <w:pPr>
        <w:tabs>
          <w:tab w:pos="1269" w:val="left" w:leader="none"/>
        </w:tabs>
        <w:spacing w:before="0"/>
        <w:ind w:left="232" w:right="0" w:firstLine="0"/>
        <w:jc w:val="left"/>
        <w:rPr>
          <w:rFonts w:ascii="微软雅黑" w:hAnsi="微软雅黑" w:eastAsia="微软雅黑"/>
          <w:b/>
          <w:sz w:val="24"/>
        </w:rPr>
      </w:pPr>
      <w:r>
        <w:rPr>
          <w:rFonts w:ascii="微软雅黑" w:hAnsi="微软雅黑" w:eastAsia="微软雅黑"/>
          <w:b/>
          <w:spacing w:val="-10"/>
          <w:position w:val="-5"/>
          <w:sz w:val="28"/>
        </w:rPr>
        <w:t>⒊</w:t>
      </w:r>
      <w:r>
        <w:rPr>
          <w:rFonts w:ascii="微软雅黑" w:hAnsi="微软雅黑" w:eastAsia="微软雅黑"/>
          <w:b/>
          <w:position w:val="-5"/>
          <w:sz w:val="28"/>
        </w:rPr>
        <w:tab/>
      </w:r>
      <w:r>
        <w:rPr>
          <w:rFonts w:ascii="微软雅黑" w:hAnsi="微软雅黑" w:eastAsia="微软雅黑"/>
          <w:b/>
          <w:spacing w:val="-2"/>
          <w:sz w:val="24"/>
        </w:rPr>
        <w:t>如何支付保险费</w:t>
      </w:r>
    </w:p>
    <w:p>
      <w:pPr>
        <w:spacing w:before="76"/>
        <w:ind w:left="1270" w:right="0" w:firstLine="0"/>
        <w:jc w:val="left"/>
        <w:rPr>
          <w:rFonts w:ascii="微软雅黑" w:eastAsia="微软雅黑"/>
          <w:b/>
          <w:sz w:val="21"/>
        </w:rPr>
      </w:pPr>
      <w:r>
        <w:rPr>
          <w:rFonts w:ascii="微软雅黑" w:eastAsia="微软雅黑"/>
          <w:b/>
          <w:spacing w:val="-3"/>
          <w:sz w:val="21"/>
        </w:rPr>
        <w:t>这部分描述的是您应当按照约定支付保险费，如果未按期交费可能会导致合同效力中止。</w:t>
      </w:r>
    </w:p>
    <w:p>
      <w:pPr>
        <w:pStyle w:val="BodyText"/>
        <w:spacing w:before="8"/>
        <w:rPr>
          <w:rFonts w:ascii="微软雅黑"/>
          <w:b/>
          <w:sz w:val="3"/>
        </w:rPr>
      </w:pPr>
      <w:r>
        <w:rPr/>
        <w:drawing>
          <wp:anchor distT="0" distB="0" distL="0" distR="0" allowOverlap="1" layoutInCell="1" locked="0" behindDoc="0" simplePos="0" relativeHeight="24">
            <wp:simplePos x="0" y="0"/>
            <wp:positionH relativeFrom="page">
              <wp:posOffset>662940</wp:posOffset>
            </wp:positionH>
            <wp:positionV relativeFrom="paragraph">
              <wp:posOffset>55887</wp:posOffset>
            </wp:positionV>
            <wp:extent cx="6194199" cy="9715"/>
            <wp:effectExtent l="0" t="0" r="0" b="0"/>
            <wp:wrapTopAndBottom/>
            <wp:docPr id="21" name="image9.png"/>
            <wp:cNvGraphicFramePr>
              <a:graphicFrameLocks noChangeAspect="1"/>
            </wp:cNvGraphicFramePr>
            <a:graphic>
              <a:graphicData uri="http://schemas.openxmlformats.org/drawingml/2006/picture">
                <pic:pic>
                  <pic:nvPicPr>
                    <pic:cNvPr id="22" name="image9.png"/>
                    <pic:cNvPicPr/>
                  </pic:nvPicPr>
                  <pic:blipFill>
                    <a:blip r:embed="rId14" cstate="print"/>
                    <a:stretch>
                      <a:fillRect/>
                    </a:stretch>
                  </pic:blipFill>
                  <pic:spPr>
                    <a:xfrm>
                      <a:off x="0" y="0"/>
                      <a:ext cx="6194199" cy="9715"/>
                    </a:xfrm>
                    <a:prstGeom prst="rect">
                      <a:avLst/>
                    </a:prstGeom>
                  </pic:spPr>
                </pic:pic>
              </a:graphicData>
            </a:graphic>
          </wp:anchor>
        </w:drawing>
      </w:r>
    </w:p>
    <w:p>
      <w:pPr>
        <w:pStyle w:val="ListParagraph"/>
        <w:numPr>
          <w:ilvl w:val="1"/>
          <w:numId w:val="16"/>
        </w:numPr>
        <w:tabs>
          <w:tab w:pos="1269" w:val="left" w:leader="none"/>
          <w:tab w:pos="1270" w:val="left" w:leader="none"/>
          <w:tab w:pos="3036" w:val="left" w:leader="none"/>
        </w:tabs>
        <w:spacing w:line="211" w:lineRule="auto" w:before="152" w:after="0"/>
        <w:ind w:left="3037" w:right="300" w:hanging="2805"/>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的</w:t>
      </w:r>
      <w:r>
        <w:rPr>
          <w:rFonts w:ascii="微软雅黑" w:eastAsia="微软雅黑"/>
          <w:b/>
          <w:spacing w:val="-2"/>
          <w:sz w:val="21"/>
        </w:rPr>
        <w:t>支</w:t>
      </w:r>
      <w:r>
        <w:rPr>
          <w:rFonts w:ascii="微软雅黑" w:eastAsia="微软雅黑"/>
          <w:b/>
          <w:spacing w:val="-2"/>
          <w:sz w:val="21"/>
        </w:rPr>
        <w:t>付</w:t>
      </w:r>
      <w:r>
        <w:rPr>
          <w:rFonts w:ascii="微软雅黑" w:eastAsia="微软雅黑"/>
          <w:b/>
          <w:sz w:val="21"/>
        </w:rPr>
        <w:tab/>
      </w:r>
      <w:r>
        <w:rPr>
          <w:spacing w:val="-2"/>
          <w:sz w:val="21"/>
        </w:rPr>
        <w:t>本</w:t>
      </w:r>
      <w:r>
        <w:rPr>
          <w:spacing w:val="-2"/>
          <w:sz w:val="21"/>
        </w:rPr>
        <w:t>合</w:t>
      </w:r>
      <w:r>
        <w:rPr>
          <w:spacing w:val="-2"/>
          <w:sz w:val="21"/>
        </w:rPr>
        <w:t>同保险费的交费方式</w:t>
      </w:r>
      <w:r>
        <w:rPr>
          <w:spacing w:val="-2"/>
          <w:sz w:val="21"/>
        </w:rPr>
        <w:t>和</w:t>
      </w:r>
      <w:r>
        <w:rPr>
          <w:spacing w:val="-2"/>
          <w:sz w:val="21"/>
        </w:rPr>
        <w:t>交</w:t>
      </w:r>
      <w:r>
        <w:rPr>
          <w:spacing w:val="-2"/>
          <w:sz w:val="21"/>
        </w:rPr>
        <w:t>费期间由您与我们约</w:t>
      </w:r>
      <w:r>
        <w:rPr>
          <w:spacing w:val="-2"/>
          <w:sz w:val="21"/>
        </w:rPr>
        <w:t>定</w:t>
      </w:r>
      <w:r>
        <w:rPr>
          <w:spacing w:val="-2"/>
          <w:sz w:val="21"/>
        </w:rPr>
        <w:t>并</w:t>
      </w:r>
      <w:r>
        <w:rPr>
          <w:spacing w:val="-2"/>
          <w:sz w:val="21"/>
        </w:rPr>
        <w:t>在保险单上载明。</w:t>
      </w:r>
      <w:r>
        <w:rPr>
          <w:spacing w:val="40"/>
          <w:sz w:val="21"/>
        </w:rPr>
        <w:t> </w:t>
      </w:r>
      <w:r>
        <w:rPr>
          <w:spacing w:val="-2"/>
          <w:sz w:val="21"/>
        </w:rPr>
        <w:t>分</w:t>
      </w:r>
      <w:r>
        <w:rPr>
          <w:spacing w:val="-2"/>
          <w:sz w:val="21"/>
        </w:rPr>
        <w:t>期</w:t>
      </w:r>
      <w:r>
        <w:rPr>
          <w:spacing w:val="-2"/>
          <w:sz w:val="21"/>
        </w:rPr>
        <w:t>支付保险费的</w:t>
      </w:r>
      <w:r>
        <w:rPr>
          <w:spacing w:val="-51"/>
          <w:sz w:val="21"/>
        </w:rPr>
        <w:t>，</w:t>
      </w:r>
      <w:r>
        <w:rPr>
          <w:spacing w:val="-2"/>
          <w:sz w:val="21"/>
        </w:rPr>
        <w:t>在支</w:t>
      </w:r>
      <w:r>
        <w:rPr>
          <w:spacing w:val="-2"/>
          <w:sz w:val="21"/>
        </w:rPr>
        <w:t>付</w:t>
      </w:r>
      <w:r>
        <w:rPr>
          <w:spacing w:val="-2"/>
          <w:sz w:val="21"/>
        </w:rPr>
        <w:t>首</w:t>
      </w:r>
      <w:r>
        <w:rPr>
          <w:spacing w:val="-2"/>
          <w:sz w:val="21"/>
        </w:rPr>
        <w:t>期保险费后</w:t>
      </w:r>
      <w:r>
        <w:rPr>
          <w:spacing w:val="-53"/>
          <w:sz w:val="21"/>
        </w:rPr>
        <w:t>，</w:t>
      </w:r>
      <w:r>
        <w:rPr>
          <w:spacing w:val="-2"/>
          <w:sz w:val="21"/>
        </w:rPr>
        <w:t>您应当</w:t>
      </w:r>
      <w:r>
        <w:rPr>
          <w:spacing w:val="-2"/>
          <w:sz w:val="21"/>
        </w:rPr>
        <w:t>在</w:t>
      </w:r>
      <w:r>
        <w:rPr>
          <w:spacing w:val="-2"/>
          <w:sz w:val="21"/>
        </w:rPr>
        <w:t>每</w:t>
      </w:r>
      <w:r>
        <w:rPr>
          <w:spacing w:val="-2"/>
          <w:sz w:val="21"/>
        </w:rPr>
        <w:t>个</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约</w:t>
      </w:r>
      <w:r>
        <w:rPr>
          <w:rFonts w:ascii="微软雅黑" w:eastAsia="微软雅黑"/>
          <w:b/>
          <w:spacing w:val="-2"/>
          <w:sz w:val="21"/>
        </w:rPr>
        <w:t>定</w:t>
      </w:r>
      <w:r>
        <w:rPr>
          <w:rFonts w:ascii="微软雅黑" w:eastAsia="微软雅黑"/>
          <w:b/>
          <w:spacing w:val="-2"/>
          <w:sz w:val="21"/>
        </w:rPr>
        <w:t>支付日</w:t>
      </w:r>
      <w:r>
        <w:rPr>
          <w:rFonts w:ascii="微软雅黑" w:eastAsia="微软雅黑"/>
          <w:b/>
          <w:spacing w:val="-2"/>
          <w:position w:val="11"/>
          <w:sz w:val="11"/>
        </w:rPr>
        <w:t>16</w:t>
      </w:r>
      <w:r>
        <w:rPr>
          <w:spacing w:val="-2"/>
          <w:sz w:val="21"/>
        </w:rPr>
        <w:t>支</w:t>
      </w:r>
      <w:r>
        <w:rPr>
          <w:spacing w:val="-2"/>
          <w:sz w:val="21"/>
        </w:rPr>
        <w:t>付</w:t>
      </w:r>
      <w:r>
        <w:rPr>
          <w:spacing w:val="-2"/>
          <w:sz w:val="21"/>
        </w:rPr>
        <w:t>当期应交保险费。</w:t>
      </w:r>
    </w:p>
    <w:p>
      <w:pPr>
        <w:pStyle w:val="ListParagraph"/>
        <w:numPr>
          <w:ilvl w:val="1"/>
          <w:numId w:val="16"/>
        </w:numPr>
        <w:tabs>
          <w:tab w:pos="1269" w:val="left" w:leader="none"/>
          <w:tab w:pos="1270" w:val="left" w:leader="none"/>
          <w:tab w:pos="3036" w:val="left" w:leader="none"/>
        </w:tabs>
        <w:spacing w:line="256" w:lineRule="auto" w:before="155" w:after="0"/>
        <w:ind w:left="3037" w:right="310" w:hanging="2805"/>
        <w:jc w:val="both"/>
        <w:rPr>
          <w:sz w:val="21"/>
        </w:rPr>
      </w:pPr>
      <w:r>
        <w:rPr>
          <w:rFonts w:ascii="微软雅黑" w:eastAsia="微软雅黑"/>
          <w:b/>
          <w:spacing w:val="-4"/>
          <w:sz w:val="21"/>
        </w:rPr>
        <w:t>宽</w:t>
      </w:r>
      <w:r>
        <w:rPr>
          <w:rFonts w:ascii="微软雅黑" w:eastAsia="微软雅黑"/>
          <w:b/>
          <w:spacing w:val="-4"/>
          <w:sz w:val="21"/>
        </w:rPr>
        <w:t>限</w:t>
      </w:r>
      <w:r>
        <w:rPr>
          <w:rFonts w:ascii="微软雅黑" w:eastAsia="微软雅黑"/>
          <w:b/>
          <w:spacing w:val="-4"/>
          <w:sz w:val="21"/>
        </w:rPr>
        <w:t>期</w:t>
      </w:r>
      <w:r>
        <w:rPr>
          <w:rFonts w:ascii="微软雅黑" w:eastAsia="微软雅黑"/>
          <w:b/>
          <w:sz w:val="21"/>
        </w:rPr>
        <w:tab/>
      </w:r>
      <w:r>
        <w:rPr>
          <w:spacing w:val="-2"/>
          <w:sz w:val="21"/>
        </w:rPr>
        <w:t>除</w:t>
      </w:r>
      <w:r>
        <w:rPr>
          <w:spacing w:val="-2"/>
          <w:sz w:val="21"/>
        </w:rPr>
        <w:t>另</w:t>
      </w:r>
      <w:r>
        <w:rPr>
          <w:spacing w:val="-2"/>
          <w:sz w:val="21"/>
        </w:rPr>
        <w:t>有约定外，分期支付</w:t>
      </w:r>
      <w:r>
        <w:rPr>
          <w:spacing w:val="-2"/>
          <w:sz w:val="21"/>
        </w:rPr>
        <w:t>保</w:t>
      </w:r>
      <w:r>
        <w:rPr>
          <w:spacing w:val="-2"/>
          <w:sz w:val="21"/>
        </w:rPr>
        <w:t>险</w:t>
      </w:r>
      <w:r>
        <w:rPr>
          <w:spacing w:val="-2"/>
          <w:sz w:val="21"/>
        </w:rPr>
        <w:t>费的，您支付首期保</w:t>
      </w:r>
      <w:r>
        <w:rPr>
          <w:spacing w:val="-2"/>
          <w:sz w:val="21"/>
        </w:rPr>
        <w:t>险</w:t>
      </w:r>
      <w:r>
        <w:rPr>
          <w:spacing w:val="-2"/>
          <w:sz w:val="21"/>
        </w:rPr>
        <w:t>费</w:t>
      </w:r>
      <w:r>
        <w:rPr>
          <w:spacing w:val="-2"/>
          <w:sz w:val="21"/>
        </w:rPr>
        <w:t>后，如果您到期</w:t>
      </w:r>
      <w:r>
        <w:rPr>
          <w:spacing w:val="-2"/>
          <w:sz w:val="21"/>
        </w:rPr>
        <w:t>未</w:t>
      </w:r>
      <w:r>
        <w:rPr>
          <w:spacing w:val="-2"/>
          <w:sz w:val="21"/>
        </w:rPr>
        <w:t>支</w:t>
      </w:r>
      <w:r>
        <w:rPr>
          <w:spacing w:val="-2"/>
          <w:sz w:val="21"/>
        </w:rPr>
        <w:t>付</w:t>
      </w:r>
      <w:r>
        <w:rPr>
          <w:spacing w:val="-2"/>
          <w:sz w:val="21"/>
        </w:rPr>
        <w:t>保</w:t>
      </w:r>
      <w:r>
        <w:rPr>
          <w:spacing w:val="-2"/>
          <w:sz w:val="21"/>
        </w:rPr>
        <w:t>险费，自保险费约定</w:t>
      </w:r>
      <w:r>
        <w:rPr>
          <w:spacing w:val="-2"/>
          <w:sz w:val="21"/>
        </w:rPr>
        <w:t>支</w:t>
      </w:r>
      <w:r>
        <w:rPr>
          <w:spacing w:val="-2"/>
          <w:sz w:val="21"/>
        </w:rPr>
        <w:t>付</w:t>
      </w:r>
      <w:r>
        <w:rPr>
          <w:spacing w:val="-2"/>
          <w:sz w:val="21"/>
        </w:rPr>
        <w:t>日次日零时起60日为</w:t>
      </w:r>
      <w:r>
        <w:rPr>
          <w:spacing w:val="-2"/>
          <w:sz w:val="21"/>
        </w:rPr>
        <w:t>宽</w:t>
      </w:r>
      <w:r>
        <w:rPr>
          <w:spacing w:val="-2"/>
          <w:sz w:val="21"/>
        </w:rPr>
        <w:t>限</w:t>
      </w:r>
      <w:r>
        <w:rPr>
          <w:spacing w:val="-2"/>
          <w:sz w:val="21"/>
        </w:rPr>
        <w:t>期。宽限期内发</w:t>
      </w:r>
      <w:r>
        <w:rPr>
          <w:spacing w:val="-2"/>
          <w:sz w:val="21"/>
        </w:rPr>
        <w:t>生</w:t>
      </w:r>
      <w:r>
        <w:rPr>
          <w:spacing w:val="-2"/>
          <w:sz w:val="21"/>
        </w:rPr>
        <w:t>的</w:t>
      </w:r>
      <w:r>
        <w:rPr>
          <w:spacing w:val="-2"/>
          <w:sz w:val="21"/>
        </w:rPr>
        <w:t>保</w:t>
      </w:r>
      <w:r>
        <w:rPr>
          <w:spacing w:val="-2"/>
          <w:sz w:val="21"/>
        </w:rPr>
        <w:t>险</w:t>
      </w:r>
      <w:r>
        <w:rPr>
          <w:spacing w:val="-2"/>
          <w:sz w:val="21"/>
        </w:rPr>
        <w:t>事故，我们仍会承担</w:t>
      </w:r>
      <w:r>
        <w:rPr>
          <w:spacing w:val="-2"/>
          <w:sz w:val="21"/>
        </w:rPr>
        <w:t>保</w:t>
      </w:r>
      <w:r>
        <w:rPr>
          <w:spacing w:val="-2"/>
          <w:sz w:val="21"/>
        </w:rPr>
        <w:t>险</w:t>
      </w:r>
      <w:r>
        <w:rPr>
          <w:spacing w:val="-2"/>
          <w:sz w:val="21"/>
        </w:rPr>
        <w:t>责任，但在给付保险</w:t>
      </w:r>
      <w:r>
        <w:rPr>
          <w:spacing w:val="-2"/>
          <w:sz w:val="21"/>
        </w:rPr>
        <w:t>金</w:t>
      </w:r>
      <w:r>
        <w:rPr>
          <w:spacing w:val="-2"/>
          <w:sz w:val="21"/>
        </w:rPr>
        <w:t>时</w:t>
      </w:r>
      <w:r>
        <w:rPr>
          <w:spacing w:val="-2"/>
          <w:sz w:val="21"/>
        </w:rPr>
        <w:t>会扣减您欠交的</w:t>
      </w:r>
      <w:r>
        <w:rPr>
          <w:spacing w:val="-2"/>
          <w:sz w:val="21"/>
        </w:rPr>
        <w:t>保</w:t>
      </w:r>
      <w:r>
        <w:rPr>
          <w:spacing w:val="-2"/>
          <w:sz w:val="21"/>
        </w:rPr>
        <w:t>险</w:t>
      </w:r>
    </w:p>
    <w:p>
      <w:pPr>
        <w:pStyle w:val="BodyText"/>
        <w:spacing w:before="8"/>
        <w:rPr>
          <w:sz w:val="20"/>
        </w:rPr>
      </w:pPr>
      <w:r>
        <w:rPr/>
        <w:drawing>
          <wp:anchor distT="0" distB="0" distL="0" distR="0" allowOverlap="1" layoutInCell="1" locked="0" behindDoc="0" simplePos="0" relativeHeight="25">
            <wp:simplePos x="0" y="0"/>
            <wp:positionH relativeFrom="page">
              <wp:posOffset>719327</wp:posOffset>
            </wp:positionH>
            <wp:positionV relativeFrom="paragraph">
              <wp:posOffset>183311</wp:posOffset>
            </wp:positionV>
            <wp:extent cx="1829282" cy="6095"/>
            <wp:effectExtent l="0" t="0" r="0" b="0"/>
            <wp:wrapTopAndBottom/>
            <wp:docPr id="23" name="image6.png"/>
            <wp:cNvGraphicFramePr>
              <a:graphicFrameLocks noChangeAspect="1"/>
            </wp:cNvGraphicFramePr>
            <a:graphic>
              <a:graphicData uri="http://schemas.openxmlformats.org/drawingml/2006/picture">
                <pic:pic>
                  <pic:nvPicPr>
                    <pic:cNvPr id="24" name="image6.png"/>
                    <pic:cNvPicPr/>
                  </pic:nvPicPr>
                  <pic:blipFill>
                    <a:blip r:embed="rId11" cstate="print"/>
                    <a:stretch>
                      <a:fillRect/>
                    </a:stretch>
                  </pic:blipFill>
                  <pic:spPr>
                    <a:xfrm>
                      <a:off x="0" y="0"/>
                      <a:ext cx="1829282" cy="6095"/>
                    </a:xfrm>
                    <a:prstGeom prst="rect">
                      <a:avLst/>
                    </a:prstGeom>
                  </pic:spPr>
                </pic:pic>
              </a:graphicData>
            </a:graphic>
          </wp:anchor>
        </w:drawing>
      </w:r>
    </w:p>
    <w:p>
      <w:pPr>
        <w:spacing w:line="204" w:lineRule="auto" w:before="76"/>
        <w:ind w:left="374" w:right="461" w:hanging="143"/>
        <w:jc w:val="left"/>
        <w:rPr>
          <w:sz w:val="20"/>
        </w:rPr>
      </w:pPr>
      <w:r>
        <w:rPr>
          <w:rFonts w:ascii="微软雅黑" w:eastAsia="微软雅黑"/>
          <w:b/>
          <w:position w:val="10"/>
          <w:sz w:val="10"/>
        </w:rPr>
        <w:t>13</w:t>
      </w:r>
      <w:r>
        <w:rPr>
          <w:rFonts w:ascii="微软雅黑" w:eastAsia="微软雅黑"/>
          <w:b/>
          <w:spacing w:val="53"/>
          <w:position w:val="10"/>
          <w:sz w:val="10"/>
        </w:rPr>
        <w:t> </w:t>
      </w:r>
      <w:r>
        <w:rPr>
          <w:rFonts w:ascii="微软雅黑" w:eastAsia="微软雅黑"/>
          <w:b/>
          <w:sz w:val="20"/>
        </w:rPr>
        <w:t>感</w:t>
      </w:r>
      <w:r>
        <w:rPr>
          <w:rFonts w:ascii="微软雅黑" w:eastAsia="微软雅黑"/>
          <w:b/>
          <w:sz w:val="20"/>
        </w:rPr>
        <w:t>染</w:t>
      </w:r>
      <w:r>
        <w:rPr>
          <w:rFonts w:ascii="微软雅黑" w:eastAsia="微软雅黑"/>
          <w:b/>
          <w:sz w:val="20"/>
        </w:rPr>
        <w:t>艾</w:t>
      </w:r>
      <w:r>
        <w:rPr>
          <w:rFonts w:ascii="微软雅黑" w:eastAsia="微软雅黑"/>
          <w:b/>
          <w:sz w:val="20"/>
        </w:rPr>
        <w:t>滋</w:t>
      </w:r>
      <w:r>
        <w:rPr>
          <w:rFonts w:ascii="微软雅黑" w:eastAsia="微软雅黑"/>
          <w:b/>
          <w:sz w:val="20"/>
        </w:rPr>
        <w:t>病</w:t>
      </w:r>
      <w:r>
        <w:rPr>
          <w:rFonts w:ascii="微软雅黑" w:eastAsia="微软雅黑"/>
          <w:b/>
          <w:sz w:val="20"/>
        </w:rPr>
        <w:t>病</w:t>
      </w:r>
      <w:r>
        <w:rPr>
          <w:rFonts w:ascii="微软雅黑" w:eastAsia="微软雅黑"/>
          <w:b/>
          <w:sz w:val="20"/>
        </w:rPr>
        <w:t>毒</w:t>
      </w:r>
      <w:r>
        <w:rPr>
          <w:rFonts w:ascii="微软雅黑" w:eastAsia="微软雅黑"/>
          <w:b/>
          <w:sz w:val="20"/>
        </w:rPr>
        <w:t>或</w:t>
      </w:r>
      <w:r>
        <w:rPr>
          <w:rFonts w:ascii="微软雅黑" w:eastAsia="微软雅黑"/>
          <w:b/>
          <w:sz w:val="20"/>
        </w:rPr>
        <w:t>患艾滋病</w:t>
      </w:r>
      <w:r>
        <w:rPr>
          <w:sz w:val="20"/>
        </w:rPr>
        <w:t>，</w:t>
      </w:r>
      <w:r>
        <w:rPr>
          <w:sz w:val="20"/>
        </w:rPr>
        <w:t>艾</w:t>
      </w:r>
      <w:r>
        <w:rPr>
          <w:sz w:val="20"/>
        </w:rPr>
        <w:t>滋</w:t>
      </w:r>
      <w:r>
        <w:rPr>
          <w:sz w:val="20"/>
        </w:rPr>
        <w:t>病</w:t>
      </w:r>
      <w:r>
        <w:rPr>
          <w:sz w:val="20"/>
        </w:rPr>
        <w:t>病</w:t>
      </w:r>
      <w:r>
        <w:rPr>
          <w:sz w:val="20"/>
        </w:rPr>
        <w:t>毒</w:t>
      </w:r>
      <w:r>
        <w:rPr>
          <w:sz w:val="20"/>
        </w:rPr>
        <w:t>指</w:t>
      </w:r>
      <w:r>
        <w:rPr>
          <w:sz w:val="20"/>
        </w:rPr>
        <w:t>人</w:t>
      </w:r>
      <w:r>
        <w:rPr>
          <w:sz w:val="20"/>
        </w:rPr>
        <w:t>类</w:t>
      </w:r>
      <w:r>
        <w:rPr>
          <w:sz w:val="20"/>
        </w:rPr>
        <w:t>免</w:t>
      </w:r>
      <w:r>
        <w:rPr>
          <w:sz w:val="20"/>
        </w:rPr>
        <w:t>疫</w:t>
      </w:r>
      <w:r>
        <w:rPr>
          <w:sz w:val="20"/>
        </w:rPr>
        <w:t>缺</w:t>
      </w:r>
      <w:r>
        <w:rPr>
          <w:sz w:val="20"/>
        </w:rPr>
        <w:t>陷</w:t>
      </w:r>
      <w:r>
        <w:rPr>
          <w:sz w:val="20"/>
        </w:rPr>
        <w:t>病</w:t>
      </w:r>
      <w:r>
        <w:rPr>
          <w:sz w:val="20"/>
        </w:rPr>
        <w:t>毒，</w:t>
      </w:r>
      <w:r>
        <w:rPr>
          <w:sz w:val="20"/>
        </w:rPr>
        <w:t>英</w:t>
      </w:r>
      <w:r>
        <w:rPr>
          <w:sz w:val="20"/>
        </w:rPr>
        <w:t>文</w:t>
      </w:r>
      <w:r>
        <w:rPr>
          <w:sz w:val="20"/>
        </w:rPr>
        <w:t>缩</w:t>
      </w:r>
      <w:r>
        <w:rPr>
          <w:sz w:val="20"/>
        </w:rPr>
        <w:t>写</w:t>
      </w:r>
      <w:r>
        <w:rPr>
          <w:sz w:val="20"/>
        </w:rPr>
        <w:t>为</w:t>
      </w:r>
      <w:r>
        <w:rPr>
          <w:spacing w:val="-49"/>
          <w:sz w:val="20"/>
        </w:rPr>
        <w:t> </w:t>
      </w:r>
      <w:r>
        <w:rPr>
          <w:sz w:val="20"/>
        </w:rPr>
        <w:t>HIV</w:t>
      </w:r>
      <w:r>
        <w:rPr>
          <w:sz w:val="20"/>
        </w:rPr>
        <w:t>。</w:t>
      </w:r>
      <w:r>
        <w:rPr>
          <w:sz w:val="20"/>
        </w:rPr>
        <w:t>艾</w:t>
      </w:r>
      <w:r>
        <w:rPr>
          <w:sz w:val="20"/>
        </w:rPr>
        <w:t>滋</w:t>
      </w:r>
      <w:r>
        <w:rPr>
          <w:sz w:val="20"/>
        </w:rPr>
        <w:t>病</w:t>
      </w:r>
      <w:r>
        <w:rPr>
          <w:sz w:val="20"/>
        </w:rPr>
        <w:t>指</w:t>
      </w:r>
      <w:r>
        <w:rPr>
          <w:sz w:val="20"/>
        </w:rPr>
        <w:t>人</w:t>
      </w:r>
      <w:r>
        <w:rPr>
          <w:sz w:val="20"/>
        </w:rPr>
        <w:t>类</w:t>
      </w:r>
      <w:r>
        <w:rPr>
          <w:sz w:val="20"/>
        </w:rPr>
        <w:t>免</w:t>
      </w:r>
      <w:r>
        <w:rPr>
          <w:sz w:val="20"/>
        </w:rPr>
        <w:t>疫</w:t>
      </w:r>
      <w:r>
        <w:rPr>
          <w:sz w:val="20"/>
        </w:rPr>
        <w:t>缺</w:t>
      </w:r>
      <w:r>
        <w:rPr>
          <w:sz w:val="20"/>
        </w:rPr>
        <w:t>陷</w:t>
      </w:r>
      <w:r>
        <w:rPr>
          <w:sz w:val="20"/>
        </w:rPr>
        <w:t>病</w:t>
      </w:r>
      <w:r>
        <w:rPr>
          <w:w w:val="95"/>
          <w:sz w:val="20"/>
        </w:rPr>
        <w:t>毒</w:t>
      </w:r>
      <w:r>
        <w:rPr>
          <w:w w:val="95"/>
          <w:sz w:val="20"/>
        </w:rPr>
        <w:t>引</w:t>
      </w:r>
      <w:r>
        <w:rPr>
          <w:w w:val="95"/>
          <w:sz w:val="20"/>
        </w:rPr>
        <w:t>起</w:t>
      </w:r>
      <w:r>
        <w:rPr>
          <w:w w:val="95"/>
          <w:sz w:val="20"/>
        </w:rPr>
        <w:t>的</w:t>
      </w:r>
      <w:r>
        <w:rPr>
          <w:w w:val="95"/>
          <w:sz w:val="20"/>
        </w:rPr>
        <w:t>获</w:t>
      </w:r>
      <w:r>
        <w:rPr>
          <w:w w:val="95"/>
          <w:sz w:val="20"/>
        </w:rPr>
        <w:t>得</w:t>
      </w:r>
      <w:r>
        <w:rPr>
          <w:w w:val="95"/>
          <w:sz w:val="20"/>
        </w:rPr>
        <w:t>性</w:t>
      </w:r>
      <w:r>
        <w:rPr>
          <w:w w:val="95"/>
          <w:sz w:val="20"/>
        </w:rPr>
        <w:t>免</w:t>
      </w:r>
      <w:r>
        <w:rPr>
          <w:w w:val="95"/>
          <w:sz w:val="20"/>
        </w:rPr>
        <w:t>疫</w:t>
      </w:r>
      <w:r>
        <w:rPr>
          <w:w w:val="95"/>
          <w:sz w:val="20"/>
        </w:rPr>
        <w:t>缺陷综</w:t>
      </w:r>
      <w:r>
        <w:rPr>
          <w:w w:val="95"/>
          <w:sz w:val="20"/>
        </w:rPr>
        <w:t>合</w:t>
      </w:r>
      <w:r>
        <w:rPr>
          <w:w w:val="95"/>
          <w:sz w:val="20"/>
        </w:rPr>
        <w:t>征</w:t>
      </w:r>
      <w:r>
        <w:rPr>
          <w:w w:val="95"/>
          <w:sz w:val="20"/>
        </w:rPr>
        <w:t>，英</w:t>
      </w:r>
      <w:r>
        <w:rPr>
          <w:w w:val="95"/>
          <w:sz w:val="20"/>
        </w:rPr>
        <w:t>文</w:t>
      </w:r>
      <w:r>
        <w:rPr>
          <w:w w:val="95"/>
          <w:sz w:val="20"/>
        </w:rPr>
        <w:t>缩</w:t>
      </w:r>
      <w:r>
        <w:rPr>
          <w:w w:val="95"/>
          <w:sz w:val="20"/>
        </w:rPr>
        <w:t>写为</w:t>
      </w:r>
      <w:r>
        <w:rPr>
          <w:spacing w:val="73"/>
          <w:w w:val="150"/>
          <w:sz w:val="20"/>
        </w:rPr>
        <w:t>  </w:t>
      </w:r>
      <w:r>
        <w:rPr>
          <w:w w:val="95"/>
          <w:sz w:val="20"/>
        </w:rPr>
        <w:t>AIDS</w:t>
      </w:r>
      <w:r>
        <w:rPr>
          <w:w w:val="95"/>
          <w:sz w:val="20"/>
        </w:rPr>
        <w:t>。</w:t>
      </w:r>
      <w:r>
        <w:rPr>
          <w:w w:val="95"/>
          <w:sz w:val="20"/>
        </w:rPr>
        <w:t>在</w:t>
      </w:r>
      <w:r>
        <w:rPr>
          <w:w w:val="95"/>
          <w:sz w:val="20"/>
        </w:rPr>
        <w:t>人</w:t>
      </w:r>
      <w:r>
        <w:rPr>
          <w:w w:val="95"/>
          <w:sz w:val="20"/>
        </w:rPr>
        <w:t>体</w:t>
      </w:r>
      <w:r>
        <w:rPr>
          <w:w w:val="95"/>
          <w:sz w:val="20"/>
        </w:rPr>
        <w:t>血</w:t>
      </w:r>
      <w:r>
        <w:rPr>
          <w:w w:val="95"/>
          <w:sz w:val="20"/>
        </w:rPr>
        <w:t>液</w:t>
      </w:r>
      <w:r>
        <w:rPr>
          <w:w w:val="95"/>
          <w:sz w:val="20"/>
        </w:rPr>
        <w:t>或</w:t>
      </w:r>
      <w:r>
        <w:rPr>
          <w:w w:val="95"/>
          <w:sz w:val="20"/>
        </w:rPr>
        <w:t>其</w:t>
      </w:r>
      <w:r>
        <w:rPr>
          <w:w w:val="95"/>
          <w:sz w:val="20"/>
        </w:rPr>
        <w:t>他</w:t>
      </w:r>
      <w:r>
        <w:rPr>
          <w:w w:val="95"/>
          <w:sz w:val="20"/>
        </w:rPr>
        <w:t>样</w:t>
      </w:r>
      <w:r>
        <w:rPr>
          <w:w w:val="95"/>
          <w:sz w:val="20"/>
        </w:rPr>
        <w:t>本</w:t>
      </w:r>
      <w:r>
        <w:rPr>
          <w:w w:val="95"/>
          <w:sz w:val="20"/>
        </w:rPr>
        <w:t>中检测</w:t>
      </w:r>
      <w:r>
        <w:rPr>
          <w:w w:val="95"/>
          <w:sz w:val="20"/>
        </w:rPr>
        <w:t>到</w:t>
      </w:r>
      <w:r>
        <w:rPr>
          <w:w w:val="95"/>
          <w:sz w:val="20"/>
        </w:rPr>
        <w:t>艾</w:t>
      </w:r>
      <w:r>
        <w:rPr>
          <w:w w:val="95"/>
          <w:sz w:val="20"/>
        </w:rPr>
        <w:t>滋</w:t>
      </w:r>
      <w:r>
        <w:rPr>
          <w:w w:val="95"/>
          <w:sz w:val="20"/>
        </w:rPr>
        <w:t>病</w:t>
      </w:r>
      <w:r>
        <w:rPr>
          <w:w w:val="95"/>
          <w:sz w:val="20"/>
        </w:rPr>
        <w:t>病</w:t>
      </w:r>
      <w:r>
        <w:rPr>
          <w:w w:val="95"/>
          <w:sz w:val="20"/>
        </w:rPr>
        <w:t>毒</w:t>
      </w:r>
      <w:r>
        <w:rPr>
          <w:w w:val="95"/>
          <w:sz w:val="20"/>
        </w:rPr>
        <w:t>或</w:t>
      </w:r>
      <w:r>
        <w:rPr>
          <w:w w:val="95"/>
          <w:sz w:val="20"/>
        </w:rPr>
        <w:t>其</w:t>
      </w:r>
      <w:r>
        <w:rPr>
          <w:w w:val="95"/>
          <w:sz w:val="20"/>
        </w:rPr>
        <w:t>抗</w:t>
      </w:r>
      <w:r>
        <w:rPr>
          <w:spacing w:val="-5"/>
          <w:w w:val="95"/>
          <w:sz w:val="20"/>
        </w:rPr>
        <w:t>体呈</w:t>
      </w:r>
    </w:p>
    <w:p>
      <w:pPr>
        <w:spacing w:line="242" w:lineRule="auto" w:before="12"/>
        <w:ind w:left="374" w:right="514" w:firstLine="0"/>
        <w:jc w:val="left"/>
        <w:rPr>
          <w:sz w:val="20"/>
        </w:rPr>
      </w:pPr>
      <w:r>
        <w:rPr>
          <w:spacing w:val="-1"/>
          <w:w w:val="99"/>
          <w:sz w:val="20"/>
        </w:rPr>
        <w:t>阳性，没有出现临床症状或体征的，为感染艾滋病病毒；如果同时出现了明显临床症状或体征的，为患艾滋</w:t>
      </w:r>
      <w:r>
        <w:rPr>
          <w:w w:val="99"/>
          <w:sz w:val="20"/>
        </w:rPr>
        <w:t>病。</w:t>
      </w:r>
    </w:p>
    <w:p>
      <w:pPr>
        <w:spacing w:line="283" w:lineRule="exact" w:before="0"/>
        <w:ind w:left="232" w:right="0" w:firstLine="0"/>
        <w:jc w:val="left"/>
        <w:rPr>
          <w:sz w:val="20"/>
        </w:rPr>
      </w:pPr>
      <w:r>
        <w:rPr>
          <w:rFonts w:ascii="微软雅黑" w:eastAsia="微软雅黑"/>
          <w:b/>
          <w:w w:val="95"/>
          <w:position w:val="10"/>
          <w:sz w:val="10"/>
        </w:rPr>
        <w:t>14</w:t>
      </w:r>
      <w:r>
        <w:rPr>
          <w:rFonts w:ascii="微软雅黑" w:eastAsia="微软雅黑"/>
          <w:b/>
          <w:spacing w:val="77"/>
          <w:w w:val="150"/>
          <w:position w:val="10"/>
          <w:sz w:val="10"/>
        </w:rPr>
        <w:t>    </w:t>
      </w:r>
      <w:r>
        <w:rPr>
          <w:rFonts w:ascii="微软雅黑" w:eastAsia="微软雅黑"/>
          <w:b/>
          <w:w w:val="95"/>
          <w:sz w:val="20"/>
        </w:rPr>
        <w:t>遗</w:t>
      </w:r>
      <w:r>
        <w:rPr>
          <w:rFonts w:ascii="微软雅黑" w:eastAsia="微软雅黑"/>
          <w:b/>
          <w:w w:val="95"/>
          <w:sz w:val="20"/>
        </w:rPr>
        <w:t>传</w:t>
      </w:r>
      <w:r>
        <w:rPr>
          <w:rFonts w:ascii="微软雅黑" w:eastAsia="微软雅黑"/>
          <w:b/>
          <w:w w:val="95"/>
          <w:sz w:val="20"/>
        </w:rPr>
        <w:t>性</w:t>
      </w:r>
      <w:r>
        <w:rPr>
          <w:rFonts w:ascii="微软雅黑" w:eastAsia="微软雅黑"/>
          <w:b/>
          <w:w w:val="95"/>
          <w:sz w:val="20"/>
        </w:rPr>
        <w:t>疾</w:t>
      </w:r>
      <w:r>
        <w:rPr>
          <w:rFonts w:ascii="微软雅黑" w:eastAsia="微软雅黑"/>
          <w:b/>
          <w:w w:val="95"/>
          <w:sz w:val="20"/>
        </w:rPr>
        <w:t>病</w:t>
      </w:r>
      <w:r>
        <w:rPr>
          <w:w w:val="95"/>
          <w:sz w:val="20"/>
        </w:rPr>
        <w:t>指</w:t>
      </w:r>
      <w:r>
        <w:rPr>
          <w:w w:val="95"/>
          <w:sz w:val="20"/>
        </w:rPr>
        <w:t>生</w:t>
      </w:r>
      <w:r>
        <w:rPr>
          <w:w w:val="95"/>
          <w:sz w:val="20"/>
        </w:rPr>
        <w:t>殖</w:t>
      </w:r>
      <w:r>
        <w:rPr>
          <w:w w:val="95"/>
          <w:sz w:val="20"/>
        </w:rPr>
        <w:t>细</w:t>
      </w:r>
      <w:r>
        <w:rPr>
          <w:w w:val="95"/>
          <w:sz w:val="20"/>
        </w:rPr>
        <w:t>胞</w:t>
      </w:r>
      <w:r>
        <w:rPr>
          <w:w w:val="95"/>
          <w:sz w:val="20"/>
        </w:rPr>
        <w:t>或</w:t>
      </w:r>
      <w:r>
        <w:rPr>
          <w:w w:val="95"/>
          <w:sz w:val="20"/>
        </w:rPr>
        <w:t>受</w:t>
      </w:r>
      <w:r>
        <w:rPr>
          <w:w w:val="95"/>
          <w:sz w:val="20"/>
        </w:rPr>
        <w:t>精</w:t>
      </w:r>
      <w:r>
        <w:rPr>
          <w:w w:val="95"/>
          <w:sz w:val="20"/>
        </w:rPr>
        <w:t>卵</w:t>
      </w:r>
      <w:r>
        <w:rPr>
          <w:w w:val="95"/>
          <w:sz w:val="20"/>
        </w:rPr>
        <w:t>的</w:t>
      </w:r>
      <w:r>
        <w:rPr>
          <w:w w:val="95"/>
          <w:sz w:val="20"/>
        </w:rPr>
        <w:t>遗</w:t>
      </w:r>
      <w:r>
        <w:rPr>
          <w:w w:val="95"/>
          <w:sz w:val="20"/>
        </w:rPr>
        <w:t>传</w:t>
      </w:r>
      <w:r>
        <w:rPr>
          <w:w w:val="95"/>
          <w:sz w:val="20"/>
        </w:rPr>
        <w:t>物</w:t>
      </w:r>
      <w:r>
        <w:rPr>
          <w:w w:val="95"/>
          <w:sz w:val="20"/>
        </w:rPr>
        <w:t>质</w:t>
      </w:r>
      <w:r>
        <w:rPr>
          <w:w w:val="95"/>
          <w:sz w:val="20"/>
        </w:rPr>
        <w:t>（染色体</w:t>
      </w:r>
      <w:r>
        <w:rPr>
          <w:w w:val="95"/>
          <w:sz w:val="20"/>
        </w:rPr>
        <w:t>和</w:t>
      </w:r>
      <w:r>
        <w:rPr>
          <w:w w:val="95"/>
          <w:sz w:val="20"/>
        </w:rPr>
        <w:t>基</w:t>
      </w:r>
      <w:r>
        <w:rPr>
          <w:w w:val="95"/>
          <w:sz w:val="20"/>
        </w:rPr>
        <w:t>因</w:t>
      </w:r>
      <w:r>
        <w:rPr>
          <w:w w:val="95"/>
          <w:sz w:val="20"/>
        </w:rPr>
        <w:t>）</w:t>
      </w:r>
      <w:r>
        <w:rPr>
          <w:w w:val="95"/>
          <w:sz w:val="20"/>
        </w:rPr>
        <w:t>发</w:t>
      </w:r>
      <w:r>
        <w:rPr>
          <w:w w:val="95"/>
          <w:sz w:val="20"/>
        </w:rPr>
        <w:t>生</w:t>
      </w:r>
      <w:r>
        <w:rPr>
          <w:w w:val="95"/>
          <w:sz w:val="20"/>
        </w:rPr>
        <w:t>突</w:t>
      </w:r>
      <w:r>
        <w:rPr>
          <w:w w:val="95"/>
          <w:sz w:val="20"/>
        </w:rPr>
        <w:t>变</w:t>
      </w:r>
      <w:r>
        <w:rPr>
          <w:w w:val="95"/>
          <w:sz w:val="20"/>
        </w:rPr>
        <w:t>或</w:t>
      </w:r>
      <w:r>
        <w:rPr>
          <w:w w:val="95"/>
          <w:sz w:val="20"/>
        </w:rPr>
        <w:t>畸变所</w:t>
      </w:r>
      <w:r>
        <w:rPr>
          <w:w w:val="95"/>
          <w:sz w:val="20"/>
        </w:rPr>
        <w:t>引</w:t>
      </w:r>
      <w:r>
        <w:rPr>
          <w:w w:val="95"/>
          <w:sz w:val="20"/>
        </w:rPr>
        <w:t>起</w:t>
      </w:r>
      <w:r>
        <w:rPr>
          <w:w w:val="95"/>
          <w:sz w:val="20"/>
        </w:rPr>
        <w:t>的</w:t>
      </w:r>
      <w:r>
        <w:rPr>
          <w:w w:val="95"/>
          <w:sz w:val="20"/>
        </w:rPr>
        <w:t>疾</w:t>
      </w:r>
      <w:r>
        <w:rPr>
          <w:w w:val="95"/>
          <w:sz w:val="20"/>
        </w:rPr>
        <w:t>病</w:t>
      </w:r>
      <w:r>
        <w:rPr>
          <w:w w:val="95"/>
          <w:sz w:val="20"/>
        </w:rPr>
        <w:t>，通</w:t>
      </w:r>
      <w:r>
        <w:rPr>
          <w:w w:val="95"/>
          <w:sz w:val="20"/>
        </w:rPr>
        <w:t>常</w:t>
      </w:r>
      <w:r>
        <w:rPr>
          <w:w w:val="95"/>
          <w:sz w:val="20"/>
        </w:rPr>
        <w:t>具</w:t>
      </w:r>
      <w:r>
        <w:rPr>
          <w:w w:val="95"/>
          <w:sz w:val="20"/>
        </w:rPr>
        <w:t>有</w:t>
      </w:r>
      <w:r>
        <w:rPr>
          <w:w w:val="95"/>
          <w:sz w:val="20"/>
        </w:rPr>
        <w:t>由</w:t>
      </w:r>
      <w:r>
        <w:rPr>
          <w:spacing w:val="-10"/>
          <w:w w:val="95"/>
          <w:sz w:val="20"/>
        </w:rPr>
        <w:t>亲</w:t>
      </w:r>
    </w:p>
    <w:p>
      <w:pPr>
        <w:spacing w:line="203" w:lineRule="exact" w:before="0"/>
        <w:ind w:left="374" w:right="0" w:firstLine="0"/>
        <w:jc w:val="left"/>
        <w:rPr>
          <w:sz w:val="20"/>
        </w:rPr>
      </w:pPr>
      <w:r>
        <w:rPr>
          <w:w w:val="95"/>
          <w:sz w:val="20"/>
        </w:rPr>
        <w:t>代</w:t>
      </w:r>
      <w:r>
        <w:rPr>
          <w:w w:val="95"/>
          <w:sz w:val="20"/>
        </w:rPr>
        <w:t>传</w:t>
      </w:r>
      <w:r>
        <w:rPr>
          <w:w w:val="95"/>
          <w:sz w:val="20"/>
        </w:rPr>
        <w:t>至</w:t>
      </w:r>
      <w:r>
        <w:rPr>
          <w:w w:val="95"/>
          <w:sz w:val="20"/>
        </w:rPr>
        <w:t>后</w:t>
      </w:r>
      <w:r>
        <w:rPr>
          <w:w w:val="95"/>
          <w:sz w:val="20"/>
        </w:rPr>
        <w:t>代</w:t>
      </w:r>
      <w:r>
        <w:rPr>
          <w:w w:val="95"/>
          <w:sz w:val="20"/>
        </w:rPr>
        <w:t>的</w:t>
      </w:r>
      <w:r>
        <w:rPr>
          <w:w w:val="95"/>
          <w:sz w:val="20"/>
        </w:rPr>
        <w:t>垂</w:t>
      </w:r>
      <w:r>
        <w:rPr>
          <w:w w:val="95"/>
          <w:sz w:val="20"/>
        </w:rPr>
        <w:t>直</w:t>
      </w:r>
      <w:r>
        <w:rPr>
          <w:w w:val="95"/>
          <w:sz w:val="20"/>
        </w:rPr>
        <w:t>传</w:t>
      </w:r>
      <w:r>
        <w:rPr>
          <w:w w:val="95"/>
          <w:sz w:val="20"/>
        </w:rPr>
        <w:t>递的特</w:t>
      </w:r>
      <w:r>
        <w:rPr>
          <w:w w:val="95"/>
          <w:sz w:val="20"/>
        </w:rPr>
        <w:t>征</w:t>
      </w:r>
      <w:r>
        <w:rPr>
          <w:spacing w:val="-10"/>
          <w:w w:val="95"/>
          <w:sz w:val="20"/>
        </w:rPr>
        <w:t>。</w:t>
      </w:r>
    </w:p>
    <w:p>
      <w:pPr>
        <w:spacing w:line="204" w:lineRule="auto" w:before="9"/>
        <w:ind w:left="374" w:right="438" w:hanging="143"/>
        <w:jc w:val="left"/>
        <w:rPr>
          <w:sz w:val="20"/>
        </w:rPr>
      </w:pPr>
      <w:r>
        <w:rPr>
          <w:rFonts w:ascii="微软雅黑" w:eastAsia="微软雅黑"/>
          <w:b/>
          <w:position w:val="10"/>
          <w:sz w:val="10"/>
        </w:rPr>
        <w:t>15</w:t>
      </w:r>
      <w:r>
        <w:rPr>
          <w:rFonts w:ascii="微软雅黑" w:eastAsia="微软雅黑"/>
          <w:b/>
          <w:spacing w:val="37"/>
          <w:position w:val="10"/>
          <w:sz w:val="10"/>
        </w:rPr>
        <w:t> </w:t>
      </w:r>
      <w:r>
        <w:rPr>
          <w:rFonts w:ascii="微软雅黑" w:eastAsia="微软雅黑"/>
          <w:b/>
          <w:sz w:val="20"/>
        </w:rPr>
        <w:t>先</w:t>
      </w:r>
      <w:r>
        <w:rPr>
          <w:rFonts w:ascii="微软雅黑" w:eastAsia="微软雅黑"/>
          <w:b/>
          <w:sz w:val="20"/>
        </w:rPr>
        <w:t>天</w:t>
      </w:r>
      <w:r>
        <w:rPr>
          <w:rFonts w:ascii="微软雅黑" w:eastAsia="微软雅黑"/>
          <w:b/>
          <w:sz w:val="20"/>
        </w:rPr>
        <w:t>性</w:t>
      </w:r>
      <w:r>
        <w:rPr>
          <w:rFonts w:ascii="微软雅黑" w:eastAsia="微软雅黑"/>
          <w:b/>
          <w:sz w:val="20"/>
        </w:rPr>
        <w:t>畸</w:t>
      </w:r>
      <w:r>
        <w:rPr>
          <w:rFonts w:ascii="微软雅黑" w:eastAsia="微软雅黑"/>
          <w:b/>
          <w:sz w:val="20"/>
        </w:rPr>
        <w:t>形</w:t>
      </w:r>
      <w:r>
        <w:rPr>
          <w:rFonts w:ascii="微软雅黑" w:eastAsia="微软雅黑"/>
          <w:b/>
          <w:sz w:val="20"/>
        </w:rPr>
        <w:t>、</w:t>
      </w:r>
      <w:r>
        <w:rPr>
          <w:rFonts w:ascii="微软雅黑" w:eastAsia="微软雅黑"/>
          <w:b/>
          <w:sz w:val="20"/>
        </w:rPr>
        <w:t>变</w:t>
      </w:r>
      <w:r>
        <w:rPr>
          <w:rFonts w:ascii="微软雅黑" w:eastAsia="微软雅黑"/>
          <w:b/>
          <w:sz w:val="20"/>
        </w:rPr>
        <w:t>形</w:t>
      </w:r>
      <w:r>
        <w:rPr>
          <w:rFonts w:ascii="微软雅黑" w:eastAsia="微软雅黑"/>
          <w:b/>
          <w:sz w:val="20"/>
        </w:rPr>
        <w:t>或染色</w:t>
      </w:r>
      <w:r>
        <w:rPr>
          <w:rFonts w:ascii="微软雅黑" w:eastAsia="微软雅黑"/>
          <w:b/>
          <w:sz w:val="20"/>
        </w:rPr>
        <w:t>体</w:t>
      </w:r>
      <w:r>
        <w:rPr>
          <w:rFonts w:ascii="微软雅黑" w:eastAsia="微软雅黑"/>
          <w:b/>
          <w:sz w:val="20"/>
        </w:rPr>
        <w:t>异</w:t>
      </w:r>
      <w:r>
        <w:rPr>
          <w:rFonts w:ascii="微软雅黑" w:eastAsia="微软雅黑"/>
          <w:b/>
          <w:sz w:val="20"/>
        </w:rPr>
        <w:t>常</w:t>
      </w:r>
      <w:r>
        <w:rPr>
          <w:sz w:val="20"/>
        </w:rPr>
        <w:t>指</w:t>
      </w:r>
      <w:r>
        <w:rPr>
          <w:sz w:val="20"/>
        </w:rPr>
        <w:t>被</w:t>
      </w:r>
      <w:r>
        <w:rPr>
          <w:sz w:val="20"/>
        </w:rPr>
        <w:t>保</w:t>
      </w:r>
      <w:r>
        <w:rPr>
          <w:sz w:val="20"/>
        </w:rPr>
        <w:t>险</w:t>
      </w:r>
      <w:r>
        <w:rPr>
          <w:sz w:val="20"/>
        </w:rPr>
        <w:t>人</w:t>
      </w:r>
      <w:r>
        <w:rPr>
          <w:sz w:val="20"/>
        </w:rPr>
        <w:t>出</w:t>
      </w:r>
      <w:r>
        <w:rPr>
          <w:sz w:val="20"/>
        </w:rPr>
        <w:t>生时就</w:t>
      </w:r>
      <w:r>
        <w:rPr>
          <w:sz w:val="20"/>
        </w:rPr>
        <w:t>具</w:t>
      </w:r>
      <w:r>
        <w:rPr>
          <w:sz w:val="20"/>
        </w:rPr>
        <w:t>有</w:t>
      </w:r>
      <w:r>
        <w:rPr>
          <w:sz w:val="20"/>
        </w:rPr>
        <w:t>的</w:t>
      </w:r>
      <w:r>
        <w:rPr>
          <w:sz w:val="20"/>
        </w:rPr>
        <w:t>畸</w:t>
      </w:r>
      <w:r>
        <w:rPr>
          <w:sz w:val="20"/>
        </w:rPr>
        <w:t>形</w:t>
      </w:r>
      <w:r>
        <w:rPr>
          <w:sz w:val="20"/>
        </w:rPr>
        <w:t>、</w:t>
      </w:r>
      <w:r>
        <w:rPr>
          <w:sz w:val="20"/>
        </w:rPr>
        <w:t>变</w:t>
      </w:r>
      <w:r>
        <w:rPr>
          <w:sz w:val="20"/>
        </w:rPr>
        <w:t>形</w:t>
      </w:r>
      <w:r>
        <w:rPr>
          <w:sz w:val="20"/>
        </w:rPr>
        <w:t>或</w:t>
      </w:r>
      <w:r>
        <w:rPr>
          <w:sz w:val="20"/>
        </w:rPr>
        <w:t>染色体</w:t>
      </w:r>
      <w:r>
        <w:rPr>
          <w:sz w:val="20"/>
        </w:rPr>
        <w:t>异</w:t>
      </w:r>
      <w:r>
        <w:rPr>
          <w:sz w:val="20"/>
        </w:rPr>
        <w:t>常</w:t>
      </w:r>
      <w:r>
        <w:rPr>
          <w:sz w:val="20"/>
        </w:rPr>
        <w:t>。</w:t>
      </w:r>
      <w:r>
        <w:rPr>
          <w:sz w:val="20"/>
        </w:rPr>
        <w:t>先</w:t>
      </w:r>
      <w:r>
        <w:rPr>
          <w:sz w:val="20"/>
        </w:rPr>
        <w:t>天</w:t>
      </w:r>
      <w:r>
        <w:rPr>
          <w:sz w:val="20"/>
        </w:rPr>
        <w:t>性</w:t>
      </w:r>
      <w:r>
        <w:rPr>
          <w:sz w:val="20"/>
        </w:rPr>
        <w:t>畸</w:t>
      </w:r>
      <w:r>
        <w:rPr>
          <w:sz w:val="20"/>
        </w:rPr>
        <w:t>形</w:t>
      </w:r>
      <w:r>
        <w:rPr>
          <w:sz w:val="20"/>
        </w:rPr>
        <w:t>、</w:t>
      </w:r>
      <w:r>
        <w:rPr>
          <w:sz w:val="20"/>
        </w:rPr>
        <w:t>变形和</w:t>
      </w:r>
      <w:r>
        <w:rPr>
          <w:spacing w:val="-2"/>
          <w:sz w:val="20"/>
        </w:rPr>
        <w:t>染</w:t>
      </w:r>
      <w:r>
        <w:rPr>
          <w:spacing w:val="-2"/>
          <w:sz w:val="20"/>
        </w:rPr>
        <w:t>色</w:t>
      </w:r>
      <w:r>
        <w:rPr>
          <w:spacing w:val="-2"/>
          <w:sz w:val="20"/>
        </w:rPr>
        <w:t>体</w:t>
      </w:r>
      <w:r>
        <w:rPr>
          <w:spacing w:val="-2"/>
          <w:sz w:val="20"/>
        </w:rPr>
        <w:t>异</w:t>
      </w:r>
      <w:r>
        <w:rPr>
          <w:spacing w:val="-2"/>
          <w:sz w:val="20"/>
        </w:rPr>
        <w:t>常</w:t>
      </w:r>
      <w:r>
        <w:rPr>
          <w:spacing w:val="-2"/>
          <w:sz w:val="20"/>
        </w:rPr>
        <w:t>依</w:t>
      </w:r>
      <w:r>
        <w:rPr>
          <w:spacing w:val="-2"/>
          <w:sz w:val="20"/>
        </w:rPr>
        <w:t>照</w:t>
      </w:r>
      <w:r>
        <w:rPr>
          <w:spacing w:val="-2"/>
          <w:sz w:val="20"/>
        </w:rPr>
        <w:t>世</w:t>
      </w:r>
      <w:r>
        <w:rPr>
          <w:spacing w:val="-2"/>
          <w:sz w:val="20"/>
        </w:rPr>
        <w:t>界</w:t>
      </w:r>
      <w:r>
        <w:rPr>
          <w:spacing w:val="-2"/>
          <w:sz w:val="20"/>
        </w:rPr>
        <w:t>卫生组织</w:t>
      </w:r>
      <w:r>
        <w:rPr>
          <w:spacing w:val="-2"/>
          <w:sz w:val="20"/>
        </w:rPr>
        <w:t>《</w:t>
      </w:r>
      <w:r>
        <w:rPr>
          <w:spacing w:val="-2"/>
          <w:sz w:val="20"/>
        </w:rPr>
        <w:t>疾</w:t>
      </w:r>
      <w:r>
        <w:rPr>
          <w:spacing w:val="-2"/>
          <w:sz w:val="20"/>
        </w:rPr>
        <w:t>病</w:t>
      </w:r>
      <w:r>
        <w:rPr>
          <w:spacing w:val="-2"/>
          <w:sz w:val="20"/>
        </w:rPr>
        <w:t>和</w:t>
      </w:r>
      <w:r>
        <w:rPr>
          <w:spacing w:val="-2"/>
          <w:sz w:val="20"/>
        </w:rPr>
        <w:t>有</w:t>
      </w:r>
      <w:r>
        <w:rPr>
          <w:spacing w:val="-2"/>
          <w:sz w:val="20"/>
        </w:rPr>
        <w:t>关</w:t>
      </w:r>
      <w:r>
        <w:rPr>
          <w:spacing w:val="-2"/>
          <w:sz w:val="20"/>
        </w:rPr>
        <w:t>健</w:t>
      </w:r>
      <w:r>
        <w:rPr>
          <w:spacing w:val="-2"/>
          <w:sz w:val="20"/>
        </w:rPr>
        <w:t>康</w:t>
      </w:r>
      <w:r>
        <w:rPr>
          <w:spacing w:val="-2"/>
          <w:sz w:val="20"/>
        </w:rPr>
        <w:t>问题的</w:t>
      </w:r>
      <w:r>
        <w:rPr>
          <w:spacing w:val="-2"/>
          <w:sz w:val="20"/>
        </w:rPr>
        <w:t>国</w:t>
      </w:r>
      <w:r>
        <w:rPr>
          <w:spacing w:val="-2"/>
          <w:sz w:val="20"/>
        </w:rPr>
        <w:t>际</w:t>
      </w:r>
      <w:r>
        <w:rPr>
          <w:spacing w:val="-2"/>
          <w:sz w:val="20"/>
        </w:rPr>
        <w:t>统</w:t>
      </w:r>
      <w:r>
        <w:rPr>
          <w:spacing w:val="-2"/>
          <w:sz w:val="20"/>
        </w:rPr>
        <w:t>计</w:t>
      </w:r>
      <w:r>
        <w:rPr>
          <w:spacing w:val="-2"/>
          <w:sz w:val="20"/>
        </w:rPr>
        <w:t>分</w:t>
      </w:r>
      <w:r>
        <w:rPr>
          <w:spacing w:val="-2"/>
          <w:sz w:val="20"/>
        </w:rPr>
        <w:t>类</w:t>
      </w:r>
      <w:r>
        <w:rPr>
          <w:spacing w:val="-2"/>
          <w:sz w:val="20"/>
        </w:rPr>
        <w:t>》</w:t>
      </w:r>
      <w:r>
        <w:rPr>
          <w:spacing w:val="-2"/>
          <w:sz w:val="20"/>
        </w:rPr>
        <w:t>第</w:t>
      </w:r>
      <w:r>
        <w:rPr>
          <w:spacing w:val="-2"/>
          <w:sz w:val="20"/>
        </w:rPr>
        <w:t>十</w:t>
      </w:r>
      <w:r>
        <w:rPr>
          <w:spacing w:val="-2"/>
          <w:sz w:val="20"/>
        </w:rPr>
        <w:t>次修订版（ICD-10）</w:t>
      </w:r>
      <w:r>
        <w:rPr>
          <w:spacing w:val="-2"/>
          <w:sz w:val="20"/>
        </w:rPr>
        <w:t>确</w:t>
      </w:r>
      <w:r>
        <w:rPr>
          <w:spacing w:val="-2"/>
          <w:sz w:val="20"/>
        </w:rPr>
        <w:t>定</w:t>
      </w:r>
      <w:r>
        <w:rPr>
          <w:spacing w:val="-2"/>
          <w:sz w:val="20"/>
        </w:rPr>
        <w:t>。</w:t>
      </w:r>
    </w:p>
    <w:p>
      <w:pPr>
        <w:spacing w:line="293" w:lineRule="exact" w:before="0"/>
        <w:ind w:left="232" w:right="0" w:firstLine="0"/>
        <w:jc w:val="left"/>
        <w:rPr>
          <w:sz w:val="20"/>
        </w:rPr>
      </w:pPr>
      <w:r>
        <w:rPr>
          <w:rFonts w:ascii="微软雅黑" w:eastAsia="微软雅黑"/>
          <w:b/>
          <w:w w:val="95"/>
          <w:position w:val="10"/>
          <w:sz w:val="10"/>
        </w:rPr>
        <w:t>16</w:t>
      </w:r>
      <w:r>
        <w:rPr>
          <w:rFonts w:ascii="微软雅黑" w:eastAsia="微软雅黑"/>
          <w:b/>
          <w:spacing w:val="74"/>
          <w:w w:val="95"/>
          <w:position w:val="10"/>
          <w:sz w:val="10"/>
        </w:rPr>
        <w:t>     </w:t>
      </w:r>
      <w:r>
        <w:rPr>
          <w:rFonts w:ascii="微软雅黑" w:eastAsia="微软雅黑"/>
          <w:b/>
          <w:w w:val="95"/>
          <w:sz w:val="20"/>
        </w:rPr>
        <w:t>保</w:t>
      </w:r>
      <w:r>
        <w:rPr>
          <w:rFonts w:ascii="微软雅黑" w:eastAsia="微软雅黑"/>
          <w:b/>
          <w:w w:val="95"/>
          <w:sz w:val="20"/>
        </w:rPr>
        <w:t>险</w:t>
      </w:r>
      <w:r>
        <w:rPr>
          <w:rFonts w:ascii="微软雅黑" w:eastAsia="微软雅黑"/>
          <w:b/>
          <w:w w:val="95"/>
          <w:sz w:val="20"/>
        </w:rPr>
        <w:t>费</w:t>
      </w:r>
      <w:r>
        <w:rPr>
          <w:rFonts w:ascii="微软雅黑" w:eastAsia="微软雅黑"/>
          <w:b/>
          <w:w w:val="95"/>
          <w:sz w:val="20"/>
        </w:rPr>
        <w:t>约</w:t>
      </w:r>
      <w:r>
        <w:rPr>
          <w:rFonts w:ascii="微软雅黑" w:eastAsia="微软雅黑"/>
          <w:b/>
          <w:w w:val="95"/>
          <w:sz w:val="20"/>
        </w:rPr>
        <w:t>定</w:t>
      </w:r>
      <w:r>
        <w:rPr>
          <w:rFonts w:ascii="微软雅黑" w:eastAsia="微软雅黑"/>
          <w:b/>
          <w:w w:val="95"/>
          <w:sz w:val="20"/>
        </w:rPr>
        <w:t>支</w:t>
      </w:r>
      <w:r>
        <w:rPr>
          <w:rFonts w:ascii="微软雅黑" w:eastAsia="微软雅黑"/>
          <w:b/>
          <w:w w:val="95"/>
          <w:sz w:val="20"/>
        </w:rPr>
        <w:t>付</w:t>
      </w:r>
      <w:r>
        <w:rPr>
          <w:rFonts w:ascii="微软雅黑" w:eastAsia="微软雅黑"/>
          <w:b/>
          <w:w w:val="95"/>
          <w:sz w:val="20"/>
        </w:rPr>
        <w:t>日</w:t>
      </w:r>
      <w:r>
        <w:rPr>
          <w:w w:val="95"/>
          <w:sz w:val="20"/>
        </w:rPr>
        <w:t>指</w:t>
      </w:r>
      <w:r>
        <w:rPr>
          <w:w w:val="95"/>
          <w:sz w:val="20"/>
        </w:rPr>
        <w:t>本</w:t>
      </w:r>
      <w:r>
        <w:rPr>
          <w:w w:val="95"/>
          <w:sz w:val="20"/>
        </w:rPr>
        <w:t>合</w:t>
      </w:r>
      <w:r>
        <w:rPr>
          <w:w w:val="95"/>
          <w:sz w:val="20"/>
        </w:rPr>
        <w:t>同</w:t>
      </w:r>
      <w:r>
        <w:rPr>
          <w:w w:val="95"/>
          <w:sz w:val="20"/>
        </w:rPr>
        <w:t>生效</w:t>
      </w:r>
      <w:r>
        <w:rPr>
          <w:w w:val="95"/>
          <w:sz w:val="20"/>
        </w:rPr>
        <w:t>日</w:t>
      </w:r>
      <w:r>
        <w:rPr>
          <w:w w:val="95"/>
          <w:sz w:val="20"/>
        </w:rPr>
        <w:t>在</w:t>
      </w:r>
      <w:r>
        <w:rPr>
          <w:w w:val="95"/>
          <w:sz w:val="20"/>
        </w:rPr>
        <w:t>每月、</w:t>
      </w:r>
      <w:r>
        <w:rPr>
          <w:w w:val="95"/>
          <w:sz w:val="20"/>
        </w:rPr>
        <w:t>每</w:t>
      </w:r>
      <w:r>
        <w:rPr>
          <w:w w:val="95"/>
          <w:sz w:val="20"/>
        </w:rPr>
        <w:t>季</w:t>
      </w:r>
      <w:r>
        <w:rPr>
          <w:w w:val="95"/>
          <w:sz w:val="20"/>
        </w:rPr>
        <w:t>、每半年或</w:t>
      </w:r>
      <w:r>
        <w:rPr>
          <w:w w:val="95"/>
          <w:sz w:val="20"/>
        </w:rPr>
        <w:t>每</w:t>
      </w:r>
      <w:r>
        <w:rPr>
          <w:w w:val="95"/>
          <w:sz w:val="20"/>
        </w:rPr>
        <w:t>年</w:t>
      </w:r>
      <w:r>
        <w:rPr>
          <w:w w:val="95"/>
          <w:sz w:val="20"/>
        </w:rPr>
        <w:t>（根据</w:t>
      </w:r>
      <w:r>
        <w:rPr>
          <w:w w:val="95"/>
          <w:sz w:val="20"/>
        </w:rPr>
        <w:t>交</w:t>
      </w:r>
      <w:r>
        <w:rPr>
          <w:w w:val="95"/>
          <w:sz w:val="20"/>
        </w:rPr>
        <w:t>费</w:t>
      </w:r>
      <w:r>
        <w:rPr>
          <w:w w:val="95"/>
          <w:sz w:val="20"/>
        </w:rPr>
        <w:t>频次确定）</w:t>
      </w:r>
      <w:r>
        <w:rPr>
          <w:w w:val="95"/>
          <w:sz w:val="20"/>
        </w:rPr>
        <w:t>的</w:t>
      </w:r>
      <w:r>
        <w:rPr>
          <w:w w:val="95"/>
          <w:sz w:val="20"/>
        </w:rPr>
        <w:t>对</w:t>
      </w:r>
      <w:r>
        <w:rPr>
          <w:w w:val="95"/>
          <w:sz w:val="20"/>
        </w:rPr>
        <w:t>应日。</w:t>
      </w:r>
      <w:r>
        <w:rPr>
          <w:w w:val="95"/>
          <w:sz w:val="20"/>
        </w:rPr>
        <w:t>如</w:t>
      </w:r>
      <w:r>
        <w:rPr>
          <w:w w:val="95"/>
          <w:sz w:val="20"/>
        </w:rPr>
        <w:t>果</w:t>
      </w:r>
      <w:r>
        <w:rPr>
          <w:w w:val="95"/>
          <w:sz w:val="20"/>
        </w:rPr>
        <w:t>当</w:t>
      </w:r>
      <w:r>
        <w:rPr>
          <w:spacing w:val="-10"/>
          <w:w w:val="95"/>
          <w:sz w:val="20"/>
        </w:rPr>
        <w:t>月</w:t>
      </w:r>
    </w:p>
    <w:p>
      <w:pPr>
        <w:spacing w:line="234" w:lineRule="exact" w:before="0"/>
        <w:ind w:left="374" w:right="0" w:firstLine="0"/>
        <w:jc w:val="left"/>
        <w:rPr>
          <w:sz w:val="20"/>
        </w:rPr>
      </w:pPr>
      <w:r>
        <w:rPr>
          <w:w w:val="95"/>
          <w:sz w:val="20"/>
        </w:rPr>
        <w:t>无</w:t>
      </w:r>
      <w:r>
        <w:rPr>
          <w:w w:val="95"/>
          <w:sz w:val="20"/>
        </w:rPr>
        <w:t>对</w:t>
      </w:r>
      <w:r>
        <w:rPr>
          <w:w w:val="95"/>
          <w:sz w:val="20"/>
        </w:rPr>
        <w:t>应</w:t>
      </w:r>
      <w:r>
        <w:rPr>
          <w:w w:val="95"/>
          <w:sz w:val="20"/>
        </w:rPr>
        <w:t>的</w:t>
      </w:r>
      <w:r>
        <w:rPr>
          <w:w w:val="95"/>
          <w:sz w:val="20"/>
        </w:rPr>
        <w:t>同</w:t>
      </w:r>
      <w:r>
        <w:rPr>
          <w:w w:val="95"/>
          <w:sz w:val="20"/>
        </w:rPr>
        <w:t>一</w:t>
      </w:r>
      <w:r>
        <w:rPr>
          <w:w w:val="95"/>
          <w:sz w:val="20"/>
        </w:rPr>
        <w:t>日，</w:t>
      </w:r>
      <w:r>
        <w:rPr>
          <w:w w:val="95"/>
          <w:sz w:val="20"/>
        </w:rPr>
        <w:t>则</w:t>
      </w:r>
      <w:r>
        <w:rPr>
          <w:w w:val="95"/>
          <w:sz w:val="20"/>
        </w:rPr>
        <w:t>以该月</w:t>
      </w:r>
      <w:r>
        <w:rPr>
          <w:w w:val="95"/>
          <w:sz w:val="20"/>
        </w:rPr>
        <w:t>最</w:t>
      </w:r>
      <w:r>
        <w:rPr>
          <w:w w:val="95"/>
          <w:sz w:val="20"/>
        </w:rPr>
        <w:t>后</w:t>
      </w:r>
      <w:r>
        <w:rPr>
          <w:w w:val="95"/>
          <w:sz w:val="20"/>
        </w:rPr>
        <w:t>一</w:t>
      </w:r>
      <w:r>
        <w:rPr>
          <w:w w:val="95"/>
          <w:sz w:val="20"/>
        </w:rPr>
        <w:t>日</w:t>
      </w:r>
      <w:r>
        <w:rPr>
          <w:w w:val="95"/>
          <w:sz w:val="20"/>
        </w:rPr>
        <w:t>为</w:t>
      </w:r>
      <w:r>
        <w:rPr>
          <w:w w:val="95"/>
          <w:sz w:val="20"/>
        </w:rPr>
        <w:t>对</w:t>
      </w:r>
      <w:r>
        <w:rPr>
          <w:w w:val="95"/>
          <w:sz w:val="20"/>
        </w:rPr>
        <w:t>应</w:t>
      </w:r>
      <w:r>
        <w:rPr>
          <w:w w:val="95"/>
          <w:sz w:val="20"/>
        </w:rPr>
        <w:t>日</w:t>
      </w:r>
      <w:r>
        <w:rPr>
          <w:spacing w:val="-10"/>
          <w:w w:val="95"/>
          <w:sz w:val="20"/>
        </w:rPr>
        <w:t>。</w:t>
      </w:r>
    </w:p>
    <w:p>
      <w:pPr>
        <w:spacing w:after="0" w:line="234" w:lineRule="exact"/>
        <w:jc w:val="left"/>
        <w:rPr>
          <w:sz w:val="20"/>
        </w:rPr>
        <w:sectPr>
          <w:pgSz w:w="11910" w:h="16840"/>
          <w:pgMar w:header="566" w:footer="664" w:top="1340" w:bottom="860" w:left="900" w:right="720"/>
        </w:sectPr>
      </w:pPr>
    </w:p>
    <w:p>
      <w:pPr>
        <w:pStyle w:val="BodyText"/>
        <w:spacing w:before="85"/>
        <w:ind w:left="3037"/>
      </w:pPr>
      <w:r>
        <w:rPr>
          <w:spacing w:val="-5"/>
        </w:rPr>
        <w:t>费。</w:t>
      </w:r>
    </w:p>
    <w:p>
      <w:pPr>
        <w:pStyle w:val="BodyText"/>
        <w:spacing w:line="278" w:lineRule="auto" w:before="43"/>
        <w:ind w:left="3037" w:right="310"/>
      </w:pPr>
      <w:r>
        <w:rPr>
          <w:spacing w:val="-2"/>
        </w:rPr>
        <w:t>除另有约定外，如果您宽限期结束之时仍未支付保险费，则本合同自宽限期</w:t>
      </w:r>
      <w:r>
        <w:rPr>
          <w:spacing w:val="-2"/>
        </w:rPr>
        <w:t>满的次日零时起效力中止。</w:t>
      </w:r>
    </w:p>
    <w:p>
      <w:pPr>
        <w:pStyle w:val="BodyText"/>
        <w:spacing w:before="3"/>
        <w:rPr>
          <w:sz w:val="16"/>
        </w:rPr>
      </w:pPr>
    </w:p>
    <w:p>
      <w:pPr>
        <w:tabs>
          <w:tab w:pos="1269" w:val="left" w:leader="none"/>
        </w:tabs>
        <w:spacing w:line="199" w:lineRule="auto" w:before="43"/>
        <w:ind w:left="232" w:right="0" w:firstLine="0"/>
        <w:jc w:val="left"/>
        <w:rPr>
          <w:rFonts w:ascii="微软雅黑" w:hAnsi="微软雅黑" w:eastAsia="微软雅黑"/>
          <w:b/>
          <w:sz w:val="24"/>
        </w:rPr>
      </w:pPr>
      <w:r>
        <w:rPr>
          <w:rFonts w:ascii="微软雅黑" w:hAnsi="微软雅黑" w:eastAsia="微软雅黑"/>
          <w:b/>
          <w:spacing w:val="-10"/>
          <w:position w:val="-5"/>
          <w:sz w:val="28"/>
        </w:rPr>
        <w:t>⒋</w:t>
      </w:r>
      <w:r>
        <w:rPr>
          <w:rFonts w:ascii="微软雅黑" w:hAnsi="微软雅黑" w:eastAsia="微软雅黑"/>
          <w:b/>
          <w:position w:val="-5"/>
          <w:sz w:val="28"/>
        </w:rPr>
        <w:tab/>
      </w:r>
      <w:r>
        <w:rPr>
          <w:rFonts w:ascii="微软雅黑" w:hAnsi="微软雅黑" w:eastAsia="微软雅黑"/>
          <w:b/>
          <w:spacing w:val="-2"/>
          <w:sz w:val="24"/>
        </w:rPr>
        <w:t>如何领取保险金</w:t>
      </w:r>
    </w:p>
    <w:p>
      <w:pPr>
        <w:spacing w:before="110"/>
        <w:ind w:left="1270" w:right="0" w:firstLine="0"/>
        <w:jc w:val="left"/>
        <w:rPr>
          <w:rFonts w:ascii="微软雅黑" w:eastAsia="微软雅黑"/>
          <w:b/>
          <w:sz w:val="21"/>
        </w:rPr>
      </w:pPr>
      <w:r>
        <w:rPr>
          <w:rFonts w:ascii="微软雅黑" w:eastAsia="微软雅黑"/>
          <w:b/>
          <w:spacing w:val="-3"/>
          <w:sz w:val="21"/>
        </w:rPr>
        <w:t>这部分描述的是如何领取保险金。</w:t>
      </w:r>
    </w:p>
    <w:p>
      <w:pPr>
        <w:pStyle w:val="BodyText"/>
        <w:spacing w:before="11"/>
        <w:rPr>
          <w:rFonts w:ascii="微软雅黑"/>
          <w:b/>
          <w:sz w:val="2"/>
        </w:rPr>
      </w:pPr>
      <w:r>
        <w:rPr/>
        <w:drawing>
          <wp:anchor distT="0" distB="0" distL="0" distR="0" allowOverlap="1" layoutInCell="1" locked="0" behindDoc="0" simplePos="0" relativeHeight="28">
            <wp:simplePos x="0" y="0"/>
            <wp:positionH relativeFrom="page">
              <wp:posOffset>656844</wp:posOffset>
            </wp:positionH>
            <wp:positionV relativeFrom="paragraph">
              <wp:posOffset>46178</wp:posOffset>
            </wp:positionV>
            <wp:extent cx="6288830" cy="9715"/>
            <wp:effectExtent l="0" t="0" r="0" b="0"/>
            <wp:wrapTopAndBottom/>
            <wp:docPr id="25" name="image10.png"/>
            <wp:cNvGraphicFramePr>
              <a:graphicFrameLocks noChangeAspect="1"/>
            </wp:cNvGraphicFramePr>
            <a:graphic>
              <a:graphicData uri="http://schemas.openxmlformats.org/drawingml/2006/picture">
                <pic:pic>
                  <pic:nvPicPr>
                    <pic:cNvPr id="26" name="image10.png"/>
                    <pic:cNvPicPr/>
                  </pic:nvPicPr>
                  <pic:blipFill>
                    <a:blip r:embed="rId15" cstate="print"/>
                    <a:stretch>
                      <a:fillRect/>
                    </a:stretch>
                  </pic:blipFill>
                  <pic:spPr>
                    <a:xfrm>
                      <a:off x="0" y="0"/>
                      <a:ext cx="6288830" cy="9715"/>
                    </a:xfrm>
                    <a:prstGeom prst="rect">
                      <a:avLst/>
                    </a:prstGeom>
                  </pic:spPr>
                </pic:pic>
              </a:graphicData>
            </a:graphic>
          </wp:anchor>
        </w:drawing>
      </w:r>
    </w:p>
    <w:p>
      <w:pPr>
        <w:pStyle w:val="ListParagraph"/>
        <w:numPr>
          <w:ilvl w:val="1"/>
          <w:numId w:val="17"/>
        </w:numPr>
        <w:tabs>
          <w:tab w:pos="1269" w:val="left" w:leader="none"/>
          <w:tab w:pos="1270" w:val="left" w:leader="none"/>
          <w:tab w:pos="3036" w:val="left" w:leader="none"/>
        </w:tabs>
        <w:spacing w:line="383" w:lineRule="exact" w:before="135" w:after="0"/>
        <w:ind w:left="1270" w:right="0" w:hanging="1038"/>
        <w:jc w:val="left"/>
        <w:rPr>
          <w:sz w:val="21"/>
        </w:rPr>
      </w:pPr>
      <w:r>
        <w:rPr>
          <w:rFonts w:ascii="微软雅黑" w:eastAsia="微软雅黑"/>
          <w:b/>
          <w:sz w:val="21"/>
        </w:rPr>
        <w:t>受益</w:t>
      </w:r>
      <w:r>
        <w:rPr>
          <w:rFonts w:ascii="微软雅黑" w:eastAsia="微软雅黑"/>
          <w:b/>
          <w:spacing w:val="-10"/>
          <w:sz w:val="21"/>
        </w:rPr>
        <w:t>人</w:t>
      </w:r>
      <w:r>
        <w:rPr>
          <w:rFonts w:ascii="微软雅黑" w:eastAsia="微软雅黑"/>
          <w:b/>
          <w:sz w:val="21"/>
        </w:rPr>
        <w:tab/>
      </w:r>
      <w:r>
        <w:rPr>
          <w:spacing w:val="-2"/>
          <w:sz w:val="21"/>
        </w:rPr>
        <w:t>1</w:t>
      </w:r>
      <w:r>
        <w:rPr>
          <w:spacing w:val="-2"/>
          <w:sz w:val="21"/>
        </w:rPr>
        <w:t>、</w:t>
      </w:r>
      <w:r>
        <w:rPr>
          <w:spacing w:val="-2"/>
          <w:sz w:val="21"/>
        </w:rPr>
        <w:t>身故保险金受益</w:t>
      </w:r>
      <w:r>
        <w:rPr>
          <w:spacing w:val="-10"/>
          <w:sz w:val="21"/>
        </w:rPr>
        <w:t>人</w:t>
      </w:r>
    </w:p>
    <w:p>
      <w:pPr>
        <w:pStyle w:val="BodyText"/>
        <w:spacing w:line="265" w:lineRule="exact"/>
        <w:ind w:left="3037"/>
      </w:pPr>
      <w:r>
        <w:rPr>
          <w:spacing w:val="-3"/>
        </w:rPr>
        <w:t>您或者被保险人可以指定一人或多人为身故保险金受益人。</w:t>
      </w:r>
    </w:p>
    <w:p>
      <w:pPr>
        <w:pStyle w:val="BodyText"/>
        <w:spacing w:line="278" w:lineRule="auto" w:before="43"/>
        <w:ind w:left="3037" w:right="310"/>
      </w:pPr>
      <w:r>
        <w:rPr>
          <w:spacing w:val="-2"/>
        </w:rPr>
        <w:t>身故保险金受益人为多人时，可以确定受益顺序和受益份额；如果没有确定</w:t>
      </w:r>
      <w:r>
        <w:rPr>
          <w:spacing w:val="-2"/>
        </w:rPr>
        <w:t>份额，各受益人按照相等份额享有受益权。</w:t>
      </w:r>
    </w:p>
    <w:p>
      <w:pPr>
        <w:pStyle w:val="BodyText"/>
        <w:spacing w:line="278" w:lineRule="auto"/>
        <w:ind w:left="3037" w:right="310"/>
      </w:pPr>
      <w:r>
        <w:rPr>
          <w:spacing w:val="-2"/>
        </w:rPr>
        <w:t>被保险人为无民事行为能力人或限制民事行为能力人的，可以由其监护人指</w:t>
      </w:r>
      <w:r>
        <w:rPr>
          <w:spacing w:val="-2"/>
        </w:rPr>
        <w:t>定受益人。</w:t>
      </w:r>
    </w:p>
    <w:p>
      <w:pPr>
        <w:pStyle w:val="BodyText"/>
        <w:spacing w:line="278" w:lineRule="auto"/>
        <w:ind w:left="3037" w:right="310"/>
      </w:pPr>
      <w:r>
        <w:rPr>
          <w:spacing w:val="-2"/>
        </w:rPr>
        <w:t>您或者被保险人可以变更身故保险金受益人并书面通知我们。我们收到变更</w:t>
      </w:r>
      <w:r>
        <w:rPr>
          <w:spacing w:val="-2"/>
        </w:rPr>
        <w:t>受益人的书面通知后，在保险单或其他保险凭证上批注或附贴批单。</w:t>
      </w:r>
    </w:p>
    <w:p>
      <w:pPr>
        <w:pStyle w:val="BodyText"/>
        <w:spacing w:line="269" w:lineRule="exact"/>
        <w:ind w:left="3037"/>
      </w:pPr>
      <w:r>
        <w:rPr>
          <w:spacing w:val="-3"/>
        </w:rPr>
        <w:t>您在指定和变更身故保险金受益人时，必须经过被保险人同意。</w:t>
      </w:r>
    </w:p>
    <w:p>
      <w:pPr>
        <w:pStyle w:val="BodyText"/>
        <w:spacing w:line="278" w:lineRule="auto" w:before="43"/>
        <w:ind w:left="3037" w:right="310"/>
      </w:pPr>
      <w:r>
        <w:rPr>
          <w:spacing w:val="-2"/>
        </w:rPr>
        <w:t>被保险人身故后，有下列情形之一的，保险金作为被保险人的遗产，由我们</w:t>
      </w:r>
      <w:r>
        <w:rPr>
          <w:spacing w:val="-2"/>
        </w:rPr>
        <w:t>依照被保险人身故时现行有效的关于继承的法律法规履行给付保险金的义</w:t>
      </w:r>
      <w:r>
        <w:rPr>
          <w:spacing w:val="40"/>
        </w:rPr>
        <w:t> </w:t>
      </w:r>
      <w:r>
        <w:rPr>
          <w:spacing w:val="-6"/>
        </w:rPr>
        <w:t>务：</w:t>
      </w:r>
    </w:p>
    <w:p>
      <w:pPr>
        <w:pStyle w:val="ListParagraph"/>
        <w:numPr>
          <w:ilvl w:val="2"/>
          <w:numId w:val="17"/>
        </w:numPr>
        <w:tabs>
          <w:tab w:pos="3566" w:val="left" w:leader="none"/>
        </w:tabs>
        <w:spacing w:line="269" w:lineRule="exact" w:before="0" w:after="0"/>
        <w:ind w:left="3566" w:right="0" w:hanging="529"/>
        <w:jc w:val="left"/>
        <w:rPr>
          <w:sz w:val="21"/>
        </w:rPr>
      </w:pPr>
      <w:r>
        <w:rPr>
          <w:spacing w:val="-3"/>
          <w:sz w:val="21"/>
        </w:rPr>
        <w:t>没有指定受益人，或者受益人指定不明无法确定的；</w:t>
      </w:r>
    </w:p>
    <w:p>
      <w:pPr>
        <w:pStyle w:val="ListParagraph"/>
        <w:numPr>
          <w:ilvl w:val="2"/>
          <w:numId w:val="17"/>
        </w:numPr>
        <w:tabs>
          <w:tab w:pos="3566" w:val="left" w:leader="none"/>
        </w:tabs>
        <w:spacing w:line="240" w:lineRule="auto" w:before="43" w:after="0"/>
        <w:ind w:left="3566" w:right="0" w:hanging="529"/>
        <w:jc w:val="left"/>
        <w:rPr>
          <w:sz w:val="21"/>
        </w:rPr>
      </w:pPr>
      <w:r>
        <w:rPr>
          <w:spacing w:val="-3"/>
          <w:sz w:val="21"/>
        </w:rPr>
        <w:t>受益人先于被保险人身故，没有其他受益人的；</w:t>
      </w:r>
    </w:p>
    <w:p>
      <w:pPr>
        <w:pStyle w:val="ListParagraph"/>
        <w:numPr>
          <w:ilvl w:val="2"/>
          <w:numId w:val="17"/>
        </w:numPr>
        <w:tabs>
          <w:tab w:pos="3566" w:val="left" w:leader="none"/>
        </w:tabs>
        <w:spacing w:line="240" w:lineRule="auto" w:before="43" w:after="0"/>
        <w:ind w:left="3566" w:right="0" w:hanging="529"/>
        <w:jc w:val="left"/>
        <w:rPr>
          <w:sz w:val="21"/>
        </w:rPr>
      </w:pPr>
      <w:r>
        <w:rPr>
          <w:spacing w:val="-3"/>
          <w:sz w:val="21"/>
        </w:rPr>
        <w:t>受益人依法丧失受益权或者放弃受益权，没有其他受益人的。</w:t>
      </w:r>
    </w:p>
    <w:p>
      <w:pPr>
        <w:pStyle w:val="BodyText"/>
        <w:spacing w:line="278" w:lineRule="auto" w:before="43"/>
        <w:ind w:left="3037" w:right="310"/>
      </w:pPr>
      <w:r>
        <w:rPr>
          <w:spacing w:val="-2"/>
        </w:rPr>
        <w:t>受益人与被保险人在同一事件中身故，且不能确定身故先后顺序的，推定受</w:t>
      </w:r>
      <w:r>
        <w:rPr>
          <w:spacing w:val="-2"/>
        </w:rPr>
        <w:t>益人身故在先。</w:t>
      </w:r>
    </w:p>
    <w:p>
      <w:pPr>
        <w:pStyle w:val="BodyText"/>
        <w:spacing w:line="278" w:lineRule="auto"/>
        <w:ind w:left="3037" w:right="310"/>
      </w:pPr>
      <w:r>
        <w:rPr>
          <w:spacing w:val="-2"/>
        </w:rPr>
        <w:t>受益人故意造成被保险人身故、伤残、疾病的，或者故意杀害被保险人未遂</w:t>
      </w:r>
      <w:r>
        <w:rPr>
          <w:spacing w:val="-2"/>
        </w:rPr>
        <w:t>的，该受益人丧失受益权。</w:t>
      </w:r>
    </w:p>
    <w:p>
      <w:pPr>
        <w:pStyle w:val="BodyText"/>
        <w:spacing w:before="156"/>
        <w:ind w:left="3037"/>
      </w:pPr>
      <w:r>
        <w:rPr>
          <w:spacing w:val="-2"/>
        </w:rPr>
        <w:t>2</w:t>
      </w:r>
      <w:r>
        <w:rPr>
          <w:spacing w:val="-3"/>
        </w:rPr>
        <w:t>、除另有约定外，身故保险金以外的保险金受益人为被保险人本人。</w:t>
      </w:r>
    </w:p>
    <w:p>
      <w:pPr>
        <w:pStyle w:val="ListParagraph"/>
        <w:numPr>
          <w:ilvl w:val="1"/>
          <w:numId w:val="17"/>
        </w:numPr>
        <w:tabs>
          <w:tab w:pos="1269" w:val="left" w:leader="none"/>
          <w:tab w:pos="1270" w:val="left" w:leader="none"/>
          <w:tab w:pos="3036" w:val="left" w:leader="none"/>
        </w:tabs>
        <w:spacing w:line="240" w:lineRule="auto" w:before="148" w:after="0"/>
        <w:ind w:left="1270" w:right="0" w:hanging="1038"/>
        <w:jc w:val="left"/>
        <w:rPr>
          <w:sz w:val="22"/>
        </w:rPr>
      </w:pPr>
      <w:r>
        <w:rPr/>
        <w:pict>
          <v:shape style="position:absolute;margin-left:196.850006pt;margin-top:25.698149pt;width:342.3pt;height:14.4pt;mso-position-horizontal-relative:page;mso-position-vertical-relative:paragraph;z-index:15745024" type="#_x0000_t202" id="docshape23" filled="true" fillcolor="#e4e4e4"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1"/>
                      <w:sz w:val="22"/>
                    </w:rPr>
                    <w:t>如果您、被保险人、受益人故意或者因重大过失未及时通知我们，致使</w:t>
                  </w:r>
                </w:p>
              </w:txbxContent>
            </v:textbox>
            <v:fill type="solid"/>
            <w10:wrap type="none"/>
          </v:shape>
        </w:pict>
      </w:r>
      <w:r>
        <w:rPr>
          <w:rFonts w:ascii="微软雅黑" w:eastAsia="微软雅黑"/>
          <w:b/>
          <w:sz w:val="21"/>
        </w:rPr>
        <w:t>保险事故通</w:t>
      </w:r>
      <w:r>
        <w:rPr>
          <w:rFonts w:ascii="微软雅黑" w:eastAsia="微软雅黑"/>
          <w:b/>
          <w:spacing w:val="-10"/>
          <w:sz w:val="21"/>
        </w:rPr>
        <w:t>知</w:t>
      </w:r>
      <w:r>
        <w:rPr>
          <w:rFonts w:ascii="微软雅黑" w:eastAsia="微软雅黑"/>
          <w:b/>
          <w:sz w:val="21"/>
        </w:rPr>
        <w:tab/>
      </w:r>
      <w:r>
        <w:rPr>
          <w:spacing w:val="-2"/>
          <w:sz w:val="21"/>
        </w:rPr>
        <w:t>请</w:t>
      </w:r>
      <w:r>
        <w:rPr>
          <w:spacing w:val="-2"/>
          <w:sz w:val="21"/>
        </w:rPr>
        <w:t>您</w:t>
      </w:r>
      <w:r>
        <w:rPr>
          <w:spacing w:val="-2"/>
          <w:sz w:val="21"/>
        </w:rPr>
        <w:t>、被保险人、受益人</w:t>
      </w:r>
      <w:r>
        <w:rPr>
          <w:spacing w:val="-2"/>
          <w:sz w:val="21"/>
        </w:rPr>
        <w:t>应</w:t>
      </w:r>
      <w:r>
        <w:rPr>
          <w:spacing w:val="-2"/>
          <w:sz w:val="21"/>
        </w:rPr>
        <w:t>于</w:t>
      </w:r>
      <w:r>
        <w:rPr>
          <w:spacing w:val="-2"/>
          <w:sz w:val="21"/>
        </w:rPr>
        <w:t>知道保险事故发生之</w:t>
      </w:r>
      <w:r>
        <w:rPr>
          <w:spacing w:val="-2"/>
          <w:sz w:val="21"/>
        </w:rPr>
        <w:t>日</w:t>
      </w:r>
      <w:r>
        <w:rPr>
          <w:spacing w:val="-2"/>
          <w:sz w:val="21"/>
        </w:rPr>
        <w:t>起</w:t>
      </w:r>
      <w:r>
        <w:rPr>
          <w:spacing w:val="-2"/>
          <w:sz w:val="21"/>
        </w:rPr>
        <w:t>10日内通知我们</w:t>
      </w:r>
      <w:r>
        <w:rPr>
          <w:spacing w:val="-10"/>
          <w:sz w:val="22"/>
        </w:rPr>
        <w:t>。</w:t>
      </w:r>
    </w:p>
    <w:p>
      <w:pPr>
        <w:pStyle w:val="BodyText"/>
        <w:spacing w:before="11"/>
        <w:rPr>
          <w:sz w:val="20"/>
        </w:rPr>
      </w:pPr>
      <w:r>
        <w:rPr/>
        <w:pict>
          <v:shape style="position:absolute;margin-left:196.850006pt;margin-top:14.568933pt;width:342.3pt;height:14.4pt;mso-position-horizontal-relative:page;mso-position-vertical-relative:paragraph;z-index:-15713792;mso-wrap-distance-left:0;mso-wrap-distance-right:0" type="#_x0000_t202" id="docshape24" filled="true" fillcolor="#e4e4e4"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1"/>
                      <w:sz w:val="22"/>
                    </w:rPr>
                    <w:t>保险事故的性质、原因、伤害程度等难以确定的，我们对无法确定的部</w:t>
                  </w:r>
                </w:p>
              </w:txbxContent>
            </v:textbox>
            <v:fill type="solid"/>
            <w10:wrap type="topAndBottom"/>
          </v:shape>
        </w:pict>
      </w:r>
    </w:p>
    <w:p>
      <w:pPr>
        <w:spacing w:line="355" w:lineRule="exact" w:before="0"/>
        <w:ind w:left="3037" w:right="0" w:firstLine="0"/>
        <w:jc w:val="left"/>
        <w:rPr>
          <w:sz w:val="21"/>
        </w:rPr>
      </w:pPr>
      <w:r>
        <w:rPr>
          <w:rFonts w:ascii="微软雅黑" w:eastAsia="微软雅黑"/>
          <w:b/>
          <w:spacing w:val="-11"/>
          <w:sz w:val="22"/>
        </w:rPr>
        <w:t>分不承担保险责任，</w:t>
      </w:r>
      <w:r>
        <w:rPr>
          <w:spacing w:val="-3"/>
          <w:sz w:val="21"/>
        </w:rPr>
        <w:t>但我们通过其他途径已经及时知道或者应当及时知道保</w:t>
      </w:r>
    </w:p>
    <w:p>
      <w:pPr>
        <w:pStyle w:val="BodyText"/>
        <w:spacing w:line="278" w:lineRule="auto"/>
        <w:ind w:left="3037" w:right="310"/>
      </w:pPr>
      <w:r>
        <w:rPr/>
        <w:drawing>
          <wp:anchor distT="0" distB="0" distL="0" distR="0" allowOverlap="1" layoutInCell="1" locked="0" behindDoc="1" simplePos="0" relativeHeight="484193280">
            <wp:simplePos x="0" y="0"/>
            <wp:positionH relativeFrom="page">
              <wp:posOffset>2499995</wp:posOffset>
            </wp:positionH>
            <wp:positionV relativeFrom="paragraph">
              <wp:posOffset>-204978</wp:posOffset>
            </wp:positionV>
            <wp:extent cx="1211580" cy="182879"/>
            <wp:effectExtent l="0" t="0" r="0" b="0"/>
            <wp:wrapNone/>
            <wp:docPr id="27" name="image11.png"/>
            <wp:cNvGraphicFramePr>
              <a:graphicFrameLocks noChangeAspect="1"/>
            </wp:cNvGraphicFramePr>
            <a:graphic>
              <a:graphicData uri="http://schemas.openxmlformats.org/drawingml/2006/picture">
                <pic:pic>
                  <pic:nvPicPr>
                    <pic:cNvPr id="28" name="image11.png"/>
                    <pic:cNvPicPr/>
                  </pic:nvPicPr>
                  <pic:blipFill>
                    <a:blip r:embed="rId16" cstate="print"/>
                    <a:stretch>
                      <a:fillRect/>
                    </a:stretch>
                  </pic:blipFill>
                  <pic:spPr>
                    <a:xfrm>
                      <a:off x="0" y="0"/>
                      <a:ext cx="1211580" cy="182879"/>
                    </a:xfrm>
                    <a:prstGeom prst="rect">
                      <a:avLst/>
                    </a:prstGeom>
                  </pic:spPr>
                </pic:pic>
              </a:graphicData>
            </a:graphic>
          </wp:anchor>
        </w:drawing>
      </w:r>
      <w:r>
        <w:rPr>
          <w:spacing w:val="-2"/>
        </w:rPr>
        <w:t>险事故发生或者虽未及时通知但不影响我们确定保险事故的性质、原因、损</w:t>
      </w:r>
      <w:r>
        <w:rPr>
          <w:spacing w:val="-2"/>
        </w:rPr>
        <w:t>失程度的除外。</w:t>
      </w:r>
    </w:p>
    <w:p>
      <w:pPr>
        <w:pStyle w:val="ListParagraph"/>
        <w:numPr>
          <w:ilvl w:val="1"/>
          <w:numId w:val="17"/>
        </w:numPr>
        <w:tabs>
          <w:tab w:pos="1269" w:val="left" w:leader="none"/>
          <w:tab w:pos="1270" w:val="left" w:leader="none"/>
          <w:tab w:pos="3036" w:val="left" w:leader="none"/>
        </w:tabs>
        <w:spacing w:line="240" w:lineRule="auto" w:before="95" w:after="0"/>
        <w:ind w:left="1270" w:right="0" w:hanging="1038"/>
        <w:jc w:val="left"/>
        <w:rPr>
          <w:sz w:val="21"/>
        </w:rPr>
      </w:pPr>
      <w:r>
        <w:rPr>
          <w:rFonts w:ascii="微软雅黑" w:eastAsia="微软雅黑"/>
          <w:b/>
          <w:sz w:val="21"/>
        </w:rPr>
        <w:t>保险金申</w:t>
      </w:r>
      <w:r>
        <w:rPr>
          <w:rFonts w:ascii="微软雅黑" w:eastAsia="微软雅黑"/>
          <w:b/>
          <w:spacing w:val="-10"/>
          <w:sz w:val="21"/>
        </w:rPr>
        <w:t>请</w:t>
      </w:r>
      <w:r>
        <w:rPr>
          <w:rFonts w:ascii="微软雅黑" w:eastAsia="微软雅黑"/>
          <w:b/>
          <w:sz w:val="21"/>
        </w:rPr>
        <w:tab/>
      </w:r>
      <w:r>
        <w:rPr>
          <w:w w:val="95"/>
          <w:sz w:val="21"/>
        </w:rPr>
        <w:t>申</w:t>
      </w:r>
      <w:r>
        <w:rPr>
          <w:w w:val="95"/>
          <w:sz w:val="21"/>
        </w:rPr>
        <w:t>请</w:t>
      </w:r>
      <w:r>
        <w:rPr>
          <w:w w:val="95"/>
          <w:sz w:val="21"/>
        </w:rPr>
        <w:t>各项保险金时，</w:t>
      </w:r>
      <w:r>
        <w:rPr>
          <w:rFonts w:ascii="微软雅黑" w:eastAsia="微软雅黑"/>
          <w:b/>
          <w:w w:val="95"/>
          <w:sz w:val="21"/>
        </w:rPr>
        <w:t>申请人</w:t>
      </w:r>
      <w:r>
        <w:rPr>
          <w:rFonts w:ascii="微软雅黑" w:eastAsia="微软雅黑"/>
          <w:b/>
          <w:w w:val="95"/>
          <w:position w:val="11"/>
          <w:sz w:val="11"/>
        </w:rPr>
        <w:t>17</w:t>
      </w:r>
      <w:r>
        <w:rPr>
          <w:w w:val="95"/>
          <w:sz w:val="21"/>
        </w:rPr>
        <w:t>应提供相关证明文件和</w:t>
      </w:r>
      <w:r>
        <w:rPr>
          <w:w w:val="95"/>
          <w:sz w:val="21"/>
        </w:rPr>
        <w:t>资</w:t>
      </w:r>
      <w:r>
        <w:rPr>
          <w:w w:val="95"/>
          <w:sz w:val="21"/>
        </w:rPr>
        <w:t>料</w:t>
      </w:r>
      <w:r>
        <w:rPr>
          <w:spacing w:val="-10"/>
          <w:w w:val="95"/>
          <w:sz w:val="21"/>
        </w:rPr>
        <w:t>。</w:t>
      </w:r>
    </w:p>
    <w:p>
      <w:pPr>
        <w:pStyle w:val="ListParagraph"/>
        <w:numPr>
          <w:ilvl w:val="2"/>
          <w:numId w:val="18"/>
        </w:numPr>
        <w:tabs>
          <w:tab w:pos="1269" w:val="left" w:leader="none"/>
          <w:tab w:pos="1270" w:val="left" w:leader="none"/>
          <w:tab w:pos="3036" w:val="left" w:leader="none"/>
        </w:tabs>
        <w:spacing w:line="354" w:lineRule="exact" w:before="92" w:after="0"/>
        <w:ind w:left="1270" w:right="0" w:hanging="1038"/>
        <w:jc w:val="left"/>
        <w:rPr>
          <w:sz w:val="21"/>
        </w:rPr>
      </w:pPr>
      <w:r>
        <w:rPr>
          <w:rFonts w:ascii="微软雅黑" w:eastAsia="微软雅黑"/>
          <w:b/>
          <w:position w:val="-1"/>
          <w:sz w:val="21"/>
        </w:rPr>
        <w:t>身故保险金申</w:t>
      </w:r>
      <w:r>
        <w:rPr>
          <w:rFonts w:ascii="微软雅黑" w:eastAsia="微软雅黑"/>
          <w:b/>
          <w:spacing w:val="-10"/>
          <w:position w:val="-1"/>
          <w:sz w:val="21"/>
        </w:rPr>
        <w:t>请</w:t>
      </w:r>
      <w:r>
        <w:rPr>
          <w:rFonts w:ascii="微软雅黑" w:eastAsia="微软雅黑"/>
          <w:b/>
          <w:position w:val="-1"/>
          <w:sz w:val="21"/>
        </w:rPr>
        <w:tab/>
      </w:r>
      <w:r>
        <w:rPr>
          <w:spacing w:val="-2"/>
          <w:sz w:val="21"/>
        </w:rPr>
        <w:t>申</w:t>
      </w:r>
      <w:r>
        <w:rPr>
          <w:spacing w:val="-2"/>
          <w:sz w:val="21"/>
        </w:rPr>
        <w:t>请</w:t>
      </w:r>
      <w:r>
        <w:rPr>
          <w:spacing w:val="-2"/>
          <w:sz w:val="21"/>
        </w:rPr>
        <w:t>人申请身故保险金时，</w:t>
      </w:r>
      <w:r>
        <w:rPr>
          <w:spacing w:val="-2"/>
          <w:sz w:val="21"/>
        </w:rPr>
        <w:t>应</w:t>
      </w:r>
      <w:r>
        <w:rPr>
          <w:spacing w:val="-2"/>
          <w:sz w:val="21"/>
        </w:rPr>
        <w:t>提供下列证明文件和</w:t>
      </w:r>
      <w:r>
        <w:rPr>
          <w:spacing w:val="-2"/>
          <w:sz w:val="21"/>
        </w:rPr>
        <w:t>资</w:t>
      </w:r>
      <w:r>
        <w:rPr>
          <w:spacing w:val="-2"/>
          <w:sz w:val="21"/>
        </w:rPr>
        <w:t>料</w:t>
      </w:r>
      <w:r>
        <w:rPr>
          <w:spacing w:val="-10"/>
          <w:sz w:val="21"/>
        </w:rPr>
        <w:t>：</w:t>
      </w:r>
    </w:p>
    <w:p>
      <w:pPr>
        <w:pStyle w:val="ListParagraph"/>
        <w:numPr>
          <w:ilvl w:val="3"/>
          <w:numId w:val="18"/>
        </w:numPr>
        <w:tabs>
          <w:tab w:pos="3566" w:val="left" w:leader="none"/>
        </w:tabs>
        <w:spacing w:line="236" w:lineRule="exact" w:before="0" w:after="0"/>
        <w:ind w:left="3566" w:right="0" w:hanging="529"/>
        <w:jc w:val="left"/>
        <w:rPr>
          <w:sz w:val="21"/>
        </w:rPr>
      </w:pPr>
      <w:r>
        <w:rPr>
          <w:spacing w:val="-4"/>
          <w:sz w:val="21"/>
        </w:rPr>
        <w:t>理赔申请书；</w:t>
      </w:r>
    </w:p>
    <w:p>
      <w:pPr>
        <w:pStyle w:val="ListParagraph"/>
        <w:numPr>
          <w:ilvl w:val="3"/>
          <w:numId w:val="18"/>
        </w:numPr>
        <w:tabs>
          <w:tab w:pos="3566" w:val="left" w:leader="none"/>
        </w:tabs>
        <w:spacing w:line="238" w:lineRule="exact" w:before="2" w:after="0"/>
        <w:ind w:left="3566" w:right="0" w:hanging="529"/>
        <w:jc w:val="left"/>
        <w:rPr>
          <w:sz w:val="21"/>
        </w:rPr>
      </w:pPr>
      <w:r>
        <w:rPr>
          <w:spacing w:val="-4"/>
          <w:sz w:val="21"/>
        </w:rPr>
        <w:t>保险合同；</w:t>
      </w:r>
    </w:p>
    <w:p>
      <w:pPr>
        <w:pStyle w:val="ListParagraph"/>
        <w:numPr>
          <w:ilvl w:val="3"/>
          <w:numId w:val="18"/>
        </w:numPr>
        <w:tabs>
          <w:tab w:pos="3566" w:val="left" w:leader="none"/>
        </w:tabs>
        <w:spacing w:line="331" w:lineRule="exact" w:before="0" w:after="0"/>
        <w:ind w:left="3566" w:right="0" w:hanging="529"/>
        <w:jc w:val="left"/>
        <w:rPr>
          <w:sz w:val="21"/>
        </w:rPr>
      </w:pPr>
      <w:r>
        <w:rPr>
          <w:spacing w:val="-2"/>
          <w:sz w:val="21"/>
        </w:rPr>
        <w:t>申请人的</w:t>
      </w:r>
      <w:r>
        <w:rPr>
          <w:rFonts w:ascii="微软雅黑" w:eastAsia="微软雅黑"/>
          <w:b/>
          <w:spacing w:val="-2"/>
          <w:sz w:val="21"/>
        </w:rPr>
        <w:t>有效身份证件</w:t>
      </w:r>
      <w:r>
        <w:rPr>
          <w:rFonts w:ascii="微软雅黑" w:eastAsia="微软雅黑"/>
          <w:b/>
          <w:spacing w:val="-5"/>
          <w:position w:val="11"/>
          <w:sz w:val="11"/>
        </w:rPr>
        <w:t>18</w:t>
      </w:r>
      <w:r>
        <w:rPr>
          <w:spacing w:val="-5"/>
          <w:sz w:val="21"/>
        </w:rPr>
        <w:t>；</w:t>
      </w:r>
    </w:p>
    <w:p>
      <w:pPr>
        <w:pStyle w:val="ListParagraph"/>
        <w:numPr>
          <w:ilvl w:val="3"/>
          <w:numId w:val="18"/>
        </w:numPr>
        <w:tabs>
          <w:tab w:pos="3566" w:val="left" w:leader="none"/>
        </w:tabs>
        <w:spacing w:line="245" w:lineRule="exact" w:before="0" w:after="0"/>
        <w:ind w:left="3566" w:right="0" w:hanging="529"/>
        <w:jc w:val="left"/>
        <w:rPr>
          <w:sz w:val="21"/>
        </w:rPr>
      </w:pPr>
      <w:r>
        <w:rPr>
          <w:spacing w:val="-5"/>
          <w:sz w:val="21"/>
        </w:rPr>
        <w:t>国家卫生行政部门认定的医疗机构、公安部门或其他相关机构出具的被</w:t>
      </w:r>
    </w:p>
    <w:p>
      <w:pPr>
        <w:pStyle w:val="BodyText"/>
        <w:spacing w:before="4"/>
        <w:rPr>
          <w:sz w:val="11"/>
        </w:rPr>
      </w:pPr>
      <w:r>
        <w:rPr/>
        <w:drawing>
          <wp:anchor distT="0" distB="0" distL="0" distR="0" allowOverlap="1" layoutInCell="1" locked="0" behindDoc="0" simplePos="0" relativeHeight="30">
            <wp:simplePos x="0" y="0"/>
            <wp:positionH relativeFrom="page">
              <wp:posOffset>719327</wp:posOffset>
            </wp:positionH>
            <wp:positionV relativeFrom="paragraph">
              <wp:posOffset>107456</wp:posOffset>
            </wp:positionV>
            <wp:extent cx="1829282" cy="6096"/>
            <wp:effectExtent l="0" t="0" r="0" b="0"/>
            <wp:wrapTopAndBottom/>
            <wp:docPr id="29" name="image7.png"/>
            <wp:cNvGraphicFramePr>
              <a:graphicFrameLocks noChangeAspect="1"/>
            </wp:cNvGraphicFramePr>
            <a:graphic>
              <a:graphicData uri="http://schemas.openxmlformats.org/drawingml/2006/picture">
                <pic:pic>
                  <pic:nvPicPr>
                    <pic:cNvPr id="30" name="image7.png"/>
                    <pic:cNvPicPr/>
                  </pic:nvPicPr>
                  <pic:blipFill>
                    <a:blip r:embed="rId12" cstate="print"/>
                    <a:stretch>
                      <a:fillRect/>
                    </a:stretch>
                  </pic:blipFill>
                  <pic:spPr>
                    <a:xfrm>
                      <a:off x="0" y="0"/>
                      <a:ext cx="1829282" cy="6096"/>
                    </a:xfrm>
                    <a:prstGeom prst="rect">
                      <a:avLst/>
                    </a:prstGeom>
                  </pic:spPr>
                </pic:pic>
              </a:graphicData>
            </a:graphic>
          </wp:anchor>
        </w:drawing>
      </w:r>
    </w:p>
    <w:p>
      <w:pPr>
        <w:spacing w:line="314" w:lineRule="exact" w:before="36"/>
        <w:ind w:left="232" w:right="0" w:firstLine="0"/>
        <w:jc w:val="left"/>
        <w:rPr>
          <w:sz w:val="20"/>
        </w:rPr>
      </w:pPr>
      <w:r>
        <w:rPr>
          <w:rFonts w:ascii="微软雅黑" w:eastAsia="微软雅黑"/>
          <w:b/>
          <w:w w:val="95"/>
          <w:position w:val="10"/>
          <w:sz w:val="10"/>
        </w:rPr>
        <w:t>17</w:t>
      </w:r>
      <w:r>
        <w:rPr>
          <w:rFonts w:ascii="微软雅黑" w:eastAsia="微软雅黑"/>
          <w:b/>
          <w:spacing w:val="74"/>
          <w:position w:val="10"/>
          <w:sz w:val="10"/>
        </w:rPr>
        <w:t>    </w:t>
      </w:r>
      <w:r>
        <w:rPr>
          <w:rFonts w:ascii="微软雅黑" w:eastAsia="微软雅黑"/>
          <w:b/>
          <w:w w:val="95"/>
          <w:sz w:val="20"/>
        </w:rPr>
        <w:t>申</w:t>
      </w:r>
      <w:r>
        <w:rPr>
          <w:rFonts w:ascii="微软雅黑" w:eastAsia="微软雅黑"/>
          <w:b/>
          <w:w w:val="95"/>
          <w:sz w:val="20"/>
        </w:rPr>
        <w:t>请</w:t>
      </w:r>
      <w:r>
        <w:rPr>
          <w:rFonts w:ascii="微软雅黑" w:eastAsia="微软雅黑"/>
          <w:b/>
          <w:w w:val="95"/>
          <w:sz w:val="20"/>
        </w:rPr>
        <w:t>人</w:t>
      </w:r>
      <w:r>
        <w:rPr>
          <w:w w:val="95"/>
          <w:sz w:val="20"/>
        </w:rPr>
        <w:t>，</w:t>
      </w:r>
      <w:r>
        <w:rPr>
          <w:w w:val="95"/>
          <w:sz w:val="20"/>
        </w:rPr>
        <w:t>保</w:t>
      </w:r>
      <w:r>
        <w:rPr>
          <w:w w:val="95"/>
          <w:sz w:val="20"/>
        </w:rPr>
        <w:t>险</w:t>
      </w:r>
      <w:r>
        <w:rPr>
          <w:w w:val="95"/>
          <w:sz w:val="20"/>
        </w:rPr>
        <w:t>金</w:t>
      </w:r>
      <w:r>
        <w:rPr>
          <w:w w:val="95"/>
          <w:sz w:val="20"/>
        </w:rPr>
        <w:t>的</w:t>
      </w:r>
      <w:r>
        <w:rPr>
          <w:w w:val="95"/>
          <w:sz w:val="20"/>
        </w:rPr>
        <w:t>申</w:t>
      </w:r>
      <w:r>
        <w:rPr>
          <w:w w:val="95"/>
          <w:sz w:val="20"/>
        </w:rPr>
        <w:t>请</w:t>
      </w:r>
      <w:r>
        <w:rPr>
          <w:w w:val="95"/>
          <w:sz w:val="20"/>
        </w:rPr>
        <w:t>人</w:t>
      </w:r>
      <w:r>
        <w:rPr>
          <w:w w:val="95"/>
          <w:sz w:val="20"/>
        </w:rPr>
        <w:t>为</w:t>
      </w:r>
      <w:r>
        <w:rPr>
          <w:w w:val="95"/>
          <w:sz w:val="20"/>
        </w:rPr>
        <w:t>受</w:t>
      </w:r>
      <w:r>
        <w:rPr>
          <w:w w:val="95"/>
          <w:sz w:val="20"/>
        </w:rPr>
        <w:t>益</w:t>
      </w:r>
      <w:r>
        <w:rPr>
          <w:w w:val="95"/>
          <w:sz w:val="20"/>
        </w:rPr>
        <w:t>人，</w:t>
      </w:r>
      <w:r>
        <w:rPr>
          <w:w w:val="95"/>
          <w:sz w:val="20"/>
        </w:rPr>
        <w:t>豁</w:t>
      </w:r>
      <w:r>
        <w:rPr>
          <w:w w:val="95"/>
          <w:sz w:val="20"/>
        </w:rPr>
        <w:t>免</w:t>
      </w:r>
      <w:r>
        <w:rPr>
          <w:w w:val="95"/>
          <w:sz w:val="20"/>
        </w:rPr>
        <w:t>保</w:t>
      </w:r>
      <w:r>
        <w:rPr>
          <w:w w:val="95"/>
          <w:sz w:val="20"/>
        </w:rPr>
        <w:t>险</w:t>
      </w:r>
      <w:r>
        <w:rPr>
          <w:w w:val="95"/>
          <w:sz w:val="20"/>
        </w:rPr>
        <w:t>费的申</w:t>
      </w:r>
      <w:r>
        <w:rPr>
          <w:w w:val="95"/>
          <w:sz w:val="20"/>
        </w:rPr>
        <w:t>请</w:t>
      </w:r>
      <w:r>
        <w:rPr>
          <w:w w:val="95"/>
          <w:sz w:val="20"/>
        </w:rPr>
        <w:t>人</w:t>
      </w:r>
      <w:r>
        <w:rPr>
          <w:w w:val="95"/>
          <w:sz w:val="20"/>
        </w:rPr>
        <w:t>为</w:t>
      </w:r>
      <w:r>
        <w:rPr>
          <w:w w:val="95"/>
          <w:sz w:val="20"/>
        </w:rPr>
        <w:t>投</w:t>
      </w:r>
      <w:r>
        <w:rPr>
          <w:w w:val="95"/>
          <w:sz w:val="20"/>
        </w:rPr>
        <w:t>保</w:t>
      </w:r>
      <w:r>
        <w:rPr>
          <w:w w:val="95"/>
          <w:sz w:val="20"/>
        </w:rPr>
        <w:t>人</w:t>
      </w:r>
      <w:r>
        <w:rPr>
          <w:w w:val="95"/>
          <w:sz w:val="20"/>
        </w:rPr>
        <w:t>、</w:t>
      </w:r>
      <w:r>
        <w:rPr>
          <w:w w:val="95"/>
          <w:sz w:val="20"/>
        </w:rPr>
        <w:t>被</w:t>
      </w:r>
      <w:r>
        <w:rPr>
          <w:w w:val="95"/>
          <w:sz w:val="20"/>
        </w:rPr>
        <w:t>保</w:t>
      </w:r>
      <w:r>
        <w:rPr>
          <w:w w:val="95"/>
          <w:sz w:val="20"/>
        </w:rPr>
        <w:t>险人或</w:t>
      </w:r>
      <w:r>
        <w:rPr>
          <w:w w:val="95"/>
          <w:sz w:val="20"/>
        </w:rPr>
        <w:t>受</w:t>
      </w:r>
      <w:r>
        <w:rPr>
          <w:w w:val="95"/>
          <w:sz w:val="20"/>
        </w:rPr>
        <w:t>益</w:t>
      </w:r>
      <w:r>
        <w:rPr>
          <w:w w:val="95"/>
          <w:sz w:val="20"/>
        </w:rPr>
        <w:t>人</w:t>
      </w:r>
      <w:r>
        <w:rPr>
          <w:spacing w:val="-10"/>
          <w:w w:val="95"/>
          <w:sz w:val="20"/>
        </w:rPr>
        <w:t>。</w:t>
      </w:r>
    </w:p>
    <w:p>
      <w:pPr>
        <w:spacing w:line="291" w:lineRule="exact" w:before="0"/>
        <w:ind w:left="232" w:right="0" w:firstLine="0"/>
        <w:jc w:val="left"/>
        <w:rPr>
          <w:sz w:val="20"/>
        </w:rPr>
      </w:pPr>
      <w:r>
        <w:rPr>
          <w:rFonts w:ascii="微软雅黑" w:eastAsia="微软雅黑"/>
          <w:b/>
          <w:w w:val="95"/>
          <w:position w:val="10"/>
          <w:sz w:val="10"/>
        </w:rPr>
        <w:t>18</w:t>
      </w:r>
      <w:r>
        <w:rPr>
          <w:rFonts w:ascii="微软雅黑" w:eastAsia="微软雅黑"/>
          <w:b/>
          <w:spacing w:val="79"/>
          <w:w w:val="150"/>
          <w:position w:val="10"/>
          <w:sz w:val="10"/>
        </w:rPr>
        <w:t>    </w:t>
      </w:r>
      <w:r>
        <w:rPr>
          <w:rFonts w:ascii="微软雅黑" w:eastAsia="微软雅黑"/>
          <w:b/>
          <w:w w:val="95"/>
          <w:sz w:val="20"/>
        </w:rPr>
        <w:t>有</w:t>
      </w:r>
      <w:r>
        <w:rPr>
          <w:rFonts w:ascii="微软雅黑" w:eastAsia="微软雅黑"/>
          <w:b/>
          <w:w w:val="95"/>
          <w:sz w:val="20"/>
        </w:rPr>
        <w:t>效</w:t>
      </w:r>
      <w:r>
        <w:rPr>
          <w:rFonts w:ascii="微软雅黑" w:eastAsia="微软雅黑"/>
          <w:b/>
          <w:w w:val="95"/>
          <w:sz w:val="20"/>
        </w:rPr>
        <w:t>身</w:t>
      </w:r>
      <w:r>
        <w:rPr>
          <w:rFonts w:ascii="微软雅黑" w:eastAsia="微软雅黑"/>
          <w:b/>
          <w:w w:val="95"/>
          <w:sz w:val="20"/>
        </w:rPr>
        <w:t>份</w:t>
      </w:r>
      <w:r>
        <w:rPr>
          <w:rFonts w:ascii="微软雅黑" w:eastAsia="微软雅黑"/>
          <w:b/>
          <w:w w:val="95"/>
          <w:sz w:val="20"/>
        </w:rPr>
        <w:t>证</w:t>
      </w:r>
      <w:r>
        <w:rPr>
          <w:rFonts w:ascii="微软雅黑" w:eastAsia="微软雅黑"/>
          <w:b/>
          <w:w w:val="95"/>
          <w:sz w:val="20"/>
        </w:rPr>
        <w:t>件</w:t>
      </w:r>
      <w:r>
        <w:rPr>
          <w:w w:val="95"/>
          <w:sz w:val="20"/>
        </w:rPr>
        <w:t>指</w:t>
      </w:r>
      <w:r>
        <w:rPr>
          <w:w w:val="95"/>
          <w:sz w:val="20"/>
        </w:rPr>
        <w:t>由</w:t>
      </w:r>
      <w:r>
        <w:rPr>
          <w:w w:val="95"/>
          <w:sz w:val="20"/>
        </w:rPr>
        <w:t>中</w:t>
      </w:r>
      <w:r>
        <w:rPr>
          <w:w w:val="95"/>
          <w:sz w:val="20"/>
        </w:rPr>
        <w:t>华</w:t>
      </w:r>
      <w:r>
        <w:rPr>
          <w:w w:val="95"/>
          <w:sz w:val="20"/>
        </w:rPr>
        <w:t>人</w:t>
      </w:r>
      <w:r>
        <w:rPr>
          <w:w w:val="95"/>
          <w:sz w:val="20"/>
        </w:rPr>
        <w:t>民</w:t>
      </w:r>
      <w:r>
        <w:rPr>
          <w:w w:val="95"/>
          <w:sz w:val="20"/>
        </w:rPr>
        <w:t>共</w:t>
      </w:r>
      <w:r>
        <w:rPr>
          <w:w w:val="95"/>
          <w:sz w:val="20"/>
        </w:rPr>
        <w:t>和</w:t>
      </w:r>
      <w:r>
        <w:rPr>
          <w:w w:val="95"/>
          <w:sz w:val="20"/>
        </w:rPr>
        <w:t>国</w:t>
      </w:r>
      <w:r>
        <w:rPr>
          <w:w w:val="95"/>
          <w:sz w:val="20"/>
        </w:rPr>
        <w:t>政</w:t>
      </w:r>
      <w:r>
        <w:rPr>
          <w:w w:val="95"/>
          <w:sz w:val="20"/>
        </w:rPr>
        <w:t>府</w:t>
      </w:r>
      <w:r>
        <w:rPr>
          <w:w w:val="95"/>
          <w:sz w:val="20"/>
        </w:rPr>
        <w:t>主</w:t>
      </w:r>
      <w:r>
        <w:rPr>
          <w:w w:val="95"/>
          <w:sz w:val="20"/>
        </w:rPr>
        <w:t>管</w:t>
      </w:r>
      <w:r>
        <w:rPr>
          <w:w w:val="95"/>
          <w:sz w:val="20"/>
        </w:rPr>
        <w:t>部</w:t>
      </w:r>
      <w:r>
        <w:rPr>
          <w:w w:val="95"/>
          <w:sz w:val="20"/>
        </w:rPr>
        <w:t>门规定</w:t>
      </w:r>
      <w:r>
        <w:rPr>
          <w:w w:val="95"/>
          <w:sz w:val="20"/>
        </w:rPr>
        <w:t>的</w:t>
      </w:r>
      <w:r>
        <w:rPr>
          <w:w w:val="95"/>
          <w:sz w:val="20"/>
        </w:rPr>
        <w:t>能</w:t>
      </w:r>
      <w:r>
        <w:rPr>
          <w:w w:val="95"/>
          <w:sz w:val="20"/>
        </w:rPr>
        <w:t>够</w:t>
      </w:r>
      <w:r>
        <w:rPr>
          <w:w w:val="95"/>
          <w:sz w:val="20"/>
        </w:rPr>
        <w:t>证</w:t>
      </w:r>
      <w:r>
        <w:rPr>
          <w:w w:val="95"/>
          <w:sz w:val="20"/>
        </w:rPr>
        <w:t>明</w:t>
      </w:r>
      <w:r>
        <w:rPr>
          <w:w w:val="95"/>
          <w:sz w:val="20"/>
        </w:rPr>
        <w:t>其</w:t>
      </w:r>
      <w:r>
        <w:rPr>
          <w:w w:val="95"/>
          <w:sz w:val="20"/>
        </w:rPr>
        <w:t>身</w:t>
      </w:r>
      <w:r>
        <w:rPr>
          <w:w w:val="95"/>
          <w:sz w:val="20"/>
        </w:rPr>
        <w:t>份</w:t>
      </w:r>
      <w:r>
        <w:rPr>
          <w:w w:val="95"/>
          <w:sz w:val="20"/>
        </w:rPr>
        <w:t>的</w:t>
      </w:r>
      <w:r>
        <w:rPr>
          <w:spacing w:val="-25"/>
          <w:w w:val="95"/>
          <w:sz w:val="20"/>
        </w:rPr>
        <w:t>证件，如：有效</w:t>
      </w:r>
      <w:r>
        <w:rPr>
          <w:w w:val="95"/>
          <w:sz w:val="20"/>
        </w:rPr>
        <w:t>期</w:t>
      </w:r>
      <w:r>
        <w:rPr>
          <w:w w:val="95"/>
          <w:sz w:val="20"/>
        </w:rPr>
        <w:t>内</w:t>
      </w:r>
      <w:r>
        <w:rPr>
          <w:w w:val="95"/>
          <w:sz w:val="20"/>
        </w:rPr>
        <w:t>的</w:t>
      </w:r>
      <w:r>
        <w:rPr>
          <w:w w:val="95"/>
          <w:sz w:val="20"/>
        </w:rPr>
        <w:t>居</w:t>
      </w:r>
      <w:r>
        <w:rPr>
          <w:w w:val="95"/>
          <w:sz w:val="20"/>
        </w:rPr>
        <w:t>民</w:t>
      </w:r>
      <w:r>
        <w:rPr>
          <w:w w:val="95"/>
          <w:sz w:val="20"/>
        </w:rPr>
        <w:t>身</w:t>
      </w:r>
      <w:r>
        <w:rPr>
          <w:w w:val="95"/>
          <w:sz w:val="20"/>
        </w:rPr>
        <w:t>份</w:t>
      </w:r>
      <w:r>
        <w:rPr>
          <w:w w:val="95"/>
          <w:sz w:val="20"/>
        </w:rPr>
        <w:t>证</w:t>
      </w:r>
      <w:r>
        <w:rPr>
          <w:spacing w:val="-10"/>
          <w:w w:val="95"/>
          <w:sz w:val="20"/>
        </w:rPr>
        <w:t>、</w:t>
      </w:r>
    </w:p>
    <w:p>
      <w:pPr>
        <w:spacing w:line="234" w:lineRule="exact" w:before="0"/>
        <w:ind w:left="374" w:right="0" w:firstLine="0"/>
        <w:jc w:val="left"/>
        <w:rPr>
          <w:sz w:val="20"/>
        </w:rPr>
      </w:pPr>
      <w:r>
        <w:rPr>
          <w:w w:val="95"/>
          <w:sz w:val="20"/>
        </w:rPr>
        <w:t>港</w:t>
      </w:r>
      <w:r>
        <w:rPr>
          <w:w w:val="95"/>
          <w:sz w:val="20"/>
        </w:rPr>
        <w:t>澳</w:t>
      </w:r>
      <w:r>
        <w:rPr>
          <w:w w:val="95"/>
          <w:sz w:val="20"/>
        </w:rPr>
        <w:t>台</w:t>
      </w:r>
      <w:r>
        <w:rPr>
          <w:w w:val="95"/>
          <w:sz w:val="20"/>
        </w:rPr>
        <w:t>居</w:t>
      </w:r>
      <w:r>
        <w:rPr>
          <w:w w:val="95"/>
          <w:sz w:val="20"/>
        </w:rPr>
        <w:t>民</w:t>
      </w:r>
      <w:r>
        <w:rPr>
          <w:w w:val="95"/>
          <w:sz w:val="20"/>
        </w:rPr>
        <w:t>居</w:t>
      </w:r>
      <w:r>
        <w:rPr>
          <w:w w:val="95"/>
          <w:sz w:val="20"/>
        </w:rPr>
        <w:t>住</w:t>
      </w:r>
      <w:r>
        <w:rPr>
          <w:w w:val="95"/>
          <w:sz w:val="20"/>
        </w:rPr>
        <w:t>证</w:t>
      </w:r>
      <w:r>
        <w:rPr>
          <w:w w:val="95"/>
          <w:sz w:val="20"/>
        </w:rPr>
        <w:t>、</w:t>
      </w:r>
      <w:r>
        <w:rPr>
          <w:w w:val="95"/>
          <w:sz w:val="20"/>
        </w:rPr>
        <w:t>户口簿</w:t>
      </w:r>
      <w:r>
        <w:rPr>
          <w:w w:val="95"/>
          <w:sz w:val="20"/>
        </w:rPr>
        <w:t>以</w:t>
      </w:r>
      <w:r>
        <w:rPr>
          <w:w w:val="95"/>
          <w:sz w:val="20"/>
        </w:rPr>
        <w:t>及</w:t>
      </w:r>
      <w:r>
        <w:rPr>
          <w:w w:val="95"/>
          <w:sz w:val="20"/>
        </w:rPr>
        <w:t>中</w:t>
      </w:r>
      <w:r>
        <w:rPr>
          <w:w w:val="95"/>
          <w:sz w:val="20"/>
        </w:rPr>
        <w:t>华</w:t>
      </w:r>
      <w:r>
        <w:rPr>
          <w:w w:val="95"/>
          <w:sz w:val="20"/>
        </w:rPr>
        <w:t>人</w:t>
      </w:r>
      <w:r>
        <w:rPr>
          <w:w w:val="95"/>
          <w:sz w:val="20"/>
        </w:rPr>
        <w:t>民</w:t>
      </w:r>
      <w:r>
        <w:rPr>
          <w:w w:val="95"/>
          <w:sz w:val="20"/>
        </w:rPr>
        <w:t>共</w:t>
      </w:r>
      <w:r>
        <w:rPr>
          <w:w w:val="95"/>
          <w:sz w:val="20"/>
        </w:rPr>
        <w:t>和</w:t>
      </w:r>
      <w:r>
        <w:rPr>
          <w:w w:val="95"/>
          <w:sz w:val="20"/>
        </w:rPr>
        <w:t>国</w:t>
      </w:r>
      <w:r>
        <w:rPr>
          <w:w w:val="95"/>
          <w:sz w:val="20"/>
        </w:rPr>
        <w:t>政府主</w:t>
      </w:r>
      <w:r>
        <w:rPr>
          <w:w w:val="95"/>
          <w:sz w:val="20"/>
        </w:rPr>
        <w:t>管</w:t>
      </w:r>
      <w:r>
        <w:rPr>
          <w:w w:val="95"/>
          <w:sz w:val="20"/>
        </w:rPr>
        <w:t>部</w:t>
      </w:r>
      <w:r>
        <w:rPr>
          <w:w w:val="95"/>
          <w:sz w:val="20"/>
        </w:rPr>
        <w:t>门</w:t>
      </w:r>
      <w:r>
        <w:rPr>
          <w:w w:val="95"/>
          <w:sz w:val="20"/>
        </w:rPr>
        <w:t>颁</w:t>
      </w:r>
      <w:r>
        <w:rPr>
          <w:w w:val="95"/>
          <w:sz w:val="20"/>
        </w:rPr>
        <w:t>发</w:t>
      </w:r>
      <w:r>
        <w:rPr>
          <w:w w:val="95"/>
          <w:sz w:val="20"/>
        </w:rPr>
        <w:t>或</w:t>
      </w:r>
      <w:r>
        <w:rPr>
          <w:w w:val="95"/>
          <w:sz w:val="20"/>
        </w:rPr>
        <w:t>者</w:t>
      </w:r>
      <w:r>
        <w:rPr>
          <w:w w:val="95"/>
          <w:sz w:val="20"/>
        </w:rPr>
        <w:t>认</w:t>
      </w:r>
      <w:r>
        <w:rPr>
          <w:w w:val="95"/>
          <w:sz w:val="20"/>
        </w:rPr>
        <w:t>可</w:t>
      </w:r>
      <w:r>
        <w:rPr>
          <w:w w:val="95"/>
          <w:sz w:val="20"/>
        </w:rPr>
        <w:t>的有效</w:t>
      </w:r>
      <w:r>
        <w:rPr>
          <w:w w:val="95"/>
          <w:sz w:val="20"/>
        </w:rPr>
        <w:t>护</w:t>
      </w:r>
      <w:r>
        <w:rPr>
          <w:w w:val="95"/>
          <w:sz w:val="20"/>
        </w:rPr>
        <w:t>照</w:t>
      </w:r>
      <w:r>
        <w:rPr>
          <w:w w:val="95"/>
          <w:sz w:val="20"/>
        </w:rPr>
        <w:t>或</w:t>
      </w:r>
      <w:r>
        <w:rPr>
          <w:w w:val="95"/>
          <w:sz w:val="20"/>
        </w:rPr>
        <w:t>者</w:t>
      </w:r>
      <w:r>
        <w:rPr>
          <w:w w:val="95"/>
          <w:sz w:val="20"/>
        </w:rPr>
        <w:t>其</w:t>
      </w:r>
      <w:r>
        <w:rPr>
          <w:w w:val="95"/>
          <w:sz w:val="20"/>
        </w:rPr>
        <w:t>他</w:t>
      </w:r>
      <w:r>
        <w:rPr>
          <w:w w:val="95"/>
          <w:sz w:val="20"/>
        </w:rPr>
        <w:t>身</w:t>
      </w:r>
      <w:r>
        <w:rPr>
          <w:w w:val="95"/>
          <w:sz w:val="20"/>
        </w:rPr>
        <w:t>份</w:t>
      </w:r>
      <w:r>
        <w:rPr>
          <w:w w:val="95"/>
          <w:sz w:val="20"/>
        </w:rPr>
        <w:t>证</w:t>
      </w:r>
      <w:r>
        <w:rPr>
          <w:spacing w:val="-5"/>
          <w:w w:val="95"/>
          <w:sz w:val="20"/>
        </w:rPr>
        <w:t>明文</w:t>
      </w:r>
    </w:p>
    <w:p>
      <w:pPr>
        <w:spacing w:before="3"/>
        <w:ind w:left="374" w:right="0" w:firstLine="0"/>
        <w:jc w:val="left"/>
        <w:rPr>
          <w:sz w:val="20"/>
        </w:rPr>
      </w:pPr>
      <w:r>
        <w:rPr>
          <w:w w:val="95"/>
          <w:sz w:val="20"/>
        </w:rPr>
        <w:t>件</w:t>
      </w:r>
      <w:r>
        <w:rPr>
          <w:spacing w:val="-10"/>
          <w:sz w:val="20"/>
        </w:rPr>
        <w:t>。</w:t>
      </w:r>
    </w:p>
    <w:p>
      <w:pPr>
        <w:spacing w:after="0"/>
        <w:jc w:val="left"/>
        <w:rPr>
          <w:sz w:val="20"/>
        </w:rPr>
        <w:sectPr>
          <w:pgSz w:w="11910" w:h="16840"/>
          <w:pgMar w:header="566" w:footer="664" w:top="1340" w:bottom="860" w:left="900" w:right="720"/>
        </w:sectPr>
      </w:pPr>
    </w:p>
    <w:p>
      <w:pPr>
        <w:pStyle w:val="BodyText"/>
        <w:spacing w:before="63"/>
        <w:ind w:left="3037"/>
      </w:pPr>
      <w:r>
        <w:rPr>
          <w:spacing w:val="-4"/>
        </w:rPr>
        <w:t>保险人死亡证明；</w:t>
      </w:r>
    </w:p>
    <w:p>
      <w:pPr>
        <w:pStyle w:val="ListParagraph"/>
        <w:numPr>
          <w:ilvl w:val="3"/>
          <w:numId w:val="18"/>
        </w:numPr>
        <w:tabs>
          <w:tab w:pos="3566" w:val="left" w:leader="none"/>
        </w:tabs>
        <w:spacing w:line="244" w:lineRule="auto" w:before="3" w:after="0"/>
        <w:ind w:left="3037" w:right="295" w:firstLine="0"/>
        <w:jc w:val="left"/>
        <w:rPr>
          <w:sz w:val="21"/>
        </w:rPr>
      </w:pPr>
      <w:r>
        <w:rPr>
          <w:spacing w:val="-2"/>
          <w:sz w:val="21"/>
        </w:rPr>
        <w:t>申请人所能提供的与确认保险事故的性质、原因等有关的其他证明和</w:t>
      </w:r>
      <w:r>
        <w:rPr>
          <w:spacing w:val="-4"/>
          <w:sz w:val="21"/>
        </w:rPr>
        <w:t>资料。</w:t>
      </w:r>
    </w:p>
    <w:p>
      <w:pPr>
        <w:pStyle w:val="BodyText"/>
        <w:spacing w:before="17"/>
        <w:ind w:left="3037"/>
      </w:pPr>
      <w:r>
        <w:rPr>
          <w:spacing w:val="-10"/>
        </w:rPr>
        <w:t>保险金作为被保险人的遗产时，必须提供可证明合法继承权的相关权利文件。</w:t>
      </w:r>
    </w:p>
    <w:p>
      <w:pPr>
        <w:pStyle w:val="BodyText"/>
        <w:spacing w:before="1"/>
        <w:rPr>
          <w:sz w:val="11"/>
        </w:rPr>
      </w:pPr>
    </w:p>
    <w:p>
      <w:pPr>
        <w:spacing w:after="0"/>
        <w:rPr>
          <w:sz w:val="11"/>
        </w:rPr>
        <w:sectPr>
          <w:pgSz w:w="11910" w:h="16840"/>
          <w:pgMar w:header="566" w:footer="664" w:top="1340" w:bottom="860" w:left="900" w:right="720"/>
        </w:sectPr>
      </w:pPr>
    </w:p>
    <w:p>
      <w:pPr>
        <w:pStyle w:val="ListParagraph"/>
        <w:numPr>
          <w:ilvl w:val="2"/>
          <w:numId w:val="18"/>
        </w:numPr>
        <w:tabs>
          <w:tab w:pos="1269" w:val="left" w:leader="none"/>
          <w:tab w:pos="1270" w:val="left" w:leader="none"/>
        </w:tabs>
        <w:spacing w:line="194" w:lineRule="auto" w:before="57" w:after="0"/>
        <w:ind w:left="1270" w:right="0" w:hanging="1038"/>
        <w:jc w:val="left"/>
        <w:rPr>
          <w:rFonts w:ascii="微软雅黑" w:eastAsia="微软雅黑"/>
          <w:b/>
          <w:sz w:val="21"/>
        </w:rPr>
      </w:pPr>
      <w:r>
        <w:rPr>
          <w:rFonts w:ascii="微软雅黑" w:eastAsia="微软雅黑"/>
          <w:b/>
          <w:spacing w:val="-2"/>
          <w:sz w:val="21"/>
        </w:rPr>
        <w:t>住院关爱津贴保</w:t>
      </w:r>
      <w:r>
        <w:rPr>
          <w:rFonts w:ascii="微软雅黑" w:eastAsia="微软雅黑"/>
          <w:b/>
          <w:spacing w:val="-4"/>
          <w:sz w:val="21"/>
        </w:rPr>
        <w:t>险金申请</w:t>
      </w:r>
    </w:p>
    <w:p>
      <w:pPr>
        <w:pStyle w:val="BodyText"/>
        <w:spacing w:before="72"/>
        <w:ind w:left="232"/>
      </w:pPr>
      <w:r>
        <w:rPr/>
        <w:br w:type="column"/>
      </w:r>
      <w:r>
        <w:rPr>
          <w:spacing w:val="-3"/>
        </w:rPr>
        <w:t>申请人申请住院关爱津贴保险金时，应提供下列证明文件和资料：</w:t>
      </w:r>
    </w:p>
    <w:p>
      <w:pPr>
        <w:pStyle w:val="ListParagraph"/>
        <w:numPr>
          <w:ilvl w:val="0"/>
          <w:numId w:val="19"/>
        </w:numPr>
        <w:tabs>
          <w:tab w:pos="762" w:val="left" w:leader="none"/>
        </w:tabs>
        <w:spacing w:line="240" w:lineRule="auto" w:before="43" w:after="0"/>
        <w:ind w:left="761" w:right="0" w:hanging="530"/>
        <w:jc w:val="left"/>
        <w:rPr>
          <w:sz w:val="21"/>
        </w:rPr>
      </w:pPr>
      <w:r>
        <w:rPr>
          <w:spacing w:val="-4"/>
          <w:sz w:val="21"/>
        </w:rPr>
        <w:t>理赔申请书；</w:t>
      </w:r>
    </w:p>
    <w:p>
      <w:pPr>
        <w:pStyle w:val="ListParagraph"/>
        <w:numPr>
          <w:ilvl w:val="0"/>
          <w:numId w:val="19"/>
        </w:numPr>
        <w:tabs>
          <w:tab w:pos="762" w:val="left" w:leader="none"/>
        </w:tabs>
        <w:spacing w:line="240" w:lineRule="auto" w:before="43" w:after="0"/>
        <w:ind w:left="761" w:right="0" w:hanging="530"/>
        <w:jc w:val="left"/>
        <w:rPr>
          <w:sz w:val="21"/>
        </w:rPr>
      </w:pPr>
      <w:r>
        <w:rPr>
          <w:spacing w:val="-4"/>
          <w:sz w:val="21"/>
        </w:rPr>
        <w:t>保险合同；</w:t>
      </w:r>
    </w:p>
    <w:p>
      <w:pPr>
        <w:pStyle w:val="ListParagraph"/>
        <w:numPr>
          <w:ilvl w:val="0"/>
          <w:numId w:val="19"/>
        </w:numPr>
        <w:tabs>
          <w:tab w:pos="762" w:val="left" w:leader="none"/>
        </w:tabs>
        <w:spacing w:line="240" w:lineRule="auto" w:before="43" w:after="0"/>
        <w:ind w:left="761" w:right="0" w:hanging="530"/>
        <w:jc w:val="left"/>
        <w:rPr>
          <w:sz w:val="21"/>
        </w:rPr>
      </w:pPr>
      <w:r>
        <w:rPr>
          <w:spacing w:val="-3"/>
          <w:sz w:val="21"/>
        </w:rPr>
        <w:t>被保险人有效身份证件；</w:t>
      </w:r>
    </w:p>
    <w:p>
      <w:pPr>
        <w:pStyle w:val="ListParagraph"/>
        <w:numPr>
          <w:ilvl w:val="0"/>
          <w:numId w:val="19"/>
        </w:numPr>
        <w:tabs>
          <w:tab w:pos="762" w:val="left" w:leader="none"/>
        </w:tabs>
        <w:spacing w:line="240" w:lineRule="auto" w:before="43" w:after="0"/>
        <w:ind w:left="761" w:right="0" w:hanging="530"/>
        <w:jc w:val="left"/>
        <w:rPr>
          <w:sz w:val="21"/>
        </w:rPr>
      </w:pPr>
      <w:r>
        <w:rPr>
          <w:spacing w:val="-3"/>
          <w:sz w:val="21"/>
        </w:rPr>
        <w:t>申请人的有效身份证件；</w:t>
      </w:r>
    </w:p>
    <w:p>
      <w:pPr>
        <w:pStyle w:val="ListParagraph"/>
        <w:numPr>
          <w:ilvl w:val="0"/>
          <w:numId w:val="19"/>
        </w:numPr>
        <w:tabs>
          <w:tab w:pos="760" w:val="left" w:leader="none"/>
        </w:tabs>
        <w:spacing w:line="244" w:lineRule="auto" w:before="21" w:after="0"/>
        <w:ind w:left="232" w:right="298" w:firstLine="0"/>
        <w:jc w:val="left"/>
        <w:rPr>
          <w:sz w:val="21"/>
        </w:rPr>
      </w:pPr>
      <w:r>
        <w:rPr>
          <w:spacing w:val="-2"/>
          <w:sz w:val="21"/>
        </w:rPr>
        <w:t>认可的医院出具的住院及出院证明、医学诊断书及医疗病历（门诊或</w:t>
      </w:r>
      <w:r>
        <w:rPr>
          <w:spacing w:val="-6"/>
          <w:sz w:val="21"/>
        </w:rPr>
        <w:t>住院</w:t>
      </w:r>
      <w:r>
        <w:rPr>
          <w:spacing w:val="-106"/>
          <w:sz w:val="21"/>
        </w:rPr>
        <w:t>）</w:t>
      </w:r>
      <w:r>
        <w:rPr>
          <w:sz w:val="21"/>
        </w:rPr>
        <w:t>；</w:t>
      </w:r>
    </w:p>
    <w:p>
      <w:pPr>
        <w:pStyle w:val="ListParagraph"/>
        <w:numPr>
          <w:ilvl w:val="0"/>
          <w:numId w:val="19"/>
        </w:numPr>
        <w:tabs>
          <w:tab w:pos="762" w:val="left" w:leader="none"/>
        </w:tabs>
        <w:spacing w:line="265" w:lineRule="exact" w:before="0" w:after="0"/>
        <w:ind w:left="761" w:right="0" w:hanging="530"/>
        <w:jc w:val="left"/>
        <w:rPr>
          <w:sz w:val="21"/>
        </w:rPr>
      </w:pPr>
      <w:r>
        <w:rPr>
          <w:spacing w:val="-3"/>
          <w:sz w:val="21"/>
        </w:rPr>
        <w:t>医疗费原始凭证及医疗收费明细清单；</w:t>
      </w:r>
    </w:p>
    <w:p>
      <w:pPr>
        <w:pStyle w:val="ListParagraph"/>
        <w:numPr>
          <w:ilvl w:val="0"/>
          <w:numId w:val="19"/>
        </w:numPr>
        <w:tabs>
          <w:tab w:pos="762" w:val="left" w:leader="none"/>
        </w:tabs>
        <w:spacing w:line="242" w:lineRule="auto" w:before="4" w:after="0"/>
        <w:ind w:left="232" w:right="295" w:firstLine="0"/>
        <w:jc w:val="left"/>
        <w:rPr>
          <w:sz w:val="21"/>
        </w:rPr>
      </w:pPr>
      <w:r>
        <w:rPr>
          <w:spacing w:val="-2"/>
          <w:sz w:val="21"/>
        </w:rPr>
        <w:t>申请人所能提供的与确认保险事故的性质、原因等有关的其他证明和</w:t>
      </w:r>
      <w:r>
        <w:rPr>
          <w:spacing w:val="-4"/>
          <w:sz w:val="21"/>
        </w:rPr>
        <w:t>资料。</w:t>
      </w:r>
    </w:p>
    <w:p>
      <w:pPr>
        <w:spacing w:after="0" w:line="242" w:lineRule="auto"/>
        <w:jc w:val="left"/>
        <w:rPr>
          <w:sz w:val="21"/>
        </w:rPr>
        <w:sectPr>
          <w:type w:val="continuous"/>
          <w:pgSz w:w="11910" w:h="16840"/>
          <w:pgMar w:header="566" w:footer="664" w:top="1340" w:bottom="860" w:left="900" w:right="720"/>
          <w:cols w:num="2" w:equalWidth="0">
            <w:col w:w="2749" w:space="55"/>
            <w:col w:w="7486"/>
          </w:cols>
        </w:sectPr>
      </w:pPr>
    </w:p>
    <w:p>
      <w:pPr>
        <w:pStyle w:val="BodyText"/>
        <w:spacing w:before="5"/>
        <w:rPr>
          <w:sz w:val="9"/>
        </w:rPr>
      </w:pPr>
    </w:p>
    <w:p>
      <w:pPr>
        <w:pStyle w:val="ListParagraph"/>
        <w:numPr>
          <w:ilvl w:val="2"/>
          <w:numId w:val="18"/>
        </w:numPr>
        <w:tabs>
          <w:tab w:pos="1269" w:val="left" w:leader="none"/>
          <w:tab w:pos="1270" w:val="left" w:leader="none"/>
          <w:tab w:pos="3036" w:val="left" w:leader="none"/>
        </w:tabs>
        <w:spacing w:line="256" w:lineRule="auto" w:before="4" w:after="0"/>
        <w:ind w:left="3037" w:right="192" w:hanging="2805"/>
        <w:jc w:val="left"/>
        <w:rPr>
          <w:sz w:val="21"/>
        </w:rPr>
      </w:pPr>
      <w:r>
        <w:rPr>
          <w:rFonts w:ascii="微软雅黑" w:eastAsia="微软雅黑"/>
          <w:b/>
          <w:spacing w:val="-2"/>
          <w:sz w:val="21"/>
        </w:rPr>
        <w:t>其</w:t>
      </w:r>
      <w:r>
        <w:rPr>
          <w:rFonts w:ascii="微软雅黑" w:eastAsia="微软雅黑"/>
          <w:b/>
          <w:spacing w:val="-2"/>
          <w:sz w:val="21"/>
        </w:rPr>
        <w:t>他</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申</w:t>
      </w:r>
      <w:r>
        <w:rPr>
          <w:rFonts w:ascii="微软雅黑" w:eastAsia="微软雅黑"/>
          <w:b/>
          <w:spacing w:val="-2"/>
          <w:sz w:val="21"/>
        </w:rPr>
        <w:t>请</w:t>
      </w:r>
      <w:r>
        <w:rPr>
          <w:rFonts w:ascii="微软雅黑" w:eastAsia="微软雅黑"/>
          <w:b/>
          <w:sz w:val="21"/>
        </w:rPr>
        <w:tab/>
      </w:r>
      <w:r>
        <w:rPr>
          <w:spacing w:val="-4"/>
          <w:sz w:val="21"/>
        </w:rPr>
        <w:t>申</w:t>
      </w:r>
      <w:r>
        <w:rPr>
          <w:spacing w:val="-4"/>
          <w:sz w:val="21"/>
        </w:rPr>
        <w:t>请</w:t>
      </w:r>
      <w:r>
        <w:rPr>
          <w:spacing w:val="-4"/>
          <w:sz w:val="21"/>
        </w:rPr>
        <w:t>人申请重大疾病、中</w:t>
      </w:r>
      <w:r>
        <w:rPr>
          <w:spacing w:val="-4"/>
          <w:sz w:val="21"/>
        </w:rPr>
        <w:t>症</w:t>
      </w:r>
      <w:r>
        <w:rPr>
          <w:spacing w:val="-4"/>
          <w:sz w:val="21"/>
        </w:rPr>
        <w:t>疾</w:t>
      </w:r>
      <w:r>
        <w:rPr>
          <w:spacing w:val="-4"/>
          <w:sz w:val="21"/>
        </w:rPr>
        <w:t>病、轻症疾病、前症</w:t>
      </w:r>
      <w:r>
        <w:rPr>
          <w:spacing w:val="-4"/>
          <w:sz w:val="21"/>
        </w:rPr>
        <w:t>疾</w:t>
      </w:r>
      <w:r>
        <w:rPr>
          <w:spacing w:val="-4"/>
          <w:sz w:val="21"/>
        </w:rPr>
        <w:t>病</w:t>
      </w:r>
      <w:r>
        <w:rPr>
          <w:spacing w:val="-4"/>
          <w:sz w:val="21"/>
        </w:rPr>
        <w:t>保险金及豁免保险费，</w:t>
      </w:r>
      <w:r>
        <w:rPr>
          <w:spacing w:val="-2"/>
          <w:sz w:val="21"/>
        </w:rPr>
        <w:t>男</w:t>
      </w:r>
      <w:r>
        <w:rPr>
          <w:spacing w:val="-2"/>
          <w:sz w:val="21"/>
        </w:rPr>
        <w:t>女</w:t>
      </w:r>
      <w:r>
        <w:rPr>
          <w:spacing w:val="-2"/>
          <w:sz w:val="21"/>
        </w:rPr>
        <w:t>特定疾病额外保险金</w:t>
      </w:r>
      <w:r>
        <w:rPr>
          <w:spacing w:val="-2"/>
          <w:sz w:val="21"/>
        </w:rPr>
        <w:t>、</w:t>
      </w:r>
      <w:r>
        <w:rPr>
          <w:spacing w:val="-2"/>
          <w:sz w:val="21"/>
        </w:rPr>
        <w:t>第</w:t>
      </w:r>
      <w:r>
        <w:rPr>
          <w:spacing w:val="-2"/>
          <w:sz w:val="21"/>
        </w:rPr>
        <w:t>二次心脑血管特定疾</w:t>
      </w:r>
      <w:r>
        <w:rPr>
          <w:spacing w:val="-2"/>
          <w:sz w:val="21"/>
        </w:rPr>
        <w:t>病</w:t>
      </w:r>
      <w:r>
        <w:rPr>
          <w:spacing w:val="-2"/>
          <w:sz w:val="21"/>
        </w:rPr>
        <w:t>保</w:t>
      </w:r>
      <w:r>
        <w:rPr>
          <w:spacing w:val="-2"/>
          <w:sz w:val="21"/>
        </w:rPr>
        <w:t>险金时，应提供</w:t>
      </w:r>
      <w:r>
        <w:rPr>
          <w:spacing w:val="-2"/>
          <w:sz w:val="21"/>
        </w:rPr>
        <w:t>下</w:t>
      </w:r>
      <w:r>
        <w:rPr>
          <w:spacing w:val="-2"/>
          <w:sz w:val="21"/>
        </w:rPr>
        <w:t>列</w:t>
      </w:r>
      <w:r>
        <w:rPr>
          <w:spacing w:val="-2"/>
          <w:sz w:val="21"/>
        </w:rPr>
        <w:t>证</w:t>
      </w:r>
      <w:r>
        <w:rPr>
          <w:spacing w:val="-2"/>
          <w:sz w:val="21"/>
        </w:rPr>
        <w:t>明</w:t>
      </w:r>
      <w:r>
        <w:rPr>
          <w:spacing w:val="-2"/>
          <w:sz w:val="21"/>
        </w:rPr>
        <w:t>文件和资料：</w:t>
      </w:r>
    </w:p>
    <w:p>
      <w:pPr>
        <w:pStyle w:val="ListParagraph"/>
        <w:numPr>
          <w:ilvl w:val="0"/>
          <w:numId w:val="20"/>
        </w:numPr>
        <w:tabs>
          <w:tab w:pos="3566" w:val="left" w:leader="none"/>
        </w:tabs>
        <w:spacing w:line="240" w:lineRule="auto" w:before="14" w:after="0"/>
        <w:ind w:left="3566" w:right="0" w:hanging="529"/>
        <w:jc w:val="left"/>
        <w:rPr>
          <w:sz w:val="21"/>
        </w:rPr>
      </w:pPr>
      <w:r>
        <w:rPr>
          <w:spacing w:val="-4"/>
          <w:sz w:val="21"/>
        </w:rPr>
        <w:t>理赔申请书；</w:t>
      </w:r>
    </w:p>
    <w:p>
      <w:pPr>
        <w:pStyle w:val="ListParagraph"/>
        <w:numPr>
          <w:ilvl w:val="0"/>
          <w:numId w:val="20"/>
        </w:numPr>
        <w:tabs>
          <w:tab w:pos="3566" w:val="left" w:leader="none"/>
        </w:tabs>
        <w:spacing w:line="240" w:lineRule="auto" w:before="43" w:after="0"/>
        <w:ind w:left="3566" w:right="0" w:hanging="529"/>
        <w:jc w:val="left"/>
        <w:rPr>
          <w:sz w:val="21"/>
        </w:rPr>
      </w:pPr>
      <w:r>
        <w:rPr>
          <w:spacing w:val="-4"/>
          <w:sz w:val="21"/>
        </w:rPr>
        <w:t>保险合同；</w:t>
      </w:r>
    </w:p>
    <w:p>
      <w:pPr>
        <w:pStyle w:val="ListParagraph"/>
        <w:numPr>
          <w:ilvl w:val="0"/>
          <w:numId w:val="20"/>
        </w:numPr>
        <w:tabs>
          <w:tab w:pos="3566" w:val="left" w:leader="none"/>
        </w:tabs>
        <w:spacing w:line="240" w:lineRule="auto" w:before="43" w:after="0"/>
        <w:ind w:left="3566" w:right="0" w:hanging="529"/>
        <w:jc w:val="left"/>
        <w:rPr>
          <w:sz w:val="21"/>
        </w:rPr>
      </w:pPr>
      <w:r>
        <w:rPr>
          <w:spacing w:val="-3"/>
          <w:sz w:val="21"/>
        </w:rPr>
        <w:t>被保险人有效身份证件；</w:t>
      </w:r>
    </w:p>
    <w:p>
      <w:pPr>
        <w:pStyle w:val="ListParagraph"/>
        <w:numPr>
          <w:ilvl w:val="0"/>
          <w:numId w:val="20"/>
        </w:numPr>
        <w:tabs>
          <w:tab w:pos="3566" w:val="left" w:leader="none"/>
        </w:tabs>
        <w:spacing w:line="240" w:lineRule="auto" w:before="42" w:after="0"/>
        <w:ind w:left="3566" w:right="0" w:hanging="529"/>
        <w:jc w:val="left"/>
        <w:rPr>
          <w:sz w:val="21"/>
        </w:rPr>
      </w:pPr>
      <w:r>
        <w:rPr>
          <w:spacing w:val="-3"/>
          <w:sz w:val="21"/>
        </w:rPr>
        <w:t>申请人的有效身份证件；</w:t>
      </w:r>
    </w:p>
    <w:p>
      <w:pPr>
        <w:pStyle w:val="ListParagraph"/>
        <w:numPr>
          <w:ilvl w:val="0"/>
          <w:numId w:val="20"/>
        </w:numPr>
        <w:tabs>
          <w:tab w:pos="3566" w:val="left" w:leader="none"/>
        </w:tabs>
        <w:spacing w:line="278" w:lineRule="auto" w:before="43" w:after="0"/>
        <w:ind w:left="3037" w:right="209" w:firstLine="0"/>
        <w:jc w:val="left"/>
        <w:rPr>
          <w:sz w:val="21"/>
        </w:rPr>
      </w:pPr>
      <w:r>
        <w:rPr>
          <w:spacing w:val="-2"/>
          <w:sz w:val="21"/>
        </w:rPr>
        <w:t>能够证明符合本合同约定的疾病定义的认可的医院出具的医学诊断书、</w:t>
      </w:r>
      <w:r>
        <w:rPr>
          <w:spacing w:val="-2"/>
          <w:sz w:val="21"/>
        </w:rPr>
        <w:t>医疗病历、检查报告以及其他医学证明文件或司法鉴定机构出具的法医鉴定</w:t>
      </w:r>
      <w:r>
        <w:rPr>
          <w:spacing w:val="-4"/>
          <w:sz w:val="21"/>
        </w:rPr>
        <w:t>报告；</w:t>
      </w:r>
    </w:p>
    <w:p>
      <w:pPr>
        <w:pStyle w:val="ListParagraph"/>
        <w:numPr>
          <w:ilvl w:val="0"/>
          <w:numId w:val="20"/>
        </w:numPr>
        <w:tabs>
          <w:tab w:pos="3566" w:val="left" w:leader="none"/>
        </w:tabs>
        <w:spacing w:line="247" w:lineRule="exact" w:before="0" w:after="0"/>
        <w:ind w:left="3566" w:right="0" w:hanging="529"/>
        <w:jc w:val="left"/>
        <w:rPr>
          <w:sz w:val="21"/>
        </w:rPr>
      </w:pPr>
      <w:r>
        <w:rPr>
          <w:spacing w:val="-5"/>
          <w:sz w:val="21"/>
        </w:rPr>
        <w:t>申请人所能提供的与确认保险事故的性质、原因等有关的其他证明和资</w:t>
      </w:r>
    </w:p>
    <w:p>
      <w:pPr>
        <w:pStyle w:val="BodyText"/>
        <w:spacing w:before="5"/>
        <w:ind w:left="3037"/>
      </w:pPr>
      <w:r>
        <w:rPr>
          <w:spacing w:val="-5"/>
        </w:rPr>
        <w:t>料。</w:t>
      </w:r>
    </w:p>
    <w:p>
      <w:pPr>
        <w:pStyle w:val="BodyText"/>
        <w:spacing w:before="12"/>
        <w:rPr>
          <w:sz w:val="7"/>
        </w:rPr>
      </w:pPr>
    </w:p>
    <w:p>
      <w:pPr>
        <w:spacing w:after="0"/>
        <w:rPr>
          <w:sz w:val="7"/>
        </w:rPr>
        <w:sectPr>
          <w:type w:val="continuous"/>
          <w:pgSz w:w="11910" w:h="16840"/>
          <w:pgMar w:header="566" w:footer="664" w:top="1340" w:bottom="860" w:left="900" w:right="720"/>
        </w:sectPr>
      </w:pPr>
    </w:p>
    <w:p>
      <w:pPr>
        <w:pStyle w:val="ListParagraph"/>
        <w:numPr>
          <w:ilvl w:val="2"/>
          <w:numId w:val="18"/>
        </w:numPr>
        <w:tabs>
          <w:tab w:pos="1269" w:val="left" w:leader="none"/>
          <w:tab w:pos="1270" w:val="left" w:leader="none"/>
        </w:tabs>
        <w:spacing w:line="194" w:lineRule="auto" w:before="78" w:after="0"/>
        <w:ind w:left="1270" w:right="0" w:hanging="1038"/>
        <w:jc w:val="left"/>
        <w:rPr>
          <w:rFonts w:ascii="微软雅黑" w:eastAsia="微软雅黑"/>
          <w:b/>
          <w:sz w:val="21"/>
        </w:rPr>
      </w:pPr>
      <w:r>
        <w:rPr>
          <w:rFonts w:ascii="微软雅黑" w:eastAsia="微软雅黑"/>
          <w:b/>
          <w:spacing w:val="-2"/>
          <w:sz w:val="21"/>
        </w:rPr>
        <w:t>委托他人代为申</w:t>
      </w:r>
      <w:r>
        <w:rPr>
          <w:rFonts w:ascii="微软雅黑" w:eastAsia="微软雅黑"/>
          <w:b/>
          <w:spacing w:val="-10"/>
          <w:sz w:val="21"/>
        </w:rPr>
        <w:t>请</w:t>
      </w:r>
    </w:p>
    <w:p>
      <w:pPr>
        <w:pStyle w:val="BodyText"/>
        <w:spacing w:line="244" w:lineRule="auto" w:before="71"/>
        <w:ind w:left="232" w:right="310"/>
      </w:pPr>
      <w:r>
        <w:rPr/>
        <w:br w:type="column"/>
      </w:r>
      <w:r>
        <w:rPr>
          <w:spacing w:val="-2"/>
        </w:rPr>
        <w:t>若申请人委托他人代为申请保险金，受委托人还应提供申请人亲笔签字的授</w:t>
      </w:r>
      <w:r>
        <w:rPr>
          <w:spacing w:val="-2"/>
        </w:rPr>
        <w:t>权委托书、受委托人的有效身份证件等相关证明文件。</w:t>
      </w:r>
    </w:p>
    <w:p>
      <w:pPr>
        <w:spacing w:after="0" w:line="244" w:lineRule="auto"/>
        <w:sectPr>
          <w:type w:val="continuous"/>
          <w:pgSz w:w="11910" w:h="16840"/>
          <w:pgMar w:header="566" w:footer="664" w:top="1340" w:bottom="860" w:left="900" w:right="720"/>
          <w:cols w:num="2" w:equalWidth="0">
            <w:col w:w="2749" w:space="55"/>
            <w:col w:w="7486"/>
          </w:cols>
        </w:sectPr>
      </w:pPr>
    </w:p>
    <w:p>
      <w:pPr>
        <w:pStyle w:val="BodyText"/>
        <w:spacing w:before="8"/>
        <w:rPr>
          <w:sz w:val="8"/>
        </w:rPr>
      </w:pPr>
    </w:p>
    <w:p>
      <w:pPr>
        <w:pStyle w:val="ListParagraph"/>
        <w:numPr>
          <w:ilvl w:val="2"/>
          <w:numId w:val="18"/>
        </w:numPr>
        <w:tabs>
          <w:tab w:pos="1269" w:val="left" w:leader="none"/>
          <w:tab w:pos="1270" w:val="left" w:leader="none"/>
          <w:tab w:pos="3036" w:val="left" w:leader="none"/>
        </w:tabs>
        <w:spacing w:line="235" w:lineRule="auto" w:before="10" w:after="0"/>
        <w:ind w:left="3037" w:right="310" w:hanging="2805"/>
        <w:jc w:val="left"/>
        <w:rPr>
          <w:sz w:val="21"/>
        </w:rPr>
      </w:pPr>
      <w:r>
        <w:rPr>
          <w:rFonts w:ascii="微软雅黑" w:eastAsia="微软雅黑"/>
          <w:b/>
          <w:spacing w:val="-2"/>
          <w:sz w:val="21"/>
        </w:rPr>
        <w:t>提</w:t>
      </w:r>
      <w:r>
        <w:rPr>
          <w:rFonts w:ascii="微软雅黑" w:eastAsia="微软雅黑"/>
          <w:b/>
          <w:spacing w:val="-2"/>
          <w:sz w:val="21"/>
        </w:rPr>
        <w:t>供</w:t>
      </w:r>
      <w:r>
        <w:rPr>
          <w:rFonts w:ascii="微软雅黑" w:eastAsia="微软雅黑"/>
          <w:b/>
          <w:spacing w:val="-2"/>
          <w:sz w:val="21"/>
        </w:rPr>
        <w:t>补</w:t>
      </w:r>
      <w:r>
        <w:rPr>
          <w:rFonts w:ascii="微软雅黑" w:eastAsia="微软雅黑"/>
          <w:b/>
          <w:spacing w:val="-2"/>
          <w:sz w:val="21"/>
        </w:rPr>
        <w:t>充</w:t>
      </w:r>
      <w:r>
        <w:rPr>
          <w:rFonts w:ascii="微软雅黑" w:eastAsia="微软雅黑"/>
          <w:b/>
          <w:spacing w:val="-2"/>
          <w:sz w:val="21"/>
        </w:rPr>
        <w:t>材</w:t>
      </w:r>
      <w:r>
        <w:rPr>
          <w:rFonts w:ascii="微软雅黑" w:eastAsia="微软雅黑"/>
          <w:b/>
          <w:spacing w:val="-2"/>
          <w:sz w:val="21"/>
        </w:rPr>
        <w:t>料</w:t>
      </w:r>
      <w:r>
        <w:rPr>
          <w:rFonts w:ascii="微软雅黑" w:eastAsia="微软雅黑"/>
          <w:b/>
          <w:sz w:val="21"/>
        </w:rPr>
        <w:tab/>
      </w:r>
      <w:r>
        <w:rPr>
          <w:spacing w:val="-2"/>
          <w:sz w:val="21"/>
        </w:rPr>
        <w:t>以</w:t>
      </w:r>
      <w:r>
        <w:rPr>
          <w:spacing w:val="-2"/>
          <w:sz w:val="21"/>
        </w:rPr>
        <w:t>上</w:t>
      </w:r>
      <w:r>
        <w:rPr>
          <w:spacing w:val="-2"/>
          <w:sz w:val="21"/>
        </w:rPr>
        <w:t>保险金申请的证明和</w:t>
      </w:r>
      <w:r>
        <w:rPr>
          <w:spacing w:val="-2"/>
          <w:sz w:val="21"/>
        </w:rPr>
        <w:t>资</w:t>
      </w:r>
      <w:r>
        <w:rPr>
          <w:spacing w:val="-2"/>
          <w:sz w:val="21"/>
        </w:rPr>
        <w:t>料</w:t>
      </w:r>
      <w:r>
        <w:rPr>
          <w:spacing w:val="-2"/>
          <w:sz w:val="21"/>
        </w:rPr>
        <w:t>不完整的，我们将一</w:t>
      </w:r>
      <w:r>
        <w:rPr>
          <w:spacing w:val="-2"/>
          <w:sz w:val="21"/>
        </w:rPr>
        <w:t>次</w:t>
      </w:r>
      <w:r>
        <w:rPr>
          <w:spacing w:val="-2"/>
          <w:sz w:val="21"/>
        </w:rPr>
        <w:t>性</w:t>
      </w:r>
      <w:r>
        <w:rPr>
          <w:spacing w:val="-2"/>
          <w:sz w:val="21"/>
        </w:rPr>
        <w:t>书面通知申请人</w:t>
      </w:r>
      <w:r>
        <w:rPr>
          <w:spacing w:val="-2"/>
          <w:sz w:val="21"/>
        </w:rPr>
        <w:t>补</w:t>
      </w:r>
      <w:r>
        <w:rPr>
          <w:spacing w:val="-2"/>
          <w:sz w:val="21"/>
        </w:rPr>
        <w:t>充</w:t>
      </w:r>
      <w:r>
        <w:rPr>
          <w:spacing w:val="-2"/>
          <w:sz w:val="21"/>
        </w:rPr>
        <w:t>提</w:t>
      </w:r>
      <w:r>
        <w:rPr>
          <w:spacing w:val="-2"/>
          <w:sz w:val="21"/>
        </w:rPr>
        <w:t>供</w:t>
      </w:r>
      <w:r>
        <w:rPr>
          <w:spacing w:val="-2"/>
          <w:sz w:val="21"/>
        </w:rPr>
        <w:t>有关的证明和资</w:t>
      </w:r>
      <w:r>
        <w:rPr>
          <w:spacing w:val="-2"/>
          <w:sz w:val="21"/>
        </w:rPr>
        <w:t>料</w:t>
      </w:r>
      <w:r>
        <w:rPr>
          <w:spacing w:val="-2"/>
          <w:sz w:val="21"/>
        </w:rPr>
        <w:t>。</w:t>
      </w:r>
    </w:p>
    <w:p>
      <w:pPr>
        <w:pStyle w:val="ListParagraph"/>
        <w:numPr>
          <w:ilvl w:val="1"/>
          <w:numId w:val="17"/>
        </w:numPr>
        <w:tabs>
          <w:tab w:pos="1269" w:val="left" w:leader="none"/>
          <w:tab w:pos="1270" w:val="left" w:leader="none"/>
          <w:tab w:pos="3036" w:val="left" w:leader="none"/>
        </w:tabs>
        <w:spacing w:line="312" w:lineRule="exact" w:before="173" w:after="0"/>
        <w:ind w:left="3037" w:right="209" w:hanging="2805"/>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给</w:t>
      </w:r>
      <w:r>
        <w:rPr>
          <w:rFonts w:ascii="微软雅黑" w:eastAsia="微软雅黑"/>
          <w:b/>
          <w:spacing w:val="-2"/>
          <w:sz w:val="21"/>
        </w:rPr>
        <w:t>付</w:t>
      </w:r>
      <w:r>
        <w:rPr>
          <w:rFonts w:ascii="微软雅黑" w:eastAsia="微软雅黑"/>
          <w:b/>
          <w:sz w:val="21"/>
        </w:rPr>
        <w:tab/>
      </w:r>
      <w:r>
        <w:rPr>
          <w:sz w:val="21"/>
        </w:rPr>
        <w:t>（1）我们在收到申请书及</w:t>
      </w:r>
      <w:r>
        <w:rPr>
          <w:sz w:val="21"/>
        </w:rPr>
        <w:t>合同约定的证明和资料后，将在</w:t>
      </w:r>
      <w:r>
        <w:rPr>
          <w:spacing w:val="-53"/>
          <w:sz w:val="21"/>
        </w:rPr>
        <w:t> </w:t>
      </w:r>
      <w:r>
        <w:rPr>
          <w:sz w:val="21"/>
        </w:rPr>
        <w:t>5</w:t>
      </w:r>
      <w:r>
        <w:rPr>
          <w:spacing w:val="-53"/>
          <w:sz w:val="21"/>
        </w:rPr>
        <w:t> </w:t>
      </w:r>
      <w:r>
        <w:rPr>
          <w:sz w:val="21"/>
        </w:rPr>
        <w:t>日内作出核定；</w:t>
      </w:r>
      <w:r>
        <w:rPr>
          <w:spacing w:val="-2"/>
          <w:sz w:val="21"/>
        </w:rPr>
        <w:t>情</w:t>
      </w:r>
      <w:r>
        <w:rPr>
          <w:spacing w:val="-2"/>
          <w:sz w:val="21"/>
        </w:rPr>
        <w:t>形</w:t>
      </w:r>
      <w:r>
        <w:rPr>
          <w:spacing w:val="-2"/>
          <w:sz w:val="21"/>
        </w:rPr>
        <w:t>复杂的，在</w:t>
      </w:r>
      <w:r>
        <w:rPr>
          <w:spacing w:val="-35"/>
          <w:sz w:val="21"/>
        </w:rPr>
        <w:t> </w:t>
      </w:r>
      <w:r>
        <w:rPr>
          <w:spacing w:val="-2"/>
          <w:sz w:val="21"/>
        </w:rPr>
        <w:t>30</w:t>
      </w:r>
      <w:r>
        <w:rPr>
          <w:spacing w:val="-35"/>
          <w:sz w:val="21"/>
        </w:rPr>
        <w:t> </w:t>
      </w:r>
      <w:r>
        <w:rPr>
          <w:spacing w:val="-2"/>
          <w:sz w:val="21"/>
        </w:rPr>
        <w:t>日内作</w:t>
      </w:r>
      <w:r>
        <w:rPr>
          <w:spacing w:val="-2"/>
          <w:sz w:val="21"/>
        </w:rPr>
        <w:t>出</w:t>
      </w:r>
      <w:r>
        <w:rPr>
          <w:spacing w:val="-2"/>
          <w:sz w:val="21"/>
        </w:rPr>
        <w:t>核</w:t>
      </w:r>
      <w:r>
        <w:rPr>
          <w:spacing w:val="-2"/>
          <w:sz w:val="21"/>
        </w:rPr>
        <w:t>定，但合同另有约定</w:t>
      </w:r>
      <w:r>
        <w:rPr>
          <w:spacing w:val="-2"/>
          <w:sz w:val="21"/>
        </w:rPr>
        <w:t>的</w:t>
      </w:r>
      <w:r>
        <w:rPr>
          <w:spacing w:val="-2"/>
          <w:sz w:val="21"/>
        </w:rPr>
        <w:t>除</w:t>
      </w:r>
      <w:r>
        <w:rPr>
          <w:spacing w:val="-2"/>
          <w:sz w:val="21"/>
        </w:rPr>
        <w:t>外。我们应当将核定</w:t>
      </w:r>
      <w:r>
        <w:rPr>
          <w:spacing w:val="-2"/>
          <w:sz w:val="21"/>
        </w:rPr>
        <w:t>结</w:t>
      </w:r>
      <w:r>
        <w:rPr>
          <w:spacing w:val="-2"/>
          <w:sz w:val="21"/>
        </w:rPr>
        <w:t>果</w:t>
      </w:r>
      <w:r>
        <w:rPr>
          <w:spacing w:val="-2"/>
          <w:sz w:val="21"/>
        </w:rPr>
        <w:t>通知被保险人或者受</w:t>
      </w:r>
      <w:r>
        <w:rPr>
          <w:spacing w:val="-2"/>
          <w:sz w:val="21"/>
        </w:rPr>
        <w:t>益</w:t>
      </w:r>
      <w:r>
        <w:rPr>
          <w:spacing w:val="-2"/>
          <w:sz w:val="21"/>
        </w:rPr>
        <w:t>人</w:t>
      </w:r>
      <w:r>
        <w:rPr>
          <w:spacing w:val="-2"/>
          <w:sz w:val="21"/>
        </w:rPr>
        <w:t>；对属于保险责任的，</w:t>
      </w:r>
      <w:r>
        <w:rPr>
          <w:spacing w:val="-2"/>
          <w:sz w:val="21"/>
        </w:rPr>
        <w:t>在</w:t>
      </w:r>
      <w:r>
        <w:rPr>
          <w:spacing w:val="-2"/>
          <w:sz w:val="21"/>
        </w:rPr>
        <w:t>与被保险人或者</w:t>
      </w:r>
      <w:r>
        <w:rPr>
          <w:spacing w:val="-2"/>
          <w:sz w:val="21"/>
        </w:rPr>
        <w:t>受</w:t>
      </w:r>
      <w:r>
        <w:rPr>
          <w:spacing w:val="-2"/>
          <w:sz w:val="21"/>
        </w:rPr>
        <w:t>益</w:t>
      </w:r>
      <w:r>
        <w:rPr>
          <w:sz w:val="21"/>
        </w:rPr>
        <w:t>人达成给付保险金的协议后</w:t>
      </w:r>
      <w:r>
        <w:rPr>
          <w:spacing w:val="-53"/>
          <w:sz w:val="21"/>
        </w:rPr>
        <w:t> </w:t>
      </w:r>
      <w:r>
        <w:rPr>
          <w:sz w:val="21"/>
        </w:rPr>
        <w:t>10</w:t>
      </w:r>
      <w:r>
        <w:rPr>
          <w:spacing w:val="-55"/>
          <w:sz w:val="21"/>
        </w:rPr>
        <w:t> </w:t>
      </w:r>
      <w:r>
        <w:rPr>
          <w:sz w:val="21"/>
        </w:rPr>
        <w:t>日内，履行给付保险</w:t>
      </w:r>
      <w:r>
        <w:rPr>
          <w:sz w:val="21"/>
        </w:rPr>
        <w:t>金义务。本</w:t>
      </w:r>
      <w:r>
        <w:rPr>
          <w:sz w:val="21"/>
        </w:rPr>
        <w:t>合同对给付保</w:t>
      </w:r>
      <w:r>
        <w:rPr>
          <w:spacing w:val="-2"/>
          <w:sz w:val="21"/>
        </w:rPr>
        <w:t>险</w:t>
      </w:r>
      <w:r>
        <w:rPr>
          <w:spacing w:val="-2"/>
          <w:sz w:val="21"/>
        </w:rPr>
        <w:t>金</w:t>
      </w:r>
      <w:r>
        <w:rPr>
          <w:spacing w:val="-2"/>
          <w:sz w:val="21"/>
        </w:rPr>
        <w:t>的期限有约定的，我</w:t>
      </w:r>
      <w:r>
        <w:rPr>
          <w:spacing w:val="-2"/>
          <w:sz w:val="21"/>
        </w:rPr>
        <w:t>们</w:t>
      </w:r>
      <w:r>
        <w:rPr>
          <w:spacing w:val="-2"/>
          <w:sz w:val="21"/>
        </w:rPr>
        <w:t>应</w:t>
      </w:r>
      <w:r>
        <w:rPr>
          <w:spacing w:val="-2"/>
          <w:sz w:val="21"/>
        </w:rPr>
        <w:t>当按照约定履行给付</w:t>
      </w:r>
      <w:r>
        <w:rPr>
          <w:spacing w:val="-2"/>
          <w:sz w:val="21"/>
        </w:rPr>
        <w:t>保</w:t>
      </w:r>
      <w:r>
        <w:rPr>
          <w:spacing w:val="-2"/>
          <w:sz w:val="21"/>
        </w:rPr>
        <w:t>险</w:t>
      </w:r>
      <w:r>
        <w:rPr>
          <w:spacing w:val="-2"/>
          <w:sz w:val="21"/>
        </w:rPr>
        <w:t>金义务。</w:t>
      </w:r>
    </w:p>
    <w:p>
      <w:pPr>
        <w:pStyle w:val="ListParagraph"/>
        <w:numPr>
          <w:ilvl w:val="0"/>
          <w:numId w:val="21"/>
        </w:numPr>
        <w:tabs>
          <w:tab w:pos="3564" w:val="left" w:leader="none"/>
        </w:tabs>
        <w:spacing w:line="278" w:lineRule="auto" w:before="40" w:after="0"/>
        <w:ind w:left="3037" w:right="298" w:firstLine="0"/>
        <w:jc w:val="left"/>
        <w:rPr>
          <w:sz w:val="21"/>
        </w:rPr>
      </w:pPr>
      <w:r>
        <w:rPr>
          <w:spacing w:val="-2"/>
          <w:sz w:val="21"/>
        </w:rPr>
        <w:t>我们未及时履行前款规定义务的，除支付保险金外，应当赔偿被保险人或者受益人因此受到的损失。</w:t>
      </w:r>
    </w:p>
    <w:p>
      <w:pPr>
        <w:pStyle w:val="ListParagraph"/>
        <w:numPr>
          <w:ilvl w:val="0"/>
          <w:numId w:val="21"/>
        </w:numPr>
        <w:tabs>
          <w:tab w:pos="3564" w:val="left" w:leader="none"/>
        </w:tabs>
        <w:spacing w:line="278" w:lineRule="auto" w:before="0" w:after="0"/>
        <w:ind w:left="3037" w:right="298" w:firstLine="0"/>
        <w:jc w:val="both"/>
        <w:rPr>
          <w:sz w:val="21"/>
        </w:rPr>
      </w:pPr>
      <w:r>
        <w:rPr>
          <w:spacing w:val="-2"/>
          <w:sz w:val="21"/>
        </w:rPr>
        <w:t>我们依照前款的规定作出核定后，对不属于保险责任的，应当自作出</w:t>
      </w:r>
      <w:r>
        <w:rPr>
          <w:spacing w:val="-6"/>
          <w:sz w:val="21"/>
        </w:rPr>
        <w:t>核定之日起 </w:t>
      </w:r>
      <w:r>
        <w:rPr>
          <w:spacing w:val="-2"/>
          <w:sz w:val="21"/>
        </w:rPr>
        <w:t>3</w:t>
      </w:r>
      <w:r>
        <w:rPr>
          <w:spacing w:val="-7"/>
          <w:sz w:val="21"/>
        </w:rPr>
        <w:t> 日内向被保险人或者受益人发出拒绝给付保险金通知书，并说</w:t>
      </w:r>
      <w:r>
        <w:rPr>
          <w:spacing w:val="-4"/>
          <w:sz w:val="21"/>
        </w:rPr>
        <w:t>明理由。</w:t>
      </w:r>
    </w:p>
    <w:p>
      <w:pPr>
        <w:pStyle w:val="ListParagraph"/>
        <w:numPr>
          <w:ilvl w:val="0"/>
          <w:numId w:val="21"/>
        </w:numPr>
        <w:tabs>
          <w:tab w:pos="3564" w:val="left" w:leader="none"/>
        </w:tabs>
        <w:spacing w:line="278" w:lineRule="auto" w:before="0" w:after="0"/>
        <w:ind w:left="3037" w:right="298" w:firstLine="0"/>
        <w:jc w:val="both"/>
        <w:rPr>
          <w:sz w:val="21"/>
        </w:rPr>
      </w:pPr>
      <w:r>
        <w:rPr>
          <w:spacing w:val="-2"/>
          <w:sz w:val="21"/>
        </w:rPr>
        <w:t>我们自收到给付保险金的请求和有关证明、资料之日起60日内，对给付保险金的数额不能确定的，应当根据已有证明和资料可以确定的数额先予</w:t>
      </w:r>
      <w:r>
        <w:rPr>
          <w:spacing w:val="-2"/>
          <w:sz w:val="21"/>
        </w:rPr>
        <w:t>支付；我们最终确定给付保险金的数额后，应当支付相应的差额。</w:t>
      </w:r>
    </w:p>
    <w:p>
      <w:pPr>
        <w:spacing w:after="0" w:line="278" w:lineRule="auto"/>
        <w:jc w:val="both"/>
        <w:rPr>
          <w:sz w:val="21"/>
        </w:rPr>
        <w:sectPr>
          <w:type w:val="continuous"/>
          <w:pgSz w:w="11910" w:h="16840"/>
          <w:pgMar w:header="566" w:footer="664" w:top="1340" w:bottom="860" w:left="900" w:right="720"/>
        </w:sectPr>
      </w:pPr>
    </w:p>
    <w:p>
      <w:pPr>
        <w:pStyle w:val="ListParagraph"/>
        <w:numPr>
          <w:ilvl w:val="1"/>
          <w:numId w:val="17"/>
        </w:numPr>
        <w:tabs>
          <w:tab w:pos="1269" w:val="left" w:leader="none"/>
          <w:tab w:pos="1270" w:val="left" w:leader="none"/>
          <w:tab w:pos="3036" w:val="left" w:leader="none"/>
        </w:tabs>
        <w:spacing w:line="235" w:lineRule="auto" w:before="23" w:after="0"/>
        <w:ind w:left="3037" w:right="209" w:hanging="2805"/>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豁</w:t>
      </w:r>
      <w:r>
        <w:rPr>
          <w:rFonts w:ascii="微软雅黑" w:eastAsia="微软雅黑"/>
          <w:b/>
          <w:spacing w:val="-2"/>
          <w:sz w:val="21"/>
        </w:rPr>
        <w:t>免</w:t>
      </w:r>
      <w:r>
        <w:rPr>
          <w:rFonts w:ascii="微软雅黑" w:eastAsia="微软雅黑"/>
          <w:b/>
          <w:sz w:val="21"/>
        </w:rPr>
        <w:tab/>
      </w:r>
      <w:r>
        <w:rPr>
          <w:sz w:val="21"/>
        </w:rPr>
        <w:t>（1）我们在收到申请书及</w:t>
      </w:r>
      <w:r>
        <w:rPr>
          <w:sz w:val="21"/>
        </w:rPr>
        <w:t>合同约定的证明和资料后，将在</w:t>
      </w:r>
      <w:r>
        <w:rPr>
          <w:spacing w:val="-53"/>
          <w:sz w:val="21"/>
        </w:rPr>
        <w:t> </w:t>
      </w:r>
      <w:r>
        <w:rPr>
          <w:sz w:val="21"/>
        </w:rPr>
        <w:t>5</w:t>
      </w:r>
      <w:r>
        <w:rPr>
          <w:spacing w:val="-53"/>
          <w:sz w:val="21"/>
        </w:rPr>
        <w:t> </w:t>
      </w:r>
      <w:r>
        <w:rPr>
          <w:sz w:val="21"/>
        </w:rPr>
        <w:t>日内作出核定；</w:t>
      </w:r>
      <w:r>
        <w:rPr>
          <w:spacing w:val="-2"/>
          <w:sz w:val="21"/>
        </w:rPr>
        <w:t>情</w:t>
      </w:r>
      <w:r>
        <w:rPr>
          <w:spacing w:val="-2"/>
          <w:sz w:val="21"/>
        </w:rPr>
        <w:t>形</w:t>
      </w:r>
      <w:r>
        <w:rPr>
          <w:spacing w:val="-2"/>
          <w:sz w:val="21"/>
        </w:rPr>
        <w:t>复杂的，在</w:t>
      </w:r>
      <w:r>
        <w:rPr>
          <w:spacing w:val="-35"/>
          <w:sz w:val="21"/>
        </w:rPr>
        <w:t> </w:t>
      </w:r>
      <w:r>
        <w:rPr>
          <w:spacing w:val="-2"/>
          <w:sz w:val="21"/>
        </w:rPr>
        <w:t>30</w:t>
      </w:r>
      <w:r>
        <w:rPr>
          <w:spacing w:val="-35"/>
          <w:sz w:val="21"/>
        </w:rPr>
        <w:t> </w:t>
      </w:r>
      <w:r>
        <w:rPr>
          <w:spacing w:val="-2"/>
          <w:sz w:val="21"/>
        </w:rPr>
        <w:t>日内作</w:t>
      </w:r>
      <w:r>
        <w:rPr>
          <w:spacing w:val="-2"/>
          <w:sz w:val="21"/>
        </w:rPr>
        <w:t>出</w:t>
      </w:r>
      <w:r>
        <w:rPr>
          <w:spacing w:val="-2"/>
          <w:sz w:val="21"/>
        </w:rPr>
        <w:t>核</w:t>
      </w:r>
      <w:r>
        <w:rPr>
          <w:spacing w:val="-2"/>
          <w:sz w:val="21"/>
        </w:rPr>
        <w:t>定，但合同另有约定</w:t>
      </w:r>
      <w:r>
        <w:rPr>
          <w:spacing w:val="-2"/>
          <w:sz w:val="21"/>
        </w:rPr>
        <w:t>的</w:t>
      </w:r>
      <w:r>
        <w:rPr>
          <w:spacing w:val="-2"/>
          <w:sz w:val="21"/>
        </w:rPr>
        <w:t>除</w:t>
      </w:r>
      <w:r>
        <w:rPr>
          <w:spacing w:val="-2"/>
          <w:sz w:val="21"/>
        </w:rPr>
        <w:t>外。我们应当将核定</w:t>
      </w:r>
    </w:p>
    <w:p>
      <w:pPr>
        <w:pStyle w:val="BodyText"/>
        <w:spacing w:line="278" w:lineRule="auto" w:before="43"/>
        <w:ind w:left="3037" w:right="310"/>
      </w:pPr>
      <w:r>
        <w:rPr>
          <w:spacing w:val="-2"/>
        </w:rPr>
        <w:t>结果通知投保人、被保险人或者受益人；对属于保险责任的，在与投保人、</w:t>
      </w:r>
      <w:r>
        <w:rPr>
          <w:spacing w:val="-2"/>
        </w:rPr>
        <w:t>被保险人或者受益人达成豁免保险费的协议后 </w:t>
      </w:r>
      <w:r>
        <w:rPr/>
        <w:t>10</w:t>
      </w:r>
      <w:r>
        <w:rPr>
          <w:spacing w:val="-5"/>
        </w:rPr>
        <w:t> 日内，履行豁免保险费义</w:t>
      </w:r>
      <w:r>
        <w:rPr>
          <w:spacing w:val="-6"/>
        </w:rPr>
        <w:t>务。</w:t>
      </w:r>
    </w:p>
    <w:p>
      <w:pPr>
        <w:pStyle w:val="ListParagraph"/>
        <w:numPr>
          <w:ilvl w:val="0"/>
          <w:numId w:val="22"/>
        </w:numPr>
        <w:tabs>
          <w:tab w:pos="3566" w:val="left" w:leader="none"/>
        </w:tabs>
        <w:spacing w:line="278" w:lineRule="auto" w:before="0" w:after="0"/>
        <w:ind w:left="3037" w:right="209" w:firstLine="0"/>
        <w:jc w:val="left"/>
        <w:rPr>
          <w:sz w:val="21"/>
        </w:rPr>
      </w:pPr>
      <w:r>
        <w:rPr>
          <w:spacing w:val="-2"/>
          <w:sz w:val="21"/>
        </w:rPr>
        <w:t>我们未及时履行前款规定义务的，除豁免保险费外，应当赔偿投保人、</w:t>
      </w:r>
      <w:r>
        <w:rPr>
          <w:spacing w:val="-2"/>
          <w:sz w:val="21"/>
        </w:rPr>
        <w:t>被保险人或者受益人因此受到的损失。</w:t>
      </w:r>
    </w:p>
    <w:p>
      <w:pPr>
        <w:pStyle w:val="ListParagraph"/>
        <w:numPr>
          <w:ilvl w:val="0"/>
          <w:numId w:val="22"/>
        </w:numPr>
        <w:tabs>
          <w:tab w:pos="3564" w:val="left" w:leader="none"/>
        </w:tabs>
        <w:spacing w:line="278" w:lineRule="auto" w:before="0" w:after="0"/>
        <w:ind w:left="3037" w:right="204" w:firstLine="0"/>
        <w:jc w:val="left"/>
        <w:rPr>
          <w:sz w:val="21"/>
        </w:rPr>
      </w:pPr>
      <w:r>
        <w:rPr>
          <w:spacing w:val="-2"/>
          <w:sz w:val="21"/>
        </w:rPr>
        <w:t>我们依照前款的规定作出核定后，对不属于保险责任的，应当自作出核</w:t>
      </w:r>
      <w:r>
        <w:rPr>
          <w:spacing w:val="-11"/>
          <w:sz w:val="21"/>
        </w:rPr>
        <w:t>定之日起 </w:t>
      </w:r>
      <w:r>
        <w:rPr>
          <w:sz w:val="21"/>
        </w:rPr>
        <w:t>3</w:t>
      </w:r>
      <w:r>
        <w:rPr>
          <w:spacing w:val="-14"/>
          <w:sz w:val="21"/>
        </w:rPr>
        <w:t> 日内向投保人、被保险人或者受益人发出拒绝豁免保险费通知书，</w:t>
      </w:r>
      <w:r>
        <w:rPr>
          <w:spacing w:val="-2"/>
          <w:sz w:val="21"/>
        </w:rPr>
        <w:t>并说明理由。</w:t>
      </w:r>
    </w:p>
    <w:p>
      <w:pPr>
        <w:spacing w:after="0" w:line="278" w:lineRule="auto"/>
        <w:jc w:val="left"/>
        <w:rPr>
          <w:sz w:val="21"/>
        </w:rPr>
        <w:sectPr>
          <w:pgSz w:w="11910" w:h="16840"/>
          <w:pgMar w:header="566" w:footer="664" w:top="1340" w:bottom="860" w:left="900" w:right="720"/>
        </w:sectPr>
      </w:pPr>
    </w:p>
    <w:p>
      <w:pPr>
        <w:pStyle w:val="ListParagraph"/>
        <w:numPr>
          <w:ilvl w:val="1"/>
          <w:numId w:val="17"/>
        </w:numPr>
        <w:tabs>
          <w:tab w:pos="1269" w:val="left" w:leader="none"/>
          <w:tab w:pos="1270" w:val="left" w:leader="none"/>
        </w:tabs>
        <w:spacing w:line="194" w:lineRule="auto" w:before="155" w:after="0"/>
        <w:ind w:left="1270" w:right="0" w:hanging="1038"/>
        <w:jc w:val="left"/>
        <w:rPr>
          <w:rFonts w:ascii="微软雅黑" w:eastAsia="微软雅黑"/>
          <w:b/>
          <w:sz w:val="21"/>
        </w:rPr>
      </w:pPr>
      <w:r>
        <w:rPr>
          <w:rFonts w:ascii="微软雅黑" w:eastAsia="微软雅黑"/>
          <w:b/>
          <w:spacing w:val="-2"/>
          <w:sz w:val="21"/>
        </w:rPr>
        <w:t>法院宣告死亡的</w:t>
      </w:r>
      <w:r>
        <w:rPr>
          <w:rFonts w:ascii="微软雅黑" w:eastAsia="微软雅黑"/>
          <w:b/>
          <w:spacing w:val="-6"/>
          <w:sz w:val="21"/>
        </w:rPr>
        <w:t>处理</w:t>
      </w:r>
    </w:p>
    <w:p>
      <w:pPr>
        <w:pStyle w:val="BodyText"/>
        <w:spacing w:line="278" w:lineRule="auto" w:before="170"/>
        <w:ind w:left="232" w:right="190"/>
      </w:pPr>
      <w:r>
        <w:rPr/>
        <w:br w:type="column"/>
      </w:r>
      <w:r>
        <w:rPr>
          <w:spacing w:val="-11"/>
        </w:rPr>
        <w:t>在本合同保险期间内，被保险人下落不明且经人民法院宣告被保险人死亡后，</w:t>
      </w:r>
      <w:r>
        <w:rPr>
          <w:spacing w:val="-2"/>
        </w:rPr>
        <w:t>我们根据法院宣告死亡判决依法确定被保险人死亡日期，并按本合同与身故</w:t>
      </w:r>
      <w:r>
        <w:rPr>
          <w:spacing w:val="-2"/>
        </w:rPr>
        <w:t>有关的约定处理。若被保险人在宣告死亡后重新出现或知其没有死亡，以身</w:t>
      </w:r>
      <w:r>
        <w:rPr>
          <w:spacing w:val="-2"/>
        </w:rPr>
        <w:t>故为给付条件的保险金的受益人或继承人应于知道或应该知道被保险人重新</w:t>
      </w:r>
      <w:r>
        <w:rPr>
          <w:spacing w:val="-2"/>
        </w:rPr>
        <w:t>出现或知其没有死亡之日起30日内将领取的保险金退还给我们。</w:t>
      </w:r>
    </w:p>
    <w:p>
      <w:pPr>
        <w:spacing w:after="0" w:line="278" w:lineRule="auto"/>
        <w:sectPr>
          <w:type w:val="continuous"/>
          <w:pgSz w:w="11910" w:h="16840"/>
          <w:pgMar w:header="566" w:footer="664" w:top="1340" w:bottom="860" w:left="900" w:right="720"/>
          <w:cols w:num="2" w:equalWidth="0">
            <w:col w:w="2749" w:space="55"/>
            <w:col w:w="7486"/>
          </w:cols>
        </w:sectPr>
      </w:pPr>
    </w:p>
    <w:p>
      <w:pPr>
        <w:pStyle w:val="ListParagraph"/>
        <w:numPr>
          <w:ilvl w:val="1"/>
          <w:numId w:val="17"/>
        </w:numPr>
        <w:tabs>
          <w:tab w:pos="1269" w:val="left" w:leader="none"/>
          <w:tab w:pos="1270" w:val="left" w:leader="none"/>
          <w:tab w:pos="3036" w:val="left" w:leader="none"/>
        </w:tabs>
        <w:spacing w:line="235" w:lineRule="auto" w:before="106" w:after="0"/>
        <w:ind w:left="3037" w:right="310" w:hanging="2805"/>
        <w:jc w:val="left"/>
        <w:rPr>
          <w:sz w:val="21"/>
        </w:rPr>
      </w:pPr>
      <w:r>
        <w:rPr>
          <w:rFonts w:ascii="微软雅黑" w:eastAsia="微软雅黑"/>
          <w:b/>
          <w:spacing w:val="-4"/>
          <w:sz w:val="21"/>
        </w:rPr>
        <w:t>诉</w:t>
      </w:r>
      <w:r>
        <w:rPr>
          <w:rFonts w:ascii="微软雅黑" w:eastAsia="微软雅黑"/>
          <w:b/>
          <w:spacing w:val="-4"/>
          <w:sz w:val="21"/>
        </w:rPr>
        <w:t>讼</w:t>
      </w:r>
      <w:r>
        <w:rPr>
          <w:rFonts w:ascii="微软雅黑" w:eastAsia="微软雅黑"/>
          <w:b/>
          <w:spacing w:val="-4"/>
          <w:sz w:val="21"/>
        </w:rPr>
        <w:t>时</w:t>
      </w:r>
      <w:r>
        <w:rPr>
          <w:rFonts w:ascii="微软雅黑" w:eastAsia="微软雅黑"/>
          <w:b/>
          <w:spacing w:val="-4"/>
          <w:sz w:val="21"/>
        </w:rPr>
        <w:t>效</w:t>
      </w:r>
      <w:r>
        <w:rPr>
          <w:rFonts w:ascii="微软雅黑" w:eastAsia="微软雅黑"/>
          <w:b/>
          <w:sz w:val="21"/>
        </w:rPr>
        <w:tab/>
      </w:r>
      <w:r>
        <w:rPr>
          <w:sz w:val="21"/>
        </w:rPr>
        <w:t>申请人向我们申请给付保</w:t>
      </w:r>
      <w:r>
        <w:rPr>
          <w:sz w:val="21"/>
        </w:rPr>
        <w:t>险金及豁免保险费的诉讼</w:t>
      </w:r>
      <w:r>
        <w:rPr>
          <w:sz w:val="21"/>
        </w:rPr>
        <w:t>时效期间为</w:t>
      </w:r>
      <w:r>
        <w:rPr>
          <w:spacing w:val="-53"/>
          <w:sz w:val="21"/>
        </w:rPr>
        <w:t> </w:t>
      </w:r>
      <w:r>
        <w:rPr>
          <w:sz w:val="21"/>
        </w:rPr>
        <w:t>2</w:t>
      </w:r>
      <w:r>
        <w:rPr>
          <w:spacing w:val="-53"/>
          <w:sz w:val="21"/>
        </w:rPr>
        <w:t> </w:t>
      </w:r>
      <w:r>
        <w:rPr>
          <w:sz w:val="21"/>
        </w:rPr>
        <w:t>年，自</w:t>
      </w:r>
      <w:r>
        <w:rPr>
          <w:sz w:val="21"/>
        </w:rPr>
        <w:t>其知</w:t>
      </w:r>
      <w:r>
        <w:rPr>
          <w:spacing w:val="-2"/>
          <w:sz w:val="21"/>
        </w:rPr>
        <w:t>道</w:t>
      </w:r>
      <w:r>
        <w:rPr>
          <w:spacing w:val="-2"/>
          <w:sz w:val="21"/>
        </w:rPr>
        <w:t>或</w:t>
      </w:r>
      <w:r>
        <w:rPr>
          <w:spacing w:val="-2"/>
          <w:sz w:val="21"/>
        </w:rPr>
        <w:t>应当知道保险事故发</w:t>
      </w:r>
      <w:r>
        <w:rPr>
          <w:spacing w:val="-2"/>
          <w:sz w:val="21"/>
        </w:rPr>
        <w:t>生</w:t>
      </w:r>
      <w:r>
        <w:rPr>
          <w:spacing w:val="-2"/>
          <w:sz w:val="21"/>
        </w:rPr>
        <w:t>之</w:t>
      </w:r>
      <w:r>
        <w:rPr>
          <w:spacing w:val="-2"/>
          <w:sz w:val="21"/>
        </w:rPr>
        <w:t>日起计</w:t>
      </w:r>
      <w:r>
        <w:rPr>
          <w:spacing w:val="-2"/>
          <w:sz w:val="21"/>
        </w:rPr>
        <w:t>算</w:t>
      </w:r>
      <w:r>
        <w:rPr>
          <w:spacing w:val="-2"/>
          <w:sz w:val="21"/>
        </w:rPr>
        <w:t>。</w:t>
      </w:r>
    </w:p>
    <w:p>
      <w:pPr>
        <w:pStyle w:val="BodyText"/>
        <w:spacing w:before="10"/>
        <w:rPr>
          <w:sz w:val="18"/>
        </w:rPr>
      </w:pPr>
    </w:p>
    <w:p>
      <w:pPr>
        <w:tabs>
          <w:tab w:pos="1269" w:val="left" w:leader="none"/>
        </w:tabs>
        <w:spacing w:before="0"/>
        <w:ind w:left="232" w:right="0" w:firstLine="0"/>
        <w:jc w:val="left"/>
        <w:rPr>
          <w:rFonts w:ascii="微软雅黑" w:hAnsi="微软雅黑" w:eastAsia="微软雅黑"/>
          <w:b/>
          <w:sz w:val="24"/>
        </w:rPr>
      </w:pPr>
      <w:r>
        <w:rPr>
          <w:rFonts w:ascii="微软雅黑" w:hAnsi="微软雅黑" w:eastAsia="微软雅黑"/>
          <w:b/>
          <w:spacing w:val="-10"/>
          <w:position w:val="-5"/>
          <w:sz w:val="28"/>
        </w:rPr>
        <w:t>⒌</w:t>
      </w:r>
      <w:r>
        <w:rPr>
          <w:rFonts w:ascii="微软雅黑" w:hAnsi="微软雅黑" w:eastAsia="微软雅黑"/>
          <w:b/>
          <w:position w:val="-5"/>
          <w:sz w:val="28"/>
        </w:rPr>
        <w:tab/>
      </w:r>
      <w:r>
        <w:rPr>
          <w:rFonts w:ascii="微软雅黑" w:hAnsi="微软雅黑" w:eastAsia="微软雅黑"/>
          <w:b/>
          <w:spacing w:val="-3"/>
          <w:sz w:val="24"/>
        </w:rPr>
        <w:t>如何退保</w:t>
      </w:r>
    </w:p>
    <w:p>
      <w:pPr>
        <w:spacing w:before="71"/>
        <w:ind w:left="1324" w:right="1059" w:firstLine="0"/>
        <w:jc w:val="center"/>
        <w:rPr>
          <w:rFonts w:ascii="微软雅黑" w:eastAsia="微软雅黑"/>
          <w:b/>
          <w:sz w:val="21"/>
        </w:rPr>
      </w:pPr>
      <w:r>
        <w:rPr>
          <w:rFonts w:ascii="微软雅黑" w:eastAsia="微软雅黑"/>
          <w:b/>
          <w:spacing w:val="-3"/>
          <w:sz w:val="21"/>
        </w:rPr>
        <w:t>这部分描述的是您可以随时退保，在犹豫期内退保没有损失，犹豫期后退保会有损失。</w:t>
      </w:r>
    </w:p>
    <w:p>
      <w:pPr>
        <w:pStyle w:val="BodyText"/>
        <w:spacing w:before="2"/>
        <w:rPr>
          <w:rFonts w:ascii="微软雅黑"/>
          <w:b/>
          <w:sz w:val="4"/>
        </w:rPr>
      </w:pPr>
      <w:r>
        <w:rPr/>
        <w:drawing>
          <wp:anchor distT="0" distB="0" distL="0" distR="0" allowOverlap="1" layoutInCell="1" locked="0" behindDoc="0" simplePos="0" relativeHeight="33">
            <wp:simplePos x="0" y="0"/>
            <wp:positionH relativeFrom="page">
              <wp:posOffset>684276</wp:posOffset>
            </wp:positionH>
            <wp:positionV relativeFrom="paragraph">
              <wp:posOffset>63838</wp:posOffset>
            </wp:positionV>
            <wp:extent cx="6131742" cy="9715"/>
            <wp:effectExtent l="0" t="0" r="0" b="0"/>
            <wp:wrapTopAndBottom/>
            <wp:docPr id="31" name="image12.png"/>
            <wp:cNvGraphicFramePr>
              <a:graphicFrameLocks noChangeAspect="1"/>
            </wp:cNvGraphicFramePr>
            <a:graphic>
              <a:graphicData uri="http://schemas.openxmlformats.org/drawingml/2006/picture">
                <pic:pic>
                  <pic:nvPicPr>
                    <pic:cNvPr id="32" name="image12.png"/>
                    <pic:cNvPicPr/>
                  </pic:nvPicPr>
                  <pic:blipFill>
                    <a:blip r:embed="rId17" cstate="print"/>
                    <a:stretch>
                      <a:fillRect/>
                    </a:stretch>
                  </pic:blipFill>
                  <pic:spPr>
                    <a:xfrm>
                      <a:off x="0" y="0"/>
                      <a:ext cx="6131742" cy="9715"/>
                    </a:xfrm>
                    <a:prstGeom prst="rect">
                      <a:avLst/>
                    </a:prstGeom>
                  </pic:spPr>
                </pic:pic>
              </a:graphicData>
            </a:graphic>
          </wp:anchor>
        </w:drawing>
      </w:r>
    </w:p>
    <w:p>
      <w:pPr>
        <w:pStyle w:val="ListParagraph"/>
        <w:numPr>
          <w:ilvl w:val="1"/>
          <w:numId w:val="23"/>
        </w:numPr>
        <w:tabs>
          <w:tab w:pos="1269" w:val="left" w:leader="none"/>
          <w:tab w:pos="1270" w:val="left" w:leader="none"/>
          <w:tab w:pos="3036" w:val="left" w:leader="none"/>
        </w:tabs>
        <w:spacing w:line="256" w:lineRule="auto" w:before="99" w:after="0"/>
        <w:ind w:left="3037" w:right="209" w:hanging="2805"/>
        <w:jc w:val="left"/>
        <w:rPr>
          <w:sz w:val="21"/>
        </w:rPr>
      </w:pPr>
      <w:r>
        <w:rPr>
          <w:rFonts w:ascii="微软雅黑" w:eastAsia="微软雅黑"/>
          <w:b/>
          <w:spacing w:val="-4"/>
          <w:sz w:val="21"/>
        </w:rPr>
        <w:t>犹</w:t>
      </w:r>
      <w:r>
        <w:rPr>
          <w:rFonts w:ascii="微软雅黑" w:eastAsia="微软雅黑"/>
          <w:b/>
          <w:spacing w:val="-4"/>
          <w:sz w:val="21"/>
        </w:rPr>
        <w:t>豫</w:t>
      </w:r>
      <w:r>
        <w:rPr>
          <w:rFonts w:ascii="微软雅黑" w:eastAsia="微软雅黑"/>
          <w:b/>
          <w:spacing w:val="-4"/>
          <w:sz w:val="21"/>
        </w:rPr>
        <w:t>期</w:t>
      </w:r>
      <w:r>
        <w:rPr>
          <w:rFonts w:ascii="微软雅黑" w:eastAsia="微软雅黑"/>
          <w:b/>
          <w:sz w:val="21"/>
        </w:rPr>
        <w:tab/>
      </w:r>
      <w:r>
        <w:rPr>
          <w:sz w:val="21"/>
        </w:rPr>
        <w:t>自您签收本合同之日起，有</w:t>
      </w:r>
      <w:r>
        <w:rPr>
          <w:spacing w:val="-53"/>
          <w:sz w:val="21"/>
        </w:rPr>
        <w:t> </w:t>
      </w:r>
      <w:r>
        <w:rPr>
          <w:sz w:val="21"/>
        </w:rPr>
        <w:t>15</w:t>
      </w:r>
      <w:r>
        <w:rPr>
          <w:spacing w:val="-55"/>
          <w:sz w:val="21"/>
        </w:rPr>
        <w:t> </w:t>
      </w:r>
      <w:r>
        <w:rPr>
          <w:sz w:val="21"/>
        </w:rPr>
        <w:t>日的犹豫期。在此期</w:t>
      </w:r>
      <w:r>
        <w:rPr>
          <w:sz w:val="21"/>
        </w:rPr>
        <w:t>间请您认真审视本合同，</w:t>
      </w:r>
      <w:r>
        <w:rPr>
          <w:spacing w:val="-2"/>
          <w:sz w:val="21"/>
        </w:rPr>
        <w:t>如</w:t>
      </w:r>
      <w:r>
        <w:rPr>
          <w:spacing w:val="-2"/>
          <w:sz w:val="21"/>
        </w:rPr>
        <w:t>果</w:t>
      </w:r>
      <w:r>
        <w:rPr>
          <w:spacing w:val="-2"/>
          <w:sz w:val="21"/>
        </w:rPr>
        <w:t>您认为本合同与您的</w:t>
      </w:r>
      <w:r>
        <w:rPr>
          <w:spacing w:val="-2"/>
          <w:sz w:val="21"/>
        </w:rPr>
        <w:t>需</w:t>
      </w:r>
      <w:r>
        <w:rPr>
          <w:spacing w:val="-2"/>
          <w:sz w:val="21"/>
        </w:rPr>
        <w:t>求</w:t>
      </w:r>
      <w:r>
        <w:rPr>
          <w:spacing w:val="-2"/>
          <w:sz w:val="21"/>
        </w:rPr>
        <w:t>不相符，您可以在此</w:t>
      </w:r>
      <w:r>
        <w:rPr>
          <w:spacing w:val="-2"/>
          <w:sz w:val="21"/>
        </w:rPr>
        <w:t>期</w:t>
      </w:r>
      <w:r>
        <w:rPr>
          <w:spacing w:val="-2"/>
          <w:sz w:val="21"/>
        </w:rPr>
        <w:t>间</w:t>
      </w:r>
      <w:r>
        <w:rPr>
          <w:spacing w:val="-2"/>
          <w:sz w:val="21"/>
        </w:rPr>
        <w:t>提出解除本合同，</w:t>
      </w:r>
      <w:r>
        <w:rPr>
          <w:spacing w:val="-2"/>
          <w:sz w:val="21"/>
        </w:rPr>
        <w:t>我</w:t>
      </w:r>
      <w:r>
        <w:rPr>
          <w:spacing w:val="-2"/>
          <w:sz w:val="21"/>
        </w:rPr>
        <w:t>们</w:t>
      </w:r>
      <w:r>
        <w:rPr>
          <w:spacing w:val="-2"/>
          <w:sz w:val="21"/>
        </w:rPr>
        <w:t>将</w:t>
      </w:r>
      <w:r>
        <w:rPr>
          <w:spacing w:val="-2"/>
          <w:sz w:val="21"/>
        </w:rPr>
        <w:t>无息退还您所支付的</w:t>
      </w:r>
      <w:r>
        <w:rPr>
          <w:spacing w:val="-2"/>
          <w:sz w:val="21"/>
        </w:rPr>
        <w:t>全</w:t>
      </w:r>
      <w:r>
        <w:rPr>
          <w:spacing w:val="-2"/>
          <w:sz w:val="21"/>
        </w:rPr>
        <w:t>部</w:t>
      </w:r>
      <w:r>
        <w:rPr>
          <w:spacing w:val="-2"/>
          <w:sz w:val="21"/>
        </w:rPr>
        <w:t>保险费。</w:t>
      </w:r>
    </w:p>
    <w:p>
      <w:pPr>
        <w:spacing w:line="199" w:lineRule="auto" w:before="50"/>
        <w:ind w:left="3037" w:right="310" w:firstLine="0"/>
        <w:jc w:val="both"/>
        <w:rPr>
          <w:rFonts w:ascii="微软雅黑" w:eastAsia="微软雅黑"/>
          <w:b/>
          <w:sz w:val="22"/>
        </w:rPr>
      </w:pPr>
      <w:r>
        <w:rPr>
          <w:spacing w:val="-2"/>
          <w:sz w:val="21"/>
        </w:rPr>
        <w:t>解除本合同时，您需要填写申请书，并提供您的保险合同及有效身份证件。</w:t>
      </w:r>
      <w:r>
        <w:rPr>
          <w:rFonts w:ascii="微软雅黑" w:eastAsia="微软雅黑"/>
          <w:b/>
          <w:color w:val="000000"/>
          <w:spacing w:val="-2"/>
          <w:sz w:val="22"/>
          <w:shd w:fill="E4E4E4" w:color="auto" w:val="clear"/>
        </w:rPr>
        <w:t>自我们收到您解除合同的书面申请时，本合同即被解除，合同解除前发</w:t>
      </w:r>
      <w:r>
        <w:rPr>
          <w:rFonts w:ascii="微软雅黑" w:eastAsia="微软雅黑"/>
          <w:b/>
          <w:color w:val="000000"/>
          <w:spacing w:val="-2"/>
          <w:sz w:val="22"/>
          <w:shd w:fill="E4E4E4" w:color="auto" w:val="clear"/>
        </w:rPr>
        <w:t>生的保险事故我们不承担保险责任。</w:t>
      </w:r>
    </w:p>
    <w:p>
      <w:pPr>
        <w:pStyle w:val="BodyText"/>
        <w:spacing w:before="10"/>
        <w:rPr>
          <w:rFonts w:ascii="微软雅黑"/>
          <w:b/>
          <w:sz w:val="5"/>
        </w:rPr>
      </w:pPr>
    </w:p>
    <w:p>
      <w:pPr>
        <w:spacing w:after="0"/>
        <w:rPr>
          <w:rFonts w:ascii="微软雅黑"/>
          <w:sz w:val="5"/>
        </w:rPr>
        <w:sectPr>
          <w:type w:val="continuous"/>
          <w:pgSz w:w="11910" w:h="16840"/>
          <w:pgMar w:header="566" w:footer="664" w:top="1340" w:bottom="860" w:left="900" w:right="720"/>
        </w:sectPr>
      </w:pPr>
    </w:p>
    <w:p>
      <w:pPr>
        <w:pStyle w:val="ListParagraph"/>
        <w:numPr>
          <w:ilvl w:val="1"/>
          <w:numId w:val="23"/>
        </w:numPr>
        <w:tabs>
          <w:tab w:pos="1269" w:val="left" w:leader="none"/>
          <w:tab w:pos="1270" w:val="left" w:leader="none"/>
        </w:tabs>
        <w:spacing w:line="194" w:lineRule="auto" w:before="57" w:after="0"/>
        <w:ind w:left="1270" w:right="0" w:hanging="1038"/>
        <w:jc w:val="left"/>
        <w:rPr>
          <w:rFonts w:ascii="微软雅黑" w:eastAsia="微软雅黑"/>
          <w:b/>
          <w:sz w:val="21"/>
        </w:rPr>
      </w:pPr>
      <w:r>
        <w:rPr>
          <w:rFonts w:ascii="微软雅黑" w:eastAsia="微软雅黑"/>
          <w:b/>
          <w:spacing w:val="-2"/>
          <w:sz w:val="21"/>
        </w:rPr>
        <w:t>您解除合同的手</w:t>
      </w:r>
      <w:r>
        <w:rPr>
          <w:rFonts w:ascii="微软雅黑" w:eastAsia="微软雅黑"/>
          <w:b/>
          <w:spacing w:val="-10"/>
          <w:sz w:val="21"/>
        </w:rPr>
        <w:t>续</w:t>
      </w:r>
    </w:p>
    <w:p>
      <w:pPr>
        <w:pStyle w:val="BodyText"/>
        <w:spacing w:line="278" w:lineRule="auto" w:before="72"/>
        <w:ind w:left="232" w:right="310"/>
      </w:pPr>
      <w:r>
        <w:rPr/>
        <w:br w:type="column"/>
      </w:r>
      <w:r>
        <w:rPr>
          <w:spacing w:val="-2"/>
        </w:rPr>
        <w:t>您在犹豫期后可以申请解除本合同，请填写解除合同申请书并向我们提供下</w:t>
      </w:r>
      <w:r>
        <w:rPr>
          <w:spacing w:val="-2"/>
        </w:rPr>
        <w:t>列证明和资料：</w:t>
      </w:r>
    </w:p>
    <w:p>
      <w:pPr>
        <w:pStyle w:val="ListParagraph"/>
        <w:numPr>
          <w:ilvl w:val="0"/>
          <w:numId w:val="24"/>
        </w:numPr>
        <w:tabs>
          <w:tab w:pos="762" w:val="left" w:leader="none"/>
        </w:tabs>
        <w:spacing w:line="269" w:lineRule="exact" w:before="0" w:after="0"/>
        <w:ind w:left="761" w:right="0" w:hanging="530"/>
        <w:jc w:val="left"/>
        <w:rPr>
          <w:sz w:val="21"/>
        </w:rPr>
      </w:pPr>
      <w:r>
        <w:rPr>
          <w:spacing w:val="-4"/>
          <w:sz w:val="21"/>
        </w:rPr>
        <w:t>保险合同；</w:t>
      </w:r>
    </w:p>
    <w:p>
      <w:pPr>
        <w:pStyle w:val="ListParagraph"/>
        <w:numPr>
          <w:ilvl w:val="0"/>
          <w:numId w:val="24"/>
        </w:numPr>
        <w:tabs>
          <w:tab w:pos="762" w:val="left" w:leader="none"/>
        </w:tabs>
        <w:spacing w:line="240" w:lineRule="auto" w:before="43" w:after="0"/>
        <w:ind w:left="761" w:right="0" w:hanging="530"/>
        <w:jc w:val="left"/>
        <w:rPr>
          <w:sz w:val="21"/>
        </w:rPr>
      </w:pPr>
      <w:r>
        <w:rPr>
          <w:spacing w:val="-3"/>
          <w:sz w:val="21"/>
        </w:rPr>
        <w:t>您的有效身份证件。</w:t>
      </w:r>
    </w:p>
    <w:p>
      <w:pPr>
        <w:pStyle w:val="BodyText"/>
        <w:spacing w:line="278" w:lineRule="auto" w:before="43"/>
        <w:ind w:left="232" w:right="310"/>
      </w:pPr>
      <w:r>
        <w:rPr>
          <w:spacing w:val="-2"/>
        </w:rPr>
        <w:t>自我们收到解除合同申请书之日零时起，本合同效力终止。我们自收到解除</w:t>
      </w:r>
      <w:r>
        <w:rPr>
          <w:spacing w:val="-3"/>
        </w:rPr>
        <w:t>合同申请书之日起 </w:t>
      </w:r>
      <w:r>
        <w:rPr/>
        <w:t>30</w:t>
      </w:r>
      <w:r>
        <w:rPr>
          <w:spacing w:val="-5"/>
        </w:rPr>
        <w:t> 日内向您退还本合同的现金价值。</w:t>
      </w:r>
    </w:p>
    <w:p>
      <w:pPr>
        <w:spacing w:line="320" w:lineRule="exact" w:before="0"/>
        <w:ind w:left="232" w:right="0" w:firstLine="0"/>
        <w:jc w:val="left"/>
        <w:rPr>
          <w:rFonts w:ascii="微软雅黑" w:eastAsia="微软雅黑"/>
          <w:b/>
          <w:sz w:val="21"/>
        </w:rPr>
      </w:pPr>
      <w:r>
        <w:rPr>
          <w:rFonts w:ascii="微软雅黑" w:eastAsia="微软雅黑"/>
          <w:b/>
          <w:spacing w:val="-3"/>
          <w:sz w:val="21"/>
        </w:rPr>
        <w:t>您在犹豫期后解除合同可能会遭受一定损失。</w:t>
      </w:r>
    </w:p>
    <w:p>
      <w:pPr>
        <w:spacing w:after="0" w:line="320" w:lineRule="exact"/>
        <w:jc w:val="left"/>
        <w:rPr>
          <w:rFonts w:ascii="微软雅黑" w:eastAsia="微软雅黑"/>
          <w:sz w:val="21"/>
        </w:rPr>
        <w:sectPr>
          <w:type w:val="continuous"/>
          <w:pgSz w:w="11910" w:h="16840"/>
          <w:pgMar w:header="566" w:footer="664" w:top="1340" w:bottom="860" w:left="900" w:right="720"/>
          <w:cols w:num="2" w:equalWidth="0">
            <w:col w:w="2749" w:space="55"/>
            <w:col w:w="7486"/>
          </w:cols>
        </w:sectPr>
      </w:pPr>
    </w:p>
    <w:p>
      <w:pPr>
        <w:pStyle w:val="BodyText"/>
        <w:spacing w:before="16"/>
        <w:rPr>
          <w:rFonts w:ascii="微软雅黑"/>
          <w:b/>
          <w:sz w:val="10"/>
        </w:rPr>
      </w:pPr>
    </w:p>
    <w:p>
      <w:pPr>
        <w:tabs>
          <w:tab w:pos="1269" w:val="left" w:leader="none"/>
        </w:tabs>
        <w:spacing w:line="494" w:lineRule="exact" w:before="0"/>
        <w:ind w:left="232" w:right="0" w:firstLine="0"/>
        <w:jc w:val="left"/>
        <w:rPr>
          <w:rFonts w:ascii="微软雅黑" w:hAnsi="微软雅黑" w:eastAsia="微软雅黑"/>
          <w:b/>
          <w:sz w:val="24"/>
        </w:rPr>
      </w:pPr>
      <w:r>
        <w:rPr>
          <w:rFonts w:ascii="微软雅黑" w:hAnsi="微软雅黑" w:eastAsia="微软雅黑"/>
          <w:b/>
          <w:spacing w:val="-10"/>
          <w:position w:val="-3"/>
          <w:sz w:val="28"/>
        </w:rPr>
        <w:t>⒍</w:t>
      </w:r>
      <w:r>
        <w:rPr>
          <w:rFonts w:ascii="微软雅黑" w:hAnsi="微软雅黑" w:eastAsia="微软雅黑"/>
          <w:b/>
          <w:position w:val="-3"/>
          <w:sz w:val="28"/>
        </w:rPr>
        <w:tab/>
      </w:r>
      <w:r>
        <w:rPr>
          <w:rFonts w:ascii="微软雅黑" w:hAnsi="微软雅黑" w:eastAsia="微软雅黑"/>
          <w:b/>
          <w:spacing w:val="-2"/>
          <w:sz w:val="24"/>
        </w:rPr>
        <w:t>还有哪些权益</w:t>
      </w:r>
    </w:p>
    <w:p>
      <w:pPr>
        <w:spacing w:before="95"/>
        <w:ind w:left="1270" w:right="0" w:firstLine="0"/>
        <w:jc w:val="left"/>
        <w:rPr>
          <w:rFonts w:ascii="微软雅黑" w:eastAsia="微软雅黑"/>
          <w:b/>
          <w:sz w:val="21"/>
        </w:rPr>
      </w:pPr>
      <w:r>
        <w:rPr>
          <w:rFonts w:ascii="微软雅黑" w:eastAsia="微软雅黑"/>
          <w:b/>
          <w:spacing w:val="-3"/>
          <w:sz w:val="21"/>
        </w:rPr>
        <w:t>这部分描述的是您还拥有的相关权益。</w:t>
      </w:r>
    </w:p>
    <w:p>
      <w:pPr>
        <w:pStyle w:val="BodyText"/>
        <w:spacing w:before="2"/>
        <w:rPr>
          <w:rFonts w:ascii="微软雅黑"/>
          <w:b/>
          <w:sz w:val="4"/>
        </w:rPr>
      </w:pPr>
      <w:r>
        <w:rPr/>
        <w:drawing>
          <wp:anchor distT="0" distB="0" distL="0" distR="0" allowOverlap="1" layoutInCell="1" locked="0" behindDoc="0" simplePos="0" relativeHeight="34">
            <wp:simplePos x="0" y="0"/>
            <wp:positionH relativeFrom="page">
              <wp:posOffset>646176</wp:posOffset>
            </wp:positionH>
            <wp:positionV relativeFrom="paragraph">
              <wp:posOffset>63342</wp:posOffset>
            </wp:positionV>
            <wp:extent cx="6295770" cy="9715"/>
            <wp:effectExtent l="0" t="0" r="0" b="0"/>
            <wp:wrapTopAndBottom/>
            <wp:docPr id="33" name="image13.png"/>
            <wp:cNvGraphicFramePr>
              <a:graphicFrameLocks noChangeAspect="1"/>
            </wp:cNvGraphicFramePr>
            <a:graphic>
              <a:graphicData uri="http://schemas.openxmlformats.org/drawingml/2006/picture">
                <pic:pic>
                  <pic:nvPicPr>
                    <pic:cNvPr id="34" name="image13.png"/>
                    <pic:cNvPicPr/>
                  </pic:nvPicPr>
                  <pic:blipFill>
                    <a:blip r:embed="rId18" cstate="print"/>
                    <a:stretch>
                      <a:fillRect/>
                    </a:stretch>
                  </pic:blipFill>
                  <pic:spPr>
                    <a:xfrm>
                      <a:off x="0" y="0"/>
                      <a:ext cx="6295770" cy="9715"/>
                    </a:xfrm>
                    <a:prstGeom prst="rect">
                      <a:avLst/>
                    </a:prstGeom>
                  </pic:spPr>
                </pic:pic>
              </a:graphicData>
            </a:graphic>
          </wp:anchor>
        </w:drawing>
      </w:r>
    </w:p>
    <w:p>
      <w:pPr>
        <w:pStyle w:val="ListParagraph"/>
        <w:numPr>
          <w:ilvl w:val="1"/>
          <w:numId w:val="25"/>
        </w:numPr>
        <w:tabs>
          <w:tab w:pos="1269" w:val="left" w:leader="none"/>
          <w:tab w:pos="1270" w:val="left" w:leader="none"/>
          <w:tab w:pos="3036" w:val="left" w:leader="none"/>
        </w:tabs>
        <w:spacing w:line="256" w:lineRule="auto" w:before="108" w:after="0"/>
        <w:ind w:left="3037" w:right="190" w:hanging="2805"/>
        <w:jc w:val="left"/>
        <w:rPr>
          <w:sz w:val="21"/>
        </w:rPr>
      </w:pPr>
      <w:r>
        <w:rPr>
          <w:rFonts w:ascii="微软雅黑" w:eastAsia="微软雅黑"/>
          <w:b/>
          <w:spacing w:val="-4"/>
          <w:sz w:val="21"/>
        </w:rPr>
        <w:t>现</w:t>
      </w:r>
      <w:r>
        <w:rPr>
          <w:rFonts w:ascii="微软雅黑" w:eastAsia="微软雅黑"/>
          <w:b/>
          <w:spacing w:val="-4"/>
          <w:sz w:val="21"/>
        </w:rPr>
        <w:t>金</w:t>
      </w:r>
      <w:r>
        <w:rPr>
          <w:rFonts w:ascii="微软雅黑" w:eastAsia="微软雅黑"/>
          <w:b/>
          <w:spacing w:val="-4"/>
          <w:sz w:val="21"/>
        </w:rPr>
        <w:t>价</w:t>
      </w:r>
      <w:r>
        <w:rPr>
          <w:rFonts w:ascii="微软雅黑" w:eastAsia="微软雅黑"/>
          <w:b/>
          <w:spacing w:val="-4"/>
          <w:sz w:val="21"/>
        </w:rPr>
        <w:t>值</w:t>
      </w:r>
      <w:r>
        <w:rPr>
          <w:rFonts w:ascii="微软雅黑" w:eastAsia="微软雅黑"/>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由</w:t>
      </w:r>
      <w:r>
        <w:rPr>
          <w:spacing w:val="-2"/>
          <w:sz w:val="21"/>
        </w:rPr>
        <w:t>我</w:t>
      </w:r>
      <w:r>
        <w:rPr>
          <w:spacing w:val="-2"/>
          <w:sz w:val="21"/>
        </w:rPr>
        <w:t>们向您退还的那</w:t>
      </w:r>
      <w:r>
        <w:rPr>
          <w:spacing w:val="-2"/>
          <w:sz w:val="21"/>
        </w:rPr>
        <w:t>部</w:t>
      </w:r>
      <w:r>
        <w:rPr>
          <w:spacing w:val="-2"/>
          <w:sz w:val="21"/>
        </w:rPr>
        <w:t>分</w:t>
      </w:r>
      <w:r>
        <w:rPr>
          <w:spacing w:val="-4"/>
          <w:sz w:val="21"/>
        </w:rPr>
        <w:t>金</w:t>
      </w:r>
      <w:r>
        <w:rPr>
          <w:spacing w:val="-4"/>
          <w:sz w:val="21"/>
        </w:rPr>
        <w:t>额</w:t>
      </w:r>
      <w:r>
        <w:rPr>
          <w:spacing w:val="-4"/>
          <w:sz w:val="21"/>
        </w:rPr>
        <w:t>。保单</w:t>
      </w:r>
      <w:r>
        <w:rPr>
          <w:spacing w:val="-4"/>
          <w:sz w:val="21"/>
        </w:rPr>
        <w:t>年</w:t>
      </w:r>
      <w:r>
        <w:rPr>
          <w:spacing w:val="-4"/>
          <w:sz w:val="21"/>
        </w:rPr>
        <w:t>度</w:t>
      </w:r>
      <w:r>
        <w:rPr>
          <w:spacing w:val="-4"/>
          <w:sz w:val="21"/>
        </w:rPr>
        <w:t>末的现金</w:t>
      </w:r>
      <w:r>
        <w:rPr>
          <w:spacing w:val="-4"/>
          <w:sz w:val="21"/>
        </w:rPr>
        <w:t>价</w:t>
      </w:r>
      <w:r>
        <w:rPr>
          <w:spacing w:val="-4"/>
          <w:sz w:val="21"/>
        </w:rPr>
        <w:t>值</w:t>
      </w:r>
      <w:r>
        <w:rPr>
          <w:spacing w:val="-4"/>
          <w:sz w:val="21"/>
        </w:rPr>
        <w:t>会在保险合同上载明，保单年度</w:t>
      </w:r>
      <w:r>
        <w:rPr>
          <w:spacing w:val="-4"/>
          <w:sz w:val="21"/>
        </w:rPr>
        <w:t>内</w:t>
      </w:r>
      <w:r>
        <w:rPr>
          <w:spacing w:val="-4"/>
          <w:sz w:val="21"/>
        </w:rPr>
        <w:t>的</w:t>
      </w:r>
      <w:r>
        <w:rPr>
          <w:spacing w:val="-4"/>
          <w:sz w:val="21"/>
        </w:rPr>
        <w:t>现金价</w:t>
      </w:r>
      <w:r>
        <w:rPr>
          <w:spacing w:val="-4"/>
          <w:sz w:val="21"/>
        </w:rPr>
        <w:t>值</w:t>
      </w:r>
      <w:r>
        <w:rPr>
          <w:spacing w:val="-4"/>
          <w:sz w:val="21"/>
        </w:rPr>
        <w:t>，</w:t>
      </w:r>
      <w:r>
        <w:rPr>
          <w:spacing w:val="-2"/>
          <w:sz w:val="21"/>
        </w:rPr>
        <w:t>您</w:t>
      </w:r>
      <w:r>
        <w:rPr>
          <w:spacing w:val="-2"/>
          <w:sz w:val="21"/>
        </w:rPr>
        <w:t>可</w:t>
      </w:r>
      <w:r>
        <w:rPr>
          <w:spacing w:val="-2"/>
          <w:sz w:val="21"/>
        </w:rPr>
        <w:t>以向我们咨</w:t>
      </w:r>
      <w:r>
        <w:rPr>
          <w:spacing w:val="-2"/>
          <w:sz w:val="21"/>
        </w:rPr>
        <w:t>询</w:t>
      </w:r>
      <w:r>
        <w:rPr>
          <w:spacing w:val="-2"/>
          <w:sz w:val="21"/>
        </w:rPr>
        <w:t>。</w:t>
      </w:r>
    </w:p>
    <w:p>
      <w:pPr>
        <w:spacing w:after="0" w:line="256" w:lineRule="auto"/>
        <w:jc w:val="left"/>
        <w:rPr>
          <w:sz w:val="21"/>
        </w:rPr>
        <w:sectPr>
          <w:type w:val="continuous"/>
          <w:pgSz w:w="11910" w:h="16840"/>
          <w:pgMar w:header="566" w:footer="664" w:top="1340" w:bottom="860" w:left="900" w:right="720"/>
        </w:sectPr>
      </w:pPr>
    </w:p>
    <w:p>
      <w:pPr>
        <w:pStyle w:val="ListParagraph"/>
        <w:numPr>
          <w:ilvl w:val="1"/>
          <w:numId w:val="25"/>
        </w:numPr>
        <w:tabs>
          <w:tab w:pos="1269" w:val="left" w:leader="none"/>
          <w:tab w:pos="1270" w:val="left" w:leader="none"/>
          <w:tab w:pos="3036" w:val="left" w:leader="none"/>
        </w:tabs>
        <w:spacing w:line="228" w:lineRule="auto" w:before="32" w:after="0"/>
        <w:ind w:left="3037" w:right="295" w:hanging="2805"/>
        <w:jc w:val="both"/>
        <w:rPr>
          <w:sz w:val="21"/>
        </w:rPr>
      </w:pPr>
      <w:r>
        <w:rPr>
          <w:rFonts w:ascii="微软雅黑" w:eastAsia="微软雅黑"/>
          <w:b/>
          <w:spacing w:val="-4"/>
          <w:sz w:val="21"/>
        </w:rPr>
        <w:t>保</w:t>
      </w:r>
      <w:r>
        <w:rPr>
          <w:rFonts w:ascii="微软雅黑" w:eastAsia="微软雅黑"/>
          <w:b/>
          <w:spacing w:val="-4"/>
          <w:sz w:val="21"/>
        </w:rPr>
        <w:t>单</w:t>
      </w:r>
      <w:r>
        <w:rPr>
          <w:rFonts w:ascii="微软雅黑" w:eastAsia="微软雅黑"/>
          <w:b/>
          <w:spacing w:val="-4"/>
          <w:sz w:val="21"/>
        </w:rPr>
        <w:t>贷</w:t>
      </w:r>
      <w:r>
        <w:rPr>
          <w:rFonts w:ascii="微软雅黑" w:eastAsia="微软雅黑"/>
          <w:b/>
          <w:spacing w:val="-4"/>
          <w:sz w:val="21"/>
        </w:rPr>
        <w:t>款</w:t>
      </w:r>
      <w:r>
        <w:rPr>
          <w:rFonts w:ascii="微软雅黑" w:eastAsia="微软雅黑"/>
          <w:b/>
          <w:sz w:val="21"/>
        </w:rPr>
        <w:tab/>
      </w:r>
      <w:r>
        <w:rPr>
          <w:spacing w:val="-2"/>
          <w:sz w:val="21"/>
        </w:rPr>
        <w:t>若</w:t>
      </w:r>
      <w:r>
        <w:rPr>
          <w:spacing w:val="-2"/>
          <w:sz w:val="21"/>
        </w:rPr>
        <w:t>本</w:t>
      </w:r>
      <w:r>
        <w:rPr>
          <w:spacing w:val="-2"/>
          <w:sz w:val="21"/>
        </w:rPr>
        <w:t>合同有效且具有现金</w:t>
      </w:r>
      <w:r>
        <w:rPr>
          <w:spacing w:val="-2"/>
          <w:sz w:val="21"/>
        </w:rPr>
        <w:t>价</w:t>
      </w:r>
      <w:r>
        <w:rPr>
          <w:spacing w:val="-2"/>
          <w:sz w:val="21"/>
        </w:rPr>
        <w:t>值</w:t>
      </w:r>
      <w:r>
        <w:rPr>
          <w:spacing w:val="-2"/>
          <w:sz w:val="21"/>
        </w:rPr>
        <w:t>，经我们审核同意后，</w:t>
      </w:r>
      <w:r>
        <w:rPr>
          <w:spacing w:val="-2"/>
          <w:sz w:val="21"/>
        </w:rPr>
        <w:t>您</w:t>
      </w:r>
      <w:r>
        <w:rPr>
          <w:spacing w:val="-2"/>
          <w:sz w:val="21"/>
        </w:rPr>
        <w:t>可以通过书面形</w:t>
      </w:r>
      <w:r>
        <w:rPr>
          <w:spacing w:val="-2"/>
          <w:sz w:val="21"/>
        </w:rPr>
        <w:t>式</w:t>
      </w:r>
      <w:r>
        <w:rPr>
          <w:spacing w:val="-2"/>
          <w:sz w:val="21"/>
        </w:rPr>
        <w:t>向</w:t>
      </w:r>
      <w:r>
        <w:rPr>
          <w:spacing w:val="-2"/>
          <w:sz w:val="21"/>
        </w:rPr>
        <w:t>我</w:t>
      </w:r>
      <w:r>
        <w:rPr>
          <w:spacing w:val="-2"/>
          <w:sz w:val="21"/>
        </w:rPr>
        <w:t>们</w:t>
      </w:r>
      <w:r>
        <w:rPr>
          <w:spacing w:val="-2"/>
          <w:sz w:val="21"/>
        </w:rPr>
        <w:t>申请贷款。对于以身</w:t>
      </w:r>
      <w:r>
        <w:rPr>
          <w:spacing w:val="-2"/>
          <w:sz w:val="21"/>
        </w:rPr>
        <w:t>故</w:t>
      </w:r>
      <w:r>
        <w:rPr>
          <w:spacing w:val="-2"/>
          <w:sz w:val="21"/>
        </w:rPr>
        <w:t>为</w:t>
      </w:r>
      <w:r>
        <w:rPr>
          <w:spacing w:val="-2"/>
          <w:sz w:val="21"/>
        </w:rPr>
        <w:t>保险金给付条件的保</w:t>
      </w:r>
      <w:r>
        <w:rPr>
          <w:spacing w:val="-2"/>
          <w:sz w:val="21"/>
        </w:rPr>
        <w:t>险</w:t>
      </w:r>
      <w:r>
        <w:rPr>
          <w:spacing w:val="-2"/>
          <w:sz w:val="21"/>
        </w:rPr>
        <w:t>单</w:t>
      </w:r>
      <w:r>
        <w:rPr>
          <w:spacing w:val="-2"/>
          <w:sz w:val="21"/>
        </w:rPr>
        <w:t>，您申请保单贷</w:t>
      </w:r>
      <w:r>
        <w:rPr>
          <w:spacing w:val="-2"/>
          <w:sz w:val="21"/>
        </w:rPr>
        <w:t>款</w:t>
      </w:r>
      <w:r>
        <w:rPr>
          <w:spacing w:val="-2"/>
          <w:sz w:val="21"/>
        </w:rPr>
        <w:t>必</w:t>
      </w:r>
      <w:r>
        <w:rPr>
          <w:spacing w:val="-2"/>
          <w:sz w:val="21"/>
        </w:rPr>
        <w:t>须</w:t>
      </w:r>
      <w:r>
        <w:rPr>
          <w:spacing w:val="-2"/>
          <w:sz w:val="21"/>
        </w:rPr>
        <w:t>取</w:t>
      </w:r>
      <w:r>
        <w:rPr>
          <w:spacing w:val="-2"/>
          <w:sz w:val="21"/>
        </w:rPr>
        <w:t>得被保险人的书面同</w:t>
      </w:r>
      <w:r>
        <w:rPr>
          <w:spacing w:val="-2"/>
          <w:sz w:val="21"/>
        </w:rPr>
        <w:t>意</w:t>
      </w:r>
      <w:r>
        <w:rPr>
          <w:spacing w:val="-2"/>
          <w:sz w:val="21"/>
        </w:rPr>
        <w:t>。</w:t>
      </w:r>
      <w:r>
        <w:rPr>
          <w:spacing w:val="-2"/>
          <w:sz w:val="21"/>
        </w:rPr>
        <w:t>贷款金额最高不超过</w:t>
      </w:r>
      <w:r>
        <w:rPr>
          <w:spacing w:val="-2"/>
          <w:sz w:val="21"/>
        </w:rPr>
        <w:t>申</w:t>
      </w:r>
      <w:r>
        <w:rPr>
          <w:spacing w:val="-2"/>
          <w:sz w:val="21"/>
        </w:rPr>
        <w:t>请</w:t>
      </w:r>
      <w:r>
        <w:rPr>
          <w:spacing w:val="-2"/>
          <w:sz w:val="21"/>
        </w:rPr>
        <w:t>时</w:t>
      </w:r>
      <w:r>
        <w:rPr>
          <w:rFonts w:ascii="微软雅黑" w:eastAsia="微软雅黑"/>
          <w:b/>
          <w:spacing w:val="-2"/>
          <w:sz w:val="21"/>
        </w:rPr>
        <w:t>现</w:t>
      </w:r>
      <w:r>
        <w:rPr>
          <w:rFonts w:ascii="微软雅黑" w:eastAsia="微软雅黑"/>
          <w:b/>
          <w:spacing w:val="-2"/>
          <w:sz w:val="21"/>
        </w:rPr>
        <w:t>金</w:t>
      </w:r>
      <w:r>
        <w:rPr>
          <w:rFonts w:ascii="微软雅黑" w:eastAsia="微软雅黑"/>
          <w:b/>
          <w:spacing w:val="-2"/>
          <w:sz w:val="21"/>
        </w:rPr>
        <w:t>价</w:t>
      </w:r>
      <w:r>
        <w:rPr>
          <w:rFonts w:ascii="微软雅黑" w:eastAsia="微软雅黑"/>
          <w:b/>
          <w:spacing w:val="-2"/>
          <w:sz w:val="21"/>
        </w:rPr>
        <w:t>值</w:t>
      </w:r>
      <w:r>
        <w:rPr>
          <w:rFonts w:ascii="微软雅黑" w:eastAsia="微软雅黑"/>
          <w:b/>
          <w:spacing w:val="-2"/>
          <w:sz w:val="21"/>
        </w:rPr>
        <w:t>净</w:t>
      </w:r>
      <w:r>
        <w:rPr>
          <w:rFonts w:ascii="微软雅黑" w:eastAsia="微软雅黑"/>
          <w:b/>
          <w:spacing w:val="-2"/>
          <w:sz w:val="21"/>
        </w:rPr>
        <w:t>额</w:t>
      </w:r>
      <w:r>
        <w:rPr>
          <w:rFonts w:ascii="微软雅黑" w:eastAsia="微软雅黑"/>
          <w:b/>
          <w:spacing w:val="-2"/>
          <w:position w:val="11"/>
          <w:sz w:val="11"/>
        </w:rPr>
        <w:t>19</w:t>
      </w:r>
      <w:r>
        <w:rPr>
          <w:spacing w:val="-2"/>
          <w:sz w:val="21"/>
        </w:rPr>
        <w:t>的 </w:t>
      </w:r>
      <w:r>
        <w:rPr>
          <w:spacing w:val="-4"/>
          <w:sz w:val="21"/>
        </w:rPr>
        <w:t>80%。此外，每次贷款金额</w:t>
      </w:r>
      <w:r>
        <w:rPr>
          <w:spacing w:val="-4"/>
          <w:sz w:val="21"/>
        </w:rPr>
        <w:t>不</w:t>
      </w:r>
      <w:r>
        <w:rPr>
          <w:spacing w:val="-4"/>
          <w:sz w:val="21"/>
        </w:rPr>
        <w:t>得</w:t>
      </w:r>
      <w:r>
        <w:rPr>
          <w:spacing w:val="-4"/>
          <w:sz w:val="21"/>
        </w:rPr>
        <w:t>低于该次申请时我们</w:t>
      </w:r>
      <w:r>
        <w:rPr>
          <w:spacing w:val="-4"/>
          <w:sz w:val="21"/>
        </w:rPr>
        <w:t>规</w:t>
      </w:r>
      <w:r>
        <w:rPr>
          <w:spacing w:val="-4"/>
          <w:sz w:val="21"/>
        </w:rPr>
        <w:t>定</w:t>
      </w:r>
      <w:r>
        <w:rPr>
          <w:spacing w:val="-4"/>
          <w:sz w:val="21"/>
        </w:rPr>
        <w:t>的最低金额，并且每</w:t>
      </w:r>
      <w:r>
        <w:rPr>
          <w:spacing w:val="-2"/>
          <w:sz w:val="21"/>
        </w:rPr>
        <w:t>次</w:t>
      </w:r>
      <w:r>
        <w:rPr>
          <w:spacing w:val="-2"/>
          <w:sz w:val="21"/>
        </w:rPr>
        <w:t>贷</w:t>
      </w:r>
      <w:r>
        <w:rPr>
          <w:spacing w:val="-2"/>
          <w:sz w:val="21"/>
        </w:rPr>
        <w:t>款期限最长不超过</w:t>
      </w:r>
      <w:r>
        <w:rPr>
          <w:spacing w:val="-53"/>
          <w:sz w:val="21"/>
        </w:rPr>
        <w:t> </w:t>
      </w:r>
      <w:r>
        <w:rPr>
          <w:spacing w:val="-2"/>
          <w:sz w:val="21"/>
        </w:rPr>
        <w:t>6</w:t>
      </w:r>
      <w:r>
        <w:rPr>
          <w:spacing w:val="-55"/>
          <w:sz w:val="21"/>
        </w:rPr>
        <w:t> </w:t>
      </w:r>
      <w:r>
        <w:rPr>
          <w:spacing w:val="-2"/>
          <w:sz w:val="21"/>
        </w:rPr>
        <w:t>个月。贷款利率按</w:t>
      </w:r>
      <w:r>
        <w:rPr>
          <w:rFonts w:ascii="微软雅黑" w:eastAsia="微软雅黑"/>
          <w:b/>
          <w:spacing w:val="-2"/>
          <w:sz w:val="21"/>
        </w:rPr>
        <w:t>约</w:t>
      </w:r>
      <w:r>
        <w:rPr>
          <w:rFonts w:ascii="微软雅黑" w:eastAsia="微软雅黑"/>
          <w:b/>
          <w:spacing w:val="-2"/>
          <w:sz w:val="21"/>
        </w:rPr>
        <w:t>定</w:t>
      </w:r>
      <w:r>
        <w:rPr>
          <w:rFonts w:ascii="微软雅黑" w:eastAsia="微软雅黑"/>
          <w:b/>
          <w:spacing w:val="-2"/>
          <w:sz w:val="21"/>
        </w:rPr>
        <w:t>利率</w:t>
      </w:r>
      <w:r>
        <w:rPr>
          <w:rFonts w:ascii="微软雅黑" w:eastAsia="微软雅黑"/>
          <w:b/>
          <w:spacing w:val="-2"/>
          <w:position w:val="11"/>
          <w:sz w:val="11"/>
        </w:rPr>
        <w:t>20</w:t>
      </w:r>
      <w:r>
        <w:rPr>
          <w:spacing w:val="-2"/>
          <w:sz w:val="21"/>
        </w:rPr>
        <w:t>计算</w:t>
      </w:r>
      <w:r>
        <w:rPr>
          <w:spacing w:val="-51"/>
          <w:sz w:val="21"/>
        </w:rPr>
        <w:t>，</w:t>
      </w:r>
      <w:r>
        <w:rPr>
          <w:spacing w:val="-2"/>
          <w:sz w:val="21"/>
        </w:rPr>
        <w:t>您可随时全部或</w:t>
      </w:r>
    </w:p>
    <w:p>
      <w:pPr>
        <w:spacing w:line="268" w:lineRule="auto" w:before="0"/>
        <w:ind w:left="3037" w:right="299" w:firstLine="0"/>
        <w:jc w:val="both"/>
        <w:rPr>
          <w:sz w:val="21"/>
        </w:rPr>
      </w:pPr>
      <w:r>
        <w:rPr>
          <w:spacing w:val="-2"/>
          <w:sz w:val="21"/>
        </w:rPr>
        <w:t>部分偿还贷款本息。</w:t>
      </w:r>
      <w:r>
        <w:rPr>
          <w:spacing w:val="-2"/>
          <w:sz w:val="22"/>
        </w:rPr>
        <w:t>若您到期未能足额偿还贷款本息，则您所欠的贷款本</w:t>
      </w:r>
      <w:r>
        <w:rPr>
          <w:spacing w:val="-2"/>
          <w:sz w:val="22"/>
        </w:rPr>
        <w:t>金及利息将作为新的贷款本金计算。</w:t>
      </w:r>
      <w:r>
        <w:rPr>
          <w:spacing w:val="-2"/>
          <w:sz w:val="21"/>
        </w:rPr>
        <w:t>当未还贷款本息加上其他各项欠款达</w:t>
      </w:r>
      <w:r>
        <w:rPr>
          <w:spacing w:val="-2"/>
          <w:sz w:val="21"/>
        </w:rPr>
        <w:t>到本合同现金价值时，从次日零时起，本合同效力中止。</w:t>
      </w:r>
    </w:p>
    <w:p>
      <w:pPr>
        <w:pStyle w:val="BodyText"/>
        <w:spacing w:before="5"/>
        <w:rPr>
          <w:sz w:val="15"/>
        </w:rPr>
      </w:pPr>
    </w:p>
    <w:p>
      <w:pPr>
        <w:tabs>
          <w:tab w:pos="1269" w:val="left" w:leader="none"/>
        </w:tabs>
        <w:spacing w:before="0"/>
        <w:ind w:left="232" w:right="0" w:firstLine="0"/>
        <w:jc w:val="left"/>
        <w:rPr>
          <w:rFonts w:ascii="微软雅黑" w:hAnsi="微软雅黑" w:eastAsia="微软雅黑"/>
          <w:b/>
          <w:sz w:val="24"/>
        </w:rPr>
      </w:pPr>
      <w:r>
        <w:rPr>
          <w:rFonts w:ascii="微软雅黑" w:hAnsi="微软雅黑" w:eastAsia="微软雅黑"/>
          <w:b/>
          <w:spacing w:val="-10"/>
          <w:position w:val="-4"/>
          <w:sz w:val="28"/>
        </w:rPr>
        <w:t>⒎</w:t>
      </w:r>
      <w:r>
        <w:rPr>
          <w:rFonts w:ascii="微软雅黑" w:hAnsi="微软雅黑" w:eastAsia="微软雅黑"/>
          <w:b/>
          <w:position w:val="-4"/>
          <w:sz w:val="28"/>
        </w:rPr>
        <w:tab/>
      </w:r>
      <w:r>
        <w:rPr>
          <w:rFonts w:ascii="微软雅黑" w:hAnsi="微软雅黑" w:eastAsia="微软雅黑"/>
          <w:b/>
          <w:spacing w:val="-2"/>
          <w:sz w:val="24"/>
        </w:rPr>
        <w:t>还需要注意哪些事项</w:t>
      </w:r>
    </w:p>
    <w:p>
      <w:pPr>
        <w:spacing w:before="86"/>
        <w:ind w:left="1270" w:right="0" w:firstLine="0"/>
        <w:jc w:val="left"/>
        <w:rPr>
          <w:rFonts w:ascii="微软雅黑" w:eastAsia="微软雅黑"/>
          <w:b/>
          <w:sz w:val="21"/>
        </w:rPr>
      </w:pPr>
      <w:r>
        <w:rPr>
          <w:rFonts w:ascii="微软雅黑" w:eastAsia="微软雅黑"/>
          <w:b/>
          <w:spacing w:val="-3"/>
          <w:sz w:val="21"/>
        </w:rPr>
        <w:t>这部分描述的是您应当注意的其他事项。</w:t>
      </w:r>
    </w:p>
    <w:p>
      <w:pPr>
        <w:pStyle w:val="BodyText"/>
        <w:rPr>
          <w:rFonts w:ascii="微软雅黑"/>
          <w:b/>
          <w:sz w:val="3"/>
        </w:rPr>
      </w:pPr>
      <w:r>
        <w:rPr/>
        <w:drawing>
          <wp:anchor distT="0" distB="0" distL="0" distR="0" allowOverlap="1" layoutInCell="1" locked="0" behindDoc="0" simplePos="0" relativeHeight="35">
            <wp:simplePos x="0" y="0"/>
            <wp:positionH relativeFrom="page">
              <wp:posOffset>688848</wp:posOffset>
            </wp:positionH>
            <wp:positionV relativeFrom="paragraph">
              <wp:posOffset>50373</wp:posOffset>
            </wp:positionV>
            <wp:extent cx="6131742" cy="9715"/>
            <wp:effectExtent l="0" t="0" r="0" b="0"/>
            <wp:wrapTopAndBottom/>
            <wp:docPr id="37" name="image12.png"/>
            <wp:cNvGraphicFramePr>
              <a:graphicFrameLocks noChangeAspect="1"/>
            </wp:cNvGraphicFramePr>
            <a:graphic>
              <a:graphicData uri="http://schemas.openxmlformats.org/drawingml/2006/picture">
                <pic:pic>
                  <pic:nvPicPr>
                    <pic:cNvPr id="38" name="image12.png"/>
                    <pic:cNvPicPr/>
                  </pic:nvPicPr>
                  <pic:blipFill>
                    <a:blip r:embed="rId17" cstate="print"/>
                    <a:stretch>
                      <a:fillRect/>
                    </a:stretch>
                  </pic:blipFill>
                  <pic:spPr>
                    <a:xfrm>
                      <a:off x="0" y="0"/>
                      <a:ext cx="6131742" cy="9715"/>
                    </a:xfrm>
                    <a:prstGeom prst="rect">
                      <a:avLst/>
                    </a:prstGeom>
                  </pic:spPr>
                </pic:pic>
              </a:graphicData>
            </a:graphic>
          </wp:anchor>
        </w:drawing>
      </w:r>
    </w:p>
    <w:p>
      <w:pPr>
        <w:pStyle w:val="ListParagraph"/>
        <w:numPr>
          <w:ilvl w:val="1"/>
          <w:numId w:val="26"/>
        </w:numPr>
        <w:tabs>
          <w:tab w:pos="1269" w:val="left" w:leader="none"/>
          <w:tab w:pos="1270" w:val="left" w:leader="none"/>
          <w:tab w:pos="3036" w:val="left" w:leader="none"/>
        </w:tabs>
        <w:spacing w:line="256" w:lineRule="auto" w:before="128" w:after="0"/>
        <w:ind w:left="3037" w:right="310" w:hanging="2805"/>
        <w:jc w:val="both"/>
        <w:rPr>
          <w:sz w:val="21"/>
        </w:rPr>
      </w:pPr>
      <w:r>
        <w:rPr>
          <w:rFonts w:ascii="微软雅黑" w:eastAsia="微软雅黑"/>
          <w:b/>
          <w:spacing w:val="-4"/>
          <w:sz w:val="21"/>
        </w:rPr>
        <w:t>合</w:t>
      </w:r>
      <w:r>
        <w:rPr>
          <w:rFonts w:ascii="微软雅黑" w:eastAsia="微软雅黑"/>
          <w:b/>
          <w:spacing w:val="-4"/>
          <w:sz w:val="21"/>
        </w:rPr>
        <w:t>同</w:t>
      </w:r>
      <w:r>
        <w:rPr>
          <w:rFonts w:ascii="微软雅黑" w:eastAsia="微软雅黑"/>
          <w:b/>
          <w:spacing w:val="-4"/>
          <w:sz w:val="21"/>
        </w:rPr>
        <w:t>构</w:t>
      </w:r>
      <w:r>
        <w:rPr>
          <w:rFonts w:ascii="微软雅黑" w:eastAsia="微软雅黑"/>
          <w:b/>
          <w:spacing w:val="-4"/>
          <w:sz w:val="21"/>
        </w:rPr>
        <w:t>成</w:t>
      </w:r>
      <w:r>
        <w:rPr>
          <w:rFonts w:ascii="微软雅黑" w:eastAsia="微软雅黑"/>
          <w:b/>
          <w:sz w:val="21"/>
        </w:rPr>
        <w:tab/>
      </w:r>
      <w:r>
        <w:rPr>
          <w:spacing w:val="-2"/>
          <w:sz w:val="21"/>
        </w:rPr>
        <w:t>本</w:t>
      </w:r>
      <w:r>
        <w:rPr>
          <w:spacing w:val="-2"/>
          <w:sz w:val="21"/>
        </w:rPr>
        <w:t>合</w:t>
      </w:r>
      <w:r>
        <w:rPr>
          <w:spacing w:val="-2"/>
          <w:sz w:val="21"/>
        </w:rPr>
        <w:t>同由本保险条款、保</w:t>
      </w:r>
      <w:r>
        <w:rPr>
          <w:spacing w:val="-2"/>
          <w:sz w:val="21"/>
        </w:rPr>
        <w:t>险</w:t>
      </w:r>
      <w:r>
        <w:rPr>
          <w:spacing w:val="-2"/>
          <w:sz w:val="21"/>
        </w:rPr>
        <w:t>单</w:t>
      </w:r>
      <w:r>
        <w:rPr>
          <w:spacing w:val="-2"/>
          <w:sz w:val="21"/>
        </w:rPr>
        <w:t>或其他保险凭证、投</w:t>
      </w:r>
      <w:r>
        <w:rPr>
          <w:spacing w:val="-2"/>
          <w:sz w:val="21"/>
        </w:rPr>
        <w:t>保</w:t>
      </w:r>
      <w:r>
        <w:rPr>
          <w:spacing w:val="-2"/>
          <w:sz w:val="21"/>
        </w:rPr>
        <w:t>单</w:t>
      </w:r>
      <w:r>
        <w:rPr>
          <w:spacing w:val="-2"/>
          <w:sz w:val="21"/>
        </w:rPr>
        <w:t>、与本合同有关</w:t>
      </w:r>
      <w:r>
        <w:rPr>
          <w:spacing w:val="-2"/>
          <w:sz w:val="21"/>
        </w:rPr>
        <w:t>的</w:t>
      </w:r>
      <w:r>
        <w:rPr>
          <w:spacing w:val="-2"/>
          <w:sz w:val="21"/>
        </w:rPr>
        <w:t>投</w:t>
      </w:r>
      <w:r>
        <w:rPr>
          <w:spacing w:val="-2"/>
          <w:sz w:val="21"/>
        </w:rPr>
        <w:t>保</w:t>
      </w:r>
      <w:r>
        <w:rPr>
          <w:spacing w:val="-2"/>
          <w:sz w:val="21"/>
        </w:rPr>
        <w:t>文</w:t>
      </w:r>
      <w:r>
        <w:rPr>
          <w:spacing w:val="-2"/>
          <w:sz w:val="21"/>
        </w:rPr>
        <w:t>件、合法有效的声明</w:t>
      </w:r>
      <w:r>
        <w:rPr>
          <w:spacing w:val="-2"/>
          <w:sz w:val="21"/>
        </w:rPr>
        <w:t>、</w:t>
      </w:r>
      <w:r>
        <w:rPr>
          <w:spacing w:val="-2"/>
          <w:sz w:val="21"/>
        </w:rPr>
        <w:t>批</w:t>
      </w:r>
      <w:r>
        <w:rPr>
          <w:spacing w:val="-2"/>
          <w:sz w:val="21"/>
        </w:rPr>
        <w:t>注、批单以及与本合</w:t>
      </w:r>
      <w:r>
        <w:rPr>
          <w:spacing w:val="-2"/>
          <w:sz w:val="21"/>
        </w:rPr>
        <w:t>同</w:t>
      </w:r>
      <w:r>
        <w:rPr>
          <w:spacing w:val="-2"/>
          <w:sz w:val="21"/>
        </w:rPr>
        <w:t>有</w:t>
      </w:r>
      <w:r>
        <w:rPr>
          <w:spacing w:val="-2"/>
          <w:sz w:val="21"/>
        </w:rPr>
        <w:t>关的其他书面协</w:t>
      </w:r>
      <w:r>
        <w:rPr>
          <w:spacing w:val="-2"/>
          <w:sz w:val="21"/>
        </w:rPr>
        <w:t>议</w:t>
      </w:r>
      <w:r>
        <w:rPr>
          <w:spacing w:val="-2"/>
          <w:sz w:val="21"/>
        </w:rPr>
        <w:t>共</w:t>
      </w:r>
      <w:r>
        <w:rPr>
          <w:spacing w:val="-4"/>
          <w:sz w:val="21"/>
        </w:rPr>
        <w:t>同</w:t>
      </w:r>
      <w:r>
        <w:rPr>
          <w:spacing w:val="-4"/>
          <w:sz w:val="21"/>
        </w:rPr>
        <w:t>构</w:t>
      </w:r>
      <w:r>
        <w:rPr>
          <w:spacing w:val="-4"/>
          <w:sz w:val="21"/>
        </w:rPr>
        <w:t>成。</w:t>
      </w:r>
    </w:p>
    <w:p>
      <w:pPr>
        <w:pStyle w:val="ListParagraph"/>
        <w:numPr>
          <w:ilvl w:val="1"/>
          <w:numId w:val="26"/>
        </w:numPr>
        <w:tabs>
          <w:tab w:pos="1269" w:val="left" w:leader="none"/>
          <w:tab w:pos="1270" w:val="left" w:leader="none"/>
        </w:tabs>
        <w:spacing w:line="256" w:lineRule="auto" w:before="117" w:after="0"/>
        <w:ind w:left="3037" w:right="310" w:hanging="2805"/>
        <w:jc w:val="both"/>
        <w:rPr>
          <w:sz w:val="21"/>
        </w:rPr>
      </w:pPr>
      <w:r>
        <w:rPr>
          <w:rFonts w:ascii="微软雅黑" w:eastAsia="微软雅黑"/>
          <w:b/>
          <w:spacing w:val="26"/>
          <w:sz w:val="21"/>
        </w:rPr>
        <w:t>合同成立与生效 </w:t>
      </w:r>
      <w:r>
        <w:rPr>
          <w:sz w:val="21"/>
        </w:rPr>
        <w:t>您提出保险申请且我们同意承保，本合同成立。本合同成立日期在保险单上</w:t>
      </w:r>
      <w:r>
        <w:rPr>
          <w:spacing w:val="-2"/>
          <w:sz w:val="21"/>
        </w:rPr>
        <w:t>载明。我们同意承保是指您交付首期保险费，我们核保通过并签发保险单。</w:t>
      </w:r>
      <w:r>
        <w:rPr>
          <w:spacing w:val="-2"/>
          <w:sz w:val="21"/>
        </w:rPr>
        <w:t>本合同生效日期在保险单上载明。</w:t>
      </w:r>
    </w:p>
    <w:p>
      <w:pPr>
        <w:pStyle w:val="BodyText"/>
        <w:spacing w:before="13"/>
        <w:ind w:left="1054" w:right="1059"/>
        <w:jc w:val="center"/>
      </w:pPr>
      <w:r>
        <w:rPr>
          <w:spacing w:val="-3"/>
        </w:rPr>
        <w:t>我们自本合同生效日零时开始承担保险责任。</w:t>
      </w:r>
    </w:p>
    <w:p>
      <w:pPr>
        <w:pStyle w:val="BodyText"/>
        <w:spacing w:before="8"/>
        <w:rPr>
          <w:sz w:val="10"/>
        </w:rPr>
      </w:pPr>
    </w:p>
    <w:p>
      <w:pPr>
        <w:spacing w:after="0"/>
        <w:rPr>
          <w:sz w:val="10"/>
        </w:rPr>
        <w:sectPr>
          <w:headerReference w:type="default" r:id="rId19"/>
          <w:footerReference w:type="default" r:id="rId20"/>
          <w:pgSz w:w="11910" w:h="16840"/>
          <w:pgMar w:header="566" w:footer="664" w:top="1340" w:bottom="860" w:left="900" w:right="720"/>
        </w:sectPr>
      </w:pPr>
    </w:p>
    <w:p>
      <w:pPr>
        <w:pStyle w:val="ListParagraph"/>
        <w:numPr>
          <w:ilvl w:val="1"/>
          <w:numId w:val="26"/>
        </w:numPr>
        <w:tabs>
          <w:tab w:pos="1269" w:val="left" w:leader="none"/>
          <w:tab w:pos="1270" w:val="left" w:leader="none"/>
        </w:tabs>
        <w:spacing w:line="194" w:lineRule="auto" w:before="63" w:after="0"/>
        <w:ind w:left="1270" w:right="0" w:hanging="1038"/>
        <w:jc w:val="left"/>
        <w:rPr>
          <w:rFonts w:ascii="微软雅黑" w:eastAsia="微软雅黑"/>
          <w:b/>
          <w:sz w:val="21"/>
        </w:rPr>
      </w:pPr>
      <w:r>
        <w:rPr>
          <w:rFonts w:ascii="微软雅黑" w:eastAsia="微软雅黑"/>
          <w:b/>
          <w:spacing w:val="-2"/>
          <w:sz w:val="21"/>
        </w:rPr>
        <w:t>合同效力中止与</w:t>
      </w:r>
      <w:r>
        <w:rPr>
          <w:rFonts w:ascii="微软雅黑" w:eastAsia="微软雅黑"/>
          <w:b/>
          <w:spacing w:val="-6"/>
          <w:sz w:val="21"/>
        </w:rPr>
        <w:t>恢复</w:t>
      </w:r>
    </w:p>
    <w:p>
      <w:pPr>
        <w:pStyle w:val="Heading1"/>
        <w:spacing w:line="397" w:lineRule="exact"/>
        <w:ind w:left="232"/>
      </w:pPr>
      <w:r>
        <w:rPr>
          <w:b w:val="0"/>
        </w:rPr>
        <w:br w:type="column"/>
      </w:r>
      <w:r>
        <w:rPr>
          <w:color w:val="000000"/>
          <w:spacing w:val="-1"/>
          <w:shd w:fill="D9D9D9" w:color="auto" w:val="clear"/>
        </w:rPr>
        <w:t>在本合同效力中止期间，我们不承担保险责任。</w:t>
      </w:r>
    </w:p>
    <w:p>
      <w:pPr>
        <w:pStyle w:val="BodyText"/>
        <w:spacing w:line="261" w:lineRule="exact"/>
        <w:ind w:left="232"/>
      </w:pPr>
      <w:r>
        <w:rPr>
          <w:spacing w:val="-6"/>
        </w:rPr>
        <w:t>自本合同效力中止之日起 </w:t>
      </w:r>
      <w:r>
        <w:rPr>
          <w:spacing w:val="-2"/>
        </w:rPr>
        <w:t>2</w:t>
      </w:r>
      <w:r>
        <w:rPr>
          <w:spacing w:val="-10"/>
        </w:rPr>
        <w:t> 年内，您可以申请恢复合同效力。</w:t>
      </w:r>
    </w:p>
    <w:p>
      <w:pPr>
        <w:pStyle w:val="BodyText"/>
        <w:spacing w:line="278" w:lineRule="auto" w:before="43"/>
        <w:ind w:left="232" w:right="310"/>
      </w:pPr>
      <w:r>
        <w:rPr>
          <w:spacing w:val="-2"/>
        </w:rPr>
        <w:t>经您与我们协商并达成协议，自您补交保险费及利息、保单贷款及利息及其</w:t>
      </w:r>
      <w:r>
        <w:rPr>
          <w:spacing w:val="-2"/>
        </w:rPr>
        <w:t>他未还款项之日起，合同效力恢复。</w:t>
      </w:r>
    </w:p>
    <w:p>
      <w:pPr>
        <w:pStyle w:val="BodyText"/>
        <w:spacing w:line="278" w:lineRule="auto"/>
        <w:ind w:left="232" w:right="190"/>
      </w:pPr>
      <w:r>
        <w:rPr>
          <w:spacing w:val="-5"/>
        </w:rPr>
        <w:t>自本合同效力中止之日起满 </w:t>
      </w:r>
      <w:r>
        <w:rPr/>
        <w:t>2</w:t>
      </w:r>
      <w:r>
        <w:rPr>
          <w:spacing w:val="-14"/>
        </w:rPr>
        <w:t> 年您与我们未达成协议的，我们有权解除合同。</w:t>
      </w:r>
      <w:r>
        <w:rPr>
          <w:spacing w:val="-2"/>
        </w:rPr>
        <w:t>我们解除本合同的，向您退还合同效力中止时本合同的现金价值。</w:t>
      </w:r>
    </w:p>
    <w:p>
      <w:pPr>
        <w:spacing w:after="0" w:line="278" w:lineRule="auto"/>
        <w:sectPr>
          <w:type w:val="continuous"/>
          <w:pgSz w:w="11910" w:h="16840"/>
          <w:pgMar w:header="566" w:footer="664" w:top="1340" w:bottom="860" w:left="900" w:right="720"/>
          <w:cols w:num="2" w:equalWidth="0">
            <w:col w:w="2749" w:space="55"/>
            <w:col w:w="7486"/>
          </w:cols>
        </w:sectPr>
      </w:pPr>
    </w:p>
    <w:p>
      <w:pPr>
        <w:pStyle w:val="ListParagraph"/>
        <w:numPr>
          <w:ilvl w:val="1"/>
          <w:numId w:val="26"/>
        </w:numPr>
        <w:tabs>
          <w:tab w:pos="1269" w:val="left" w:leader="none"/>
          <w:tab w:pos="1270" w:val="left" w:leader="none"/>
          <w:tab w:pos="3036" w:val="left" w:leader="none"/>
        </w:tabs>
        <w:spacing w:line="383" w:lineRule="exact" w:before="100" w:after="0"/>
        <w:ind w:left="1270" w:right="0" w:hanging="1038"/>
        <w:jc w:val="left"/>
        <w:rPr>
          <w:sz w:val="21"/>
        </w:rPr>
      </w:pPr>
      <w:r>
        <w:rPr>
          <w:rFonts w:ascii="微软雅黑" w:eastAsia="微软雅黑"/>
          <w:b/>
          <w:sz w:val="21"/>
        </w:rPr>
        <w:t>合同效力终</w:t>
      </w:r>
      <w:r>
        <w:rPr>
          <w:rFonts w:ascii="微软雅黑" w:eastAsia="微软雅黑"/>
          <w:b/>
          <w:spacing w:val="-10"/>
          <w:sz w:val="21"/>
        </w:rPr>
        <w:t>止</w:t>
      </w:r>
      <w:r>
        <w:rPr>
          <w:rFonts w:ascii="微软雅黑" w:eastAsia="微软雅黑"/>
          <w:b/>
          <w:sz w:val="21"/>
        </w:rPr>
        <w:tab/>
      </w:r>
      <w:r>
        <w:rPr>
          <w:spacing w:val="-2"/>
          <w:sz w:val="21"/>
        </w:rPr>
        <w:t>有</w:t>
      </w:r>
      <w:r>
        <w:rPr>
          <w:spacing w:val="-2"/>
          <w:sz w:val="21"/>
        </w:rPr>
        <w:t>下</w:t>
      </w:r>
      <w:r>
        <w:rPr>
          <w:spacing w:val="-2"/>
          <w:sz w:val="21"/>
        </w:rPr>
        <w:t>列情况之一时，本合</w:t>
      </w:r>
      <w:r>
        <w:rPr>
          <w:spacing w:val="-2"/>
          <w:sz w:val="21"/>
        </w:rPr>
        <w:t>同</w:t>
      </w:r>
      <w:r>
        <w:rPr>
          <w:spacing w:val="-2"/>
          <w:sz w:val="21"/>
        </w:rPr>
        <w:t>的</w:t>
      </w:r>
      <w:r>
        <w:rPr>
          <w:spacing w:val="-2"/>
          <w:sz w:val="21"/>
        </w:rPr>
        <w:t>效力终</w:t>
      </w:r>
      <w:r>
        <w:rPr>
          <w:spacing w:val="-2"/>
          <w:sz w:val="21"/>
        </w:rPr>
        <w:t>止</w:t>
      </w:r>
      <w:r>
        <w:rPr>
          <w:spacing w:val="-10"/>
          <w:sz w:val="21"/>
        </w:rPr>
        <w:t>：</w:t>
      </w:r>
    </w:p>
    <w:p>
      <w:pPr>
        <w:pStyle w:val="ListParagraph"/>
        <w:numPr>
          <w:ilvl w:val="2"/>
          <w:numId w:val="26"/>
        </w:numPr>
        <w:tabs>
          <w:tab w:pos="3566" w:val="left" w:leader="none"/>
        </w:tabs>
        <w:spacing w:line="265" w:lineRule="exact" w:before="0" w:after="0"/>
        <w:ind w:left="3566" w:right="0" w:hanging="529"/>
        <w:jc w:val="left"/>
        <w:rPr>
          <w:sz w:val="21"/>
        </w:rPr>
      </w:pPr>
      <w:r>
        <w:rPr>
          <w:spacing w:val="-3"/>
          <w:sz w:val="21"/>
        </w:rPr>
        <w:t>我们已经履行完毕保险责任的；</w:t>
      </w:r>
    </w:p>
    <w:p>
      <w:pPr>
        <w:pStyle w:val="ListParagraph"/>
        <w:numPr>
          <w:ilvl w:val="2"/>
          <w:numId w:val="26"/>
        </w:numPr>
        <w:tabs>
          <w:tab w:pos="3566" w:val="left" w:leader="none"/>
        </w:tabs>
        <w:spacing w:line="240" w:lineRule="auto" w:before="43" w:after="0"/>
        <w:ind w:left="3566" w:right="0" w:hanging="529"/>
        <w:jc w:val="left"/>
        <w:rPr>
          <w:sz w:val="21"/>
        </w:rPr>
      </w:pPr>
      <w:r>
        <w:rPr>
          <w:spacing w:val="-3"/>
          <w:sz w:val="21"/>
        </w:rPr>
        <w:t>其他本合同规定的合同效力终止的情形。</w:t>
      </w:r>
    </w:p>
    <w:p>
      <w:pPr>
        <w:pStyle w:val="BodyText"/>
        <w:spacing w:before="1"/>
        <w:rPr>
          <w:sz w:val="11"/>
        </w:rPr>
      </w:pPr>
    </w:p>
    <w:p>
      <w:pPr>
        <w:spacing w:after="0"/>
        <w:rPr>
          <w:sz w:val="11"/>
        </w:rPr>
        <w:sectPr>
          <w:type w:val="continuous"/>
          <w:pgSz w:w="11910" w:h="16840"/>
          <w:pgMar w:header="566" w:footer="664" w:top="1340" w:bottom="860" w:left="900" w:right="720"/>
        </w:sectPr>
      </w:pPr>
    </w:p>
    <w:p>
      <w:pPr>
        <w:pStyle w:val="ListParagraph"/>
        <w:numPr>
          <w:ilvl w:val="1"/>
          <w:numId w:val="26"/>
        </w:numPr>
        <w:tabs>
          <w:tab w:pos="1269" w:val="left" w:leader="none"/>
          <w:tab w:pos="1270" w:val="left" w:leader="none"/>
        </w:tabs>
        <w:spacing w:line="194" w:lineRule="auto" w:before="57" w:after="0"/>
        <w:ind w:left="1270" w:right="0" w:hanging="1038"/>
        <w:jc w:val="left"/>
        <w:rPr>
          <w:rFonts w:ascii="微软雅黑" w:eastAsia="微软雅黑"/>
          <w:b/>
          <w:sz w:val="21"/>
        </w:rPr>
      </w:pPr>
      <w:r>
        <w:rPr>
          <w:rFonts w:ascii="微软雅黑" w:eastAsia="微软雅黑"/>
          <w:b/>
          <w:spacing w:val="-2"/>
          <w:sz w:val="21"/>
        </w:rPr>
        <w:t>年龄性别错误的</w:t>
      </w:r>
      <w:r>
        <w:rPr>
          <w:rFonts w:ascii="微软雅黑" w:eastAsia="微软雅黑"/>
          <w:b/>
          <w:spacing w:val="-6"/>
          <w:sz w:val="21"/>
        </w:rPr>
        <w:t>处理</w:t>
      </w:r>
    </w:p>
    <w:p>
      <w:pPr>
        <w:pStyle w:val="BodyText"/>
        <w:spacing w:line="278" w:lineRule="auto" w:before="72"/>
        <w:ind w:left="232" w:right="307"/>
      </w:pPr>
      <w:r>
        <w:rPr/>
        <w:br w:type="column"/>
      </w:r>
      <w:r>
        <w:rPr>
          <w:spacing w:val="-2"/>
        </w:rPr>
        <w:t>您在申请投保时，应将与有效身份证件相符的被保险人的出生日期和性别在</w:t>
      </w:r>
      <w:r>
        <w:rPr>
          <w:spacing w:val="-2"/>
        </w:rPr>
        <w:t>投保单上填明，如果发生错误按照下列方式办理：</w:t>
      </w:r>
    </w:p>
    <w:p>
      <w:pPr>
        <w:pStyle w:val="Heading1"/>
        <w:numPr>
          <w:ilvl w:val="0"/>
          <w:numId w:val="27"/>
        </w:numPr>
        <w:tabs>
          <w:tab w:pos="786" w:val="left" w:leader="none"/>
        </w:tabs>
        <w:spacing w:line="184" w:lineRule="auto" w:before="0" w:after="0"/>
        <w:ind w:left="232" w:right="299" w:firstLine="0"/>
        <w:jc w:val="both"/>
        <w:rPr>
          <w:sz w:val="20"/>
        </w:rPr>
      </w:pPr>
      <w:r>
        <w:rPr>
          <w:color w:val="000000"/>
          <w:spacing w:val="-2"/>
          <w:shd w:fill="D9D9D9" w:color="auto" w:val="clear"/>
        </w:rPr>
        <w:t>您申报的被保险人年龄或性别不真实，并且其真实年龄或性别不符</w:t>
      </w:r>
      <w:r>
        <w:rPr>
          <w:color w:val="000000"/>
          <w:spacing w:val="13433"/>
          <w:shd w:fill="D9D9D9" w:color="auto" w:val="clear"/>
        </w:rPr>
        <w:t> </w:t>
      </w:r>
      <w:r>
        <w:rPr>
          <w:color w:val="000000"/>
          <w:spacing w:val="-2"/>
          <w:shd w:fill="D9D9D9" w:color="auto" w:val="clear"/>
        </w:rPr>
        <w:t>合本合同约定投保年龄或性别限制的，我们有权解除本合同，并向您退</w:t>
      </w:r>
      <w:r>
        <w:rPr>
          <w:color w:val="000000"/>
          <w:spacing w:val="-2"/>
          <w:shd w:fill="D9D9D9" w:color="auto" w:val="clear"/>
        </w:rPr>
        <w:t>还本合同的现金价值。对于本合同解除前发生的保险事故，我们不承担</w:t>
      </w:r>
      <w:r>
        <w:rPr>
          <w:color w:val="000000"/>
          <w:spacing w:val="-2"/>
          <w:shd w:fill="D9D9D9" w:color="auto" w:val="clear"/>
        </w:rPr>
        <w:t>保险责任；</w:t>
      </w:r>
    </w:p>
    <w:p>
      <w:pPr>
        <w:pStyle w:val="ListParagraph"/>
        <w:numPr>
          <w:ilvl w:val="0"/>
          <w:numId w:val="27"/>
        </w:numPr>
        <w:tabs>
          <w:tab w:pos="762" w:val="left" w:leader="none"/>
        </w:tabs>
        <w:spacing w:line="206" w:lineRule="auto" w:before="29" w:after="0"/>
        <w:ind w:left="232" w:right="295" w:firstLine="0"/>
        <w:jc w:val="both"/>
        <w:rPr>
          <w:sz w:val="19"/>
        </w:rPr>
      </w:pPr>
      <w:r>
        <w:rPr>
          <w:spacing w:val="-2"/>
          <w:sz w:val="21"/>
        </w:rPr>
        <w:t>您申报的被保险人年龄或性别不真实，致使您实付保险费少于应付保</w:t>
      </w:r>
      <w:r>
        <w:rPr>
          <w:spacing w:val="-2"/>
          <w:sz w:val="21"/>
        </w:rPr>
        <w:t>险费的，我们有权更正并要求您补交保险费。</w:t>
      </w:r>
      <w:r>
        <w:rPr>
          <w:rFonts w:ascii="微软雅黑" w:eastAsia="微软雅黑"/>
          <w:b/>
          <w:spacing w:val="-2"/>
          <w:sz w:val="21"/>
        </w:rPr>
        <w:t>如果已经发生保险事故，在给</w:t>
      </w:r>
      <w:r>
        <w:rPr>
          <w:rFonts w:ascii="微软雅黑" w:eastAsia="微软雅黑"/>
          <w:b/>
          <w:spacing w:val="-2"/>
          <w:sz w:val="21"/>
        </w:rPr>
        <w:t>付保险金时按实付保险费和应付保险费的比例给付；</w:t>
      </w:r>
    </w:p>
    <w:p>
      <w:pPr>
        <w:pStyle w:val="ListParagraph"/>
        <w:numPr>
          <w:ilvl w:val="0"/>
          <w:numId w:val="27"/>
        </w:numPr>
        <w:tabs>
          <w:tab w:pos="762" w:val="left" w:leader="none"/>
        </w:tabs>
        <w:spacing w:line="278" w:lineRule="auto" w:before="9" w:after="0"/>
        <w:ind w:left="232" w:right="295" w:firstLine="0"/>
        <w:jc w:val="left"/>
        <w:rPr>
          <w:sz w:val="19"/>
        </w:rPr>
      </w:pPr>
      <w:r>
        <w:rPr>
          <w:spacing w:val="-2"/>
          <w:sz w:val="21"/>
        </w:rPr>
        <w:t>您申报的被保险人年龄或性别不真实，致使您实付保险费多于应付保</w:t>
      </w:r>
      <w:r>
        <w:rPr>
          <w:spacing w:val="-2"/>
          <w:sz w:val="21"/>
        </w:rPr>
        <w:t>险费的，我们向您退还多收的保险费。</w:t>
      </w:r>
    </w:p>
    <w:p>
      <w:pPr>
        <w:spacing w:after="0" w:line="278" w:lineRule="auto"/>
        <w:jc w:val="left"/>
        <w:rPr>
          <w:sz w:val="19"/>
        </w:rPr>
        <w:sectPr>
          <w:type w:val="continuous"/>
          <w:pgSz w:w="11910" w:h="16840"/>
          <w:pgMar w:header="566" w:footer="664" w:top="1340" w:bottom="860" w:left="900" w:right="720"/>
          <w:cols w:num="2" w:equalWidth="0">
            <w:col w:w="2749" w:space="58"/>
            <w:col w:w="7483"/>
          </w:cols>
        </w:sectPr>
      </w:pPr>
    </w:p>
    <w:p>
      <w:pPr>
        <w:pStyle w:val="BodyText"/>
        <w:spacing w:before="11"/>
        <w:rPr>
          <w:sz w:val="14"/>
        </w:rPr>
      </w:pPr>
    </w:p>
    <w:p>
      <w:pPr>
        <w:pStyle w:val="BodyText"/>
        <w:spacing w:line="20" w:lineRule="exact"/>
        <w:ind w:left="232"/>
        <w:rPr>
          <w:sz w:val="2"/>
        </w:rPr>
      </w:pPr>
      <w:r>
        <w:rPr>
          <w:sz w:val="2"/>
        </w:rPr>
        <w:drawing>
          <wp:inline distT="0" distB="0" distL="0" distR="0">
            <wp:extent cx="1829511" cy="6096"/>
            <wp:effectExtent l="0" t="0" r="0" b="0"/>
            <wp:docPr id="39" name="image6.png"/>
            <wp:cNvGraphicFramePr>
              <a:graphicFrameLocks noChangeAspect="1"/>
            </wp:cNvGraphicFramePr>
            <a:graphic>
              <a:graphicData uri="http://schemas.openxmlformats.org/drawingml/2006/picture">
                <pic:pic>
                  <pic:nvPicPr>
                    <pic:cNvPr id="40" name="image6.png"/>
                    <pic:cNvPicPr/>
                  </pic:nvPicPr>
                  <pic:blipFill>
                    <a:blip r:embed="rId11" cstate="print"/>
                    <a:stretch>
                      <a:fillRect/>
                    </a:stretch>
                  </pic:blipFill>
                  <pic:spPr>
                    <a:xfrm>
                      <a:off x="0" y="0"/>
                      <a:ext cx="1829511" cy="6096"/>
                    </a:xfrm>
                    <a:prstGeom prst="rect">
                      <a:avLst/>
                    </a:prstGeom>
                  </pic:spPr>
                </pic:pic>
              </a:graphicData>
            </a:graphic>
          </wp:inline>
        </w:drawing>
      </w:r>
      <w:r>
        <w:rPr>
          <w:sz w:val="2"/>
        </w:rPr>
      </w:r>
    </w:p>
    <w:p>
      <w:pPr>
        <w:spacing w:line="314" w:lineRule="exact" w:before="25"/>
        <w:ind w:left="232" w:right="0" w:firstLine="0"/>
        <w:jc w:val="left"/>
        <w:rPr>
          <w:sz w:val="20"/>
        </w:rPr>
      </w:pPr>
      <w:r>
        <w:rPr>
          <w:rFonts w:ascii="微软雅黑" w:eastAsia="微软雅黑"/>
          <w:b/>
          <w:w w:val="95"/>
          <w:position w:val="10"/>
          <w:sz w:val="10"/>
        </w:rPr>
        <w:t>19</w:t>
      </w:r>
      <w:r>
        <w:rPr>
          <w:rFonts w:ascii="微软雅黑" w:eastAsia="微软雅黑"/>
          <w:b/>
          <w:spacing w:val="79"/>
          <w:position w:val="10"/>
          <w:sz w:val="10"/>
        </w:rPr>
        <w:t>   </w:t>
      </w:r>
      <w:r>
        <w:rPr>
          <w:rFonts w:ascii="微软雅黑" w:eastAsia="微软雅黑"/>
          <w:b/>
          <w:w w:val="95"/>
          <w:sz w:val="20"/>
        </w:rPr>
        <w:t>现</w:t>
      </w:r>
      <w:r>
        <w:rPr>
          <w:rFonts w:ascii="微软雅黑" w:eastAsia="微软雅黑"/>
          <w:b/>
          <w:w w:val="95"/>
          <w:sz w:val="20"/>
        </w:rPr>
        <w:t>金</w:t>
      </w:r>
      <w:r>
        <w:rPr>
          <w:rFonts w:ascii="微软雅黑" w:eastAsia="微软雅黑"/>
          <w:b/>
          <w:w w:val="95"/>
          <w:sz w:val="20"/>
        </w:rPr>
        <w:t>价</w:t>
      </w:r>
      <w:r>
        <w:rPr>
          <w:rFonts w:ascii="微软雅黑" w:eastAsia="微软雅黑"/>
          <w:b/>
          <w:w w:val="95"/>
          <w:sz w:val="20"/>
        </w:rPr>
        <w:t>值</w:t>
      </w:r>
      <w:r>
        <w:rPr>
          <w:rFonts w:ascii="微软雅黑" w:eastAsia="微软雅黑"/>
          <w:b/>
          <w:w w:val="95"/>
          <w:sz w:val="20"/>
        </w:rPr>
        <w:t>净</w:t>
      </w:r>
      <w:r>
        <w:rPr>
          <w:rFonts w:ascii="微软雅黑" w:eastAsia="微软雅黑"/>
          <w:b/>
          <w:w w:val="95"/>
          <w:sz w:val="20"/>
        </w:rPr>
        <w:t>额</w:t>
      </w:r>
      <w:r>
        <w:rPr>
          <w:w w:val="95"/>
          <w:sz w:val="20"/>
        </w:rPr>
        <w:t>指</w:t>
      </w:r>
      <w:r>
        <w:rPr>
          <w:w w:val="95"/>
          <w:sz w:val="20"/>
        </w:rPr>
        <w:t>现</w:t>
      </w:r>
      <w:r>
        <w:rPr>
          <w:w w:val="95"/>
          <w:sz w:val="20"/>
        </w:rPr>
        <w:t>金</w:t>
      </w:r>
      <w:r>
        <w:rPr>
          <w:w w:val="95"/>
          <w:sz w:val="20"/>
        </w:rPr>
        <w:t>价</w:t>
      </w:r>
      <w:r>
        <w:rPr>
          <w:w w:val="95"/>
          <w:sz w:val="20"/>
        </w:rPr>
        <w:t>值</w:t>
      </w:r>
      <w:r>
        <w:rPr>
          <w:w w:val="95"/>
          <w:sz w:val="20"/>
        </w:rPr>
        <w:t>在</w:t>
      </w:r>
      <w:r>
        <w:rPr>
          <w:w w:val="95"/>
          <w:sz w:val="20"/>
        </w:rPr>
        <w:t>扣</w:t>
      </w:r>
      <w:r>
        <w:rPr>
          <w:w w:val="95"/>
          <w:sz w:val="20"/>
        </w:rPr>
        <w:t>除</w:t>
      </w:r>
      <w:r>
        <w:rPr>
          <w:w w:val="95"/>
          <w:sz w:val="20"/>
        </w:rPr>
        <w:t>各</w:t>
      </w:r>
      <w:r>
        <w:rPr>
          <w:w w:val="95"/>
          <w:sz w:val="20"/>
        </w:rPr>
        <w:t>项</w:t>
      </w:r>
      <w:r>
        <w:rPr>
          <w:w w:val="95"/>
          <w:sz w:val="20"/>
        </w:rPr>
        <w:t>欠</w:t>
      </w:r>
      <w:r>
        <w:rPr>
          <w:w w:val="95"/>
          <w:sz w:val="20"/>
        </w:rPr>
        <w:t>款</w:t>
      </w:r>
      <w:r>
        <w:rPr>
          <w:w w:val="95"/>
          <w:sz w:val="20"/>
        </w:rPr>
        <w:t>本</w:t>
      </w:r>
      <w:r>
        <w:rPr>
          <w:w w:val="95"/>
          <w:sz w:val="20"/>
        </w:rPr>
        <w:t>金</w:t>
      </w:r>
      <w:r>
        <w:rPr>
          <w:w w:val="95"/>
          <w:sz w:val="20"/>
        </w:rPr>
        <w:t>及利息</w:t>
      </w:r>
      <w:r>
        <w:rPr>
          <w:w w:val="95"/>
          <w:sz w:val="20"/>
        </w:rPr>
        <w:t>后</w:t>
      </w:r>
      <w:r>
        <w:rPr>
          <w:w w:val="95"/>
          <w:sz w:val="20"/>
        </w:rPr>
        <w:t>的</w:t>
      </w:r>
      <w:r>
        <w:rPr>
          <w:w w:val="95"/>
          <w:sz w:val="20"/>
        </w:rPr>
        <w:t>余</w:t>
      </w:r>
      <w:r>
        <w:rPr>
          <w:spacing w:val="-5"/>
          <w:w w:val="95"/>
          <w:sz w:val="20"/>
        </w:rPr>
        <w:t>额。</w:t>
      </w:r>
    </w:p>
    <w:p>
      <w:pPr>
        <w:spacing w:line="291" w:lineRule="exact" w:before="0"/>
        <w:ind w:left="232" w:right="0" w:firstLine="0"/>
        <w:jc w:val="left"/>
        <w:rPr>
          <w:sz w:val="20"/>
        </w:rPr>
      </w:pPr>
      <w:r>
        <w:rPr>
          <w:rFonts w:ascii="微软雅黑" w:eastAsia="微软雅黑"/>
          <w:b/>
          <w:w w:val="95"/>
          <w:position w:val="10"/>
          <w:sz w:val="10"/>
        </w:rPr>
        <w:t>20</w:t>
      </w:r>
      <w:r>
        <w:rPr>
          <w:rFonts w:ascii="微软雅黑" w:eastAsia="微软雅黑"/>
          <w:b/>
          <w:spacing w:val="56"/>
          <w:w w:val="95"/>
          <w:position w:val="10"/>
          <w:sz w:val="10"/>
        </w:rPr>
        <w:t>   </w:t>
      </w:r>
      <w:r>
        <w:rPr>
          <w:rFonts w:ascii="微软雅黑" w:eastAsia="微软雅黑"/>
          <w:b/>
          <w:w w:val="95"/>
          <w:sz w:val="20"/>
        </w:rPr>
        <w:t>约</w:t>
      </w:r>
      <w:r>
        <w:rPr>
          <w:rFonts w:ascii="微软雅黑" w:eastAsia="微软雅黑"/>
          <w:b/>
          <w:w w:val="95"/>
          <w:sz w:val="20"/>
        </w:rPr>
        <w:t>定</w:t>
      </w:r>
      <w:r>
        <w:rPr>
          <w:rFonts w:ascii="微软雅黑" w:eastAsia="微软雅黑"/>
          <w:b/>
          <w:w w:val="95"/>
          <w:sz w:val="20"/>
        </w:rPr>
        <w:t>利率</w:t>
      </w:r>
      <w:r>
        <w:rPr>
          <w:w w:val="95"/>
          <w:sz w:val="20"/>
        </w:rPr>
        <w:t>指</w:t>
      </w:r>
      <w:r>
        <w:rPr>
          <w:w w:val="95"/>
          <w:sz w:val="20"/>
        </w:rPr>
        <w:t>我</w:t>
      </w:r>
      <w:r>
        <w:rPr>
          <w:w w:val="95"/>
          <w:sz w:val="20"/>
        </w:rPr>
        <w:t>们</w:t>
      </w:r>
      <w:r>
        <w:rPr>
          <w:w w:val="95"/>
          <w:sz w:val="20"/>
        </w:rPr>
        <w:t>参</w:t>
      </w:r>
      <w:r>
        <w:rPr>
          <w:w w:val="95"/>
          <w:sz w:val="20"/>
        </w:rPr>
        <w:t>照中国</w:t>
      </w:r>
      <w:r>
        <w:rPr>
          <w:w w:val="95"/>
          <w:sz w:val="20"/>
        </w:rPr>
        <w:t>人</w:t>
      </w:r>
      <w:r>
        <w:rPr>
          <w:w w:val="95"/>
          <w:sz w:val="20"/>
        </w:rPr>
        <w:t>民</w:t>
      </w:r>
      <w:r>
        <w:rPr>
          <w:w w:val="95"/>
          <w:sz w:val="20"/>
        </w:rPr>
        <w:t>银</w:t>
      </w:r>
      <w:r>
        <w:rPr>
          <w:w w:val="95"/>
          <w:sz w:val="20"/>
        </w:rPr>
        <w:t>行</w:t>
      </w:r>
      <w:r>
        <w:rPr>
          <w:w w:val="95"/>
          <w:sz w:val="20"/>
        </w:rPr>
        <w:t>最</w:t>
      </w:r>
      <w:r>
        <w:rPr>
          <w:w w:val="95"/>
          <w:sz w:val="20"/>
        </w:rPr>
        <w:t>近</w:t>
      </w:r>
      <w:r>
        <w:rPr>
          <w:w w:val="95"/>
          <w:sz w:val="20"/>
        </w:rPr>
        <w:t>一次公布的</w:t>
      </w:r>
      <w:r>
        <w:rPr>
          <w:spacing w:val="26"/>
          <w:sz w:val="20"/>
        </w:rPr>
        <w:t> </w:t>
      </w:r>
      <w:r>
        <w:rPr>
          <w:w w:val="95"/>
          <w:sz w:val="20"/>
        </w:rPr>
        <w:t>6</w:t>
      </w:r>
      <w:r>
        <w:rPr>
          <w:spacing w:val="27"/>
          <w:sz w:val="20"/>
        </w:rPr>
        <w:t> </w:t>
      </w:r>
      <w:r>
        <w:rPr>
          <w:w w:val="95"/>
          <w:sz w:val="20"/>
        </w:rPr>
        <w:t>个</w:t>
      </w:r>
      <w:r>
        <w:rPr>
          <w:w w:val="95"/>
          <w:sz w:val="20"/>
        </w:rPr>
        <w:t>月</w:t>
      </w:r>
      <w:r>
        <w:rPr>
          <w:w w:val="95"/>
          <w:sz w:val="20"/>
        </w:rPr>
        <w:t>期</w:t>
      </w:r>
      <w:r>
        <w:rPr>
          <w:w w:val="95"/>
          <w:sz w:val="20"/>
        </w:rPr>
        <w:t>人</w:t>
      </w:r>
      <w:r>
        <w:rPr>
          <w:w w:val="95"/>
          <w:sz w:val="20"/>
        </w:rPr>
        <w:t>民</w:t>
      </w:r>
      <w:r>
        <w:rPr>
          <w:w w:val="95"/>
          <w:sz w:val="20"/>
        </w:rPr>
        <w:t>币</w:t>
      </w:r>
      <w:r>
        <w:rPr>
          <w:w w:val="95"/>
          <w:sz w:val="20"/>
        </w:rPr>
        <w:t>贷</w:t>
      </w:r>
      <w:r>
        <w:rPr>
          <w:w w:val="95"/>
          <w:sz w:val="20"/>
        </w:rPr>
        <w:t>款</w:t>
      </w:r>
      <w:r>
        <w:rPr>
          <w:w w:val="95"/>
          <w:sz w:val="20"/>
        </w:rPr>
        <w:t>利</w:t>
      </w:r>
      <w:r>
        <w:rPr>
          <w:w w:val="95"/>
          <w:sz w:val="20"/>
        </w:rPr>
        <w:t>率所确</w:t>
      </w:r>
      <w:r>
        <w:rPr>
          <w:w w:val="95"/>
          <w:sz w:val="20"/>
        </w:rPr>
        <w:t>定</w:t>
      </w:r>
      <w:r>
        <w:rPr>
          <w:w w:val="95"/>
          <w:sz w:val="20"/>
        </w:rPr>
        <w:t>的</w:t>
      </w:r>
      <w:r>
        <w:rPr>
          <w:w w:val="95"/>
          <w:sz w:val="20"/>
        </w:rPr>
        <w:t>利</w:t>
      </w:r>
      <w:r>
        <w:rPr>
          <w:w w:val="95"/>
          <w:sz w:val="20"/>
        </w:rPr>
        <w:t>率</w:t>
      </w:r>
      <w:r>
        <w:rPr>
          <w:w w:val="95"/>
          <w:sz w:val="20"/>
        </w:rPr>
        <w:t>。</w:t>
      </w:r>
      <w:r>
        <w:rPr>
          <w:w w:val="95"/>
          <w:sz w:val="20"/>
        </w:rPr>
        <w:t>我</w:t>
      </w:r>
      <w:r>
        <w:rPr>
          <w:w w:val="95"/>
          <w:sz w:val="20"/>
        </w:rPr>
        <w:t>们</w:t>
      </w:r>
      <w:r>
        <w:rPr>
          <w:w w:val="95"/>
          <w:sz w:val="20"/>
        </w:rPr>
        <w:t>在</w:t>
      </w:r>
      <w:r>
        <w:rPr>
          <w:w w:val="95"/>
          <w:sz w:val="20"/>
        </w:rPr>
        <w:t>每</w:t>
      </w:r>
      <w:r>
        <w:rPr>
          <w:w w:val="95"/>
          <w:sz w:val="20"/>
        </w:rPr>
        <w:t>年的</w:t>
      </w:r>
      <w:r>
        <w:rPr>
          <w:spacing w:val="29"/>
          <w:sz w:val="20"/>
        </w:rPr>
        <w:t> </w:t>
      </w:r>
      <w:r>
        <w:rPr>
          <w:spacing w:val="-10"/>
          <w:w w:val="95"/>
          <w:sz w:val="20"/>
        </w:rPr>
        <w:t>1</w:t>
      </w:r>
    </w:p>
    <w:p>
      <w:pPr>
        <w:spacing w:line="234" w:lineRule="exact" w:before="0"/>
        <w:ind w:left="434" w:right="0" w:firstLine="0"/>
        <w:jc w:val="left"/>
        <w:rPr>
          <w:sz w:val="20"/>
        </w:rPr>
      </w:pPr>
      <w:r>
        <w:rPr>
          <w:spacing w:val="-12"/>
          <w:w w:val="95"/>
          <w:sz w:val="20"/>
        </w:rPr>
        <w:t>月 </w:t>
      </w:r>
      <w:r>
        <w:rPr>
          <w:w w:val="95"/>
          <w:sz w:val="20"/>
        </w:rPr>
        <w:t>1</w:t>
      </w:r>
      <w:r>
        <w:rPr>
          <w:spacing w:val="-21"/>
          <w:w w:val="95"/>
          <w:sz w:val="20"/>
        </w:rPr>
        <w:t> </w:t>
      </w:r>
      <w:r>
        <w:rPr>
          <w:w w:val="95"/>
          <w:sz w:val="20"/>
        </w:rPr>
        <w:t>日</w:t>
      </w:r>
      <w:r>
        <w:rPr>
          <w:w w:val="95"/>
          <w:sz w:val="20"/>
        </w:rPr>
        <w:t>和</w:t>
      </w:r>
      <w:r>
        <w:rPr>
          <w:spacing w:val="-23"/>
          <w:w w:val="95"/>
          <w:sz w:val="20"/>
        </w:rPr>
        <w:t> </w:t>
      </w:r>
      <w:r>
        <w:rPr>
          <w:w w:val="95"/>
          <w:sz w:val="20"/>
        </w:rPr>
        <w:t>7</w:t>
      </w:r>
      <w:r>
        <w:rPr>
          <w:spacing w:val="-15"/>
          <w:w w:val="95"/>
          <w:sz w:val="20"/>
        </w:rPr>
        <w:t> 月 </w:t>
      </w:r>
      <w:r>
        <w:rPr>
          <w:w w:val="95"/>
          <w:sz w:val="20"/>
        </w:rPr>
        <w:t>1</w:t>
      </w:r>
      <w:r>
        <w:rPr>
          <w:spacing w:val="-21"/>
          <w:w w:val="95"/>
          <w:sz w:val="20"/>
        </w:rPr>
        <w:t> </w:t>
      </w:r>
      <w:r>
        <w:rPr>
          <w:w w:val="95"/>
          <w:sz w:val="20"/>
        </w:rPr>
        <w:t>日</w:t>
      </w:r>
      <w:r>
        <w:rPr>
          <w:w w:val="95"/>
          <w:sz w:val="20"/>
        </w:rPr>
        <w:t>确</w:t>
      </w:r>
      <w:r>
        <w:rPr>
          <w:w w:val="95"/>
          <w:sz w:val="20"/>
        </w:rPr>
        <w:t>定</w:t>
      </w:r>
      <w:r>
        <w:rPr>
          <w:w w:val="95"/>
          <w:sz w:val="20"/>
        </w:rPr>
        <w:t>并</w:t>
      </w:r>
      <w:r>
        <w:rPr>
          <w:w w:val="95"/>
          <w:sz w:val="20"/>
        </w:rPr>
        <w:t>以</w:t>
      </w:r>
      <w:r>
        <w:rPr>
          <w:w w:val="95"/>
          <w:sz w:val="20"/>
        </w:rPr>
        <w:t>适</w:t>
      </w:r>
      <w:r>
        <w:rPr>
          <w:w w:val="95"/>
          <w:sz w:val="20"/>
        </w:rPr>
        <w:t>当</w:t>
      </w:r>
      <w:r>
        <w:rPr>
          <w:w w:val="95"/>
          <w:sz w:val="20"/>
        </w:rPr>
        <w:t>方</w:t>
      </w:r>
      <w:r>
        <w:rPr>
          <w:w w:val="95"/>
          <w:sz w:val="20"/>
        </w:rPr>
        <w:t>式</w:t>
      </w:r>
      <w:r>
        <w:rPr>
          <w:w w:val="95"/>
          <w:sz w:val="20"/>
        </w:rPr>
        <w:t>公</w:t>
      </w:r>
      <w:r>
        <w:rPr>
          <w:w w:val="95"/>
          <w:sz w:val="20"/>
        </w:rPr>
        <w:t>布</w:t>
      </w:r>
      <w:r>
        <w:rPr>
          <w:spacing w:val="-10"/>
          <w:w w:val="95"/>
          <w:sz w:val="20"/>
        </w:rPr>
        <w:t>。</w:t>
      </w:r>
    </w:p>
    <w:p>
      <w:pPr>
        <w:spacing w:after="0" w:line="234" w:lineRule="exact"/>
        <w:jc w:val="left"/>
        <w:rPr>
          <w:sz w:val="20"/>
        </w:rPr>
        <w:sectPr>
          <w:type w:val="continuous"/>
          <w:pgSz w:w="11910" w:h="16840"/>
          <w:pgMar w:header="566" w:footer="664" w:top="1340" w:bottom="860" w:left="900" w:right="720"/>
        </w:sectPr>
      </w:pPr>
    </w:p>
    <w:p>
      <w:pPr>
        <w:pStyle w:val="BodyText"/>
        <w:spacing w:before="5"/>
        <w:rPr>
          <w:sz w:val="14"/>
        </w:rPr>
      </w:pPr>
    </w:p>
    <w:p>
      <w:pPr>
        <w:spacing w:after="0"/>
        <w:rPr>
          <w:sz w:val="14"/>
        </w:rPr>
        <w:sectPr>
          <w:headerReference w:type="default" r:id="rId21"/>
          <w:footerReference w:type="default" r:id="rId22"/>
          <w:pgSz w:w="11910" w:h="16840"/>
          <w:pgMar w:header="566" w:footer="664" w:top="1340" w:bottom="860" w:left="900" w:right="720"/>
        </w:sectPr>
      </w:pPr>
    </w:p>
    <w:p>
      <w:pPr>
        <w:pStyle w:val="ListParagraph"/>
        <w:numPr>
          <w:ilvl w:val="1"/>
          <w:numId w:val="26"/>
        </w:numPr>
        <w:tabs>
          <w:tab w:pos="1269" w:val="left" w:leader="none"/>
          <w:tab w:pos="1270" w:val="left" w:leader="none"/>
        </w:tabs>
        <w:spacing w:line="194" w:lineRule="auto" w:before="57" w:after="0"/>
        <w:ind w:left="1270" w:right="0" w:hanging="1038"/>
        <w:jc w:val="left"/>
        <w:rPr>
          <w:rFonts w:ascii="微软雅黑" w:eastAsia="微软雅黑"/>
          <w:b/>
          <w:sz w:val="21"/>
        </w:rPr>
      </w:pPr>
      <w:r>
        <w:rPr>
          <w:rFonts w:ascii="微软雅黑" w:eastAsia="微软雅黑"/>
          <w:b/>
          <w:spacing w:val="-2"/>
          <w:sz w:val="21"/>
        </w:rPr>
        <w:t>明确说明与如实</w:t>
      </w:r>
      <w:r>
        <w:rPr>
          <w:rFonts w:ascii="微软雅黑" w:eastAsia="微软雅黑"/>
          <w:b/>
          <w:spacing w:val="-6"/>
          <w:sz w:val="21"/>
        </w:rPr>
        <w:t>告知</w:t>
      </w:r>
    </w:p>
    <w:p>
      <w:pPr>
        <w:pStyle w:val="BodyText"/>
        <w:spacing w:line="278" w:lineRule="auto" w:before="71"/>
        <w:ind w:left="232" w:right="310"/>
        <w:jc w:val="both"/>
      </w:pPr>
      <w:r>
        <w:rPr/>
        <w:br w:type="column"/>
      </w:r>
      <w:r>
        <w:rPr>
          <w:spacing w:val="-2"/>
        </w:rPr>
        <w:t>订立本合同时，我们应当向您说明本合同的内容。对保险条款中免除我们责</w:t>
      </w:r>
      <w:r>
        <w:rPr>
          <w:spacing w:val="-2"/>
        </w:rPr>
        <w:t>任的条款，我们在订立合同时应当在投保单、保险单或者其他保险凭证上作</w:t>
      </w:r>
      <w:r>
        <w:rPr>
          <w:spacing w:val="-2"/>
        </w:rPr>
        <w:t>出足以引起您注意的提示，并对该条款的内容以书面或者口头形式向您作出</w:t>
      </w:r>
      <w:r>
        <w:rPr>
          <w:spacing w:val="-2"/>
        </w:rPr>
        <w:t>明确说明，未作提示或者明确说明的，该条款不产生效力。</w:t>
      </w:r>
    </w:p>
    <w:p>
      <w:pPr>
        <w:pStyle w:val="BodyText"/>
        <w:spacing w:line="269" w:lineRule="exact"/>
        <w:ind w:left="232"/>
      </w:pPr>
      <w:r>
        <w:rPr>
          <w:spacing w:val="-7"/>
        </w:rPr>
        <w:t>订立本合同时，我们就您和被保险人的有关情况提出询问，您应当如实告知。</w:t>
      </w:r>
    </w:p>
    <w:p>
      <w:pPr>
        <w:pStyle w:val="BodyText"/>
        <w:spacing w:before="7"/>
        <w:rPr>
          <w:sz w:val="2"/>
        </w:rPr>
      </w:pPr>
    </w:p>
    <w:tbl>
      <w:tblPr>
        <w:tblW w:w="0" w:type="auto"/>
        <w:jc w:val="left"/>
        <w:tblInd w:w="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46"/>
        <w:gridCol w:w="2430"/>
        <w:gridCol w:w="2651"/>
        <w:gridCol w:w="222"/>
      </w:tblGrid>
      <w:tr>
        <w:trPr>
          <w:trHeight w:val="285" w:hRule="atLeast"/>
        </w:trPr>
        <w:tc>
          <w:tcPr>
            <w:tcW w:w="6849" w:type="dxa"/>
            <w:gridSpan w:val="4"/>
            <w:tcBorders>
              <w:bottom w:val="single" w:sz="12" w:space="0" w:color="FFFFFF"/>
            </w:tcBorders>
            <w:shd w:val="clear" w:color="auto" w:fill="D9D9D9"/>
          </w:tcPr>
          <w:p>
            <w:pPr>
              <w:pStyle w:val="TableParagraph"/>
              <w:spacing w:line="265" w:lineRule="exact"/>
              <w:rPr>
                <w:rFonts w:ascii="微软雅黑" w:eastAsia="微软雅黑"/>
                <w:b/>
                <w:sz w:val="22"/>
              </w:rPr>
            </w:pPr>
            <w:r>
              <w:rPr>
                <w:rFonts w:ascii="微软雅黑" w:eastAsia="微软雅黑"/>
                <w:b/>
                <w:spacing w:val="-1"/>
                <w:sz w:val="22"/>
              </w:rPr>
              <w:t>如果您故意或者因重大过失未履行前款规定的如实告知义务，足以影响</w:t>
            </w:r>
          </w:p>
        </w:tc>
      </w:tr>
      <w:tr>
        <w:trPr>
          <w:trHeight w:val="282" w:hRule="atLeast"/>
        </w:trPr>
        <w:tc>
          <w:tcPr>
            <w:tcW w:w="6627" w:type="dxa"/>
            <w:gridSpan w:val="3"/>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spacing w:val="-1"/>
                <w:sz w:val="22"/>
              </w:rPr>
              <w:t>我们决定是否同意承保或者提高保险费率的，我们有权解除本合同。</w:t>
            </w:r>
          </w:p>
        </w:tc>
        <w:tc>
          <w:tcPr>
            <w:tcW w:w="222" w:type="dxa"/>
            <w:tcBorders>
              <w:top w:val="single" w:sz="12" w:space="0" w:color="FFFFFF"/>
              <w:bottom w:val="single" w:sz="12" w:space="0" w:color="FFFFFF"/>
            </w:tcBorders>
          </w:tcPr>
          <w:p>
            <w:pPr>
              <w:pStyle w:val="TableParagraph"/>
              <w:rPr>
                <w:rFonts w:ascii="Times New Roman"/>
                <w:sz w:val="20"/>
              </w:rPr>
            </w:pPr>
          </w:p>
        </w:tc>
      </w:tr>
      <w:tr>
        <w:trPr>
          <w:trHeight w:val="282" w:hRule="atLeast"/>
        </w:trPr>
        <w:tc>
          <w:tcPr>
            <w:tcW w:w="6849" w:type="dxa"/>
            <w:gridSpan w:val="4"/>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spacing w:val="-1"/>
                <w:sz w:val="22"/>
              </w:rPr>
              <w:t>如果您故意不履行如实告知义务，对于本合同解除前发生的保险事故，</w:t>
            </w:r>
          </w:p>
        </w:tc>
      </w:tr>
      <w:tr>
        <w:trPr>
          <w:trHeight w:val="282" w:hRule="atLeast"/>
        </w:trPr>
        <w:tc>
          <w:tcPr>
            <w:tcW w:w="3976" w:type="dxa"/>
            <w:gridSpan w:val="2"/>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spacing w:val="-1"/>
                <w:sz w:val="22"/>
              </w:rPr>
              <w:t>我们不承担保险责任，并不退还保险费。</w:t>
            </w:r>
          </w:p>
        </w:tc>
        <w:tc>
          <w:tcPr>
            <w:tcW w:w="2873" w:type="dxa"/>
            <w:gridSpan w:val="2"/>
            <w:tcBorders>
              <w:top w:val="single" w:sz="12" w:space="0" w:color="FFFFFF"/>
              <w:bottom w:val="single" w:sz="12" w:space="0" w:color="FFFFFF"/>
            </w:tcBorders>
          </w:tcPr>
          <w:p>
            <w:pPr>
              <w:pStyle w:val="TableParagraph"/>
              <w:rPr>
                <w:rFonts w:ascii="Times New Roman"/>
                <w:sz w:val="20"/>
              </w:rPr>
            </w:pPr>
          </w:p>
        </w:tc>
      </w:tr>
      <w:tr>
        <w:trPr>
          <w:trHeight w:val="281" w:hRule="atLeast"/>
        </w:trPr>
        <w:tc>
          <w:tcPr>
            <w:tcW w:w="6849" w:type="dxa"/>
            <w:gridSpan w:val="4"/>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spacing w:val="-1"/>
                <w:sz w:val="22"/>
              </w:rPr>
              <w:t>如果您因重大过失未履行如实告知义务，对保险事故的发生有严重影响</w:t>
            </w:r>
          </w:p>
        </w:tc>
      </w:tr>
      <w:tr>
        <w:trPr>
          <w:trHeight w:val="282" w:hRule="atLeast"/>
        </w:trPr>
        <w:tc>
          <w:tcPr>
            <w:tcW w:w="6849" w:type="dxa"/>
            <w:gridSpan w:val="4"/>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spacing w:val="-1"/>
                <w:sz w:val="22"/>
              </w:rPr>
              <w:t>的，对于本合同解除前发生的保险事故，我们不承担保险责任，但会向</w:t>
            </w:r>
          </w:p>
        </w:tc>
      </w:tr>
      <w:tr>
        <w:trPr>
          <w:trHeight w:val="285" w:hRule="atLeast"/>
        </w:trPr>
        <w:tc>
          <w:tcPr>
            <w:tcW w:w="1546" w:type="dxa"/>
            <w:tcBorders>
              <w:top w:val="single" w:sz="12" w:space="0" w:color="FFFFFF"/>
            </w:tcBorders>
            <w:shd w:val="clear" w:color="auto" w:fill="D9D9D9"/>
          </w:tcPr>
          <w:p>
            <w:pPr>
              <w:pStyle w:val="TableParagraph"/>
              <w:spacing w:line="265" w:lineRule="exact"/>
              <w:rPr>
                <w:rFonts w:ascii="微软雅黑" w:eastAsia="微软雅黑"/>
                <w:b/>
                <w:sz w:val="22"/>
              </w:rPr>
            </w:pPr>
            <w:r>
              <w:rPr>
                <w:rFonts w:ascii="微软雅黑" w:eastAsia="微软雅黑"/>
                <w:b/>
                <w:spacing w:val="-2"/>
                <w:sz w:val="22"/>
              </w:rPr>
              <w:t>您退还保险费。</w:t>
            </w:r>
          </w:p>
        </w:tc>
        <w:tc>
          <w:tcPr>
            <w:tcW w:w="5303" w:type="dxa"/>
            <w:gridSpan w:val="3"/>
            <w:tcBorders>
              <w:top w:val="single" w:sz="12" w:space="0" w:color="FFFFFF"/>
            </w:tcBorders>
          </w:tcPr>
          <w:p>
            <w:pPr>
              <w:pStyle w:val="TableParagraph"/>
              <w:rPr>
                <w:rFonts w:ascii="Times New Roman"/>
                <w:sz w:val="20"/>
              </w:rPr>
            </w:pPr>
          </w:p>
        </w:tc>
      </w:tr>
    </w:tbl>
    <w:p>
      <w:pPr>
        <w:pStyle w:val="BodyText"/>
        <w:spacing w:line="278" w:lineRule="auto" w:before="36"/>
        <w:ind w:left="232" w:right="310"/>
      </w:pPr>
      <w:r>
        <w:rPr>
          <w:spacing w:val="-2"/>
        </w:rPr>
        <w:t>我们在合同订立时已经知道您未如实告知的情况的，我们不得解除合同；发</w:t>
      </w:r>
      <w:r>
        <w:rPr>
          <w:spacing w:val="-2"/>
        </w:rPr>
        <w:t>生保险事故的，我们应当承担保险责任。</w:t>
      </w:r>
    </w:p>
    <w:p>
      <w:pPr>
        <w:spacing w:after="0" w:line="278" w:lineRule="auto"/>
        <w:sectPr>
          <w:type w:val="continuous"/>
          <w:pgSz w:w="11910" w:h="16840"/>
          <w:pgMar w:header="566" w:footer="664" w:top="1340" w:bottom="860" w:left="900" w:right="720"/>
          <w:cols w:num="2" w:equalWidth="0">
            <w:col w:w="2749" w:space="55"/>
            <w:col w:w="7486"/>
          </w:cols>
        </w:sectPr>
      </w:pPr>
    </w:p>
    <w:p>
      <w:pPr>
        <w:pStyle w:val="ListParagraph"/>
        <w:numPr>
          <w:ilvl w:val="1"/>
          <w:numId w:val="26"/>
        </w:numPr>
        <w:tabs>
          <w:tab w:pos="1269" w:val="left" w:leader="none"/>
          <w:tab w:pos="1270" w:val="left" w:leader="none"/>
        </w:tabs>
        <w:spacing w:line="194" w:lineRule="auto" w:before="154" w:after="0"/>
        <w:ind w:left="1270" w:right="0" w:hanging="1038"/>
        <w:jc w:val="left"/>
        <w:rPr>
          <w:rFonts w:ascii="微软雅黑" w:eastAsia="微软雅黑"/>
          <w:b/>
          <w:sz w:val="21"/>
        </w:rPr>
      </w:pPr>
      <w:r>
        <w:rPr>
          <w:rFonts w:ascii="微软雅黑" w:eastAsia="微软雅黑"/>
          <w:b/>
          <w:spacing w:val="-2"/>
          <w:sz w:val="21"/>
        </w:rPr>
        <w:t>本公司合同解除</w:t>
      </w:r>
      <w:r>
        <w:rPr>
          <w:rFonts w:ascii="微软雅黑" w:eastAsia="微软雅黑"/>
          <w:b/>
          <w:spacing w:val="-4"/>
          <w:sz w:val="21"/>
        </w:rPr>
        <w:t>权的限制</w:t>
      </w:r>
    </w:p>
    <w:p>
      <w:pPr>
        <w:pStyle w:val="BodyText"/>
        <w:spacing w:line="278" w:lineRule="auto" w:before="168"/>
        <w:ind w:left="232" w:right="190"/>
      </w:pPr>
      <w:r>
        <w:rPr/>
        <w:br w:type="column"/>
      </w:r>
      <w:r>
        <w:rPr>
          <w:spacing w:val="-11"/>
        </w:rPr>
        <w:t>本合同第 </w:t>
      </w:r>
      <w:r>
        <w:rPr/>
        <w:t>7.5、7.6</w:t>
      </w:r>
      <w:r>
        <w:rPr>
          <w:spacing w:val="-8"/>
        </w:rPr>
        <w:t> 条规定的合同解除权，自我们知道有解除事由之日起，超</w:t>
      </w:r>
      <w:r>
        <w:rPr>
          <w:spacing w:val="-27"/>
        </w:rPr>
        <w:t>过 </w:t>
      </w:r>
      <w:r>
        <w:rPr/>
        <w:t>30</w:t>
      </w:r>
      <w:r>
        <w:rPr>
          <w:spacing w:val="-15"/>
        </w:rPr>
        <w:t> 日不行使而消灭。自本合同成立之日起超过 </w:t>
      </w:r>
      <w:r>
        <w:rPr/>
        <w:t>2</w:t>
      </w:r>
      <w:r>
        <w:rPr>
          <w:spacing w:val="-15"/>
        </w:rPr>
        <w:t> 年的，我们不得解除合同；</w:t>
      </w:r>
      <w:r>
        <w:rPr>
          <w:spacing w:val="-2"/>
        </w:rPr>
        <w:t>发生保险事故的，我们承担保险责任。</w:t>
      </w:r>
    </w:p>
    <w:p>
      <w:pPr>
        <w:spacing w:after="0" w:line="278" w:lineRule="auto"/>
        <w:sectPr>
          <w:type w:val="continuous"/>
          <w:pgSz w:w="11910" w:h="16840"/>
          <w:pgMar w:header="566" w:footer="664" w:top="1340" w:bottom="860" w:left="900" w:right="720"/>
          <w:cols w:num="2" w:equalWidth="0">
            <w:col w:w="2749" w:space="55"/>
            <w:col w:w="7486"/>
          </w:cols>
        </w:sectPr>
      </w:pPr>
    </w:p>
    <w:p>
      <w:pPr>
        <w:pStyle w:val="ListParagraph"/>
        <w:numPr>
          <w:ilvl w:val="1"/>
          <w:numId w:val="26"/>
        </w:numPr>
        <w:tabs>
          <w:tab w:pos="1269" w:val="left" w:leader="none"/>
          <w:tab w:pos="1270" w:val="left" w:leader="none"/>
          <w:tab w:pos="3036" w:val="left" w:leader="none"/>
        </w:tabs>
        <w:spacing w:line="256" w:lineRule="auto" w:before="103" w:after="0"/>
        <w:ind w:left="3037" w:right="310" w:hanging="2805"/>
        <w:jc w:val="both"/>
        <w:rPr>
          <w:sz w:val="21"/>
        </w:rPr>
      </w:pPr>
      <w:r>
        <w:rPr>
          <w:rFonts w:ascii="微软雅黑" w:eastAsia="微软雅黑"/>
          <w:b/>
          <w:spacing w:val="-4"/>
          <w:sz w:val="21"/>
        </w:rPr>
        <w:t>未</w:t>
      </w:r>
      <w:r>
        <w:rPr>
          <w:rFonts w:ascii="微软雅黑" w:eastAsia="微软雅黑"/>
          <w:b/>
          <w:spacing w:val="-4"/>
          <w:sz w:val="21"/>
        </w:rPr>
        <w:t>还</w:t>
      </w:r>
      <w:r>
        <w:rPr>
          <w:rFonts w:ascii="微软雅黑" w:eastAsia="微软雅黑"/>
          <w:b/>
          <w:spacing w:val="-4"/>
          <w:sz w:val="21"/>
        </w:rPr>
        <w:t>款</w:t>
      </w:r>
      <w:r>
        <w:rPr>
          <w:rFonts w:ascii="微软雅黑" w:eastAsia="微软雅黑"/>
          <w:b/>
          <w:spacing w:val="-4"/>
          <w:sz w:val="21"/>
        </w:rPr>
        <w:t>项</w:t>
      </w:r>
      <w:r>
        <w:rPr>
          <w:rFonts w:ascii="微软雅黑" w:eastAsia="微软雅黑"/>
          <w:b/>
          <w:sz w:val="21"/>
        </w:rPr>
        <w:tab/>
      </w:r>
      <w:r>
        <w:rPr>
          <w:spacing w:val="-2"/>
          <w:sz w:val="21"/>
        </w:rPr>
        <w:t>我</w:t>
      </w:r>
      <w:r>
        <w:rPr>
          <w:spacing w:val="-2"/>
          <w:sz w:val="21"/>
        </w:rPr>
        <w:t>们</w:t>
      </w:r>
      <w:r>
        <w:rPr>
          <w:spacing w:val="-2"/>
          <w:sz w:val="21"/>
        </w:rPr>
        <w:t>在给付各项保险金、</w:t>
      </w:r>
      <w:r>
        <w:rPr>
          <w:spacing w:val="-2"/>
          <w:sz w:val="21"/>
        </w:rPr>
        <w:t>退</w:t>
      </w:r>
      <w:r>
        <w:rPr>
          <w:spacing w:val="-2"/>
          <w:sz w:val="21"/>
        </w:rPr>
        <w:t>还</w:t>
      </w:r>
      <w:r>
        <w:rPr>
          <w:spacing w:val="-2"/>
          <w:sz w:val="21"/>
        </w:rPr>
        <w:t>现金价值或者退还保</w:t>
      </w:r>
      <w:r>
        <w:rPr>
          <w:spacing w:val="-2"/>
          <w:sz w:val="21"/>
        </w:rPr>
        <w:t>险</w:t>
      </w:r>
      <w:r>
        <w:rPr>
          <w:spacing w:val="-2"/>
          <w:sz w:val="21"/>
        </w:rPr>
        <w:t>费</w:t>
      </w:r>
      <w:r>
        <w:rPr>
          <w:spacing w:val="-2"/>
          <w:sz w:val="21"/>
        </w:rPr>
        <w:t>时，如果您有欠</w:t>
      </w:r>
      <w:r>
        <w:rPr>
          <w:spacing w:val="-2"/>
          <w:sz w:val="21"/>
        </w:rPr>
        <w:t>交</w:t>
      </w:r>
      <w:r>
        <w:rPr>
          <w:spacing w:val="-2"/>
          <w:sz w:val="21"/>
        </w:rPr>
        <w:t>的</w:t>
      </w:r>
      <w:r>
        <w:rPr>
          <w:spacing w:val="-2"/>
          <w:sz w:val="21"/>
        </w:rPr>
        <w:t>保</w:t>
      </w:r>
      <w:r>
        <w:rPr>
          <w:spacing w:val="-2"/>
          <w:sz w:val="21"/>
        </w:rPr>
        <w:t>险</w:t>
      </w:r>
      <w:r>
        <w:rPr>
          <w:spacing w:val="-2"/>
          <w:sz w:val="21"/>
        </w:rPr>
        <w:t>费（含宽限期内欠交</w:t>
      </w:r>
      <w:r>
        <w:rPr>
          <w:spacing w:val="-2"/>
          <w:sz w:val="21"/>
        </w:rPr>
        <w:t>的</w:t>
      </w:r>
      <w:r>
        <w:rPr>
          <w:spacing w:val="-2"/>
          <w:sz w:val="21"/>
        </w:rPr>
        <w:t>保</w:t>
      </w:r>
      <w:r>
        <w:rPr>
          <w:spacing w:val="-2"/>
          <w:sz w:val="21"/>
        </w:rPr>
        <w:t>险费）、保单贷款或</w:t>
      </w:r>
      <w:r>
        <w:rPr>
          <w:spacing w:val="-2"/>
          <w:sz w:val="21"/>
        </w:rPr>
        <w:t>者</w:t>
      </w:r>
      <w:r>
        <w:rPr>
          <w:spacing w:val="-2"/>
          <w:sz w:val="21"/>
        </w:rPr>
        <w:t>其</w:t>
      </w:r>
      <w:r>
        <w:rPr>
          <w:spacing w:val="-2"/>
          <w:sz w:val="21"/>
        </w:rPr>
        <w:t>他欠款，我们先</w:t>
      </w:r>
      <w:r>
        <w:rPr>
          <w:spacing w:val="-2"/>
          <w:sz w:val="21"/>
        </w:rPr>
        <w:t>扣</w:t>
      </w:r>
      <w:r>
        <w:rPr>
          <w:spacing w:val="-2"/>
          <w:sz w:val="21"/>
        </w:rPr>
        <w:t>除</w:t>
      </w:r>
      <w:r>
        <w:rPr>
          <w:spacing w:val="-2"/>
          <w:sz w:val="21"/>
        </w:rPr>
        <w:t>上</w:t>
      </w:r>
      <w:r>
        <w:rPr>
          <w:spacing w:val="-2"/>
          <w:sz w:val="21"/>
        </w:rPr>
        <w:t>述</w:t>
      </w:r>
      <w:r>
        <w:rPr>
          <w:spacing w:val="-2"/>
          <w:sz w:val="21"/>
        </w:rPr>
        <w:t>各项欠款及应付利息</w:t>
      </w:r>
      <w:r>
        <w:rPr>
          <w:spacing w:val="-2"/>
          <w:sz w:val="21"/>
        </w:rPr>
        <w:t>。</w:t>
      </w:r>
      <w:r>
        <w:rPr>
          <w:spacing w:val="-2"/>
          <w:sz w:val="21"/>
        </w:rPr>
        <w:t>应</w:t>
      </w:r>
      <w:r>
        <w:rPr>
          <w:spacing w:val="-2"/>
          <w:sz w:val="21"/>
        </w:rPr>
        <w:t>付利息按约定利率计</w:t>
      </w:r>
      <w:r>
        <w:rPr>
          <w:spacing w:val="-2"/>
          <w:sz w:val="21"/>
        </w:rPr>
        <w:t>算</w:t>
      </w:r>
      <w:r>
        <w:rPr>
          <w:spacing w:val="-2"/>
          <w:sz w:val="21"/>
        </w:rPr>
        <w:t>。</w:t>
      </w:r>
    </w:p>
    <w:p>
      <w:pPr>
        <w:pStyle w:val="ListParagraph"/>
        <w:numPr>
          <w:ilvl w:val="1"/>
          <w:numId w:val="26"/>
        </w:numPr>
        <w:tabs>
          <w:tab w:pos="1269" w:val="left" w:leader="none"/>
          <w:tab w:pos="1270" w:val="left" w:leader="none"/>
        </w:tabs>
        <w:spacing w:line="235" w:lineRule="auto" w:before="122" w:after="0"/>
        <w:ind w:left="3037" w:right="190" w:hanging="2805"/>
        <w:jc w:val="both"/>
        <w:rPr>
          <w:sz w:val="21"/>
        </w:rPr>
      </w:pPr>
      <w:r>
        <w:rPr>
          <w:rFonts w:ascii="微软雅黑" w:eastAsia="微软雅黑"/>
          <w:b/>
          <w:spacing w:val="62"/>
          <w:sz w:val="21"/>
        </w:rPr>
        <w:t>合同内容变更 </w:t>
      </w:r>
      <w:r>
        <w:rPr>
          <w:sz w:val="21"/>
        </w:rPr>
        <w:t>经您与我们协商一致，可以变更本合同的有关内容。变更本合同的，应当由</w:t>
      </w:r>
      <w:r>
        <w:rPr>
          <w:spacing w:val="-8"/>
          <w:sz w:val="21"/>
        </w:rPr>
        <w:t>我们在保险合同上批注或者附贴批单，或者由您与我们订立书面的变更协议。</w:t>
      </w:r>
    </w:p>
    <w:p>
      <w:pPr>
        <w:pStyle w:val="ListParagraph"/>
        <w:numPr>
          <w:ilvl w:val="1"/>
          <w:numId w:val="26"/>
        </w:numPr>
        <w:tabs>
          <w:tab w:pos="1270" w:val="left" w:leader="none"/>
        </w:tabs>
        <w:spacing w:line="312" w:lineRule="exact" w:before="174" w:after="0"/>
        <w:ind w:left="3037" w:right="310" w:hanging="2805"/>
        <w:jc w:val="both"/>
        <w:rPr>
          <w:sz w:val="21"/>
        </w:rPr>
      </w:pPr>
      <w:r>
        <w:rPr>
          <w:rFonts w:ascii="微软雅黑" w:eastAsia="微软雅黑"/>
          <w:b/>
          <w:spacing w:val="59"/>
          <w:sz w:val="21"/>
        </w:rPr>
        <w:t>联系方式变更 </w:t>
      </w:r>
      <w:r>
        <w:rPr>
          <w:sz w:val="21"/>
        </w:rPr>
        <w:t>为了保障您的合法权益，您的住所、通讯地址、电话或电子邮件等联系方式</w:t>
      </w:r>
      <w:r>
        <w:rPr>
          <w:spacing w:val="-2"/>
          <w:sz w:val="21"/>
        </w:rPr>
        <w:t>变更时，请及时以书面形式或双方认可的其他形式通知我们。若您未以书面</w:t>
      </w:r>
      <w:r>
        <w:rPr>
          <w:spacing w:val="-2"/>
          <w:sz w:val="21"/>
        </w:rPr>
        <w:t>形式或双方认可的其他形式通知我们，我们按本合同载明的最后联系方式所</w:t>
      </w:r>
      <w:r>
        <w:rPr>
          <w:spacing w:val="-2"/>
          <w:sz w:val="21"/>
        </w:rPr>
        <w:t>发送的有关通知，均视为已送达给您。</w:t>
      </w:r>
    </w:p>
    <w:p>
      <w:pPr>
        <w:pStyle w:val="ListParagraph"/>
        <w:numPr>
          <w:ilvl w:val="1"/>
          <w:numId w:val="26"/>
        </w:numPr>
        <w:tabs>
          <w:tab w:pos="1270" w:val="left" w:leader="none"/>
          <w:tab w:pos="3036" w:val="left" w:leader="none"/>
        </w:tabs>
        <w:spacing w:line="235" w:lineRule="auto" w:before="148" w:after="0"/>
        <w:ind w:left="3037" w:right="310" w:hanging="2805"/>
        <w:jc w:val="both"/>
        <w:rPr>
          <w:sz w:val="21"/>
        </w:rPr>
      </w:pPr>
      <w:r>
        <w:rPr>
          <w:rFonts w:ascii="微软雅黑" w:eastAsia="微软雅黑"/>
          <w:b/>
          <w:spacing w:val="-4"/>
          <w:sz w:val="21"/>
        </w:rPr>
        <w:t>争</w:t>
      </w:r>
      <w:r>
        <w:rPr>
          <w:rFonts w:ascii="微软雅黑" w:eastAsia="微软雅黑"/>
          <w:b/>
          <w:spacing w:val="-4"/>
          <w:sz w:val="21"/>
        </w:rPr>
        <w:t>议</w:t>
      </w:r>
      <w:r>
        <w:rPr>
          <w:rFonts w:ascii="微软雅黑" w:eastAsia="微软雅黑"/>
          <w:b/>
          <w:spacing w:val="-4"/>
          <w:sz w:val="21"/>
        </w:rPr>
        <w:t>处</w:t>
      </w:r>
      <w:r>
        <w:rPr>
          <w:rFonts w:ascii="微软雅黑" w:eastAsia="微软雅黑"/>
          <w:b/>
          <w:spacing w:val="-4"/>
          <w:sz w:val="21"/>
        </w:rPr>
        <w:t>理</w:t>
      </w:r>
      <w:r>
        <w:rPr>
          <w:rFonts w:ascii="微软雅黑" w:eastAsia="微软雅黑"/>
          <w:b/>
          <w:sz w:val="21"/>
        </w:rPr>
        <w:tab/>
      </w:r>
      <w:r>
        <w:rPr>
          <w:spacing w:val="-2"/>
          <w:sz w:val="21"/>
        </w:rPr>
        <w:t>本</w:t>
      </w:r>
      <w:r>
        <w:rPr>
          <w:spacing w:val="-2"/>
          <w:sz w:val="21"/>
        </w:rPr>
        <w:t>合</w:t>
      </w:r>
      <w:r>
        <w:rPr>
          <w:spacing w:val="-2"/>
          <w:sz w:val="21"/>
        </w:rPr>
        <w:t>同履行过程中，双方</w:t>
      </w:r>
      <w:r>
        <w:rPr>
          <w:spacing w:val="-2"/>
          <w:sz w:val="21"/>
        </w:rPr>
        <w:t>发</w:t>
      </w:r>
      <w:r>
        <w:rPr>
          <w:spacing w:val="-2"/>
          <w:sz w:val="21"/>
        </w:rPr>
        <w:t>生</w:t>
      </w:r>
      <w:r>
        <w:rPr>
          <w:spacing w:val="-2"/>
          <w:sz w:val="21"/>
        </w:rPr>
        <w:t>争议不能协商解决的，</w:t>
      </w:r>
      <w:r>
        <w:rPr>
          <w:spacing w:val="-2"/>
          <w:sz w:val="21"/>
        </w:rPr>
        <w:t>可</w:t>
      </w:r>
      <w:r>
        <w:rPr>
          <w:spacing w:val="-2"/>
          <w:sz w:val="21"/>
        </w:rPr>
        <w:t>以达成仲裁协议</w:t>
      </w:r>
      <w:r>
        <w:rPr>
          <w:spacing w:val="-2"/>
          <w:sz w:val="21"/>
        </w:rPr>
        <w:t>通</w:t>
      </w:r>
      <w:r>
        <w:rPr>
          <w:spacing w:val="-2"/>
          <w:sz w:val="21"/>
        </w:rPr>
        <w:t>过</w:t>
      </w:r>
      <w:r>
        <w:rPr>
          <w:spacing w:val="-2"/>
          <w:sz w:val="21"/>
        </w:rPr>
        <w:t>仲</w:t>
      </w:r>
      <w:r>
        <w:rPr>
          <w:spacing w:val="-2"/>
          <w:sz w:val="21"/>
        </w:rPr>
        <w:t>裁</w:t>
      </w:r>
      <w:r>
        <w:rPr>
          <w:spacing w:val="-2"/>
          <w:sz w:val="21"/>
        </w:rPr>
        <w:t>解决，也可以依法向</w:t>
      </w:r>
      <w:r>
        <w:rPr>
          <w:spacing w:val="-2"/>
          <w:sz w:val="21"/>
        </w:rPr>
        <w:t>人</w:t>
      </w:r>
      <w:r>
        <w:rPr>
          <w:spacing w:val="-2"/>
          <w:sz w:val="21"/>
        </w:rPr>
        <w:t>民</w:t>
      </w:r>
      <w:r>
        <w:rPr>
          <w:spacing w:val="-2"/>
          <w:sz w:val="21"/>
        </w:rPr>
        <w:t>法院起</w:t>
      </w:r>
      <w:r>
        <w:rPr>
          <w:spacing w:val="-2"/>
          <w:sz w:val="21"/>
        </w:rPr>
        <w:t>诉</w:t>
      </w:r>
      <w:r>
        <w:rPr>
          <w:spacing w:val="-2"/>
          <w:sz w:val="21"/>
        </w:rPr>
        <w:t>。</w:t>
      </w:r>
    </w:p>
    <w:p>
      <w:pPr>
        <w:pStyle w:val="BodyText"/>
        <w:spacing w:before="7"/>
        <w:rPr>
          <w:sz w:val="18"/>
        </w:rPr>
      </w:pPr>
    </w:p>
    <w:p>
      <w:pPr>
        <w:tabs>
          <w:tab w:pos="1269" w:val="left" w:leader="none"/>
        </w:tabs>
        <w:spacing w:before="0"/>
        <w:ind w:left="232" w:right="0" w:firstLine="0"/>
        <w:jc w:val="left"/>
        <w:rPr>
          <w:rFonts w:ascii="微软雅黑" w:hAnsi="微软雅黑" w:eastAsia="微软雅黑"/>
          <w:b/>
          <w:sz w:val="24"/>
        </w:rPr>
      </w:pPr>
      <w:r>
        <w:rPr>
          <w:rFonts w:ascii="微软雅黑" w:hAnsi="微软雅黑" w:eastAsia="微软雅黑"/>
          <w:b/>
          <w:spacing w:val="-10"/>
          <w:position w:val="-4"/>
          <w:sz w:val="28"/>
        </w:rPr>
        <w:t>⒏</w:t>
      </w:r>
      <w:r>
        <w:rPr>
          <w:rFonts w:ascii="微软雅黑" w:hAnsi="微软雅黑" w:eastAsia="微软雅黑"/>
          <w:b/>
          <w:position w:val="-4"/>
          <w:sz w:val="28"/>
        </w:rPr>
        <w:tab/>
      </w:r>
      <w:r>
        <w:rPr>
          <w:rFonts w:ascii="微软雅黑" w:hAnsi="微软雅黑" w:eastAsia="微软雅黑"/>
          <w:b/>
          <w:spacing w:val="-3"/>
          <w:sz w:val="24"/>
        </w:rPr>
        <w:t>重大疾病</w:t>
      </w:r>
    </w:p>
    <w:p>
      <w:pPr>
        <w:spacing w:before="86"/>
        <w:ind w:left="1270" w:right="0" w:firstLine="0"/>
        <w:jc w:val="left"/>
        <w:rPr>
          <w:rFonts w:ascii="微软雅黑" w:eastAsia="微软雅黑"/>
          <w:b/>
          <w:sz w:val="21"/>
        </w:rPr>
      </w:pPr>
      <w:r>
        <w:rPr>
          <w:rFonts w:ascii="微软雅黑" w:eastAsia="微软雅黑"/>
          <w:b/>
          <w:spacing w:val="-3"/>
          <w:sz w:val="21"/>
        </w:rPr>
        <w:t>以下疾病名称仅供理解使用，具体保障范围以每项疾病具体定义为准。</w:t>
      </w:r>
    </w:p>
    <w:p>
      <w:pPr>
        <w:pStyle w:val="BodyText"/>
        <w:spacing w:before="17"/>
        <w:rPr>
          <w:rFonts w:ascii="微软雅黑"/>
          <w:b/>
          <w:sz w:val="2"/>
        </w:rPr>
      </w:pPr>
      <w:r>
        <w:rPr/>
        <w:drawing>
          <wp:anchor distT="0" distB="0" distL="0" distR="0" allowOverlap="1" layoutInCell="1" locked="0" behindDoc="0" simplePos="0" relativeHeight="36">
            <wp:simplePos x="0" y="0"/>
            <wp:positionH relativeFrom="page">
              <wp:posOffset>688848</wp:posOffset>
            </wp:positionH>
            <wp:positionV relativeFrom="paragraph">
              <wp:posOffset>49785</wp:posOffset>
            </wp:positionV>
            <wp:extent cx="6131742" cy="9715"/>
            <wp:effectExtent l="0" t="0" r="0" b="0"/>
            <wp:wrapTopAndBottom/>
            <wp:docPr id="43" name="image12.png"/>
            <wp:cNvGraphicFramePr>
              <a:graphicFrameLocks noChangeAspect="1"/>
            </wp:cNvGraphicFramePr>
            <a:graphic>
              <a:graphicData uri="http://schemas.openxmlformats.org/drawingml/2006/picture">
                <pic:pic>
                  <pic:nvPicPr>
                    <pic:cNvPr id="44" name="image12.png"/>
                    <pic:cNvPicPr/>
                  </pic:nvPicPr>
                  <pic:blipFill>
                    <a:blip r:embed="rId17" cstate="print"/>
                    <a:stretch>
                      <a:fillRect/>
                    </a:stretch>
                  </pic:blipFill>
                  <pic:spPr>
                    <a:xfrm>
                      <a:off x="0" y="0"/>
                      <a:ext cx="6131742" cy="9715"/>
                    </a:xfrm>
                    <a:prstGeom prst="rect">
                      <a:avLst/>
                    </a:prstGeom>
                  </pic:spPr>
                </pic:pic>
              </a:graphicData>
            </a:graphic>
          </wp:anchor>
        </w:drawing>
      </w:r>
    </w:p>
    <w:p>
      <w:pPr>
        <w:pStyle w:val="ListParagraph"/>
        <w:numPr>
          <w:ilvl w:val="1"/>
          <w:numId w:val="28"/>
        </w:numPr>
        <w:tabs>
          <w:tab w:pos="1269" w:val="left" w:leader="none"/>
          <w:tab w:pos="1270" w:val="left" w:leader="none"/>
          <w:tab w:pos="3036" w:val="left" w:leader="none"/>
        </w:tabs>
        <w:spacing w:line="256" w:lineRule="auto" w:before="129" w:after="0"/>
        <w:ind w:left="3037" w:right="197" w:hanging="2805"/>
        <w:jc w:val="left"/>
        <w:rPr>
          <w:sz w:val="21"/>
        </w:rPr>
      </w:pPr>
      <w:r>
        <w:rPr>
          <w:rFonts w:ascii="微软雅黑" w:eastAsia="微软雅黑"/>
          <w:b/>
          <w:spacing w:val="-2"/>
          <w:sz w:val="21"/>
        </w:rPr>
        <w:t>重</w:t>
      </w:r>
      <w:r>
        <w:rPr>
          <w:rFonts w:ascii="微软雅黑" w:eastAsia="微软雅黑"/>
          <w:b/>
          <w:spacing w:val="-2"/>
          <w:sz w:val="21"/>
        </w:rPr>
        <w:t>大</w:t>
      </w:r>
      <w:r>
        <w:rPr>
          <w:rFonts w:ascii="微软雅黑" w:eastAsia="微软雅黑"/>
          <w:b/>
          <w:spacing w:val="-2"/>
          <w:sz w:val="21"/>
        </w:rPr>
        <w:t>疾</w:t>
      </w:r>
      <w:r>
        <w:rPr>
          <w:rFonts w:ascii="微软雅黑" w:eastAsia="微软雅黑"/>
          <w:b/>
          <w:spacing w:val="-2"/>
          <w:sz w:val="21"/>
        </w:rPr>
        <w:t>病</w:t>
      </w:r>
      <w:r>
        <w:rPr>
          <w:rFonts w:ascii="微软雅黑" w:eastAsia="微软雅黑"/>
          <w:b/>
          <w:spacing w:val="-2"/>
          <w:sz w:val="21"/>
        </w:rPr>
        <w:t>定</w:t>
      </w:r>
      <w:r>
        <w:rPr>
          <w:rFonts w:ascii="微软雅黑" w:eastAsia="微软雅黑"/>
          <w:b/>
          <w:spacing w:val="-2"/>
          <w:sz w:val="21"/>
        </w:rPr>
        <w:t>义</w:t>
      </w:r>
      <w:r>
        <w:rPr>
          <w:rFonts w:ascii="微软雅黑" w:eastAsia="微软雅黑"/>
          <w:b/>
          <w:sz w:val="21"/>
        </w:rPr>
        <w:tab/>
      </w:r>
      <w:r>
        <w:rPr>
          <w:spacing w:val="-2"/>
          <w:sz w:val="21"/>
        </w:rPr>
        <w:t>本</w:t>
      </w:r>
      <w:r>
        <w:rPr>
          <w:spacing w:val="-2"/>
          <w:sz w:val="21"/>
        </w:rPr>
        <w:t>合</w:t>
      </w:r>
      <w:r>
        <w:rPr>
          <w:spacing w:val="-2"/>
          <w:sz w:val="21"/>
        </w:rPr>
        <w:t>同所指重大疾病，是</w:t>
      </w:r>
      <w:r>
        <w:rPr>
          <w:spacing w:val="-2"/>
          <w:sz w:val="21"/>
        </w:rPr>
        <w:t>被</w:t>
      </w:r>
      <w:r>
        <w:rPr>
          <w:spacing w:val="-2"/>
          <w:sz w:val="21"/>
        </w:rPr>
        <w:t>保</w:t>
      </w:r>
      <w:r>
        <w:rPr>
          <w:spacing w:val="-2"/>
          <w:sz w:val="21"/>
        </w:rPr>
        <w:t>险人发生经认可的医院的</w:t>
      </w:r>
      <w:r>
        <w:rPr>
          <w:rFonts w:ascii="微软雅黑" w:eastAsia="微软雅黑"/>
          <w:b/>
          <w:spacing w:val="-2"/>
          <w:sz w:val="21"/>
        </w:rPr>
        <w:t>专</w:t>
      </w:r>
      <w:r>
        <w:rPr>
          <w:rFonts w:ascii="微软雅黑" w:eastAsia="微软雅黑"/>
          <w:b/>
          <w:spacing w:val="-2"/>
          <w:sz w:val="21"/>
        </w:rPr>
        <w:t>科</w:t>
      </w:r>
      <w:r>
        <w:rPr>
          <w:rFonts w:ascii="微软雅黑" w:eastAsia="微软雅黑"/>
          <w:b/>
          <w:spacing w:val="-2"/>
          <w:sz w:val="21"/>
        </w:rPr>
        <w:t>医</w:t>
      </w:r>
      <w:r>
        <w:rPr>
          <w:rFonts w:ascii="微软雅黑" w:eastAsia="微软雅黑"/>
          <w:b/>
          <w:spacing w:val="-2"/>
          <w:sz w:val="21"/>
        </w:rPr>
        <w:t>生</w:t>
      </w:r>
      <w:r>
        <w:rPr>
          <w:rFonts w:ascii="微软雅黑" w:eastAsia="微软雅黑"/>
          <w:b/>
          <w:spacing w:val="-2"/>
          <w:position w:val="11"/>
          <w:sz w:val="11"/>
        </w:rPr>
        <w:t>21</w:t>
      </w:r>
      <w:r>
        <w:rPr>
          <w:spacing w:val="-2"/>
          <w:sz w:val="21"/>
        </w:rPr>
        <w:t>明</w:t>
      </w:r>
      <w:r>
        <w:rPr>
          <w:spacing w:val="-2"/>
          <w:sz w:val="21"/>
        </w:rPr>
        <w:t>确</w:t>
      </w:r>
      <w:r>
        <w:rPr>
          <w:spacing w:val="-2"/>
          <w:sz w:val="21"/>
        </w:rPr>
        <w:t>诊断，</w:t>
      </w:r>
      <w:r>
        <w:rPr>
          <w:sz w:val="21"/>
        </w:rPr>
        <w:t>符合以下定义所述条件的</w:t>
      </w:r>
      <w:r>
        <w:rPr>
          <w:sz w:val="21"/>
        </w:rPr>
        <w:t>疾病、疾病状态或手术，共</w:t>
      </w:r>
      <w:r>
        <w:rPr>
          <w:spacing w:val="-20"/>
          <w:sz w:val="21"/>
        </w:rPr>
        <w:t> </w:t>
      </w:r>
      <w:r>
        <w:rPr>
          <w:sz w:val="21"/>
        </w:rPr>
        <w:t>120</w:t>
      </w:r>
      <w:r>
        <w:rPr>
          <w:spacing w:val="-25"/>
          <w:sz w:val="21"/>
        </w:rPr>
        <w:t> </w:t>
      </w:r>
      <w:r>
        <w:rPr>
          <w:sz w:val="21"/>
        </w:rPr>
        <w:t>种（重大疾病</w:t>
      </w:r>
      <w:r>
        <w:rPr>
          <w:sz w:val="21"/>
        </w:rPr>
        <w:t>定义中的第</w:t>
      </w:r>
      <w:r>
        <w:rPr>
          <w:spacing w:val="-16"/>
          <w:sz w:val="21"/>
        </w:rPr>
        <w:t> </w:t>
      </w:r>
      <w:r>
        <w:rPr>
          <w:sz w:val="21"/>
        </w:rPr>
        <w:t>8.1.1</w:t>
      </w:r>
      <w:r>
        <w:rPr>
          <w:spacing w:val="-16"/>
          <w:sz w:val="21"/>
        </w:rPr>
        <w:t> </w:t>
      </w:r>
      <w:r>
        <w:rPr>
          <w:sz w:val="21"/>
        </w:rPr>
        <w:t>项</w:t>
      </w:r>
      <w:r>
        <w:rPr>
          <w:sz w:val="21"/>
        </w:rPr>
        <w:t>至</w:t>
      </w:r>
      <w:r>
        <w:rPr>
          <w:sz w:val="21"/>
        </w:rPr>
        <w:t>第</w:t>
      </w:r>
      <w:r>
        <w:rPr>
          <w:spacing w:val="-16"/>
          <w:sz w:val="21"/>
        </w:rPr>
        <w:t> </w:t>
      </w:r>
      <w:r>
        <w:rPr>
          <w:sz w:val="21"/>
        </w:rPr>
        <w:t>8.1.28</w:t>
      </w:r>
      <w:r>
        <w:rPr>
          <w:spacing w:val="-15"/>
          <w:sz w:val="21"/>
        </w:rPr>
        <w:t> </w:t>
      </w:r>
      <w:r>
        <w:rPr>
          <w:sz w:val="21"/>
        </w:rPr>
        <w:t>项采用了《重大疾病保</w:t>
      </w:r>
      <w:r>
        <w:rPr>
          <w:sz w:val="21"/>
        </w:rPr>
        <w:t>险的疾病定义使用规范</w:t>
      </w:r>
    </w:p>
    <w:p>
      <w:pPr>
        <w:pStyle w:val="BodyText"/>
        <w:spacing w:before="13"/>
        <w:ind w:left="3037"/>
      </w:pPr>
      <w:r>
        <w:rPr>
          <w:spacing w:val="-2"/>
        </w:rPr>
        <w:t>（2020</w:t>
      </w:r>
      <w:r>
        <w:rPr>
          <w:spacing w:val="-10"/>
        </w:rPr>
        <w:t> 年修订版</w:t>
      </w:r>
      <w:r>
        <w:rPr>
          <w:spacing w:val="-2"/>
        </w:rPr>
        <w:t>）》中的重度疾病定义）</w:t>
      </w:r>
      <w:r>
        <w:rPr>
          <w:spacing w:val="-3"/>
        </w:rPr>
        <w:t>。重大疾病的名称及定义如下：</w:t>
      </w:r>
    </w:p>
    <w:p>
      <w:pPr>
        <w:pStyle w:val="BodyText"/>
        <w:spacing w:before="6"/>
      </w:pPr>
      <w:r>
        <w:rPr/>
        <w:drawing>
          <wp:anchor distT="0" distB="0" distL="0" distR="0" allowOverlap="1" layoutInCell="1" locked="0" behindDoc="0" simplePos="0" relativeHeight="37">
            <wp:simplePos x="0" y="0"/>
            <wp:positionH relativeFrom="page">
              <wp:posOffset>719327</wp:posOffset>
            </wp:positionH>
            <wp:positionV relativeFrom="paragraph">
              <wp:posOffset>190031</wp:posOffset>
            </wp:positionV>
            <wp:extent cx="1829282" cy="6095"/>
            <wp:effectExtent l="0" t="0" r="0" b="0"/>
            <wp:wrapTopAndBottom/>
            <wp:docPr id="45" name="image6.png"/>
            <wp:cNvGraphicFramePr>
              <a:graphicFrameLocks noChangeAspect="1"/>
            </wp:cNvGraphicFramePr>
            <a:graphic>
              <a:graphicData uri="http://schemas.openxmlformats.org/drawingml/2006/picture">
                <pic:pic>
                  <pic:nvPicPr>
                    <pic:cNvPr id="46" name="image6.png"/>
                    <pic:cNvPicPr/>
                  </pic:nvPicPr>
                  <pic:blipFill>
                    <a:blip r:embed="rId11" cstate="print"/>
                    <a:stretch>
                      <a:fillRect/>
                    </a:stretch>
                  </pic:blipFill>
                  <pic:spPr>
                    <a:xfrm>
                      <a:off x="0" y="0"/>
                      <a:ext cx="1829282" cy="6095"/>
                    </a:xfrm>
                    <a:prstGeom prst="rect">
                      <a:avLst/>
                    </a:prstGeom>
                  </pic:spPr>
                </pic:pic>
              </a:graphicData>
            </a:graphic>
          </wp:anchor>
        </w:drawing>
      </w:r>
    </w:p>
    <w:p>
      <w:pPr>
        <w:spacing w:line="348" w:lineRule="exact" w:before="43"/>
        <w:ind w:left="232" w:right="0" w:firstLine="0"/>
        <w:jc w:val="left"/>
        <w:rPr>
          <w:sz w:val="20"/>
        </w:rPr>
      </w:pPr>
      <w:r>
        <w:rPr>
          <w:rFonts w:ascii="微软雅黑" w:eastAsia="微软雅黑"/>
          <w:b/>
          <w:w w:val="95"/>
          <w:sz w:val="20"/>
          <w:vertAlign w:val="superscript"/>
        </w:rPr>
        <w:t>21</w:t>
      </w:r>
      <w:r>
        <w:rPr>
          <w:rFonts w:ascii="微软雅黑" w:eastAsia="微软雅黑"/>
          <w:b/>
          <w:spacing w:val="50"/>
          <w:sz w:val="20"/>
          <w:vertAlign w:val="baseline"/>
        </w:rPr>
        <w:t>  </w:t>
      </w:r>
      <w:r>
        <w:rPr>
          <w:rFonts w:ascii="微软雅黑" w:eastAsia="微软雅黑"/>
          <w:b/>
          <w:w w:val="95"/>
          <w:sz w:val="20"/>
          <w:vertAlign w:val="baseline"/>
        </w:rPr>
        <w:t>专</w:t>
      </w:r>
      <w:r>
        <w:rPr>
          <w:rFonts w:ascii="微软雅黑" w:eastAsia="微软雅黑"/>
          <w:b/>
          <w:w w:val="95"/>
          <w:sz w:val="20"/>
          <w:vertAlign w:val="baseline"/>
        </w:rPr>
        <w:t>科</w:t>
      </w:r>
      <w:r>
        <w:rPr>
          <w:rFonts w:ascii="微软雅黑" w:eastAsia="微软雅黑"/>
          <w:b/>
          <w:w w:val="95"/>
          <w:sz w:val="20"/>
          <w:vertAlign w:val="baseline"/>
        </w:rPr>
        <w:t>医生</w:t>
      </w:r>
      <w:r>
        <w:rPr>
          <w:w w:val="95"/>
          <w:sz w:val="20"/>
          <w:vertAlign w:val="baseline"/>
        </w:rPr>
        <w:t>应</w:t>
      </w:r>
      <w:r>
        <w:rPr>
          <w:w w:val="95"/>
          <w:sz w:val="20"/>
          <w:vertAlign w:val="baseline"/>
        </w:rPr>
        <w:t>当</w:t>
      </w:r>
      <w:r>
        <w:rPr>
          <w:w w:val="95"/>
          <w:sz w:val="20"/>
          <w:vertAlign w:val="baseline"/>
        </w:rPr>
        <w:t>同</w:t>
      </w:r>
      <w:r>
        <w:rPr>
          <w:w w:val="95"/>
          <w:sz w:val="20"/>
          <w:vertAlign w:val="baseline"/>
        </w:rPr>
        <w:t>时</w:t>
      </w:r>
      <w:r>
        <w:rPr>
          <w:w w:val="95"/>
          <w:sz w:val="20"/>
          <w:vertAlign w:val="baseline"/>
        </w:rPr>
        <w:t>满足以</w:t>
      </w:r>
      <w:r>
        <w:rPr>
          <w:w w:val="95"/>
          <w:sz w:val="20"/>
          <w:vertAlign w:val="baseline"/>
        </w:rPr>
        <w:t>下</w:t>
      </w:r>
      <w:r>
        <w:rPr>
          <w:w w:val="95"/>
          <w:sz w:val="20"/>
          <w:vertAlign w:val="baseline"/>
        </w:rPr>
        <w:t>四</w:t>
      </w:r>
      <w:r>
        <w:rPr>
          <w:w w:val="95"/>
          <w:sz w:val="20"/>
          <w:vertAlign w:val="baseline"/>
        </w:rPr>
        <w:t>项</w:t>
      </w:r>
      <w:r>
        <w:rPr>
          <w:w w:val="95"/>
          <w:sz w:val="20"/>
          <w:vertAlign w:val="baseline"/>
        </w:rPr>
        <w:t>资</w:t>
      </w:r>
      <w:r>
        <w:rPr>
          <w:w w:val="95"/>
          <w:sz w:val="20"/>
          <w:vertAlign w:val="baseline"/>
        </w:rPr>
        <w:t>格</w:t>
      </w:r>
      <w:r>
        <w:rPr>
          <w:w w:val="95"/>
          <w:sz w:val="20"/>
          <w:vertAlign w:val="baseline"/>
        </w:rPr>
        <w:t>条</w:t>
      </w:r>
      <w:r>
        <w:rPr>
          <w:spacing w:val="-5"/>
          <w:w w:val="95"/>
          <w:sz w:val="20"/>
          <w:vertAlign w:val="baseline"/>
        </w:rPr>
        <w:t>件：</w:t>
      </w:r>
    </w:p>
    <w:p>
      <w:pPr>
        <w:pStyle w:val="ListParagraph"/>
        <w:numPr>
          <w:ilvl w:val="0"/>
          <w:numId w:val="29"/>
        </w:numPr>
        <w:tabs>
          <w:tab w:pos="734" w:val="left" w:leader="none"/>
        </w:tabs>
        <w:spacing w:line="236" w:lineRule="exact" w:before="0" w:after="0"/>
        <w:ind w:left="733" w:right="0" w:hanging="502"/>
        <w:jc w:val="left"/>
        <w:rPr>
          <w:sz w:val="20"/>
        </w:rPr>
      </w:pPr>
      <w:r>
        <w:rPr>
          <w:w w:val="95"/>
          <w:sz w:val="20"/>
        </w:rPr>
        <w:t>具</w:t>
      </w:r>
      <w:r>
        <w:rPr>
          <w:w w:val="95"/>
          <w:sz w:val="20"/>
        </w:rPr>
        <w:t>有</w:t>
      </w:r>
      <w:r>
        <w:rPr>
          <w:w w:val="95"/>
          <w:sz w:val="20"/>
        </w:rPr>
        <w:t>有</w:t>
      </w:r>
      <w:r>
        <w:rPr>
          <w:w w:val="95"/>
          <w:sz w:val="20"/>
        </w:rPr>
        <w:t>效</w:t>
      </w:r>
      <w:r>
        <w:rPr>
          <w:w w:val="95"/>
          <w:sz w:val="20"/>
        </w:rPr>
        <w:t>的</w:t>
      </w:r>
      <w:r>
        <w:rPr>
          <w:w w:val="95"/>
          <w:sz w:val="20"/>
        </w:rPr>
        <w:t>中</w:t>
      </w:r>
      <w:r>
        <w:rPr>
          <w:w w:val="95"/>
          <w:sz w:val="20"/>
        </w:rPr>
        <w:t>华</w:t>
      </w:r>
      <w:r>
        <w:rPr>
          <w:w w:val="95"/>
          <w:sz w:val="20"/>
        </w:rPr>
        <w:t>人</w:t>
      </w:r>
      <w:r>
        <w:rPr>
          <w:w w:val="95"/>
          <w:sz w:val="20"/>
        </w:rPr>
        <w:t>民</w:t>
      </w:r>
      <w:r>
        <w:rPr>
          <w:w w:val="95"/>
          <w:sz w:val="20"/>
        </w:rPr>
        <w:t>共</w:t>
      </w:r>
      <w:r>
        <w:rPr>
          <w:w w:val="95"/>
          <w:sz w:val="20"/>
        </w:rPr>
        <w:t>和</w:t>
      </w:r>
      <w:r>
        <w:rPr>
          <w:w w:val="95"/>
          <w:sz w:val="20"/>
        </w:rPr>
        <w:t>国</w:t>
      </w:r>
      <w:r>
        <w:rPr>
          <w:w w:val="95"/>
          <w:sz w:val="20"/>
        </w:rPr>
        <w:t>《</w:t>
      </w:r>
      <w:r>
        <w:rPr>
          <w:w w:val="95"/>
          <w:sz w:val="20"/>
        </w:rPr>
        <w:t>医</w:t>
      </w:r>
      <w:r>
        <w:rPr>
          <w:w w:val="95"/>
          <w:sz w:val="20"/>
        </w:rPr>
        <w:t>师</w:t>
      </w:r>
      <w:r>
        <w:rPr>
          <w:w w:val="95"/>
          <w:sz w:val="20"/>
        </w:rPr>
        <w:t>资</w:t>
      </w:r>
      <w:r>
        <w:rPr>
          <w:w w:val="95"/>
          <w:sz w:val="20"/>
        </w:rPr>
        <w:t>格</w:t>
      </w:r>
      <w:r>
        <w:rPr>
          <w:w w:val="95"/>
          <w:sz w:val="20"/>
        </w:rPr>
        <w:t>证</w:t>
      </w:r>
      <w:r>
        <w:rPr>
          <w:spacing w:val="-38"/>
          <w:w w:val="95"/>
          <w:sz w:val="20"/>
        </w:rPr>
        <w:t>书》；</w:t>
      </w:r>
    </w:p>
    <w:p>
      <w:pPr>
        <w:pStyle w:val="ListParagraph"/>
        <w:numPr>
          <w:ilvl w:val="0"/>
          <w:numId w:val="29"/>
        </w:numPr>
        <w:tabs>
          <w:tab w:pos="734" w:val="left" w:leader="none"/>
        </w:tabs>
        <w:spacing w:line="240" w:lineRule="auto" w:before="3" w:after="0"/>
        <w:ind w:left="733" w:right="0" w:hanging="502"/>
        <w:jc w:val="left"/>
        <w:rPr>
          <w:sz w:val="20"/>
        </w:rPr>
      </w:pPr>
      <w:r>
        <w:rPr>
          <w:w w:val="95"/>
          <w:sz w:val="20"/>
        </w:rPr>
        <w:t>具</w:t>
      </w:r>
      <w:r>
        <w:rPr>
          <w:w w:val="95"/>
          <w:sz w:val="20"/>
        </w:rPr>
        <w:t>有</w:t>
      </w:r>
      <w:r>
        <w:rPr>
          <w:w w:val="95"/>
          <w:sz w:val="20"/>
        </w:rPr>
        <w:t>有</w:t>
      </w:r>
      <w:r>
        <w:rPr>
          <w:w w:val="95"/>
          <w:sz w:val="20"/>
        </w:rPr>
        <w:t>效</w:t>
      </w:r>
      <w:r>
        <w:rPr>
          <w:w w:val="95"/>
          <w:sz w:val="20"/>
        </w:rPr>
        <w:t>的</w:t>
      </w:r>
      <w:r>
        <w:rPr>
          <w:w w:val="95"/>
          <w:sz w:val="20"/>
        </w:rPr>
        <w:t>中</w:t>
      </w:r>
      <w:r>
        <w:rPr>
          <w:w w:val="95"/>
          <w:sz w:val="20"/>
        </w:rPr>
        <w:t>华</w:t>
      </w:r>
      <w:r>
        <w:rPr>
          <w:w w:val="95"/>
          <w:sz w:val="20"/>
        </w:rPr>
        <w:t>人</w:t>
      </w:r>
      <w:r>
        <w:rPr>
          <w:w w:val="95"/>
          <w:sz w:val="20"/>
        </w:rPr>
        <w:t>民</w:t>
      </w:r>
      <w:r>
        <w:rPr>
          <w:w w:val="95"/>
          <w:sz w:val="20"/>
        </w:rPr>
        <w:t>共</w:t>
      </w:r>
      <w:r>
        <w:rPr>
          <w:w w:val="95"/>
          <w:sz w:val="20"/>
        </w:rPr>
        <w:t>和</w:t>
      </w:r>
      <w:r>
        <w:rPr>
          <w:w w:val="95"/>
          <w:sz w:val="20"/>
        </w:rPr>
        <w:t>国</w:t>
      </w:r>
      <w:r>
        <w:rPr>
          <w:w w:val="95"/>
          <w:sz w:val="20"/>
        </w:rPr>
        <w:t>《</w:t>
      </w:r>
      <w:r>
        <w:rPr>
          <w:w w:val="95"/>
          <w:sz w:val="20"/>
        </w:rPr>
        <w:t>医</w:t>
      </w:r>
      <w:r>
        <w:rPr>
          <w:w w:val="95"/>
          <w:sz w:val="20"/>
        </w:rPr>
        <w:t>师</w:t>
      </w:r>
      <w:r>
        <w:rPr>
          <w:w w:val="95"/>
          <w:sz w:val="20"/>
        </w:rPr>
        <w:t>执</w:t>
      </w:r>
      <w:r>
        <w:rPr>
          <w:w w:val="95"/>
          <w:sz w:val="20"/>
        </w:rPr>
        <w:t>业</w:t>
      </w:r>
      <w:r>
        <w:rPr>
          <w:w w:val="95"/>
          <w:sz w:val="20"/>
        </w:rPr>
        <w:t>证</w:t>
      </w:r>
      <w:r>
        <w:rPr>
          <w:spacing w:val="-34"/>
          <w:w w:val="95"/>
          <w:sz w:val="20"/>
        </w:rPr>
        <w:t>书》，</w:t>
      </w:r>
      <w:r>
        <w:rPr>
          <w:w w:val="95"/>
          <w:sz w:val="20"/>
        </w:rPr>
        <w:t>并</w:t>
      </w:r>
      <w:r>
        <w:rPr>
          <w:w w:val="95"/>
          <w:sz w:val="20"/>
        </w:rPr>
        <w:t>按</w:t>
      </w:r>
      <w:r>
        <w:rPr>
          <w:w w:val="95"/>
          <w:sz w:val="20"/>
        </w:rPr>
        <w:t>期</w:t>
      </w:r>
      <w:r>
        <w:rPr>
          <w:w w:val="95"/>
          <w:sz w:val="20"/>
        </w:rPr>
        <w:t>到</w:t>
      </w:r>
      <w:r>
        <w:rPr>
          <w:w w:val="95"/>
          <w:sz w:val="20"/>
        </w:rPr>
        <w:t>相</w:t>
      </w:r>
      <w:r>
        <w:rPr>
          <w:w w:val="95"/>
          <w:sz w:val="20"/>
        </w:rPr>
        <w:t>关</w:t>
      </w:r>
      <w:r>
        <w:rPr>
          <w:w w:val="95"/>
          <w:sz w:val="20"/>
        </w:rPr>
        <w:t>部</w:t>
      </w:r>
      <w:r>
        <w:rPr>
          <w:w w:val="95"/>
          <w:sz w:val="20"/>
        </w:rPr>
        <w:t>门</w:t>
      </w:r>
      <w:r>
        <w:rPr>
          <w:w w:val="95"/>
          <w:sz w:val="20"/>
        </w:rPr>
        <w:t>登</w:t>
      </w:r>
      <w:r>
        <w:rPr>
          <w:spacing w:val="-3"/>
          <w:w w:val="95"/>
          <w:sz w:val="20"/>
        </w:rPr>
        <w:t>记注册；</w:t>
      </w:r>
    </w:p>
    <w:p>
      <w:pPr>
        <w:pStyle w:val="ListParagraph"/>
        <w:numPr>
          <w:ilvl w:val="0"/>
          <w:numId w:val="29"/>
        </w:numPr>
        <w:tabs>
          <w:tab w:pos="734" w:val="left" w:leader="none"/>
        </w:tabs>
        <w:spacing w:line="240" w:lineRule="auto" w:before="3" w:after="0"/>
        <w:ind w:left="733" w:right="0" w:hanging="502"/>
        <w:jc w:val="left"/>
        <w:rPr>
          <w:sz w:val="20"/>
        </w:rPr>
      </w:pPr>
      <w:r>
        <w:rPr>
          <w:w w:val="95"/>
          <w:sz w:val="20"/>
        </w:rPr>
        <w:t>具</w:t>
      </w:r>
      <w:r>
        <w:rPr>
          <w:w w:val="95"/>
          <w:sz w:val="20"/>
        </w:rPr>
        <w:t>有</w:t>
      </w:r>
      <w:r>
        <w:rPr>
          <w:w w:val="95"/>
          <w:sz w:val="20"/>
        </w:rPr>
        <w:t>有</w:t>
      </w:r>
      <w:r>
        <w:rPr>
          <w:w w:val="95"/>
          <w:sz w:val="20"/>
        </w:rPr>
        <w:t>效</w:t>
      </w:r>
      <w:r>
        <w:rPr>
          <w:w w:val="95"/>
          <w:sz w:val="20"/>
        </w:rPr>
        <w:t>的</w:t>
      </w:r>
      <w:r>
        <w:rPr>
          <w:w w:val="95"/>
          <w:sz w:val="20"/>
        </w:rPr>
        <w:t>中</w:t>
      </w:r>
      <w:r>
        <w:rPr>
          <w:w w:val="95"/>
          <w:sz w:val="20"/>
        </w:rPr>
        <w:t>华</w:t>
      </w:r>
      <w:r>
        <w:rPr>
          <w:w w:val="95"/>
          <w:sz w:val="20"/>
        </w:rPr>
        <w:t>人</w:t>
      </w:r>
      <w:r>
        <w:rPr>
          <w:w w:val="95"/>
          <w:sz w:val="20"/>
        </w:rPr>
        <w:t>民</w:t>
      </w:r>
      <w:r>
        <w:rPr>
          <w:w w:val="95"/>
          <w:sz w:val="20"/>
        </w:rPr>
        <w:t>共</w:t>
      </w:r>
      <w:r>
        <w:rPr>
          <w:w w:val="95"/>
          <w:sz w:val="20"/>
        </w:rPr>
        <w:t>和</w:t>
      </w:r>
      <w:r>
        <w:rPr>
          <w:w w:val="95"/>
          <w:sz w:val="20"/>
        </w:rPr>
        <w:t>国</w:t>
      </w:r>
      <w:r>
        <w:rPr>
          <w:w w:val="95"/>
          <w:sz w:val="20"/>
        </w:rPr>
        <w:t>主</w:t>
      </w:r>
      <w:r>
        <w:rPr>
          <w:w w:val="95"/>
          <w:sz w:val="20"/>
        </w:rPr>
        <w:t>治</w:t>
      </w:r>
      <w:r>
        <w:rPr>
          <w:w w:val="95"/>
          <w:sz w:val="20"/>
        </w:rPr>
        <w:t>医</w:t>
      </w:r>
      <w:r>
        <w:rPr>
          <w:w w:val="95"/>
          <w:sz w:val="20"/>
        </w:rPr>
        <w:t>师</w:t>
      </w:r>
      <w:r>
        <w:rPr>
          <w:w w:val="95"/>
          <w:sz w:val="20"/>
        </w:rPr>
        <w:t>或</w:t>
      </w:r>
      <w:r>
        <w:rPr>
          <w:w w:val="95"/>
          <w:sz w:val="20"/>
        </w:rPr>
        <w:t>主</w:t>
      </w:r>
      <w:r>
        <w:rPr>
          <w:w w:val="95"/>
          <w:sz w:val="20"/>
        </w:rPr>
        <w:t>治医师</w:t>
      </w:r>
      <w:r>
        <w:rPr>
          <w:w w:val="95"/>
          <w:sz w:val="20"/>
        </w:rPr>
        <w:t>以</w:t>
      </w:r>
      <w:r>
        <w:rPr>
          <w:w w:val="95"/>
          <w:sz w:val="20"/>
        </w:rPr>
        <w:t>上</w:t>
      </w:r>
      <w:r>
        <w:rPr>
          <w:w w:val="95"/>
          <w:sz w:val="20"/>
        </w:rPr>
        <w:t>职</w:t>
      </w:r>
      <w:r>
        <w:rPr>
          <w:w w:val="95"/>
          <w:sz w:val="20"/>
        </w:rPr>
        <w:t>称</w:t>
      </w:r>
      <w:r>
        <w:rPr>
          <w:w w:val="95"/>
          <w:sz w:val="20"/>
        </w:rPr>
        <w:t>的</w:t>
      </w:r>
      <w:r>
        <w:rPr>
          <w:w w:val="95"/>
          <w:sz w:val="20"/>
        </w:rPr>
        <w:t>《</w:t>
      </w:r>
      <w:r>
        <w:rPr>
          <w:w w:val="95"/>
          <w:sz w:val="20"/>
        </w:rPr>
        <w:t>医</w:t>
      </w:r>
      <w:r>
        <w:rPr>
          <w:w w:val="95"/>
          <w:sz w:val="20"/>
        </w:rPr>
        <w:t>师</w:t>
      </w:r>
      <w:r>
        <w:rPr>
          <w:w w:val="95"/>
          <w:sz w:val="20"/>
        </w:rPr>
        <w:t>职</w:t>
      </w:r>
      <w:r>
        <w:rPr>
          <w:spacing w:val="-23"/>
          <w:w w:val="95"/>
          <w:sz w:val="20"/>
        </w:rPr>
        <w:t>称证书》；</w:t>
      </w:r>
    </w:p>
    <w:p>
      <w:pPr>
        <w:pStyle w:val="ListParagraph"/>
        <w:numPr>
          <w:ilvl w:val="0"/>
          <w:numId w:val="29"/>
        </w:numPr>
        <w:tabs>
          <w:tab w:pos="734" w:val="left" w:leader="none"/>
        </w:tabs>
        <w:spacing w:line="240" w:lineRule="auto" w:before="3" w:after="0"/>
        <w:ind w:left="733" w:right="0" w:hanging="502"/>
        <w:jc w:val="left"/>
        <w:rPr>
          <w:sz w:val="20"/>
        </w:rPr>
      </w:pPr>
      <w:r>
        <w:rPr>
          <w:w w:val="95"/>
          <w:sz w:val="20"/>
        </w:rPr>
        <w:t>在</w:t>
      </w:r>
      <w:r>
        <w:rPr>
          <w:w w:val="95"/>
          <w:sz w:val="20"/>
        </w:rPr>
        <w:t>国</w:t>
      </w:r>
      <w:r>
        <w:rPr>
          <w:w w:val="95"/>
          <w:sz w:val="20"/>
        </w:rPr>
        <w:t>家</w:t>
      </w:r>
      <w:r>
        <w:rPr>
          <w:w w:val="95"/>
          <w:sz w:val="20"/>
        </w:rPr>
        <w:t>《</w:t>
      </w:r>
      <w:r>
        <w:rPr>
          <w:w w:val="95"/>
          <w:sz w:val="20"/>
        </w:rPr>
        <w:t>医</w:t>
      </w:r>
      <w:r>
        <w:rPr>
          <w:w w:val="95"/>
          <w:sz w:val="20"/>
        </w:rPr>
        <w:t>院</w:t>
      </w:r>
      <w:r>
        <w:rPr>
          <w:w w:val="95"/>
          <w:sz w:val="20"/>
        </w:rPr>
        <w:t>分</w:t>
      </w:r>
      <w:r>
        <w:rPr>
          <w:w w:val="95"/>
          <w:sz w:val="20"/>
        </w:rPr>
        <w:t>级</w:t>
      </w:r>
      <w:r>
        <w:rPr>
          <w:w w:val="95"/>
          <w:sz w:val="20"/>
        </w:rPr>
        <w:t>管</w:t>
      </w:r>
      <w:r>
        <w:rPr>
          <w:w w:val="95"/>
          <w:sz w:val="20"/>
        </w:rPr>
        <w:t>理</w:t>
      </w:r>
      <w:r>
        <w:rPr>
          <w:w w:val="95"/>
          <w:sz w:val="20"/>
        </w:rPr>
        <w:t>标</w:t>
      </w:r>
      <w:r>
        <w:rPr>
          <w:w w:val="95"/>
          <w:sz w:val="20"/>
        </w:rPr>
        <w:t>准</w:t>
      </w:r>
      <w:r>
        <w:rPr>
          <w:w w:val="95"/>
          <w:sz w:val="20"/>
        </w:rPr>
        <w:t>》</w:t>
      </w:r>
      <w:r>
        <w:rPr>
          <w:w w:val="95"/>
          <w:sz w:val="20"/>
        </w:rPr>
        <w:t>二</w:t>
      </w:r>
      <w:r>
        <w:rPr>
          <w:w w:val="95"/>
          <w:sz w:val="20"/>
        </w:rPr>
        <w:t>级</w:t>
      </w:r>
      <w:r>
        <w:rPr>
          <w:w w:val="95"/>
          <w:sz w:val="20"/>
        </w:rPr>
        <w:t>或</w:t>
      </w:r>
      <w:r>
        <w:rPr>
          <w:w w:val="95"/>
          <w:sz w:val="20"/>
        </w:rPr>
        <w:t>二</w:t>
      </w:r>
      <w:r>
        <w:rPr>
          <w:w w:val="95"/>
          <w:sz w:val="20"/>
        </w:rPr>
        <w:t>级</w:t>
      </w:r>
      <w:r>
        <w:rPr>
          <w:w w:val="95"/>
          <w:sz w:val="20"/>
        </w:rPr>
        <w:t>以上医</w:t>
      </w:r>
      <w:r>
        <w:rPr>
          <w:w w:val="95"/>
          <w:sz w:val="20"/>
        </w:rPr>
        <w:t>院</w:t>
      </w:r>
      <w:r>
        <w:rPr>
          <w:w w:val="95"/>
          <w:sz w:val="20"/>
        </w:rPr>
        <w:t>的</w:t>
      </w:r>
      <w:r>
        <w:rPr>
          <w:w w:val="95"/>
          <w:sz w:val="20"/>
        </w:rPr>
        <w:t>相</w:t>
      </w:r>
      <w:r>
        <w:rPr>
          <w:w w:val="95"/>
          <w:sz w:val="20"/>
        </w:rPr>
        <w:t>应</w:t>
      </w:r>
      <w:r>
        <w:rPr>
          <w:w w:val="95"/>
          <w:sz w:val="20"/>
        </w:rPr>
        <w:t>科</w:t>
      </w:r>
      <w:r>
        <w:rPr>
          <w:w w:val="95"/>
          <w:sz w:val="20"/>
        </w:rPr>
        <w:t>室</w:t>
      </w:r>
      <w:r>
        <w:rPr>
          <w:w w:val="95"/>
          <w:sz w:val="20"/>
        </w:rPr>
        <w:t>从</w:t>
      </w:r>
      <w:r>
        <w:rPr>
          <w:w w:val="95"/>
          <w:sz w:val="20"/>
        </w:rPr>
        <w:t>事</w:t>
      </w:r>
      <w:r>
        <w:rPr>
          <w:w w:val="95"/>
          <w:sz w:val="20"/>
        </w:rPr>
        <w:t>临</w:t>
      </w:r>
      <w:r>
        <w:rPr>
          <w:w w:val="95"/>
          <w:sz w:val="20"/>
        </w:rPr>
        <w:t>床工作</w:t>
      </w:r>
      <w:r>
        <w:rPr>
          <w:w w:val="95"/>
          <w:sz w:val="20"/>
        </w:rPr>
        <w:t>三</w:t>
      </w:r>
      <w:r>
        <w:rPr>
          <w:w w:val="95"/>
          <w:sz w:val="20"/>
        </w:rPr>
        <w:t>年</w:t>
      </w:r>
      <w:r>
        <w:rPr>
          <w:w w:val="95"/>
          <w:sz w:val="20"/>
        </w:rPr>
        <w:t>以</w:t>
      </w:r>
      <w:r>
        <w:rPr>
          <w:spacing w:val="-5"/>
          <w:w w:val="95"/>
          <w:sz w:val="20"/>
        </w:rPr>
        <w:t>上。</w:t>
      </w:r>
    </w:p>
    <w:p>
      <w:pPr>
        <w:spacing w:after="0" w:line="240" w:lineRule="auto"/>
        <w:jc w:val="left"/>
        <w:rPr>
          <w:sz w:val="20"/>
        </w:rPr>
        <w:sectPr>
          <w:type w:val="continuous"/>
          <w:pgSz w:w="11910" w:h="16840"/>
          <w:pgMar w:header="566" w:footer="664" w:top="1340" w:bottom="860" w:left="900" w:right="720"/>
        </w:sectPr>
      </w:pPr>
    </w:p>
    <w:p>
      <w:pPr>
        <w:pStyle w:val="BodyText"/>
        <w:spacing w:before="5"/>
        <w:rPr>
          <w:sz w:val="14"/>
        </w:rPr>
      </w:pPr>
    </w:p>
    <w:p>
      <w:pPr>
        <w:spacing w:after="0"/>
        <w:rPr>
          <w:sz w:val="14"/>
        </w:rPr>
        <w:sectPr>
          <w:headerReference w:type="default" r:id="rId23"/>
          <w:footerReference w:type="default" r:id="rId24"/>
          <w:pgSz w:w="11910" w:h="16840"/>
          <w:pgMar w:header="566" w:footer="664" w:top="1340" w:bottom="860" w:left="900" w:right="720"/>
          <w:pgNumType w:start="2"/>
        </w:sectPr>
      </w:pPr>
    </w:p>
    <w:p>
      <w:pPr>
        <w:pStyle w:val="ListParagraph"/>
        <w:numPr>
          <w:ilvl w:val="2"/>
          <w:numId w:val="28"/>
        </w:numPr>
        <w:tabs>
          <w:tab w:pos="1190" w:val="left" w:leader="none"/>
          <w:tab w:pos="1191" w:val="left" w:leader="none"/>
        </w:tabs>
        <w:spacing w:line="350" w:lineRule="exact" w:before="4" w:after="0"/>
        <w:ind w:left="1190" w:right="0" w:hanging="959"/>
        <w:jc w:val="left"/>
        <w:rPr>
          <w:rFonts w:ascii="微软雅黑" w:hAnsi="微软雅黑" w:eastAsia="微软雅黑"/>
          <w:b/>
          <w:sz w:val="21"/>
        </w:rPr>
      </w:pP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spacing w:val="-4"/>
          <w:w w:val="95"/>
          <w:sz w:val="21"/>
        </w:rPr>
        <w:t>——重</w:t>
      </w:r>
    </w:p>
    <w:p>
      <w:pPr>
        <w:spacing w:line="350" w:lineRule="exact" w:before="0"/>
        <w:ind w:left="1190" w:right="0" w:firstLine="0"/>
        <w:jc w:val="left"/>
        <w:rPr>
          <w:rFonts w:ascii="微软雅黑" w:eastAsia="微软雅黑"/>
          <w:b/>
          <w:sz w:val="21"/>
        </w:rPr>
      </w:pPr>
      <w:r>
        <w:rPr>
          <w:rFonts w:ascii="微软雅黑" w:eastAsia="微软雅黑"/>
          <w:b/>
          <w:w w:val="100"/>
          <w:sz w:val="21"/>
        </w:rPr>
        <w:t>度</w:t>
      </w:r>
    </w:p>
    <w:p>
      <w:pPr>
        <w:pStyle w:val="BodyText"/>
        <w:spacing w:line="223" w:lineRule="auto" w:before="86"/>
        <w:ind w:left="232" w:right="406"/>
        <w:rPr>
          <w:rFonts w:ascii="微软雅黑" w:eastAsia="微软雅黑"/>
          <w:b/>
          <w:sz w:val="11"/>
        </w:rPr>
      </w:pPr>
      <w:r>
        <w:rPr/>
        <w:br w:type="column"/>
      </w:r>
      <w:r>
        <w:rPr>
          <w:spacing w:val="-4"/>
        </w:rPr>
        <w:t>指恶性细胞不受控制的进行性增长和扩散，浸润和破坏周围正常组织，可以</w:t>
      </w:r>
      <w:r>
        <w:rPr>
          <w:spacing w:val="-2"/>
        </w:rPr>
        <w:t>经血管、淋巴管和体腔扩散转移到身体其他部位，病灶经</w:t>
      </w:r>
      <w:r>
        <w:rPr>
          <w:rFonts w:ascii="微软雅黑" w:eastAsia="微软雅黑"/>
          <w:b/>
          <w:spacing w:val="-2"/>
        </w:rPr>
        <w:t>组织病理学检查</w:t>
      </w:r>
      <w:r>
        <w:rPr>
          <w:rFonts w:ascii="微软雅黑" w:eastAsia="微软雅黑"/>
          <w:b/>
          <w:spacing w:val="-5"/>
          <w:position w:val="11"/>
          <w:sz w:val="11"/>
        </w:rPr>
        <w:t>22</w:t>
      </w:r>
    </w:p>
    <w:p>
      <w:pPr>
        <w:spacing w:line="201" w:lineRule="auto" w:before="33"/>
        <w:ind w:left="232" w:right="300" w:firstLine="0"/>
        <w:jc w:val="left"/>
        <w:rPr>
          <w:sz w:val="21"/>
        </w:rPr>
      </w:pPr>
      <w:r>
        <w:rPr/>
        <w:drawing>
          <wp:anchor distT="0" distB="0" distL="0" distR="0" allowOverlap="1" layoutInCell="1" locked="0" behindDoc="1" simplePos="0" relativeHeight="484198912">
            <wp:simplePos x="0" y="0"/>
            <wp:positionH relativeFrom="page">
              <wp:posOffset>2499995</wp:posOffset>
            </wp:positionH>
            <wp:positionV relativeFrom="paragraph">
              <wp:posOffset>983360</wp:posOffset>
            </wp:positionV>
            <wp:extent cx="4340986" cy="182879"/>
            <wp:effectExtent l="0" t="0" r="0" b="0"/>
            <wp:wrapNone/>
            <wp:docPr id="49" name="image14.png"/>
            <wp:cNvGraphicFramePr>
              <a:graphicFrameLocks noChangeAspect="1"/>
            </wp:cNvGraphicFramePr>
            <a:graphic>
              <a:graphicData uri="http://schemas.openxmlformats.org/drawingml/2006/picture">
                <pic:pic>
                  <pic:nvPicPr>
                    <pic:cNvPr id="50" name="image14.png"/>
                    <pic:cNvPicPr/>
                  </pic:nvPicPr>
                  <pic:blipFill>
                    <a:blip r:embed="rId25" cstate="print"/>
                    <a:stretch>
                      <a:fillRect/>
                    </a:stretch>
                  </pic:blipFill>
                  <pic:spPr>
                    <a:xfrm>
                      <a:off x="0" y="0"/>
                      <a:ext cx="4340986" cy="182879"/>
                    </a:xfrm>
                    <a:prstGeom prst="rect">
                      <a:avLst/>
                    </a:prstGeom>
                  </pic:spPr>
                </pic:pic>
              </a:graphicData>
            </a:graphic>
          </wp:anchor>
        </w:drawing>
      </w:r>
      <w:r>
        <w:rPr/>
        <w:pict>
          <v:shape style="position:absolute;margin-left:196.850006pt;margin-top:77.429993pt;width:347.3pt;height:14.4pt;mso-position-horizontal-relative:page;mso-position-vertical-relative:paragraph;z-index:-19117056" type="#_x0000_t202" id="docshape34" filled="false" stroked="false">
            <v:textbox inset="0,0,0,0">
              <w:txbxContent>
                <w:p>
                  <w:pPr>
                    <w:spacing w:line="288" w:lineRule="exact" w:before="0"/>
                    <w:ind w:left="0" w:right="0" w:firstLine="0"/>
                    <w:jc w:val="left"/>
                    <w:rPr>
                      <w:rFonts w:ascii="微软雅黑" w:eastAsia="微软雅黑"/>
                      <w:b/>
                      <w:sz w:val="22"/>
                    </w:rPr>
                  </w:pPr>
                  <w:r>
                    <w:rPr>
                      <w:rFonts w:ascii="微软雅黑" w:eastAsia="微软雅黑"/>
                      <w:b/>
                      <w:w w:val="95"/>
                      <w:sz w:val="22"/>
                    </w:rPr>
                    <w:t>（1）ICD-0-3肿</w:t>
                  </w:r>
                  <w:r>
                    <w:rPr>
                      <w:rFonts w:ascii="微软雅黑" w:eastAsia="微软雅黑"/>
                      <w:b/>
                      <w:w w:val="95"/>
                      <w:sz w:val="22"/>
                    </w:rPr>
                    <w:t>瘤</w:t>
                  </w:r>
                  <w:r>
                    <w:rPr>
                      <w:rFonts w:ascii="微软雅黑" w:eastAsia="微软雅黑"/>
                      <w:b/>
                      <w:w w:val="95"/>
                      <w:sz w:val="22"/>
                    </w:rPr>
                    <w:t>形</w:t>
                  </w:r>
                  <w:r>
                    <w:rPr>
                      <w:rFonts w:ascii="微软雅黑" w:eastAsia="微软雅黑"/>
                      <w:b/>
                      <w:w w:val="95"/>
                      <w:sz w:val="22"/>
                    </w:rPr>
                    <w:t>态</w:t>
                  </w:r>
                  <w:r>
                    <w:rPr>
                      <w:rFonts w:ascii="微软雅黑" w:eastAsia="微软雅黑"/>
                      <w:b/>
                      <w:w w:val="95"/>
                      <w:sz w:val="22"/>
                    </w:rPr>
                    <w:t>学</w:t>
                  </w:r>
                  <w:r>
                    <w:rPr>
                      <w:rFonts w:ascii="微软雅黑" w:eastAsia="微软雅黑"/>
                      <w:b/>
                      <w:w w:val="95"/>
                      <w:sz w:val="22"/>
                    </w:rPr>
                    <w:t>编</w:t>
                  </w:r>
                  <w:r>
                    <w:rPr>
                      <w:rFonts w:ascii="微软雅黑" w:eastAsia="微软雅黑"/>
                      <w:b/>
                      <w:w w:val="95"/>
                      <w:sz w:val="22"/>
                    </w:rPr>
                    <w:t>码</w:t>
                  </w:r>
                  <w:r>
                    <w:rPr>
                      <w:rFonts w:ascii="微软雅黑" w:eastAsia="微软雅黑"/>
                      <w:b/>
                      <w:w w:val="95"/>
                      <w:sz w:val="22"/>
                    </w:rPr>
                    <w:t>属</w:t>
                  </w:r>
                  <w:r>
                    <w:rPr>
                      <w:rFonts w:ascii="微软雅黑" w:eastAsia="微软雅黑"/>
                      <w:b/>
                      <w:w w:val="95"/>
                      <w:sz w:val="22"/>
                    </w:rPr>
                    <w:t>于</w:t>
                  </w:r>
                  <w:r>
                    <w:rPr>
                      <w:rFonts w:ascii="微软雅黑" w:eastAsia="微软雅黑"/>
                      <w:b/>
                      <w:w w:val="95"/>
                      <w:sz w:val="22"/>
                    </w:rPr>
                    <w:t>0（</w:t>
                  </w:r>
                  <w:r>
                    <w:rPr>
                      <w:rFonts w:ascii="微软雅黑" w:eastAsia="微软雅黑"/>
                      <w:b/>
                      <w:w w:val="95"/>
                      <w:sz w:val="22"/>
                    </w:rPr>
                    <w:t>良</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11"/>
                      <w:w w:val="95"/>
                      <w:sz w:val="22"/>
                    </w:rPr>
                    <w:t>）</w:t>
                  </w:r>
                  <w:r>
                    <w:rPr>
                      <w:rFonts w:ascii="微软雅黑" w:eastAsia="微软雅黑"/>
                      <w:b/>
                      <w:w w:val="95"/>
                      <w:sz w:val="22"/>
                    </w:rPr>
                    <w:t>、1（</w:t>
                  </w:r>
                  <w:r>
                    <w:rPr>
                      <w:rFonts w:ascii="微软雅黑" w:eastAsia="微软雅黑"/>
                      <w:b/>
                      <w:w w:val="95"/>
                      <w:sz w:val="22"/>
                    </w:rPr>
                    <w:t>动</w:t>
                  </w:r>
                  <w:r>
                    <w:rPr>
                      <w:rFonts w:ascii="微软雅黑" w:eastAsia="微软雅黑"/>
                      <w:b/>
                      <w:w w:val="95"/>
                      <w:sz w:val="22"/>
                    </w:rPr>
                    <w:t>态</w:t>
                  </w:r>
                  <w:r>
                    <w:rPr>
                      <w:rFonts w:ascii="微软雅黑" w:eastAsia="微软雅黑"/>
                      <w:b/>
                      <w:w w:val="95"/>
                      <w:sz w:val="22"/>
                    </w:rPr>
                    <w:t>未</w:t>
                  </w:r>
                  <w:r>
                    <w:rPr>
                      <w:rFonts w:ascii="微软雅黑" w:eastAsia="微软雅黑"/>
                      <w:b/>
                      <w:w w:val="95"/>
                      <w:sz w:val="22"/>
                    </w:rPr>
                    <w:t>定</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11"/>
                      <w:w w:val="95"/>
                      <w:sz w:val="22"/>
                    </w:rPr>
                    <w:t>）</w:t>
                  </w:r>
                  <w:r>
                    <w:rPr>
                      <w:rFonts w:ascii="微软雅黑" w:eastAsia="微软雅黑"/>
                      <w:b/>
                      <w:spacing w:val="-10"/>
                      <w:w w:val="95"/>
                      <w:sz w:val="22"/>
                    </w:rPr>
                    <w:t>、</w:t>
                  </w:r>
                </w:p>
              </w:txbxContent>
            </v:textbox>
            <w10:wrap type="none"/>
          </v:shape>
        </w:pict>
      </w:r>
      <w:r>
        <w:rPr/>
        <w:pict>
          <v:shape style="position:absolute;margin-left:196.850006pt;margin-top:93.029999pt;width:215.45pt;height:14.4pt;mso-position-horizontal-relative:page;mso-position-vertical-relative:paragraph;z-index:-19116544" type="#_x0000_t202" id="docshape35" filled="true" fillcolor="#d9d9d9"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2（</w:t>
                  </w:r>
                  <w:r>
                    <w:rPr>
                      <w:rFonts w:ascii="微软雅黑" w:eastAsia="微软雅黑"/>
                      <w:b/>
                      <w:color w:val="000000"/>
                      <w:w w:val="95"/>
                      <w:sz w:val="22"/>
                    </w:rPr>
                    <w:t>原</w:t>
                  </w:r>
                  <w:r>
                    <w:rPr>
                      <w:rFonts w:ascii="微软雅黑" w:eastAsia="微软雅黑"/>
                      <w:b/>
                      <w:color w:val="000000"/>
                      <w:w w:val="95"/>
                      <w:sz w:val="22"/>
                    </w:rPr>
                    <w:t>位</w:t>
                  </w:r>
                  <w:r>
                    <w:rPr>
                      <w:rFonts w:ascii="微软雅黑" w:eastAsia="微软雅黑"/>
                      <w:b/>
                      <w:color w:val="000000"/>
                      <w:w w:val="95"/>
                      <w:sz w:val="22"/>
                    </w:rPr>
                    <w:t>癌</w:t>
                  </w:r>
                  <w:r>
                    <w:rPr>
                      <w:rFonts w:ascii="微软雅黑" w:eastAsia="微软雅黑"/>
                      <w:b/>
                      <w:color w:val="000000"/>
                      <w:w w:val="95"/>
                      <w:sz w:val="22"/>
                    </w:rPr>
                    <w:t>和</w:t>
                  </w:r>
                  <w:r>
                    <w:rPr>
                      <w:rFonts w:ascii="微软雅黑" w:eastAsia="微软雅黑"/>
                      <w:b/>
                      <w:color w:val="000000"/>
                      <w:w w:val="95"/>
                      <w:sz w:val="22"/>
                    </w:rPr>
                    <w:t>非</w:t>
                  </w:r>
                  <w:r>
                    <w:rPr>
                      <w:rFonts w:ascii="微软雅黑" w:eastAsia="微软雅黑"/>
                      <w:b/>
                      <w:color w:val="000000"/>
                      <w:w w:val="95"/>
                      <w:sz w:val="22"/>
                    </w:rPr>
                    <w:t>侵</w:t>
                  </w:r>
                  <w:r>
                    <w:rPr>
                      <w:rFonts w:ascii="微软雅黑" w:eastAsia="微软雅黑"/>
                      <w:b/>
                      <w:color w:val="000000"/>
                      <w:w w:val="95"/>
                      <w:sz w:val="22"/>
                    </w:rPr>
                    <w:t>袭</w:t>
                  </w:r>
                  <w:r>
                    <w:rPr>
                      <w:rFonts w:ascii="微软雅黑" w:eastAsia="微软雅黑"/>
                      <w:b/>
                      <w:color w:val="000000"/>
                      <w:w w:val="95"/>
                      <w:sz w:val="22"/>
                    </w:rPr>
                    <w:t>性</w:t>
                  </w:r>
                  <w:r>
                    <w:rPr>
                      <w:rFonts w:ascii="微软雅黑" w:eastAsia="微软雅黑"/>
                      <w:b/>
                      <w:color w:val="000000"/>
                      <w:w w:val="95"/>
                      <w:sz w:val="22"/>
                    </w:rPr>
                    <w:t>癌</w:t>
                  </w:r>
                  <w:r>
                    <w:rPr>
                      <w:rFonts w:ascii="微软雅黑" w:eastAsia="微软雅黑"/>
                      <w:b/>
                      <w:color w:val="000000"/>
                      <w:w w:val="95"/>
                      <w:sz w:val="22"/>
                    </w:rPr>
                    <w:t>）</w:t>
                  </w:r>
                  <w:r>
                    <w:rPr>
                      <w:rFonts w:ascii="微软雅黑" w:eastAsia="微软雅黑"/>
                      <w:b/>
                      <w:color w:val="000000"/>
                      <w:w w:val="95"/>
                      <w:sz w:val="22"/>
                    </w:rPr>
                    <w:t>范</w:t>
                  </w:r>
                  <w:r>
                    <w:rPr>
                      <w:rFonts w:ascii="微软雅黑" w:eastAsia="微软雅黑"/>
                      <w:b/>
                      <w:color w:val="000000"/>
                      <w:w w:val="95"/>
                      <w:sz w:val="22"/>
                    </w:rPr>
                    <w:t>畴</w:t>
                  </w:r>
                  <w:r>
                    <w:rPr>
                      <w:rFonts w:ascii="微软雅黑" w:eastAsia="微软雅黑"/>
                      <w:b/>
                      <w:color w:val="000000"/>
                      <w:w w:val="95"/>
                      <w:sz w:val="22"/>
                    </w:rPr>
                    <w:t>的</w:t>
                  </w:r>
                  <w:r>
                    <w:rPr>
                      <w:rFonts w:ascii="微软雅黑" w:eastAsia="微软雅黑"/>
                      <w:b/>
                      <w:color w:val="000000"/>
                      <w:w w:val="95"/>
                      <w:sz w:val="22"/>
                    </w:rPr>
                    <w:t>疾</w:t>
                  </w:r>
                  <w:r>
                    <w:rPr>
                      <w:rFonts w:ascii="微软雅黑" w:eastAsia="微软雅黑"/>
                      <w:b/>
                      <w:color w:val="000000"/>
                      <w:w w:val="95"/>
                      <w:sz w:val="22"/>
                    </w:rPr>
                    <w:t>病</w:t>
                  </w:r>
                  <w:r>
                    <w:rPr>
                      <w:rFonts w:ascii="微软雅黑" w:eastAsia="微软雅黑"/>
                      <w:b/>
                      <w:color w:val="000000"/>
                      <w:w w:val="95"/>
                      <w:sz w:val="22"/>
                    </w:rPr>
                    <w:t>，</w:t>
                  </w:r>
                  <w:r>
                    <w:rPr>
                      <w:rFonts w:ascii="微软雅黑" w:eastAsia="微软雅黑"/>
                      <w:b/>
                      <w:color w:val="000000"/>
                      <w:w w:val="95"/>
                      <w:sz w:val="22"/>
                    </w:rPr>
                    <w:t>如</w:t>
                  </w:r>
                  <w:r>
                    <w:rPr>
                      <w:rFonts w:ascii="微软雅黑" w:eastAsia="微软雅黑"/>
                      <w:b/>
                      <w:color w:val="000000"/>
                      <w:spacing w:val="-10"/>
                      <w:w w:val="95"/>
                      <w:sz w:val="22"/>
                    </w:rPr>
                    <w:t>：</w:t>
                  </w:r>
                </w:p>
              </w:txbxContent>
            </v:textbox>
            <v:fill type="solid"/>
            <w10:wrap type="none"/>
          </v:shape>
        </w:pict>
      </w:r>
      <w:r>
        <w:rPr/>
        <w:pict>
          <v:shape style="position:absolute;margin-left:196.850006pt;margin-top:61.829994pt;width:281.6pt;height:14.4pt;mso-position-horizontal-relative:page;mso-position-vertical-relative:paragraph;z-index:-19116032" type="#_x0000_t202" id="docshape36" filled="true" fillcolor="#d9d9d9" stroked="false">
            <v:textbox inset="0,0,0,0">
              <w:txbxContent>
                <w:p>
                  <w:pPr>
                    <w:spacing w:line="288" w:lineRule="exact" w:before="0"/>
                    <w:ind w:left="0" w:right="0" w:firstLine="0"/>
                    <w:jc w:val="left"/>
                    <w:rPr>
                      <w:rFonts w:ascii="微软雅黑" w:hAnsi="微软雅黑" w:eastAsia="微软雅黑"/>
                      <w:b/>
                      <w:color w:val="000000"/>
                      <w:sz w:val="22"/>
                    </w:rPr>
                  </w:pPr>
                  <w:r>
                    <w:rPr>
                      <w:rFonts w:ascii="微软雅黑" w:hAnsi="微软雅黑" w:eastAsia="微软雅黑"/>
                      <w:b/>
                      <w:color w:val="000000"/>
                      <w:w w:val="95"/>
                      <w:sz w:val="22"/>
                    </w:rPr>
                    <w:t>下</w:t>
                  </w:r>
                  <w:r>
                    <w:rPr>
                      <w:rFonts w:ascii="微软雅黑" w:hAnsi="微软雅黑" w:eastAsia="微软雅黑"/>
                      <w:b/>
                      <w:color w:val="000000"/>
                      <w:w w:val="95"/>
                      <w:sz w:val="22"/>
                    </w:rPr>
                    <w:t>列</w:t>
                  </w:r>
                  <w:r>
                    <w:rPr>
                      <w:rFonts w:ascii="微软雅黑" w:hAnsi="微软雅黑" w:eastAsia="微软雅黑"/>
                      <w:b/>
                      <w:color w:val="000000"/>
                      <w:w w:val="95"/>
                      <w:sz w:val="22"/>
                    </w:rPr>
                    <w:t>疾</w:t>
                  </w:r>
                  <w:r>
                    <w:rPr>
                      <w:rFonts w:ascii="微软雅黑" w:hAnsi="微软雅黑" w:eastAsia="微软雅黑"/>
                      <w:b/>
                      <w:color w:val="000000"/>
                      <w:w w:val="95"/>
                      <w:sz w:val="22"/>
                    </w:rPr>
                    <w:t>病</w:t>
                  </w:r>
                  <w:r>
                    <w:rPr>
                      <w:rFonts w:ascii="微软雅黑" w:hAnsi="微软雅黑" w:eastAsia="微软雅黑"/>
                      <w:b/>
                      <w:color w:val="000000"/>
                      <w:w w:val="95"/>
                      <w:sz w:val="22"/>
                    </w:rPr>
                    <w:t>不</w:t>
                  </w:r>
                  <w:r>
                    <w:rPr>
                      <w:rFonts w:ascii="微软雅黑" w:hAnsi="微软雅黑" w:eastAsia="微软雅黑"/>
                      <w:b/>
                      <w:color w:val="000000"/>
                      <w:w w:val="95"/>
                      <w:sz w:val="22"/>
                    </w:rPr>
                    <w:t>属</w:t>
                  </w:r>
                  <w:r>
                    <w:rPr>
                      <w:rFonts w:ascii="微软雅黑" w:hAnsi="微软雅黑" w:eastAsia="微软雅黑"/>
                      <w:b/>
                      <w:color w:val="000000"/>
                      <w:w w:val="95"/>
                      <w:sz w:val="22"/>
                    </w:rPr>
                    <w:t>于</w:t>
                  </w:r>
                  <w:r>
                    <w:rPr>
                      <w:rFonts w:ascii="微软雅黑" w:hAnsi="微软雅黑" w:eastAsia="微软雅黑"/>
                      <w:b/>
                      <w:color w:val="000000"/>
                      <w:w w:val="95"/>
                      <w:sz w:val="22"/>
                    </w:rPr>
                    <w:t>“</w:t>
                  </w:r>
                  <w:r>
                    <w:rPr>
                      <w:rFonts w:ascii="微软雅黑" w:hAnsi="微软雅黑" w:eastAsia="微软雅黑"/>
                      <w:b/>
                      <w:color w:val="000000"/>
                      <w:w w:val="95"/>
                      <w:sz w:val="22"/>
                    </w:rPr>
                    <w:t>恶</w:t>
                  </w:r>
                  <w:r>
                    <w:rPr>
                      <w:rFonts w:ascii="微软雅黑" w:hAnsi="微软雅黑" w:eastAsia="微软雅黑"/>
                      <w:b/>
                      <w:color w:val="000000"/>
                      <w:w w:val="95"/>
                      <w:sz w:val="22"/>
                    </w:rPr>
                    <w:t>性</w:t>
                  </w:r>
                  <w:r>
                    <w:rPr>
                      <w:rFonts w:ascii="微软雅黑" w:hAnsi="微软雅黑" w:eastAsia="微软雅黑"/>
                      <w:b/>
                      <w:color w:val="000000"/>
                      <w:w w:val="95"/>
                      <w:sz w:val="22"/>
                    </w:rPr>
                    <w:t>肿</w:t>
                  </w:r>
                  <w:r>
                    <w:rPr>
                      <w:rFonts w:ascii="微软雅黑" w:hAnsi="微软雅黑" w:eastAsia="微软雅黑"/>
                      <w:b/>
                      <w:color w:val="000000"/>
                      <w:w w:val="95"/>
                      <w:sz w:val="22"/>
                    </w:rPr>
                    <w:t>瘤</w:t>
                  </w:r>
                  <w:r>
                    <w:rPr>
                      <w:rFonts w:ascii="微软雅黑" w:hAnsi="微软雅黑" w:eastAsia="微软雅黑"/>
                      <w:b/>
                      <w:color w:val="000000"/>
                      <w:w w:val="95"/>
                      <w:sz w:val="22"/>
                    </w:rPr>
                    <w:t>——</w:t>
                  </w:r>
                  <w:r>
                    <w:rPr>
                      <w:rFonts w:ascii="微软雅黑" w:hAnsi="微软雅黑" w:eastAsia="微软雅黑"/>
                      <w:b/>
                      <w:color w:val="000000"/>
                      <w:w w:val="95"/>
                      <w:sz w:val="22"/>
                    </w:rPr>
                    <w:t>重</w:t>
                  </w:r>
                  <w:r>
                    <w:rPr>
                      <w:rFonts w:ascii="微软雅黑" w:hAnsi="微软雅黑" w:eastAsia="微软雅黑"/>
                      <w:b/>
                      <w:color w:val="000000"/>
                      <w:w w:val="95"/>
                      <w:sz w:val="22"/>
                    </w:rPr>
                    <w:t>度</w:t>
                  </w:r>
                  <w:r>
                    <w:rPr>
                      <w:rFonts w:ascii="微软雅黑" w:hAnsi="微软雅黑" w:eastAsia="微软雅黑"/>
                      <w:b/>
                      <w:color w:val="000000"/>
                      <w:spacing w:val="-56"/>
                      <w:w w:val="95"/>
                      <w:sz w:val="22"/>
                    </w:rPr>
                    <w:t>”，</w:t>
                  </w:r>
                  <w:r>
                    <w:rPr>
                      <w:rFonts w:ascii="微软雅黑" w:hAnsi="微软雅黑" w:eastAsia="微软雅黑"/>
                      <w:b/>
                      <w:color w:val="000000"/>
                      <w:w w:val="95"/>
                      <w:sz w:val="22"/>
                    </w:rPr>
                    <w:t>不</w:t>
                  </w:r>
                  <w:r>
                    <w:rPr>
                      <w:rFonts w:ascii="微软雅黑" w:hAnsi="微软雅黑" w:eastAsia="微软雅黑"/>
                      <w:b/>
                      <w:color w:val="000000"/>
                      <w:w w:val="95"/>
                      <w:sz w:val="22"/>
                    </w:rPr>
                    <w:t>在</w:t>
                  </w:r>
                  <w:r>
                    <w:rPr>
                      <w:rFonts w:ascii="微软雅黑" w:hAnsi="微软雅黑" w:eastAsia="微软雅黑"/>
                      <w:b/>
                      <w:color w:val="000000"/>
                      <w:w w:val="95"/>
                      <w:sz w:val="22"/>
                    </w:rPr>
                    <w:t>保</w:t>
                  </w:r>
                  <w:r>
                    <w:rPr>
                      <w:rFonts w:ascii="微软雅黑" w:hAnsi="微软雅黑" w:eastAsia="微软雅黑"/>
                      <w:b/>
                      <w:color w:val="000000"/>
                      <w:w w:val="95"/>
                      <w:sz w:val="22"/>
                    </w:rPr>
                    <w:t>障</w:t>
                  </w:r>
                  <w:r>
                    <w:rPr>
                      <w:rFonts w:ascii="微软雅黑" w:hAnsi="微软雅黑" w:eastAsia="微软雅黑"/>
                      <w:b/>
                      <w:color w:val="000000"/>
                      <w:w w:val="95"/>
                      <w:sz w:val="22"/>
                    </w:rPr>
                    <w:t>范</w:t>
                  </w:r>
                  <w:r>
                    <w:rPr>
                      <w:rFonts w:ascii="微软雅黑" w:hAnsi="微软雅黑" w:eastAsia="微软雅黑"/>
                      <w:b/>
                      <w:color w:val="000000"/>
                      <w:w w:val="95"/>
                      <w:sz w:val="22"/>
                    </w:rPr>
                    <w:t>围</w:t>
                  </w:r>
                  <w:r>
                    <w:rPr>
                      <w:rFonts w:ascii="微软雅黑" w:hAnsi="微软雅黑" w:eastAsia="微软雅黑"/>
                      <w:b/>
                      <w:color w:val="000000"/>
                      <w:w w:val="95"/>
                      <w:sz w:val="22"/>
                    </w:rPr>
                    <w:t>内</w:t>
                  </w:r>
                  <w:r>
                    <w:rPr>
                      <w:rFonts w:ascii="微软雅黑" w:hAnsi="微软雅黑" w:eastAsia="微软雅黑"/>
                      <w:b/>
                      <w:color w:val="000000"/>
                      <w:spacing w:val="-10"/>
                      <w:w w:val="95"/>
                      <w:sz w:val="22"/>
                    </w:rPr>
                    <w:t>：</w:t>
                  </w:r>
                </w:p>
              </w:txbxContent>
            </v:textbox>
            <v:fill type="solid"/>
            <w10:wrap type="none"/>
          </v:shape>
        </w:pict>
      </w:r>
      <w:r>
        <w:rPr>
          <w:spacing w:val="-4"/>
          <w:sz w:val="21"/>
        </w:rPr>
        <w:t>（涵盖骨髓病理学检查）结果明确诊断，临床诊断属于世界卫生组织（WHO， </w:t>
      </w:r>
      <w:r>
        <w:rPr>
          <w:sz w:val="21"/>
        </w:rPr>
        <w:t>World Health Organization）</w:t>
      </w:r>
      <w:r>
        <w:rPr>
          <w:rFonts w:ascii="微软雅黑" w:eastAsia="微软雅黑"/>
          <w:b/>
          <w:sz w:val="21"/>
        </w:rPr>
        <w:t>《疾病和有关健康问题的国际统计分类》第</w:t>
      </w:r>
      <w:r>
        <w:rPr>
          <w:rFonts w:ascii="微软雅黑" w:eastAsia="微软雅黑"/>
          <w:b/>
          <w:spacing w:val="-2"/>
          <w:sz w:val="21"/>
        </w:rPr>
        <w:t>十次修订版（ICD-10）的恶性肿瘤类别及《国际疾病分类肿瘤学专辑》第</w:t>
      </w:r>
      <w:r>
        <w:rPr>
          <w:rFonts w:ascii="微软雅黑" w:eastAsia="微软雅黑"/>
          <w:b/>
          <w:spacing w:val="-2"/>
          <w:sz w:val="21"/>
        </w:rPr>
        <w:t> </w:t>
      </w:r>
      <w:r>
        <w:rPr>
          <w:rFonts w:ascii="微软雅黑" w:eastAsia="微软雅黑"/>
          <w:b/>
          <w:spacing w:val="-2"/>
          <w:w w:val="95"/>
          <w:sz w:val="21"/>
        </w:rPr>
        <w:t>三版（ICD-0-3）</w:t>
      </w:r>
      <w:r>
        <w:rPr>
          <w:rFonts w:ascii="微软雅黑" w:eastAsia="微软雅黑"/>
          <w:b/>
          <w:spacing w:val="-2"/>
          <w:w w:val="95"/>
          <w:position w:val="11"/>
          <w:sz w:val="11"/>
        </w:rPr>
        <w:t>23</w:t>
      </w:r>
      <w:r>
        <w:rPr>
          <w:spacing w:val="-2"/>
          <w:w w:val="95"/>
          <w:sz w:val="21"/>
        </w:rPr>
        <w:t>的肿瘤形</w:t>
      </w:r>
      <w:r>
        <w:rPr>
          <w:spacing w:val="-2"/>
          <w:w w:val="95"/>
          <w:sz w:val="21"/>
        </w:rPr>
        <w:t>态</w:t>
      </w:r>
      <w:r>
        <w:rPr>
          <w:spacing w:val="-2"/>
          <w:w w:val="95"/>
          <w:sz w:val="21"/>
        </w:rPr>
        <w:t>学</w:t>
      </w:r>
      <w:r>
        <w:rPr>
          <w:spacing w:val="-2"/>
          <w:w w:val="95"/>
          <w:sz w:val="21"/>
        </w:rPr>
        <w:t>编码属</w:t>
      </w:r>
      <w:r>
        <w:rPr>
          <w:spacing w:val="-2"/>
          <w:w w:val="95"/>
          <w:sz w:val="21"/>
        </w:rPr>
        <w:t>于</w:t>
      </w:r>
      <w:r>
        <w:rPr>
          <w:spacing w:val="-2"/>
          <w:w w:val="95"/>
          <w:sz w:val="21"/>
        </w:rPr>
        <w:t>3、6</w:t>
      </w:r>
      <w:r>
        <w:rPr>
          <w:spacing w:val="-2"/>
          <w:w w:val="95"/>
          <w:sz w:val="21"/>
        </w:rPr>
        <w:t>、</w:t>
      </w:r>
      <w:r>
        <w:rPr>
          <w:spacing w:val="-2"/>
          <w:w w:val="95"/>
          <w:sz w:val="21"/>
        </w:rPr>
        <w:t>9（恶</w:t>
      </w:r>
      <w:r>
        <w:rPr>
          <w:spacing w:val="-2"/>
          <w:w w:val="95"/>
          <w:sz w:val="21"/>
        </w:rPr>
        <w:t>性</w:t>
      </w:r>
      <w:r>
        <w:rPr>
          <w:spacing w:val="-2"/>
          <w:w w:val="95"/>
          <w:sz w:val="21"/>
        </w:rPr>
        <w:t>肿</w:t>
      </w:r>
      <w:r>
        <w:rPr>
          <w:spacing w:val="-2"/>
          <w:w w:val="95"/>
          <w:sz w:val="21"/>
        </w:rPr>
        <w:t>瘤）范畴</w:t>
      </w:r>
      <w:r>
        <w:rPr>
          <w:spacing w:val="-2"/>
          <w:w w:val="95"/>
          <w:sz w:val="21"/>
        </w:rPr>
        <w:t>的</w:t>
      </w:r>
      <w:r>
        <w:rPr>
          <w:spacing w:val="-2"/>
          <w:w w:val="95"/>
          <w:sz w:val="21"/>
        </w:rPr>
        <w:t>疾</w:t>
      </w:r>
      <w:r>
        <w:rPr>
          <w:spacing w:val="-2"/>
          <w:w w:val="95"/>
          <w:sz w:val="21"/>
        </w:rPr>
        <w:t>病</w:t>
      </w:r>
      <w:r>
        <w:rPr>
          <w:spacing w:val="-2"/>
          <w:w w:val="95"/>
          <w:sz w:val="21"/>
        </w:rPr>
        <w:t>。</w:t>
      </w:r>
    </w:p>
    <w:p>
      <w:pPr>
        <w:spacing w:after="0" w:line="201" w:lineRule="auto"/>
        <w:jc w:val="left"/>
        <w:rPr>
          <w:sz w:val="21"/>
        </w:rPr>
        <w:sectPr>
          <w:type w:val="continuous"/>
          <w:pgSz w:w="11910" w:h="16840"/>
          <w:pgMar w:header="566" w:footer="664" w:top="1340" w:bottom="860" w:left="900" w:right="720"/>
          <w:cols w:num="2" w:equalWidth="0">
            <w:col w:w="2710" w:space="94"/>
            <w:col w:w="7486"/>
          </w:cols>
        </w:sectPr>
      </w:pPr>
    </w:p>
    <w:p>
      <w:pPr>
        <w:pStyle w:val="BodyText"/>
        <w:rPr>
          <w:sz w:val="2"/>
        </w:rPr>
      </w:pPr>
    </w:p>
    <w:p>
      <w:pPr>
        <w:pStyle w:val="BodyText"/>
        <w:ind w:left="3037"/>
        <w:rPr>
          <w:sz w:val="20"/>
        </w:rPr>
      </w:pPr>
      <w:r>
        <w:rPr>
          <w:sz w:val="20"/>
        </w:rPr>
        <w:pict>
          <v:shape style="width:341.85pt;height:14.4pt;mso-position-horizontal-relative:char;mso-position-vertical-relative:line" type="#_x0000_t202" id="docshape37"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2"/>
                      <w:sz w:val="22"/>
                    </w:rPr>
                    <w:t>a.</w:t>
                  </w:r>
                  <w:r>
                    <w:rPr>
                      <w:rFonts w:ascii="微软雅黑" w:eastAsia="微软雅黑"/>
                      <w:b/>
                      <w:color w:val="000000"/>
                      <w:spacing w:val="-3"/>
                      <w:sz w:val="22"/>
                    </w:rPr>
                    <w:t>原位癌，癌前病变，非浸润性癌，非侵袭性癌，肿瘤细胞未侵犯基底</w:t>
                  </w:r>
                </w:p>
              </w:txbxContent>
            </v:textbox>
            <v:fill type="solid"/>
          </v:shape>
        </w:pict>
      </w:r>
      <w:r>
        <w:rPr>
          <w:sz w:val="20"/>
        </w:rPr>
      </w:r>
    </w:p>
    <w:p>
      <w:pPr>
        <w:pStyle w:val="BodyText"/>
        <w:ind w:left="3037"/>
        <w:rPr>
          <w:sz w:val="20"/>
        </w:rPr>
      </w:pPr>
      <w:r>
        <w:rPr>
          <w:sz w:val="20"/>
        </w:rPr>
        <w:pict>
          <v:shape style="width:198.75pt;height:14.4pt;mso-position-horizontal-relative:char;mso-position-vertical-relative:line" type="#_x0000_t202" id="docshape38"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3"/>
                      <w:sz w:val="22"/>
                    </w:rPr>
                    <w:t>层，上皮内瘤变，细胞不典型性增生等；</w:t>
                  </w:r>
                </w:p>
              </w:txbxContent>
            </v:textbox>
            <v:fill type="solid"/>
          </v:shape>
        </w:pict>
      </w:r>
      <w:r>
        <w:rPr>
          <w:sz w:val="20"/>
        </w:rPr>
      </w:r>
    </w:p>
    <w:p>
      <w:pPr>
        <w:pStyle w:val="BodyText"/>
        <w:ind w:left="3037"/>
        <w:rPr>
          <w:sz w:val="20"/>
        </w:rPr>
      </w:pPr>
      <w:r>
        <w:rPr>
          <w:sz w:val="20"/>
        </w:rPr>
        <w:pict>
          <v:shape style="width:341.85pt;height:14.4pt;mso-position-horizontal-relative:char;mso-position-vertical-relative:line" type="#_x0000_t202" id="docshape39"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2"/>
                      <w:sz w:val="22"/>
                    </w:rPr>
                    <w:t>b.</w:t>
                  </w:r>
                  <w:r>
                    <w:rPr>
                      <w:rFonts w:ascii="微软雅黑" w:eastAsia="微软雅黑"/>
                      <w:b/>
                      <w:color w:val="000000"/>
                      <w:spacing w:val="-3"/>
                      <w:sz w:val="22"/>
                    </w:rPr>
                    <w:t>交界性肿瘤，交界恶性肿瘤，肿瘤低度恶性潜能，潜在低度恶性肿瘤</w:t>
                  </w:r>
                </w:p>
              </w:txbxContent>
            </v:textbox>
            <v:fill type="solid"/>
          </v:shape>
        </w:pict>
      </w:r>
      <w:r>
        <w:rPr>
          <w:sz w:val="20"/>
        </w:rPr>
      </w:r>
    </w:p>
    <w:p>
      <w:pPr>
        <w:pStyle w:val="BodyText"/>
        <w:ind w:left="3037"/>
        <w:rPr>
          <w:sz w:val="20"/>
        </w:rPr>
      </w:pPr>
      <w:r>
        <w:rPr>
          <w:sz w:val="20"/>
        </w:rPr>
        <w:pict>
          <v:shape style="width:22.1pt;height:14.45pt;mso-position-horizontal-relative:char;mso-position-vertical-relative:line" type="#_x0000_t202" id="docshape40"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8"/>
                      <w:sz w:val="22"/>
                    </w:rPr>
                    <w:t>等；</w:t>
                  </w:r>
                </w:p>
              </w:txbxContent>
            </v:textbox>
            <v:fill type="solid"/>
          </v:shape>
        </w:pict>
      </w:r>
      <w:r>
        <w:rPr>
          <w:sz w:val="20"/>
        </w:rPr>
      </w:r>
    </w:p>
    <w:p>
      <w:pPr>
        <w:pStyle w:val="Heading1"/>
        <w:numPr>
          <w:ilvl w:val="1"/>
          <w:numId w:val="29"/>
        </w:numPr>
        <w:tabs>
          <w:tab w:pos="3590" w:val="left" w:leader="none"/>
        </w:tabs>
        <w:spacing w:line="184" w:lineRule="auto" w:before="0" w:after="0"/>
        <w:ind w:left="3037" w:right="408" w:firstLine="0"/>
        <w:jc w:val="left"/>
      </w:pPr>
      <w:r>
        <w:rPr>
          <w:color w:val="000000"/>
          <w:spacing w:val="2"/>
          <w:w w:val="80"/>
          <w:shd w:fill="D9D9D9" w:color="auto" w:val="clear"/>
        </w:rPr>
        <w:t>T</w:t>
      </w:r>
      <w:r>
        <w:rPr>
          <w:color w:val="000000"/>
          <w:w w:val="53"/>
          <w:shd w:fill="D9D9D9" w:color="auto" w:val="clear"/>
        </w:rPr>
        <w:t>NM</w:t>
      </w:r>
      <w:r>
        <w:rPr>
          <w:color w:val="000000"/>
          <w:w w:val="100"/>
          <w:shd w:fill="D9D9D9" w:color="auto" w:val="clear"/>
        </w:rPr>
        <w:t>分期</w:t>
      </w:r>
      <w:r>
        <w:rPr>
          <w:color w:val="000000"/>
          <w:spacing w:val="2"/>
          <w:w w:val="81"/>
          <w:position w:val="11"/>
          <w:sz w:val="11"/>
        </w:rPr>
        <w:t>24</w:t>
      </w:r>
      <w:r>
        <w:rPr>
          <w:color w:val="000000"/>
          <w:spacing w:val="-1"/>
          <w:w w:val="100"/>
          <w:shd w:fill="D9D9D9" w:color="auto" w:val="clear"/>
        </w:rPr>
        <w:t>为Ⅰ期或更轻分期的甲状腺癌</w:t>
      </w:r>
      <w:r>
        <w:rPr>
          <w:color w:val="000000"/>
          <w:w w:val="100"/>
          <w:shd w:fill="D9D9D9" w:color="auto" w:val="clear"/>
        </w:rPr>
        <w:t>（甲状腺癌的</w:t>
      </w:r>
      <w:r>
        <w:rPr>
          <w:color w:val="000000"/>
          <w:w w:val="68"/>
          <w:shd w:fill="D9D9D9" w:color="auto" w:val="clear"/>
        </w:rPr>
        <w:t>T</w:t>
      </w:r>
      <w:r>
        <w:rPr>
          <w:color w:val="000000"/>
          <w:spacing w:val="2"/>
          <w:w w:val="68"/>
          <w:shd w:fill="D9D9D9" w:color="auto" w:val="clear"/>
        </w:rPr>
        <w:t>N</w:t>
      </w:r>
      <w:r>
        <w:rPr>
          <w:color w:val="000000"/>
          <w:w w:val="48"/>
          <w:shd w:fill="D9D9D9" w:color="auto" w:val="clear"/>
        </w:rPr>
        <w:t>M</w:t>
      </w:r>
      <w:r>
        <w:rPr>
          <w:color w:val="000000"/>
          <w:spacing w:val="-5"/>
          <w:w w:val="100"/>
          <w:shd w:fill="D9D9D9" w:color="auto" w:val="clear"/>
        </w:rPr>
        <w:t>分期见附</w:t>
      </w:r>
      <w:r>
        <w:rPr>
          <w:color w:val="000000"/>
          <w:w w:val="100"/>
          <w:shd w:fill="D9D9D9" w:color="auto" w:val="clear"/>
        </w:rPr>
        <w:t>表</w:t>
      </w:r>
      <w:r>
        <w:rPr>
          <w:color w:val="000000"/>
          <w:spacing w:val="-111"/>
          <w:w w:val="100"/>
          <w:shd w:fill="D9D9D9" w:color="auto" w:val="clear"/>
        </w:rPr>
        <w:t>）</w:t>
      </w:r>
      <w:r>
        <w:rPr>
          <w:color w:val="000000"/>
          <w:w w:val="100"/>
          <w:shd w:fill="D9D9D9" w:color="auto" w:val="clear"/>
        </w:rPr>
        <w:t>；</w:t>
      </w:r>
    </w:p>
    <w:p>
      <w:pPr>
        <w:pStyle w:val="ListParagraph"/>
        <w:numPr>
          <w:ilvl w:val="1"/>
          <w:numId w:val="29"/>
        </w:numPr>
        <w:tabs>
          <w:tab w:pos="3590" w:val="left" w:leader="none"/>
        </w:tabs>
        <w:spacing w:line="291" w:lineRule="exact" w:before="0" w:after="0"/>
        <w:ind w:left="3590" w:right="0" w:hanging="553"/>
        <w:jc w:val="left"/>
        <w:rPr>
          <w:rFonts w:ascii="微软雅黑" w:eastAsia="微软雅黑"/>
          <w:b/>
          <w:sz w:val="22"/>
        </w:rPr>
      </w:pPr>
      <w:r>
        <w:rPr>
          <w:rFonts w:ascii="微软雅黑" w:eastAsia="微软雅黑"/>
          <w:b/>
          <w:color w:val="000000"/>
          <w:w w:val="90"/>
          <w:position w:val="2"/>
          <w:sz w:val="22"/>
          <w:shd w:fill="D9D9D9" w:color="auto" w:val="clear"/>
        </w:rPr>
        <w:t>TNM</w:t>
      </w:r>
      <w:r>
        <w:rPr>
          <w:rFonts w:ascii="微软雅黑" w:eastAsia="微软雅黑"/>
          <w:b/>
          <w:color w:val="000000"/>
          <w:w w:val="90"/>
          <w:position w:val="2"/>
          <w:sz w:val="22"/>
          <w:shd w:fill="D9D9D9" w:color="auto" w:val="clear"/>
        </w:rPr>
        <w:t>分</w:t>
      </w:r>
      <w:r>
        <w:rPr>
          <w:rFonts w:ascii="微软雅黑" w:eastAsia="微软雅黑"/>
          <w:b/>
          <w:color w:val="000000"/>
          <w:w w:val="90"/>
          <w:position w:val="2"/>
          <w:sz w:val="22"/>
          <w:shd w:fill="D9D9D9" w:color="auto" w:val="clear"/>
        </w:rPr>
        <w:t>期</w:t>
      </w:r>
      <w:r>
        <w:rPr>
          <w:rFonts w:ascii="微软雅黑" w:eastAsia="微软雅黑"/>
          <w:b/>
          <w:color w:val="000000"/>
          <w:w w:val="90"/>
          <w:position w:val="2"/>
          <w:sz w:val="22"/>
          <w:shd w:fill="D9D9D9" w:color="auto" w:val="clear"/>
        </w:rPr>
        <w:t>为</w:t>
      </w:r>
      <w:r>
        <w:rPr>
          <w:rFonts w:ascii="Times New Roman" w:eastAsia="Times New Roman"/>
          <w:b/>
          <w:color w:val="000000"/>
          <w:w w:val="90"/>
          <w:position w:val="2"/>
          <w:sz w:val="21"/>
          <w:shd w:fill="D9D9D9" w:color="auto" w:val="clear"/>
        </w:rPr>
        <w:t>T</w:t>
      </w:r>
      <w:r>
        <w:rPr>
          <w:rFonts w:ascii="Times New Roman" w:eastAsia="Times New Roman"/>
          <w:b/>
          <w:color w:val="000000"/>
          <w:w w:val="90"/>
          <w:sz w:val="14"/>
          <w:shd w:fill="D9D9D9" w:color="auto" w:val="clear"/>
        </w:rPr>
        <w:t>1</w:t>
      </w:r>
      <w:r>
        <w:rPr>
          <w:rFonts w:ascii="Times New Roman" w:eastAsia="Times New Roman"/>
          <w:b/>
          <w:color w:val="000000"/>
          <w:w w:val="90"/>
          <w:position w:val="2"/>
          <w:sz w:val="21"/>
          <w:shd w:fill="D9D9D9" w:color="auto" w:val="clear"/>
        </w:rPr>
        <w:t>N</w:t>
      </w:r>
      <w:r>
        <w:rPr>
          <w:rFonts w:ascii="Times New Roman" w:eastAsia="Times New Roman"/>
          <w:b/>
          <w:color w:val="000000"/>
          <w:w w:val="90"/>
          <w:sz w:val="14"/>
          <w:shd w:fill="D9D9D9" w:color="auto" w:val="clear"/>
        </w:rPr>
        <w:t>0</w:t>
      </w:r>
      <w:r>
        <w:rPr>
          <w:rFonts w:ascii="Times New Roman" w:eastAsia="Times New Roman"/>
          <w:b/>
          <w:color w:val="000000"/>
          <w:w w:val="90"/>
          <w:position w:val="2"/>
          <w:sz w:val="21"/>
          <w:shd w:fill="D9D9D9" w:color="auto" w:val="clear"/>
        </w:rPr>
        <w:t>M</w:t>
      </w:r>
      <w:r>
        <w:rPr>
          <w:rFonts w:ascii="Times New Roman" w:eastAsia="Times New Roman"/>
          <w:b/>
          <w:color w:val="000000"/>
          <w:w w:val="90"/>
          <w:sz w:val="14"/>
          <w:shd w:fill="D9D9D9" w:color="auto" w:val="clear"/>
        </w:rPr>
        <w:t>0</w:t>
      </w:r>
      <w:r>
        <w:rPr>
          <w:rFonts w:ascii="微软雅黑" w:eastAsia="微软雅黑"/>
          <w:b/>
          <w:color w:val="000000"/>
          <w:w w:val="90"/>
          <w:position w:val="2"/>
          <w:sz w:val="22"/>
          <w:shd w:fill="D9D9D9" w:color="auto" w:val="clear"/>
        </w:rPr>
        <w:t>期</w:t>
      </w:r>
      <w:r>
        <w:rPr>
          <w:rFonts w:ascii="微软雅黑" w:eastAsia="微软雅黑"/>
          <w:b/>
          <w:color w:val="000000"/>
          <w:w w:val="90"/>
          <w:position w:val="2"/>
          <w:sz w:val="22"/>
          <w:shd w:fill="D9D9D9" w:color="auto" w:val="clear"/>
        </w:rPr>
        <w:t>或</w:t>
      </w:r>
      <w:r>
        <w:rPr>
          <w:rFonts w:ascii="微软雅黑" w:eastAsia="微软雅黑"/>
          <w:b/>
          <w:color w:val="000000"/>
          <w:w w:val="90"/>
          <w:position w:val="2"/>
          <w:sz w:val="22"/>
          <w:shd w:fill="D9D9D9" w:color="auto" w:val="clear"/>
        </w:rPr>
        <w:t>更</w:t>
      </w:r>
      <w:r>
        <w:rPr>
          <w:rFonts w:ascii="微软雅黑" w:eastAsia="微软雅黑"/>
          <w:b/>
          <w:color w:val="000000"/>
          <w:w w:val="90"/>
          <w:position w:val="2"/>
          <w:sz w:val="22"/>
          <w:shd w:fill="D9D9D9" w:color="auto" w:val="clear"/>
        </w:rPr>
        <w:t>轻</w:t>
      </w:r>
      <w:r>
        <w:rPr>
          <w:rFonts w:ascii="微软雅黑" w:eastAsia="微软雅黑"/>
          <w:b/>
          <w:color w:val="000000"/>
          <w:w w:val="90"/>
          <w:position w:val="2"/>
          <w:sz w:val="22"/>
          <w:shd w:fill="D9D9D9" w:color="auto" w:val="clear"/>
        </w:rPr>
        <w:t>分</w:t>
      </w:r>
      <w:r>
        <w:rPr>
          <w:rFonts w:ascii="微软雅黑" w:eastAsia="微软雅黑"/>
          <w:b/>
          <w:color w:val="000000"/>
          <w:w w:val="90"/>
          <w:position w:val="2"/>
          <w:sz w:val="22"/>
          <w:shd w:fill="D9D9D9" w:color="auto" w:val="clear"/>
        </w:rPr>
        <w:t>期</w:t>
      </w:r>
      <w:r>
        <w:rPr>
          <w:rFonts w:ascii="微软雅黑" w:eastAsia="微软雅黑"/>
          <w:b/>
          <w:color w:val="000000"/>
          <w:w w:val="90"/>
          <w:position w:val="2"/>
          <w:sz w:val="22"/>
          <w:shd w:fill="D9D9D9" w:color="auto" w:val="clear"/>
        </w:rPr>
        <w:t>的</w:t>
      </w:r>
      <w:r>
        <w:rPr>
          <w:rFonts w:ascii="微软雅黑" w:eastAsia="微软雅黑"/>
          <w:b/>
          <w:color w:val="000000"/>
          <w:w w:val="90"/>
          <w:position w:val="2"/>
          <w:sz w:val="22"/>
          <w:shd w:fill="D9D9D9" w:color="auto" w:val="clear"/>
        </w:rPr>
        <w:t>前</w:t>
      </w:r>
      <w:r>
        <w:rPr>
          <w:rFonts w:ascii="微软雅黑" w:eastAsia="微软雅黑"/>
          <w:b/>
          <w:color w:val="000000"/>
          <w:w w:val="90"/>
          <w:position w:val="2"/>
          <w:sz w:val="22"/>
          <w:shd w:fill="D9D9D9" w:color="auto" w:val="clear"/>
        </w:rPr>
        <w:t>列</w:t>
      </w:r>
      <w:r>
        <w:rPr>
          <w:rFonts w:ascii="微软雅黑" w:eastAsia="微软雅黑"/>
          <w:b/>
          <w:color w:val="000000"/>
          <w:w w:val="90"/>
          <w:position w:val="2"/>
          <w:sz w:val="22"/>
          <w:shd w:fill="D9D9D9" w:color="auto" w:val="clear"/>
        </w:rPr>
        <w:t>腺</w:t>
      </w:r>
      <w:r>
        <w:rPr>
          <w:rFonts w:ascii="微软雅黑" w:eastAsia="微软雅黑"/>
          <w:b/>
          <w:color w:val="000000"/>
          <w:w w:val="90"/>
          <w:position w:val="2"/>
          <w:sz w:val="22"/>
          <w:shd w:fill="D9D9D9" w:color="auto" w:val="clear"/>
        </w:rPr>
        <w:t>癌</w:t>
      </w:r>
      <w:r>
        <w:rPr>
          <w:rFonts w:ascii="微软雅黑" w:eastAsia="微软雅黑"/>
          <w:b/>
          <w:color w:val="000000"/>
          <w:spacing w:val="-10"/>
          <w:w w:val="90"/>
          <w:position w:val="2"/>
          <w:sz w:val="22"/>
          <w:shd w:fill="D9D9D9" w:color="auto" w:val="clear"/>
        </w:rPr>
        <w:t>；</w:t>
      </w:r>
    </w:p>
    <w:p>
      <w:pPr>
        <w:pStyle w:val="ListParagraph"/>
        <w:numPr>
          <w:ilvl w:val="1"/>
          <w:numId w:val="29"/>
        </w:numPr>
        <w:tabs>
          <w:tab w:pos="3590" w:val="left" w:leader="none"/>
        </w:tabs>
        <w:spacing w:line="312" w:lineRule="exact" w:before="0" w:after="0"/>
        <w:ind w:left="3590" w:right="0" w:hanging="553"/>
        <w:jc w:val="left"/>
        <w:rPr>
          <w:rFonts w:ascii="微软雅黑" w:eastAsia="微软雅黑"/>
          <w:b/>
          <w:sz w:val="22"/>
        </w:rPr>
      </w:pPr>
      <w:r>
        <w:rPr>
          <w:rFonts w:ascii="微软雅黑" w:eastAsia="微软雅黑"/>
          <w:b/>
          <w:color w:val="000000"/>
          <w:spacing w:val="-1"/>
          <w:sz w:val="22"/>
          <w:shd w:fill="D9D9D9" w:color="auto" w:val="clear"/>
        </w:rPr>
        <w:t>黑色素瘤以外的未发生淋巴结和远处转移的皮肤恶性肿瘤；</w:t>
      </w:r>
    </w:p>
    <w:p>
      <w:pPr>
        <w:pStyle w:val="ListParagraph"/>
        <w:numPr>
          <w:ilvl w:val="1"/>
          <w:numId w:val="29"/>
        </w:numPr>
        <w:tabs>
          <w:tab w:pos="3590" w:val="left" w:leader="none"/>
        </w:tabs>
        <w:spacing w:line="312" w:lineRule="exact" w:before="0" w:after="0"/>
        <w:ind w:left="3590" w:right="0" w:hanging="553"/>
        <w:jc w:val="left"/>
        <w:rPr>
          <w:rFonts w:ascii="微软雅黑" w:eastAsia="微软雅黑"/>
          <w:b/>
          <w:sz w:val="22"/>
        </w:rPr>
      </w:pPr>
      <w:r>
        <w:rPr>
          <w:rFonts w:ascii="微软雅黑" w:eastAsia="微软雅黑"/>
          <w:b/>
          <w:color w:val="000000"/>
          <w:w w:val="95"/>
          <w:sz w:val="22"/>
          <w:shd w:fill="D9D9D9" w:color="auto" w:val="clear"/>
        </w:rPr>
        <w:t>相</w:t>
      </w:r>
      <w:r>
        <w:rPr>
          <w:rFonts w:ascii="微软雅黑" w:eastAsia="微软雅黑"/>
          <w:b/>
          <w:color w:val="000000"/>
          <w:w w:val="95"/>
          <w:sz w:val="22"/>
          <w:shd w:fill="D9D9D9" w:color="auto" w:val="clear"/>
        </w:rPr>
        <w:t>当</w:t>
      </w:r>
      <w:r>
        <w:rPr>
          <w:rFonts w:ascii="微软雅黑" w:eastAsia="微软雅黑"/>
          <w:b/>
          <w:color w:val="000000"/>
          <w:w w:val="95"/>
          <w:sz w:val="22"/>
          <w:shd w:fill="D9D9D9" w:color="auto" w:val="clear"/>
        </w:rPr>
        <w:t>于Binet分</w:t>
      </w:r>
      <w:r>
        <w:rPr>
          <w:rFonts w:ascii="微软雅黑" w:eastAsia="微软雅黑"/>
          <w:b/>
          <w:color w:val="000000"/>
          <w:w w:val="95"/>
          <w:sz w:val="22"/>
          <w:shd w:fill="D9D9D9" w:color="auto" w:val="clear"/>
        </w:rPr>
        <w:t>期</w:t>
      </w:r>
      <w:r>
        <w:rPr>
          <w:rFonts w:ascii="微软雅黑" w:eastAsia="微软雅黑"/>
          <w:b/>
          <w:color w:val="000000"/>
          <w:w w:val="95"/>
          <w:sz w:val="22"/>
          <w:shd w:fill="D9D9D9" w:color="auto" w:val="clear"/>
        </w:rPr>
        <w:t>方</w:t>
      </w:r>
      <w:r>
        <w:rPr>
          <w:rFonts w:ascii="微软雅黑" w:eastAsia="微软雅黑"/>
          <w:b/>
          <w:color w:val="000000"/>
          <w:w w:val="95"/>
          <w:sz w:val="22"/>
          <w:shd w:fill="D9D9D9" w:color="auto" w:val="clear"/>
        </w:rPr>
        <w:t>案</w:t>
      </w:r>
      <w:r>
        <w:rPr>
          <w:rFonts w:ascii="微软雅黑" w:eastAsia="微软雅黑"/>
          <w:b/>
          <w:color w:val="000000"/>
          <w:w w:val="95"/>
          <w:sz w:val="22"/>
          <w:shd w:fill="D9D9D9" w:color="auto" w:val="clear"/>
        </w:rPr>
        <w:t>A</w:t>
      </w:r>
      <w:r>
        <w:rPr>
          <w:rFonts w:ascii="微软雅黑" w:eastAsia="微软雅黑"/>
          <w:b/>
          <w:color w:val="000000"/>
          <w:w w:val="95"/>
          <w:sz w:val="22"/>
          <w:shd w:fill="D9D9D9" w:color="auto" w:val="clear"/>
        </w:rPr>
        <w:t>期</w:t>
      </w:r>
      <w:r>
        <w:rPr>
          <w:rFonts w:ascii="微软雅黑" w:eastAsia="微软雅黑"/>
          <w:b/>
          <w:color w:val="000000"/>
          <w:w w:val="95"/>
          <w:sz w:val="22"/>
          <w:shd w:fill="D9D9D9" w:color="auto" w:val="clear"/>
        </w:rPr>
        <w:t>程</w:t>
      </w:r>
      <w:r>
        <w:rPr>
          <w:rFonts w:ascii="微软雅黑" w:eastAsia="微软雅黑"/>
          <w:b/>
          <w:color w:val="000000"/>
          <w:w w:val="95"/>
          <w:sz w:val="22"/>
          <w:shd w:fill="D9D9D9" w:color="auto" w:val="clear"/>
        </w:rPr>
        <w:t>度</w:t>
      </w:r>
      <w:r>
        <w:rPr>
          <w:rFonts w:ascii="微软雅黑" w:eastAsia="微软雅黑"/>
          <w:b/>
          <w:color w:val="000000"/>
          <w:w w:val="95"/>
          <w:sz w:val="22"/>
          <w:shd w:fill="D9D9D9" w:color="auto" w:val="clear"/>
        </w:rPr>
        <w:t>的</w:t>
      </w:r>
      <w:r>
        <w:rPr>
          <w:rFonts w:ascii="微软雅黑" w:eastAsia="微软雅黑"/>
          <w:b/>
          <w:color w:val="000000"/>
          <w:w w:val="95"/>
          <w:sz w:val="22"/>
          <w:shd w:fill="D9D9D9" w:color="auto" w:val="clear"/>
        </w:rPr>
        <w:t>慢</w:t>
      </w:r>
      <w:r>
        <w:rPr>
          <w:rFonts w:ascii="微软雅黑" w:eastAsia="微软雅黑"/>
          <w:b/>
          <w:color w:val="000000"/>
          <w:w w:val="95"/>
          <w:sz w:val="22"/>
          <w:shd w:fill="D9D9D9" w:color="auto" w:val="clear"/>
        </w:rPr>
        <w:t>性</w:t>
      </w:r>
      <w:r>
        <w:rPr>
          <w:rFonts w:ascii="微软雅黑" w:eastAsia="微软雅黑"/>
          <w:b/>
          <w:color w:val="000000"/>
          <w:w w:val="95"/>
          <w:sz w:val="22"/>
          <w:shd w:fill="D9D9D9" w:color="auto" w:val="clear"/>
        </w:rPr>
        <w:t>淋</w:t>
      </w:r>
      <w:r>
        <w:rPr>
          <w:rFonts w:ascii="微软雅黑" w:eastAsia="微软雅黑"/>
          <w:b/>
          <w:color w:val="000000"/>
          <w:w w:val="95"/>
          <w:sz w:val="22"/>
          <w:shd w:fill="D9D9D9" w:color="auto" w:val="clear"/>
        </w:rPr>
        <w:t>巴</w:t>
      </w:r>
      <w:r>
        <w:rPr>
          <w:rFonts w:ascii="微软雅黑" w:eastAsia="微软雅黑"/>
          <w:b/>
          <w:color w:val="000000"/>
          <w:w w:val="95"/>
          <w:sz w:val="22"/>
          <w:shd w:fill="D9D9D9" w:color="auto" w:val="clear"/>
        </w:rPr>
        <w:t>细</w:t>
      </w:r>
      <w:r>
        <w:rPr>
          <w:rFonts w:ascii="微软雅黑" w:eastAsia="微软雅黑"/>
          <w:b/>
          <w:color w:val="000000"/>
          <w:w w:val="95"/>
          <w:sz w:val="22"/>
          <w:shd w:fill="D9D9D9" w:color="auto" w:val="clear"/>
        </w:rPr>
        <w:t>胞</w:t>
      </w:r>
      <w:r>
        <w:rPr>
          <w:rFonts w:ascii="微软雅黑" w:eastAsia="微软雅黑"/>
          <w:b/>
          <w:color w:val="000000"/>
          <w:w w:val="95"/>
          <w:sz w:val="22"/>
          <w:shd w:fill="D9D9D9" w:color="auto" w:val="clear"/>
        </w:rPr>
        <w:t>白</w:t>
      </w:r>
      <w:r>
        <w:rPr>
          <w:rFonts w:ascii="微软雅黑" w:eastAsia="微软雅黑"/>
          <w:b/>
          <w:color w:val="000000"/>
          <w:w w:val="95"/>
          <w:sz w:val="22"/>
          <w:shd w:fill="D9D9D9" w:color="auto" w:val="clear"/>
        </w:rPr>
        <w:t>血</w:t>
      </w:r>
      <w:r>
        <w:rPr>
          <w:rFonts w:ascii="微软雅黑" w:eastAsia="微软雅黑"/>
          <w:b/>
          <w:color w:val="000000"/>
          <w:w w:val="95"/>
          <w:sz w:val="22"/>
          <w:shd w:fill="D9D9D9" w:color="auto" w:val="clear"/>
        </w:rPr>
        <w:t>病</w:t>
      </w:r>
      <w:r>
        <w:rPr>
          <w:rFonts w:ascii="微软雅黑" w:eastAsia="微软雅黑"/>
          <w:b/>
          <w:color w:val="000000"/>
          <w:spacing w:val="-10"/>
          <w:w w:val="95"/>
          <w:sz w:val="22"/>
          <w:shd w:fill="D9D9D9" w:color="auto" w:val="clear"/>
        </w:rPr>
        <w:t>；</w:t>
      </w:r>
    </w:p>
    <w:p>
      <w:pPr>
        <w:pStyle w:val="ListParagraph"/>
        <w:numPr>
          <w:ilvl w:val="1"/>
          <w:numId w:val="29"/>
        </w:numPr>
        <w:tabs>
          <w:tab w:pos="3590" w:val="left" w:leader="none"/>
        </w:tabs>
        <w:spacing w:line="312" w:lineRule="exact" w:before="0" w:after="0"/>
        <w:ind w:left="3590" w:right="0" w:hanging="553"/>
        <w:jc w:val="left"/>
        <w:rPr>
          <w:rFonts w:ascii="微软雅黑" w:hAnsi="微软雅黑" w:eastAsia="微软雅黑"/>
          <w:b/>
          <w:sz w:val="22"/>
        </w:rPr>
      </w:pPr>
      <w:r>
        <w:rPr>
          <w:rFonts w:ascii="微软雅黑" w:hAnsi="微软雅黑" w:eastAsia="微软雅黑"/>
          <w:b/>
          <w:color w:val="000000"/>
          <w:w w:val="95"/>
          <w:sz w:val="22"/>
          <w:shd w:fill="D9D9D9" w:color="auto" w:val="clear"/>
        </w:rPr>
        <w:t>相</w:t>
      </w:r>
      <w:r>
        <w:rPr>
          <w:rFonts w:ascii="微软雅黑" w:hAnsi="微软雅黑" w:eastAsia="微软雅黑"/>
          <w:b/>
          <w:color w:val="000000"/>
          <w:w w:val="95"/>
          <w:sz w:val="22"/>
          <w:shd w:fill="D9D9D9" w:color="auto" w:val="clear"/>
        </w:rPr>
        <w:t>当</w:t>
      </w:r>
      <w:r>
        <w:rPr>
          <w:rFonts w:ascii="微软雅黑" w:hAnsi="微软雅黑" w:eastAsia="微软雅黑"/>
          <w:b/>
          <w:color w:val="000000"/>
          <w:w w:val="95"/>
          <w:sz w:val="22"/>
          <w:shd w:fill="D9D9D9" w:color="auto" w:val="clear"/>
        </w:rPr>
        <w:t>于Ann</w:t>
      </w:r>
      <w:r>
        <w:rPr>
          <w:rFonts w:ascii="微软雅黑" w:hAnsi="微软雅黑" w:eastAsia="微软雅黑"/>
          <w:b/>
          <w:color w:val="000000"/>
          <w:spacing w:val="73"/>
          <w:sz w:val="22"/>
          <w:shd w:fill="D9D9D9" w:color="auto" w:val="clear"/>
        </w:rPr>
        <w:t> </w:t>
      </w:r>
      <w:r>
        <w:rPr>
          <w:rFonts w:ascii="微软雅黑" w:hAnsi="微软雅黑" w:eastAsia="微软雅黑"/>
          <w:b/>
          <w:color w:val="000000"/>
          <w:w w:val="95"/>
          <w:sz w:val="22"/>
          <w:shd w:fill="D9D9D9" w:color="auto" w:val="clear"/>
        </w:rPr>
        <w:t>Arbor</w:t>
      </w:r>
      <w:r>
        <w:rPr>
          <w:rFonts w:ascii="微软雅黑" w:hAnsi="微软雅黑" w:eastAsia="微软雅黑"/>
          <w:b/>
          <w:color w:val="000000"/>
          <w:w w:val="95"/>
          <w:sz w:val="22"/>
          <w:shd w:fill="D9D9D9" w:color="auto" w:val="clear"/>
        </w:rPr>
        <w:t>分</w:t>
      </w:r>
      <w:r>
        <w:rPr>
          <w:rFonts w:ascii="微软雅黑" w:hAnsi="微软雅黑" w:eastAsia="微软雅黑"/>
          <w:b/>
          <w:color w:val="000000"/>
          <w:w w:val="95"/>
          <w:sz w:val="22"/>
          <w:shd w:fill="D9D9D9" w:color="auto" w:val="clear"/>
        </w:rPr>
        <w:t>期</w:t>
      </w:r>
      <w:r>
        <w:rPr>
          <w:rFonts w:ascii="微软雅黑" w:hAnsi="微软雅黑" w:eastAsia="微软雅黑"/>
          <w:b/>
          <w:color w:val="000000"/>
          <w:w w:val="95"/>
          <w:sz w:val="22"/>
          <w:shd w:fill="D9D9D9" w:color="auto" w:val="clear"/>
        </w:rPr>
        <w:t>方</w:t>
      </w:r>
      <w:r>
        <w:rPr>
          <w:rFonts w:ascii="微软雅黑" w:hAnsi="微软雅黑" w:eastAsia="微软雅黑"/>
          <w:b/>
          <w:color w:val="000000"/>
          <w:w w:val="95"/>
          <w:sz w:val="22"/>
          <w:shd w:fill="D9D9D9" w:color="auto" w:val="clear"/>
        </w:rPr>
        <w:t>案</w:t>
      </w:r>
      <w:r>
        <w:rPr>
          <w:rFonts w:ascii="微软雅黑" w:hAnsi="微软雅黑" w:eastAsia="微软雅黑"/>
          <w:b/>
          <w:color w:val="000000"/>
          <w:w w:val="95"/>
          <w:sz w:val="22"/>
          <w:shd w:fill="D9D9D9" w:color="auto" w:val="clear"/>
        </w:rPr>
        <w:t>Ⅰ</w:t>
      </w:r>
      <w:r>
        <w:rPr>
          <w:rFonts w:ascii="微软雅黑" w:hAnsi="微软雅黑" w:eastAsia="微软雅黑"/>
          <w:b/>
          <w:color w:val="000000"/>
          <w:w w:val="95"/>
          <w:sz w:val="22"/>
          <w:shd w:fill="D9D9D9" w:color="auto" w:val="clear"/>
        </w:rPr>
        <w:t>期</w:t>
      </w:r>
      <w:r>
        <w:rPr>
          <w:rFonts w:ascii="微软雅黑" w:hAnsi="微软雅黑" w:eastAsia="微软雅黑"/>
          <w:b/>
          <w:color w:val="000000"/>
          <w:w w:val="95"/>
          <w:sz w:val="22"/>
          <w:shd w:fill="D9D9D9" w:color="auto" w:val="clear"/>
        </w:rPr>
        <w:t>程</w:t>
      </w:r>
      <w:r>
        <w:rPr>
          <w:rFonts w:ascii="微软雅黑" w:hAnsi="微软雅黑" w:eastAsia="微软雅黑"/>
          <w:b/>
          <w:color w:val="000000"/>
          <w:w w:val="95"/>
          <w:sz w:val="22"/>
          <w:shd w:fill="D9D9D9" w:color="auto" w:val="clear"/>
        </w:rPr>
        <w:t>度</w:t>
      </w:r>
      <w:r>
        <w:rPr>
          <w:rFonts w:ascii="微软雅黑" w:hAnsi="微软雅黑" w:eastAsia="微软雅黑"/>
          <w:b/>
          <w:color w:val="000000"/>
          <w:w w:val="95"/>
          <w:sz w:val="22"/>
          <w:shd w:fill="D9D9D9" w:color="auto" w:val="clear"/>
        </w:rPr>
        <w:t>的</w:t>
      </w:r>
      <w:r>
        <w:rPr>
          <w:rFonts w:ascii="微软雅黑" w:hAnsi="微软雅黑" w:eastAsia="微软雅黑"/>
          <w:b/>
          <w:color w:val="000000"/>
          <w:w w:val="95"/>
          <w:sz w:val="22"/>
          <w:shd w:fill="D9D9D9" w:color="auto" w:val="clear"/>
        </w:rPr>
        <w:t>何</w:t>
      </w:r>
      <w:r>
        <w:rPr>
          <w:rFonts w:ascii="微软雅黑" w:hAnsi="微软雅黑" w:eastAsia="微软雅黑"/>
          <w:b/>
          <w:color w:val="000000"/>
          <w:w w:val="95"/>
          <w:sz w:val="22"/>
          <w:shd w:fill="D9D9D9" w:color="auto" w:val="clear"/>
        </w:rPr>
        <w:t>杰</w:t>
      </w:r>
      <w:r>
        <w:rPr>
          <w:rFonts w:ascii="微软雅黑" w:hAnsi="微软雅黑" w:eastAsia="微软雅黑"/>
          <w:b/>
          <w:color w:val="000000"/>
          <w:w w:val="95"/>
          <w:sz w:val="22"/>
          <w:shd w:fill="D9D9D9" w:color="auto" w:val="clear"/>
        </w:rPr>
        <w:t>金</w:t>
      </w:r>
      <w:r>
        <w:rPr>
          <w:rFonts w:ascii="微软雅黑" w:hAnsi="微软雅黑" w:eastAsia="微软雅黑"/>
          <w:b/>
          <w:color w:val="000000"/>
          <w:w w:val="95"/>
          <w:sz w:val="22"/>
          <w:shd w:fill="D9D9D9" w:color="auto" w:val="clear"/>
        </w:rPr>
        <w:t>氏</w:t>
      </w:r>
      <w:r>
        <w:rPr>
          <w:rFonts w:ascii="微软雅黑" w:hAnsi="微软雅黑" w:eastAsia="微软雅黑"/>
          <w:b/>
          <w:color w:val="000000"/>
          <w:w w:val="95"/>
          <w:sz w:val="22"/>
          <w:shd w:fill="D9D9D9" w:color="auto" w:val="clear"/>
        </w:rPr>
        <w:t>病</w:t>
      </w:r>
      <w:r>
        <w:rPr>
          <w:rFonts w:ascii="微软雅黑" w:hAnsi="微软雅黑" w:eastAsia="微软雅黑"/>
          <w:b/>
          <w:color w:val="000000"/>
          <w:spacing w:val="-10"/>
          <w:w w:val="95"/>
          <w:sz w:val="22"/>
          <w:shd w:fill="D9D9D9" w:color="auto" w:val="clear"/>
        </w:rPr>
        <w:t>；</w:t>
      </w:r>
    </w:p>
    <w:p>
      <w:pPr>
        <w:pStyle w:val="ListParagraph"/>
        <w:numPr>
          <w:ilvl w:val="1"/>
          <w:numId w:val="29"/>
        </w:numPr>
        <w:tabs>
          <w:tab w:pos="3590" w:val="left" w:leader="none"/>
        </w:tabs>
        <w:spacing w:line="184" w:lineRule="auto" w:before="9" w:after="0"/>
        <w:ind w:left="3037" w:right="411" w:firstLine="0"/>
        <w:jc w:val="left"/>
        <w:rPr>
          <w:rFonts w:ascii="微软雅黑" w:hAnsi="微软雅黑" w:eastAsia="微软雅黑"/>
          <w:b/>
          <w:sz w:val="22"/>
        </w:rPr>
      </w:pPr>
      <w:r>
        <w:rPr>
          <w:rFonts w:ascii="微软雅黑" w:hAnsi="微软雅黑" w:eastAsia="微软雅黑"/>
          <w:b/>
          <w:color w:val="000000"/>
          <w:w w:val="90"/>
          <w:sz w:val="22"/>
          <w:shd w:fill="D9D9D9" w:color="auto" w:val="clear"/>
        </w:rPr>
        <w:t>未</w:t>
      </w:r>
      <w:r>
        <w:rPr>
          <w:rFonts w:ascii="微软雅黑" w:hAnsi="微软雅黑" w:eastAsia="微软雅黑"/>
          <w:b/>
          <w:color w:val="000000"/>
          <w:w w:val="90"/>
          <w:sz w:val="22"/>
          <w:shd w:fill="D9D9D9" w:color="auto" w:val="clear"/>
        </w:rPr>
        <w:t>发</w:t>
      </w:r>
      <w:r>
        <w:rPr>
          <w:rFonts w:ascii="微软雅黑" w:hAnsi="微软雅黑" w:eastAsia="微软雅黑"/>
          <w:b/>
          <w:color w:val="000000"/>
          <w:w w:val="90"/>
          <w:sz w:val="22"/>
          <w:shd w:fill="D9D9D9" w:color="auto" w:val="clear"/>
        </w:rPr>
        <w:t>生</w:t>
      </w:r>
      <w:r>
        <w:rPr>
          <w:rFonts w:ascii="微软雅黑" w:hAnsi="微软雅黑" w:eastAsia="微软雅黑"/>
          <w:b/>
          <w:color w:val="000000"/>
          <w:w w:val="90"/>
          <w:sz w:val="22"/>
          <w:shd w:fill="D9D9D9" w:color="auto" w:val="clear"/>
        </w:rPr>
        <w:t>淋</w:t>
      </w:r>
      <w:r>
        <w:rPr>
          <w:rFonts w:ascii="微软雅黑" w:hAnsi="微软雅黑" w:eastAsia="微软雅黑"/>
          <w:b/>
          <w:color w:val="000000"/>
          <w:w w:val="90"/>
          <w:sz w:val="22"/>
          <w:shd w:fill="D9D9D9" w:color="auto" w:val="clear"/>
        </w:rPr>
        <w:t>巴</w:t>
      </w:r>
      <w:r>
        <w:rPr>
          <w:rFonts w:ascii="微软雅黑" w:hAnsi="微软雅黑" w:eastAsia="微软雅黑"/>
          <w:b/>
          <w:color w:val="000000"/>
          <w:w w:val="90"/>
          <w:sz w:val="22"/>
          <w:shd w:fill="D9D9D9" w:color="auto" w:val="clear"/>
        </w:rPr>
        <w:t>结</w:t>
      </w:r>
      <w:r>
        <w:rPr>
          <w:rFonts w:ascii="微软雅黑" w:hAnsi="微软雅黑" w:eastAsia="微软雅黑"/>
          <w:b/>
          <w:color w:val="000000"/>
          <w:w w:val="90"/>
          <w:sz w:val="22"/>
          <w:shd w:fill="D9D9D9" w:color="auto" w:val="clear"/>
        </w:rPr>
        <w:t>和</w:t>
      </w:r>
      <w:r>
        <w:rPr>
          <w:rFonts w:ascii="微软雅黑" w:hAnsi="微软雅黑" w:eastAsia="微软雅黑"/>
          <w:b/>
          <w:color w:val="000000"/>
          <w:w w:val="90"/>
          <w:sz w:val="22"/>
          <w:shd w:fill="D9D9D9" w:color="auto" w:val="clear"/>
        </w:rPr>
        <w:t>远</w:t>
      </w:r>
      <w:r>
        <w:rPr>
          <w:rFonts w:ascii="微软雅黑" w:hAnsi="微软雅黑" w:eastAsia="微软雅黑"/>
          <w:b/>
          <w:color w:val="000000"/>
          <w:w w:val="90"/>
          <w:sz w:val="22"/>
          <w:shd w:fill="D9D9D9" w:color="auto" w:val="clear"/>
        </w:rPr>
        <w:t>处</w:t>
      </w:r>
      <w:r>
        <w:rPr>
          <w:rFonts w:ascii="微软雅黑" w:hAnsi="微软雅黑" w:eastAsia="微软雅黑"/>
          <w:b/>
          <w:color w:val="000000"/>
          <w:w w:val="90"/>
          <w:sz w:val="22"/>
          <w:shd w:fill="D9D9D9" w:color="auto" w:val="clear"/>
        </w:rPr>
        <w:t>转</w:t>
      </w:r>
      <w:r>
        <w:rPr>
          <w:rFonts w:ascii="微软雅黑" w:hAnsi="微软雅黑" w:eastAsia="微软雅黑"/>
          <w:b/>
          <w:color w:val="000000"/>
          <w:w w:val="90"/>
          <w:sz w:val="22"/>
          <w:shd w:fill="D9D9D9" w:color="auto" w:val="clear"/>
        </w:rPr>
        <w:t>移</w:t>
      </w:r>
      <w:r>
        <w:rPr>
          <w:rFonts w:ascii="微软雅黑" w:hAnsi="微软雅黑" w:eastAsia="微软雅黑"/>
          <w:b/>
          <w:color w:val="000000"/>
          <w:w w:val="90"/>
          <w:sz w:val="22"/>
          <w:shd w:fill="D9D9D9" w:color="auto" w:val="clear"/>
        </w:rPr>
        <w:t>且</w:t>
      </w:r>
      <w:r>
        <w:rPr>
          <w:rFonts w:ascii="微软雅黑" w:hAnsi="微软雅黑" w:eastAsia="微软雅黑"/>
          <w:b/>
          <w:color w:val="000000"/>
          <w:w w:val="90"/>
          <w:sz w:val="22"/>
          <w:shd w:fill="D9D9D9" w:color="auto" w:val="clear"/>
        </w:rPr>
        <w:t>WHO</w:t>
      </w:r>
      <w:r>
        <w:rPr>
          <w:rFonts w:ascii="微软雅黑" w:hAnsi="微软雅黑" w:eastAsia="微软雅黑"/>
          <w:b/>
          <w:color w:val="000000"/>
          <w:w w:val="90"/>
          <w:sz w:val="22"/>
          <w:shd w:fill="D9D9D9" w:color="auto" w:val="clear"/>
        </w:rPr>
        <w:t>分</w:t>
      </w:r>
      <w:r>
        <w:rPr>
          <w:rFonts w:ascii="微软雅黑" w:hAnsi="微软雅黑" w:eastAsia="微软雅黑"/>
          <w:b/>
          <w:color w:val="000000"/>
          <w:w w:val="90"/>
          <w:sz w:val="22"/>
          <w:shd w:fill="D9D9D9" w:color="auto" w:val="clear"/>
        </w:rPr>
        <w:t>级</w:t>
      </w:r>
      <w:r>
        <w:rPr>
          <w:rFonts w:ascii="微软雅黑" w:hAnsi="微软雅黑" w:eastAsia="微软雅黑"/>
          <w:b/>
          <w:color w:val="000000"/>
          <w:w w:val="90"/>
          <w:sz w:val="22"/>
          <w:shd w:fill="D9D9D9" w:color="auto" w:val="clear"/>
        </w:rPr>
        <w:t>为</w:t>
      </w:r>
      <w:r>
        <w:rPr>
          <w:rFonts w:ascii="微软雅黑" w:hAnsi="微软雅黑" w:eastAsia="微软雅黑"/>
          <w:b/>
          <w:color w:val="000000"/>
          <w:w w:val="90"/>
          <w:sz w:val="22"/>
          <w:shd w:fill="D9D9D9" w:color="auto" w:val="clear"/>
        </w:rPr>
        <w:t>G1</w:t>
      </w:r>
      <w:r>
        <w:rPr>
          <w:rFonts w:ascii="微软雅黑" w:hAnsi="微软雅黑" w:eastAsia="微软雅黑"/>
          <w:b/>
          <w:color w:val="000000"/>
          <w:w w:val="90"/>
          <w:sz w:val="22"/>
          <w:shd w:fill="D9D9D9" w:color="auto" w:val="clear"/>
        </w:rPr>
        <w:t>级</w:t>
      </w:r>
      <w:r>
        <w:rPr>
          <w:rFonts w:ascii="微软雅黑" w:hAnsi="微软雅黑" w:eastAsia="微软雅黑"/>
          <w:b/>
          <w:color w:val="000000"/>
          <w:w w:val="90"/>
          <w:sz w:val="22"/>
          <w:shd w:fill="D9D9D9" w:color="auto" w:val="clear"/>
        </w:rPr>
        <w:t>别</w:t>
      </w:r>
      <w:r>
        <w:rPr>
          <w:rFonts w:ascii="微软雅黑" w:hAnsi="微软雅黑" w:eastAsia="微软雅黑"/>
          <w:b/>
          <w:color w:val="000000"/>
          <w:w w:val="90"/>
          <w:sz w:val="22"/>
          <w:shd w:fill="D9D9D9" w:color="auto" w:val="clear"/>
        </w:rPr>
        <w:t>（</w:t>
      </w:r>
      <w:r>
        <w:rPr>
          <w:rFonts w:ascii="微软雅黑" w:hAnsi="微软雅黑" w:eastAsia="微软雅黑"/>
          <w:b/>
          <w:color w:val="000000"/>
          <w:w w:val="90"/>
          <w:sz w:val="22"/>
          <w:shd w:fill="D9D9D9" w:color="auto" w:val="clear"/>
        </w:rPr>
        <w:t>核</w:t>
      </w:r>
      <w:r>
        <w:rPr>
          <w:rFonts w:ascii="微软雅黑" w:hAnsi="微软雅黑" w:eastAsia="微软雅黑"/>
          <w:b/>
          <w:color w:val="000000"/>
          <w:w w:val="90"/>
          <w:sz w:val="22"/>
          <w:shd w:fill="D9D9D9" w:color="auto" w:val="clear"/>
        </w:rPr>
        <w:t>分</w:t>
      </w:r>
      <w:r>
        <w:rPr>
          <w:rFonts w:ascii="微软雅黑" w:hAnsi="微软雅黑" w:eastAsia="微软雅黑"/>
          <w:b/>
          <w:color w:val="000000"/>
          <w:w w:val="90"/>
          <w:sz w:val="22"/>
          <w:shd w:fill="D9D9D9" w:color="auto" w:val="clear"/>
        </w:rPr>
        <w:t>裂</w:t>
      </w:r>
      <w:r>
        <w:rPr>
          <w:rFonts w:ascii="微软雅黑" w:hAnsi="微软雅黑" w:eastAsia="微软雅黑"/>
          <w:b/>
          <w:color w:val="000000"/>
          <w:w w:val="90"/>
          <w:sz w:val="22"/>
          <w:shd w:fill="D9D9D9" w:color="auto" w:val="clear"/>
        </w:rPr>
        <w:t>像</w:t>
      </w:r>
      <w:r>
        <w:rPr>
          <w:rFonts w:ascii="微软雅黑" w:hAnsi="微软雅黑" w:eastAsia="微软雅黑"/>
          <w:b/>
          <w:color w:val="000000"/>
          <w:w w:val="90"/>
          <w:sz w:val="22"/>
          <w:shd w:fill="D9D9D9" w:color="auto" w:val="clear"/>
        </w:rPr>
        <w:t>＜10/50</w:t>
      </w:r>
      <w:r>
        <w:rPr>
          <w:rFonts w:ascii="微软雅黑" w:hAnsi="微软雅黑" w:eastAsia="微软雅黑"/>
          <w:b/>
          <w:color w:val="000000"/>
          <w:spacing w:val="28"/>
          <w:w w:val="90"/>
          <w:sz w:val="22"/>
          <w:shd w:fill="D9D9D9" w:color="auto" w:val="clear"/>
        </w:rPr>
        <w:t> </w:t>
      </w:r>
      <w:r>
        <w:rPr>
          <w:rFonts w:ascii="微软雅黑" w:hAnsi="微软雅黑" w:eastAsia="微软雅黑"/>
          <w:b/>
          <w:color w:val="000000"/>
          <w:spacing w:val="28"/>
          <w:w w:val="90"/>
          <w:sz w:val="22"/>
        </w:rPr>
        <w:t> </w:t>
      </w:r>
      <w:r>
        <w:rPr>
          <w:rFonts w:ascii="微软雅黑" w:hAnsi="微软雅黑" w:eastAsia="微软雅黑"/>
          <w:b/>
          <w:color w:val="000000"/>
          <w:spacing w:val="-2"/>
          <w:sz w:val="22"/>
          <w:shd w:fill="D9D9D9" w:color="auto" w:val="clear"/>
        </w:rPr>
        <w:t>HPF和ki-</w:t>
      </w:r>
      <w:r>
        <w:rPr>
          <w:rFonts w:ascii="微软雅黑" w:hAnsi="微软雅黑" w:eastAsia="微软雅黑"/>
          <w:b/>
          <w:color w:val="000000"/>
          <w:spacing w:val="-2"/>
          <w:w w:val="94"/>
          <w:sz w:val="22"/>
          <w:shd w:fill="D9D9D9" w:color="auto" w:val="clear"/>
        </w:rPr>
        <w:t>67</w:t>
      </w:r>
      <w:r>
        <w:rPr>
          <w:rFonts w:ascii="微软雅黑" w:hAnsi="微软雅黑" w:eastAsia="微软雅黑"/>
          <w:b/>
          <w:color w:val="000000"/>
          <w:spacing w:val="-2"/>
          <w:w w:val="144"/>
          <w:sz w:val="22"/>
          <w:shd w:fill="D9D9D9" w:color="auto" w:val="clear"/>
        </w:rPr>
        <w:t>≤</w:t>
      </w:r>
      <w:r>
        <w:rPr>
          <w:rFonts w:ascii="微软雅黑" w:hAnsi="微软雅黑" w:eastAsia="微软雅黑"/>
          <w:b/>
          <w:color w:val="000000"/>
          <w:spacing w:val="-2"/>
          <w:w w:val="77"/>
          <w:sz w:val="22"/>
          <w:shd w:fill="D9D9D9" w:color="auto" w:val="clear"/>
        </w:rPr>
        <w:t>2%</w:t>
      </w:r>
      <w:r>
        <w:rPr>
          <w:rFonts w:ascii="微软雅黑" w:hAnsi="微软雅黑" w:eastAsia="微软雅黑"/>
          <w:b/>
          <w:color w:val="000000"/>
          <w:spacing w:val="-2"/>
          <w:w w:val="113"/>
          <w:sz w:val="22"/>
          <w:shd w:fill="D9D9D9" w:color="auto" w:val="clear"/>
        </w:rPr>
        <w:t>）</w:t>
      </w:r>
      <w:r>
        <w:rPr>
          <w:rFonts w:ascii="微软雅黑" w:hAnsi="微软雅黑" w:eastAsia="微软雅黑"/>
          <w:b/>
          <w:color w:val="000000"/>
          <w:spacing w:val="-2"/>
          <w:sz w:val="22"/>
          <w:shd w:fill="D9D9D9" w:color="auto" w:val="clear"/>
        </w:rPr>
        <w:t>或更轻分级的神经内分泌肿瘤。</w:t>
      </w:r>
    </w:p>
    <w:p>
      <w:pPr>
        <w:pStyle w:val="BodyText"/>
        <w:spacing w:before="14"/>
        <w:rPr>
          <w:rFonts w:ascii="微软雅黑"/>
          <w:b/>
          <w:sz w:val="5"/>
        </w:rPr>
      </w:pPr>
    </w:p>
    <w:p>
      <w:pPr>
        <w:spacing w:after="0"/>
        <w:rPr>
          <w:rFonts w:ascii="微软雅黑"/>
          <w:sz w:val="5"/>
        </w:rPr>
        <w:sectPr>
          <w:type w:val="continuous"/>
          <w:pgSz w:w="11910" w:h="16840"/>
          <w:pgMar w:header="566" w:footer="664" w:top="1340" w:bottom="860" w:left="900" w:right="720"/>
        </w:sectPr>
      </w:pPr>
    </w:p>
    <w:p>
      <w:pPr>
        <w:pStyle w:val="ListParagraph"/>
        <w:numPr>
          <w:ilvl w:val="2"/>
          <w:numId w:val="28"/>
        </w:numPr>
        <w:tabs>
          <w:tab w:pos="1190" w:val="left" w:leader="none"/>
          <w:tab w:pos="1191" w:val="left" w:leader="none"/>
        </w:tabs>
        <w:spacing w:line="350" w:lineRule="exact" w:before="5" w:after="0"/>
        <w:ind w:left="1190" w:right="0" w:hanging="959"/>
        <w:jc w:val="left"/>
        <w:rPr>
          <w:rFonts w:ascii="微软雅黑" w:eastAsia="微软雅黑"/>
          <w:b/>
          <w:sz w:val="21"/>
        </w:rPr>
      </w:pPr>
      <w:r>
        <w:rPr>
          <w:rFonts w:ascii="微软雅黑" w:eastAsia="微软雅黑"/>
          <w:b/>
          <w:spacing w:val="-2"/>
          <w:sz w:val="21"/>
        </w:rPr>
        <w:t>较重急性心肌梗</w:t>
      </w:r>
    </w:p>
    <w:p>
      <w:pPr>
        <w:spacing w:line="350" w:lineRule="exact" w:before="0"/>
        <w:ind w:left="1190" w:right="0" w:firstLine="0"/>
        <w:jc w:val="left"/>
        <w:rPr>
          <w:rFonts w:ascii="微软雅黑" w:eastAsia="微软雅黑"/>
          <w:b/>
          <w:sz w:val="21"/>
        </w:rPr>
      </w:pPr>
      <w:r>
        <w:rPr>
          <w:rFonts w:ascii="微软雅黑" w:eastAsia="微软雅黑"/>
          <w:b/>
          <w:w w:val="100"/>
          <w:sz w:val="21"/>
        </w:rPr>
        <w:t>死</w:t>
      </w:r>
    </w:p>
    <w:p>
      <w:pPr>
        <w:pStyle w:val="BodyText"/>
        <w:spacing w:line="278" w:lineRule="auto" w:before="72"/>
        <w:ind w:left="232" w:right="406"/>
      </w:pPr>
      <w:r>
        <w:rPr/>
        <w:br w:type="column"/>
      </w:r>
      <w:r>
        <w:rPr>
          <w:spacing w:val="-2"/>
        </w:rPr>
        <w:t>急性心肌梗死指由于冠状动脉闭塞或梗阻引起部分心肌严重的持久性缺血</w:t>
      </w:r>
      <w:r>
        <w:rPr>
          <w:spacing w:val="-10"/>
        </w:rPr>
        <w:t>造成急性心肌坏死。急性心肌梗死的诊断必须依据国际国内诊断标准，符合</w:t>
      </w:r>
    </w:p>
    <w:p>
      <w:pPr>
        <w:pStyle w:val="BodyText"/>
        <w:spacing w:line="278" w:lineRule="auto"/>
        <w:ind w:left="232" w:right="406"/>
        <w:jc w:val="both"/>
      </w:pPr>
      <w:r>
        <w:rPr>
          <w:spacing w:val="-4"/>
        </w:rPr>
        <w:t>（1）检测到肌酸激酶同工酶（CK-MB）或肌钙蛋白（cTn）升高和/或降低的</w:t>
      </w:r>
      <w:r>
        <w:rPr>
          <w:spacing w:val="-2"/>
        </w:rPr>
        <w:t>动态变化，至少一次达到或超过心肌梗死的临床诊断标准；（2）同时存在</w:t>
      </w:r>
      <w:r>
        <w:rPr>
          <w:spacing w:val="-4"/>
        </w:rPr>
        <w:t>下列之一的证据，包括：缺血性胸痛症状、新发生的缺血性心电图改变、新</w:t>
      </w:r>
      <w:r>
        <w:rPr>
          <w:spacing w:val="-2"/>
        </w:rPr>
        <w:t>生成的病理性Q波、影像学证据显示有新出现的心肌活性丧失或新出现局部</w:t>
      </w:r>
      <w:r>
        <w:rPr>
          <w:spacing w:val="-2"/>
        </w:rPr>
        <w:t>室壁运动异常、冠脉造影证实存在冠状动脉血栓。</w:t>
      </w:r>
    </w:p>
    <w:p>
      <w:pPr>
        <w:pStyle w:val="BodyText"/>
        <w:spacing w:line="278" w:lineRule="auto"/>
        <w:ind w:left="232" w:right="408"/>
      </w:pPr>
      <w:r>
        <w:rPr>
          <w:spacing w:val="-6"/>
        </w:rPr>
        <w:t>较重急性心肌梗死指依照上述标准被明确诊断为急性心肌梗死，并且必须同</w:t>
      </w:r>
      <w:r>
        <w:rPr>
          <w:spacing w:val="-2"/>
        </w:rPr>
        <w:t>时满足下列至少一项条件：</w:t>
      </w:r>
    </w:p>
    <w:p>
      <w:pPr>
        <w:pStyle w:val="ListParagraph"/>
        <w:numPr>
          <w:ilvl w:val="0"/>
          <w:numId w:val="30"/>
        </w:numPr>
        <w:tabs>
          <w:tab w:pos="762" w:val="left" w:leader="none"/>
        </w:tabs>
        <w:spacing w:line="278" w:lineRule="auto" w:before="0" w:after="0"/>
        <w:ind w:left="232" w:right="406" w:firstLine="0"/>
        <w:jc w:val="left"/>
        <w:rPr>
          <w:sz w:val="21"/>
        </w:rPr>
      </w:pPr>
      <w:r>
        <w:rPr>
          <w:spacing w:val="-2"/>
          <w:sz w:val="21"/>
        </w:rPr>
        <w:t>心肌损伤标志物肌钙蛋白（cTn）升高，至少一次检测结果达到该检验正常参考值上限的15倍（含）以上；</w:t>
      </w:r>
    </w:p>
    <w:p>
      <w:pPr>
        <w:pStyle w:val="ListParagraph"/>
        <w:numPr>
          <w:ilvl w:val="0"/>
          <w:numId w:val="30"/>
        </w:numPr>
        <w:tabs>
          <w:tab w:pos="762" w:val="left" w:leader="none"/>
        </w:tabs>
        <w:spacing w:line="278" w:lineRule="auto" w:before="0" w:after="0"/>
        <w:ind w:left="232" w:right="406" w:firstLine="0"/>
        <w:jc w:val="left"/>
        <w:rPr>
          <w:sz w:val="21"/>
        </w:rPr>
      </w:pPr>
      <w:r>
        <w:rPr>
          <w:spacing w:val="-2"/>
          <w:sz w:val="21"/>
        </w:rPr>
        <w:t>肌酸激酶同工酶（CK-MB）升高，至少一次检测结果达到该检验正常参考值上限的2倍（含）以上；</w:t>
      </w:r>
    </w:p>
    <w:p>
      <w:pPr>
        <w:spacing w:after="0" w:line="278" w:lineRule="auto"/>
        <w:jc w:val="left"/>
        <w:rPr>
          <w:sz w:val="21"/>
        </w:rPr>
        <w:sectPr>
          <w:type w:val="continuous"/>
          <w:pgSz w:w="11910" w:h="16840"/>
          <w:pgMar w:header="566" w:footer="664" w:top="1340" w:bottom="860" w:left="900" w:right="720"/>
          <w:cols w:num="2" w:equalWidth="0">
            <w:col w:w="2710" w:space="94"/>
            <w:col w:w="7486"/>
          </w:cols>
        </w:sectPr>
      </w:pPr>
    </w:p>
    <w:p>
      <w:pPr>
        <w:pStyle w:val="BodyText"/>
        <w:spacing w:before="11"/>
        <w:rPr>
          <w:sz w:val="16"/>
        </w:rPr>
      </w:pPr>
    </w:p>
    <w:p>
      <w:pPr>
        <w:pStyle w:val="BodyText"/>
        <w:spacing w:line="20" w:lineRule="exact"/>
        <w:ind w:left="232"/>
        <w:rPr>
          <w:sz w:val="2"/>
        </w:rPr>
      </w:pPr>
      <w:r>
        <w:rPr>
          <w:sz w:val="2"/>
        </w:rPr>
        <w:drawing>
          <wp:inline distT="0" distB="0" distL="0" distR="0">
            <wp:extent cx="1829511" cy="6095"/>
            <wp:effectExtent l="0" t="0" r="0" b="0"/>
            <wp:docPr id="51" name="image6.png"/>
            <wp:cNvGraphicFramePr>
              <a:graphicFrameLocks noChangeAspect="1"/>
            </wp:cNvGraphicFramePr>
            <a:graphic>
              <a:graphicData uri="http://schemas.openxmlformats.org/drawingml/2006/picture">
                <pic:pic>
                  <pic:nvPicPr>
                    <pic:cNvPr id="52" name="image6.png"/>
                    <pic:cNvPicPr/>
                  </pic:nvPicPr>
                  <pic:blipFill>
                    <a:blip r:embed="rId11" cstate="print"/>
                    <a:stretch>
                      <a:fillRect/>
                    </a:stretch>
                  </pic:blipFill>
                  <pic:spPr>
                    <a:xfrm>
                      <a:off x="0" y="0"/>
                      <a:ext cx="1829511" cy="6095"/>
                    </a:xfrm>
                    <a:prstGeom prst="rect">
                      <a:avLst/>
                    </a:prstGeom>
                  </pic:spPr>
                </pic:pic>
              </a:graphicData>
            </a:graphic>
          </wp:inline>
        </w:drawing>
      </w:r>
      <w:r>
        <w:rPr>
          <w:sz w:val="2"/>
        </w:rPr>
      </w:r>
    </w:p>
    <w:p>
      <w:pPr>
        <w:spacing w:line="170" w:lineRule="auto" w:before="111"/>
        <w:ind w:left="374" w:right="412" w:hanging="143"/>
        <w:jc w:val="both"/>
        <w:rPr>
          <w:rFonts w:ascii="微软雅黑" w:eastAsia="微软雅黑"/>
          <w:b/>
          <w:sz w:val="20"/>
        </w:rPr>
      </w:pPr>
      <w:r>
        <w:rPr>
          <w:rFonts w:ascii="微软雅黑" w:eastAsia="微软雅黑"/>
          <w:b/>
          <w:spacing w:val="2"/>
          <w:w w:val="69"/>
          <w:sz w:val="20"/>
          <w:vertAlign w:val="superscript"/>
        </w:rPr>
        <w:t>2</w:t>
      </w:r>
      <w:r>
        <w:rPr>
          <w:rFonts w:ascii="微软雅黑" w:eastAsia="微软雅黑"/>
          <w:b/>
          <w:w w:val="69"/>
          <w:sz w:val="20"/>
          <w:vertAlign w:val="superscript"/>
        </w:rPr>
        <w:t>2</w:t>
      </w:r>
      <w:r>
        <w:rPr>
          <w:rFonts w:ascii="微软雅黑" w:eastAsia="微软雅黑"/>
          <w:b/>
          <w:spacing w:val="-8"/>
          <w:sz w:val="20"/>
          <w:vertAlign w:val="baseline"/>
        </w:rPr>
        <w:t>  </w:t>
      </w:r>
      <w:r>
        <w:rPr>
          <w:rFonts w:ascii="微软雅黑" w:eastAsia="微软雅黑"/>
          <w:b/>
          <w:w w:val="99"/>
          <w:sz w:val="20"/>
          <w:vertAlign w:val="baseline"/>
        </w:rPr>
        <w:t>组织病理学检查</w:t>
      </w:r>
      <w:r>
        <w:rPr>
          <w:spacing w:val="-12"/>
          <w:w w:val="99"/>
          <w:sz w:val="20"/>
          <w:vertAlign w:val="baseline"/>
        </w:rPr>
        <w:t>是通过局部切除、钳取、穿刺等手术方法，从患者机体采取病变组织块，经过包埋、切片后，</w:t>
      </w:r>
      <w:r>
        <w:rPr>
          <w:spacing w:val="-6"/>
          <w:w w:val="99"/>
          <w:sz w:val="20"/>
          <w:vertAlign w:val="baseline"/>
        </w:rPr>
        <w:t>进行病理检查的方法。</w:t>
      </w:r>
      <w:r>
        <w:rPr>
          <w:rFonts w:ascii="微软雅黑" w:eastAsia="微软雅黑"/>
          <w:b/>
          <w:color w:val="000000"/>
          <w:w w:val="99"/>
          <w:sz w:val="20"/>
          <w:shd w:fill="D9D9D9" w:color="auto" w:val="clear"/>
          <w:vertAlign w:val="baseline"/>
        </w:rPr>
        <w:t>通过采集病变部位脱落细胞、细针吸取病变部位细胞、体腔积液分离病变细胞等方式</w:t>
      </w:r>
      <w:r>
        <w:rPr>
          <w:rFonts w:ascii="微软雅黑" w:eastAsia="微软雅黑"/>
          <w:b/>
          <w:color w:val="000000"/>
          <w:w w:val="99"/>
          <w:sz w:val="20"/>
          <w:shd w:fill="D9D9D9" w:color="auto" w:val="clear"/>
          <w:vertAlign w:val="baseline"/>
        </w:rPr>
        <w:t>                                                                                                                                                                                                                                                                                                                          获取病变细胞，制成涂片，进行病理检查的方法，属于细胞病理学检查，不属于组织病理学检查。</w:t>
      </w:r>
    </w:p>
    <w:p>
      <w:pPr>
        <w:spacing w:line="277" w:lineRule="exact" w:before="0"/>
        <w:ind w:left="232" w:right="0" w:firstLine="0"/>
        <w:jc w:val="left"/>
        <w:rPr>
          <w:sz w:val="20"/>
        </w:rPr>
      </w:pPr>
      <w:r>
        <w:rPr>
          <w:rFonts w:ascii="微软雅黑" w:eastAsia="微软雅黑"/>
          <w:b/>
          <w:w w:val="95"/>
          <w:sz w:val="20"/>
          <w:vertAlign w:val="superscript"/>
        </w:rPr>
        <w:t>23</w:t>
      </w:r>
      <w:r>
        <w:rPr>
          <w:rFonts w:ascii="微软雅黑" w:eastAsia="微软雅黑"/>
          <w:b/>
          <w:spacing w:val="26"/>
          <w:sz w:val="20"/>
          <w:vertAlign w:val="baseline"/>
        </w:rPr>
        <w:t>  </w:t>
      </w:r>
      <w:r>
        <w:rPr>
          <w:rFonts w:ascii="Times New Roman" w:eastAsia="Times New Roman"/>
          <w:b/>
          <w:w w:val="95"/>
          <w:sz w:val="20"/>
          <w:vertAlign w:val="baseline"/>
        </w:rPr>
        <w:t>ICD-10</w:t>
      </w:r>
      <w:r>
        <w:rPr>
          <w:rFonts w:ascii="Times New Roman" w:eastAsia="Times New Roman"/>
          <w:b/>
          <w:spacing w:val="36"/>
          <w:sz w:val="20"/>
          <w:vertAlign w:val="baseline"/>
        </w:rPr>
        <w:t> </w:t>
      </w:r>
      <w:r>
        <w:rPr>
          <w:rFonts w:ascii="微软雅黑" w:eastAsia="微软雅黑"/>
          <w:b/>
          <w:w w:val="95"/>
          <w:sz w:val="20"/>
          <w:vertAlign w:val="baseline"/>
        </w:rPr>
        <w:t>与</w:t>
      </w:r>
      <w:r>
        <w:rPr>
          <w:rFonts w:ascii="微软雅黑" w:eastAsia="微软雅黑"/>
          <w:b/>
          <w:spacing w:val="28"/>
          <w:sz w:val="20"/>
          <w:vertAlign w:val="baseline"/>
        </w:rPr>
        <w:t> </w:t>
      </w:r>
      <w:r>
        <w:rPr>
          <w:rFonts w:ascii="Times New Roman" w:eastAsia="Times New Roman"/>
          <w:b/>
          <w:w w:val="95"/>
          <w:sz w:val="20"/>
          <w:vertAlign w:val="baseline"/>
        </w:rPr>
        <w:t>ICD-0-3</w:t>
      </w:r>
      <w:r>
        <w:rPr>
          <w:spacing w:val="-100"/>
          <w:w w:val="95"/>
          <w:sz w:val="20"/>
          <w:vertAlign w:val="baseline"/>
        </w:rPr>
        <w:t>《：</w:t>
      </w:r>
      <w:r>
        <w:rPr>
          <w:w w:val="95"/>
          <w:sz w:val="20"/>
          <w:vertAlign w:val="baseline"/>
        </w:rPr>
        <w:t>疾</w:t>
      </w:r>
      <w:r>
        <w:rPr>
          <w:w w:val="95"/>
          <w:sz w:val="20"/>
          <w:vertAlign w:val="baseline"/>
        </w:rPr>
        <w:t>病</w:t>
      </w:r>
      <w:r>
        <w:rPr>
          <w:w w:val="95"/>
          <w:sz w:val="20"/>
          <w:vertAlign w:val="baseline"/>
        </w:rPr>
        <w:t>和</w:t>
      </w:r>
      <w:r>
        <w:rPr>
          <w:w w:val="95"/>
          <w:sz w:val="20"/>
          <w:vertAlign w:val="baseline"/>
        </w:rPr>
        <w:t>有</w:t>
      </w:r>
      <w:r>
        <w:rPr>
          <w:w w:val="95"/>
          <w:sz w:val="20"/>
          <w:vertAlign w:val="baseline"/>
        </w:rPr>
        <w:t>关</w:t>
      </w:r>
      <w:r>
        <w:rPr>
          <w:w w:val="95"/>
          <w:sz w:val="20"/>
          <w:vertAlign w:val="baseline"/>
        </w:rPr>
        <w:t>健</w:t>
      </w:r>
      <w:r>
        <w:rPr>
          <w:w w:val="95"/>
          <w:sz w:val="20"/>
          <w:vertAlign w:val="baseline"/>
        </w:rPr>
        <w:t>康</w:t>
      </w:r>
      <w:r>
        <w:rPr>
          <w:w w:val="95"/>
          <w:sz w:val="20"/>
          <w:vertAlign w:val="baseline"/>
        </w:rPr>
        <w:t>问</w:t>
      </w:r>
      <w:r>
        <w:rPr>
          <w:w w:val="95"/>
          <w:sz w:val="20"/>
          <w:vertAlign w:val="baseline"/>
        </w:rPr>
        <w:t>题</w:t>
      </w:r>
      <w:r>
        <w:rPr>
          <w:w w:val="95"/>
          <w:sz w:val="20"/>
          <w:vertAlign w:val="baseline"/>
        </w:rPr>
        <w:t>的</w:t>
      </w:r>
      <w:r>
        <w:rPr>
          <w:w w:val="95"/>
          <w:sz w:val="20"/>
          <w:vertAlign w:val="baseline"/>
        </w:rPr>
        <w:t>国</w:t>
      </w:r>
      <w:r>
        <w:rPr>
          <w:w w:val="95"/>
          <w:sz w:val="20"/>
          <w:vertAlign w:val="baseline"/>
        </w:rPr>
        <w:t>际统计</w:t>
      </w:r>
      <w:r>
        <w:rPr>
          <w:w w:val="95"/>
          <w:sz w:val="20"/>
          <w:vertAlign w:val="baseline"/>
        </w:rPr>
        <w:t>分</w:t>
      </w:r>
      <w:r>
        <w:rPr>
          <w:w w:val="95"/>
          <w:sz w:val="20"/>
          <w:vertAlign w:val="baseline"/>
        </w:rPr>
        <w:t>类</w:t>
      </w:r>
      <w:r>
        <w:rPr>
          <w:spacing w:val="-34"/>
          <w:w w:val="95"/>
          <w:sz w:val="20"/>
          <w:vertAlign w:val="baseline"/>
        </w:rPr>
        <w:t>》第十</w:t>
      </w:r>
      <w:r>
        <w:rPr>
          <w:w w:val="95"/>
          <w:sz w:val="20"/>
          <w:vertAlign w:val="baseline"/>
        </w:rPr>
        <w:t>次</w:t>
      </w:r>
      <w:r>
        <w:rPr>
          <w:w w:val="95"/>
          <w:sz w:val="20"/>
          <w:vertAlign w:val="baseline"/>
        </w:rPr>
        <w:t>修</w:t>
      </w:r>
      <w:r>
        <w:rPr>
          <w:spacing w:val="-50"/>
          <w:w w:val="95"/>
          <w:sz w:val="20"/>
          <w:vertAlign w:val="baseline"/>
        </w:rPr>
        <w:t>订版</w:t>
      </w:r>
      <w:r>
        <w:rPr>
          <w:w w:val="95"/>
          <w:sz w:val="20"/>
          <w:vertAlign w:val="baseline"/>
        </w:rPr>
        <w:t>（</w:t>
      </w:r>
      <w:r>
        <w:rPr>
          <w:rFonts w:ascii="Times New Roman" w:eastAsia="Times New Roman"/>
          <w:w w:val="95"/>
          <w:sz w:val="20"/>
          <w:vertAlign w:val="baseline"/>
        </w:rPr>
        <w:t>ICD-</w:t>
      </w:r>
      <w:r>
        <w:rPr>
          <w:rFonts w:ascii="Times New Roman" w:eastAsia="Times New Roman"/>
          <w:spacing w:val="50"/>
          <w:w w:val="95"/>
          <w:sz w:val="20"/>
          <w:vertAlign w:val="baseline"/>
        </w:rPr>
        <w:t>10</w:t>
      </w:r>
      <w:r>
        <w:rPr>
          <w:spacing w:val="-52"/>
          <w:w w:val="95"/>
          <w:sz w:val="20"/>
          <w:vertAlign w:val="baseline"/>
        </w:rPr>
        <w:t>）</w:t>
      </w:r>
      <w:r>
        <w:rPr>
          <w:spacing w:val="-17"/>
          <w:w w:val="95"/>
          <w:sz w:val="20"/>
          <w:vertAlign w:val="baseline"/>
        </w:rPr>
        <w:t>，是世</w:t>
      </w:r>
      <w:r>
        <w:rPr>
          <w:w w:val="95"/>
          <w:sz w:val="20"/>
          <w:vertAlign w:val="baseline"/>
        </w:rPr>
        <w:t>界</w:t>
      </w:r>
      <w:r>
        <w:rPr>
          <w:w w:val="95"/>
          <w:sz w:val="20"/>
          <w:vertAlign w:val="baseline"/>
        </w:rPr>
        <w:t>卫</w:t>
      </w:r>
      <w:r>
        <w:rPr>
          <w:spacing w:val="-33"/>
          <w:w w:val="95"/>
          <w:sz w:val="20"/>
          <w:vertAlign w:val="baseline"/>
        </w:rPr>
        <w:t>生组织</w:t>
      </w:r>
      <w:r>
        <w:rPr>
          <w:spacing w:val="-2"/>
          <w:w w:val="95"/>
          <w:sz w:val="20"/>
          <w:vertAlign w:val="baseline"/>
        </w:rPr>
        <w:t>（</w:t>
      </w:r>
      <w:r>
        <w:rPr>
          <w:rFonts w:ascii="Times New Roman" w:eastAsia="Times New Roman"/>
          <w:spacing w:val="-2"/>
          <w:w w:val="95"/>
          <w:sz w:val="20"/>
          <w:vertAlign w:val="baseline"/>
        </w:rPr>
        <w:t>WHO</w:t>
      </w:r>
      <w:r>
        <w:rPr>
          <w:spacing w:val="-2"/>
          <w:w w:val="95"/>
          <w:sz w:val="20"/>
          <w:vertAlign w:val="baseline"/>
        </w:rPr>
        <w:t>）</w:t>
      </w:r>
    </w:p>
    <w:p>
      <w:pPr>
        <w:spacing w:line="236" w:lineRule="exact" w:before="0"/>
        <w:ind w:left="374" w:right="0" w:firstLine="0"/>
        <w:jc w:val="left"/>
        <w:rPr>
          <w:rFonts w:ascii="Times New Roman" w:eastAsia="Times New Roman"/>
          <w:sz w:val="20"/>
        </w:rPr>
      </w:pPr>
      <w:r>
        <w:rPr>
          <w:w w:val="95"/>
          <w:sz w:val="20"/>
        </w:rPr>
        <w:t>发</w:t>
      </w:r>
      <w:r>
        <w:rPr>
          <w:w w:val="95"/>
          <w:sz w:val="20"/>
        </w:rPr>
        <w:t>布</w:t>
      </w:r>
      <w:r>
        <w:rPr>
          <w:w w:val="95"/>
          <w:sz w:val="20"/>
        </w:rPr>
        <w:t>的</w:t>
      </w:r>
      <w:r>
        <w:rPr>
          <w:w w:val="95"/>
          <w:sz w:val="20"/>
        </w:rPr>
        <w:t>国</w:t>
      </w:r>
      <w:r>
        <w:rPr>
          <w:w w:val="95"/>
          <w:sz w:val="20"/>
        </w:rPr>
        <w:t>际</w:t>
      </w:r>
      <w:r>
        <w:rPr>
          <w:w w:val="95"/>
          <w:sz w:val="20"/>
        </w:rPr>
        <w:t>通</w:t>
      </w:r>
      <w:r>
        <w:rPr>
          <w:w w:val="95"/>
          <w:sz w:val="20"/>
        </w:rPr>
        <w:t>用</w:t>
      </w:r>
      <w:r>
        <w:rPr>
          <w:w w:val="95"/>
          <w:sz w:val="20"/>
        </w:rPr>
        <w:t>的</w:t>
      </w:r>
      <w:r>
        <w:rPr>
          <w:w w:val="95"/>
          <w:sz w:val="20"/>
        </w:rPr>
        <w:t>疾</w:t>
      </w:r>
      <w:r>
        <w:rPr>
          <w:w w:val="95"/>
          <w:sz w:val="20"/>
        </w:rPr>
        <w:t>病分类</w:t>
      </w:r>
      <w:r>
        <w:rPr>
          <w:w w:val="95"/>
          <w:sz w:val="20"/>
        </w:rPr>
        <w:t>方</w:t>
      </w:r>
      <w:r>
        <w:rPr>
          <w:w w:val="95"/>
          <w:sz w:val="20"/>
        </w:rPr>
        <w:t>法</w:t>
      </w:r>
      <w:r>
        <w:rPr>
          <w:spacing w:val="-99"/>
          <w:w w:val="95"/>
          <w:sz w:val="20"/>
        </w:rPr>
        <w:t>。</w:t>
      </w:r>
      <w:r>
        <w:rPr>
          <w:w w:val="95"/>
          <w:sz w:val="20"/>
        </w:rPr>
        <w:t>《</w:t>
      </w:r>
      <w:r>
        <w:rPr>
          <w:w w:val="95"/>
          <w:sz w:val="20"/>
        </w:rPr>
        <w:t>国</w:t>
      </w:r>
      <w:r>
        <w:rPr>
          <w:w w:val="95"/>
          <w:sz w:val="20"/>
        </w:rPr>
        <w:t>际</w:t>
      </w:r>
      <w:r>
        <w:rPr>
          <w:w w:val="95"/>
          <w:sz w:val="20"/>
        </w:rPr>
        <w:t>疾</w:t>
      </w:r>
      <w:r>
        <w:rPr>
          <w:w w:val="95"/>
          <w:sz w:val="20"/>
        </w:rPr>
        <w:t>病</w:t>
      </w:r>
      <w:r>
        <w:rPr>
          <w:w w:val="95"/>
          <w:sz w:val="20"/>
        </w:rPr>
        <w:t>分</w:t>
      </w:r>
      <w:r>
        <w:rPr>
          <w:w w:val="95"/>
          <w:sz w:val="20"/>
        </w:rPr>
        <w:t>类</w:t>
      </w:r>
      <w:r>
        <w:rPr>
          <w:w w:val="95"/>
          <w:sz w:val="20"/>
        </w:rPr>
        <w:t>肿</w:t>
      </w:r>
      <w:r>
        <w:rPr>
          <w:w w:val="95"/>
          <w:sz w:val="20"/>
        </w:rPr>
        <w:t>瘤</w:t>
      </w:r>
      <w:r>
        <w:rPr>
          <w:w w:val="95"/>
          <w:sz w:val="20"/>
        </w:rPr>
        <w:t>学</w:t>
      </w:r>
      <w:r>
        <w:rPr>
          <w:w w:val="95"/>
          <w:sz w:val="20"/>
        </w:rPr>
        <w:t>专</w:t>
      </w:r>
      <w:r>
        <w:rPr>
          <w:w w:val="95"/>
          <w:sz w:val="20"/>
        </w:rPr>
        <w:t>辑</w:t>
      </w:r>
      <w:r>
        <w:rPr>
          <w:w w:val="95"/>
          <w:sz w:val="20"/>
        </w:rPr>
        <w:t>》</w:t>
      </w:r>
      <w:r>
        <w:rPr>
          <w:w w:val="95"/>
          <w:sz w:val="20"/>
        </w:rPr>
        <w:t>第</w:t>
      </w:r>
      <w:r>
        <w:rPr>
          <w:w w:val="95"/>
          <w:sz w:val="20"/>
        </w:rPr>
        <w:t>三</w:t>
      </w:r>
      <w:r>
        <w:rPr>
          <w:w w:val="95"/>
          <w:sz w:val="20"/>
        </w:rPr>
        <w:t>版</w:t>
      </w:r>
      <w:r>
        <w:rPr>
          <w:w w:val="95"/>
          <w:sz w:val="20"/>
        </w:rPr>
        <w:t>（</w:t>
      </w:r>
      <w:r>
        <w:rPr>
          <w:rFonts w:ascii="Times New Roman" w:eastAsia="Times New Roman"/>
          <w:w w:val="95"/>
          <w:sz w:val="20"/>
        </w:rPr>
        <w:t>ICD-0-</w:t>
      </w:r>
      <w:r>
        <w:rPr>
          <w:rFonts w:ascii="Times New Roman" w:eastAsia="Times New Roman"/>
          <w:spacing w:val="35"/>
          <w:w w:val="95"/>
          <w:sz w:val="20"/>
        </w:rPr>
        <w:t>3</w:t>
      </w:r>
      <w:r>
        <w:rPr>
          <w:spacing w:val="-67"/>
          <w:w w:val="95"/>
          <w:sz w:val="20"/>
        </w:rPr>
        <w:t>）</w:t>
      </w:r>
      <w:r>
        <w:rPr>
          <w:spacing w:val="32"/>
          <w:w w:val="95"/>
          <w:sz w:val="20"/>
        </w:rPr>
        <w:t>，</w:t>
      </w:r>
      <w:r>
        <w:rPr>
          <w:w w:val="95"/>
          <w:sz w:val="20"/>
        </w:rPr>
        <w:t>是</w:t>
      </w:r>
      <w:r>
        <w:rPr>
          <w:spacing w:val="49"/>
          <w:sz w:val="20"/>
        </w:rPr>
        <w:t> </w:t>
      </w:r>
      <w:r>
        <w:rPr>
          <w:rFonts w:ascii="Times New Roman" w:eastAsia="Times New Roman"/>
          <w:w w:val="95"/>
          <w:sz w:val="20"/>
        </w:rPr>
        <w:t>WHO</w:t>
      </w:r>
      <w:r>
        <w:rPr>
          <w:rFonts w:ascii="Times New Roman" w:eastAsia="Times New Roman"/>
          <w:spacing w:val="71"/>
          <w:w w:val="150"/>
          <w:sz w:val="20"/>
        </w:rPr>
        <w:t> </w:t>
      </w:r>
      <w:r>
        <w:rPr>
          <w:w w:val="95"/>
          <w:sz w:val="20"/>
        </w:rPr>
        <w:t>发</w:t>
      </w:r>
      <w:r>
        <w:rPr>
          <w:w w:val="95"/>
          <w:sz w:val="20"/>
        </w:rPr>
        <w:t>布</w:t>
      </w:r>
      <w:r>
        <w:rPr>
          <w:w w:val="95"/>
          <w:sz w:val="20"/>
        </w:rPr>
        <w:t>的</w:t>
      </w:r>
      <w:r>
        <w:rPr>
          <w:w w:val="95"/>
          <w:sz w:val="20"/>
        </w:rPr>
        <w:t>针</w:t>
      </w:r>
      <w:r>
        <w:rPr>
          <w:w w:val="95"/>
          <w:sz w:val="20"/>
        </w:rPr>
        <w:t>对</w:t>
      </w:r>
      <w:r>
        <w:rPr>
          <w:spacing w:val="46"/>
          <w:sz w:val="20"/>
        </w:rPr>
        <w:t> </w:t>
      </w:r>
      <w:r>
        <w:rPr>
          <w:rFonts w:ascii="Times New Roman" w:eastAsia="Times New Roman"/>
          <w:spacing w:val="-5"/>
          <w:w w:val="95"/>
          <w:sz w:val="20"/>
        </w:rPr>
        <w:t>ICD</w:t>
      </w:r>
    </w:p>
    <w:p>
      <w:pPr>
        <w:spacing w:line="242" w:lineRule="auto" w:before="3"/>
        <w:ind w:left="374" w:right="411" w:firstLine="0"/>
        <w:jc w:val="left"/>
        <w:rPr>
          <w:sz w:val="20"/>
        </w:rPr>
      </w:pPr>
      <w:r>
        <w:rPr>
          <w:sz w:val="20"/>
        </w:rPr>
        <w:t>中</w:t>
      </w:r>
      <w:r>
        <w:rPr>
          <w:sz w:val="20"/>
        </w:rPr>
        <w:t>肿</w:t>
      </w:r>
      <w:r>
        <w:rPr>
          <w:sz w:val="20"/>
        </w:rPr>
        <w:t>瘤</w:t>
      </w:r>
      <w:r>
        <w:rPr>
          <w:sz w:val="20"/>
        </w:rPr>
        <w:t>形</w:t>
      </w:r>
      <w:r>
        <w:rPr>
          <w:sz w:val="20"/>
        </w:rPr>
        <w:t>态</w:t>
      </w:r>
      <w:r>
        <w:rPr>
          <w:sz w:val="20"/>
        </w:rPr>
        <w:t>学</w:t>
      </w:r>
      <w:r>
        <w:rPr>
          <w:sz w:val="20"/>
        </w:rPr>
        <w:t>组</w:t>
      </w:r>
      <w:r>
        <w:rPr>
          <w:sz w:val="20"/>
        </w:rPr>
        <w:t>织</w:t>
      </w:r>
      <w:r>
        <w:rPr>
          <w:sz w:val="20"/>
        </w:rPr>
        <w:t>学</w:t>
      </w:r>
      <w:r>
        <w:rPr>
          <w:sz w:val="20"/>
        </w:rPr>
        <w:t>细胞类</w:t>
      </w:r>
      <w:r>
        <w:rPr>
          <w:sz w:val="20"/>
        </w:rPr>
        <w:t>型</w:t>
      </w:r>
      <w:r>
        <w:rPr>
          <w:sz w:val="20"/>
        </w:rPr>
        <w:t>、</w:t>
      </w:r>
      <w:r>
        <w:rPr>
          <w:sz w:val="20"/>
        </w:rPr>
        <w:t>动</w:t>
      </w:r>
      <w:r>
        <w:rPr>
          <w:sz w:val="20"/>
        </w:rPr>
        <w:t>态</w:t>
      </w:r>
      <w:r>
        <w:rPr>
          <w:sz w:val="20"/>
        </w:rPr>
        <w:t>、</w:t>
      </w:r>
      <w:r>
        <w:rPr>
          <w:sz w:val="20"/>
        </w:rPr>
        <w:t>分</w:t>
      </w:r>
      <w:r>
        <w:rPr>
          <w:sz w:val="20"/>
        </w:rPr>
        <w:t>化</w:t>
      </w:r>
      <w:r>
        <w:rPr>
          <w:sz w:val="20"/>
        </w:rPr>
        <w:t>程</w:t>
      </w:r>
      <w:r>
        <w:rPr>
          <w:sz w:val="20"/>
        </w:rPr>
        <w:t>度</w:t>
      </w:r>
      <w:r>
        <w:rPr>
          <w:sz w:val="20"/>
        </w:rPr>
        <w:t>的</w:t>
      </w:r>
      <w:r>
        <w:rPr>
          <w:sz w:val="20"/>
        </w:rPr>
        <w:t>补</w:t>
      </w:r>
      <w:r>
        <w:rPr>
          <w:sz w:val="20"/>
        </w:rPr>
        <w:t>充</w:t>
      </w:r>
      <w:r>
        <w:rPr>
          <w:sz w:val="20"/>
        </w:rPr>
        <w:t>编</w:t>
      </w:r>
      <w:r>
        <w:rPr>
          <w:sz w:val="20"/>
        </w:rPr>
        <w:t>码</w:t>
      </w:r>
      <w:r>
        <w:rPr>
          <w:sz w:val="20"/>
        </w:rPr>
        <w:t>。</w:t>
      </w:r>
      <w:r>
        <w:rPr>
          <w:sz w:val="20"/>
        </w:rPr>
        <w:t>其</w:t>
      </w:r>
      <w:r>
        <w:rPr>
          <w:sz w:val="20"/>
        </w:rPr>
        <w:t>中</w:t>
      </w:r>
      <w:r>
        <w:rPr>
          <w:sz w:val="20"/>
        </w:rPr>
        <w:t>形</w:t>
      </w:r>
      <w:r>
        <w:rPr>
          <w:sz w:val="20"/>
        </w:rPr>
        <w:t>态</w:t>
      </w:r>
      <w:r>
        <w:rPr>
          <w:sz w:val="20"/>
        </w:rPr>
        <w:t>学</w:t>
      </w:r>
      <w:r>
        <w:rPr>
          <w:sz w:val="20"/>
        </w:rPr>
        <w:t>编</w:t>
      </w:r>
      <w:r>
        <w:rPr>
          <w:sz w:val="20"/>
        </w:rPr>
        <w:t>码</w:t>
      </w:r>
      <w:r>
        <w:rPr>
          <w:sz w:val="20"/>
        </w:rPr>
        <w:t>：</w:t>
      </w:r>
      <w:r>
        <w:rPr>
          <w:rFonts w:ascii="Times New Roman" w:eastAsia="Times New Roman"/>
          <w:sz w:val="20"/>
        </w:rPr>
        <w:t>0</w:t>
      </w:r>
      <w:r>
        <w:rPr>
          <w:rFonts w:ascii="Times New Roman" w:eastAsia="Times New Roman"/>
          <w:spacing w:val="-13"/>
          <w:sz w:val="20"/>
        </w:rPr>
        <w:t> </w:t>
      </w:r>
      <w:r>
        <w:rPr>
          <w:sz w:val="20"/>
        </w:rPr>
        <w:t>代</w:t>
      </w:r>
      <w:r>
        <w:rPr>
          <w:sz w:val="20"/>
        </w:rPr>
        <w:t>表</w:t>
      </w:r>
      <w:r>
        <w:rPr>
          <w:sz w:val="20"/>
        </w:rPr>
        <w:t>良</w:t>
      </w:r>
      <w:r>
        <w:rPr>
          <w:sz w:val="20"/>
        </w:rPr>
        <w:t>性</w:t>
      </w:r>
      <w:r>
        <w:rPr>
          <w:sz w:val="20"/>
        </w:rPr>
        <w:t>肿</w:t>
      </w:r>
      <w:r>
        <w:rPr>
          <w:sz w:val="20"/>
        </w:rPr>
        <w:t>瘤</w:t>
      </w:r>
      <w:r>
        <w:rPr>
          <w:sz w:val="20"/>
        </w:rPr>
        <w:t>；</w:t>
      </w:r>
      <w:r>
        <w:rPr>
          <w:rFonts w:ascii="Times New Roman" w:eastAsia="Times New Roman"/>
          <w:sz w:val="20"/>
        </w:rPr>
        <w:t>1</w:t>
      </w:r>
      <w:r>
        <w:rPr>
          <w:rFonts w:ascii="Times New Roman" w:eastAsia="Times New Roman"/>
          <w:spacing w:val="-12"/>
          <w:sz w:val="20"/>
        </w:rPr>
        <w:t> </w:t>
      </w:r>
      <w:r>
        <w:rPr>
          <w:sz w:val="20"/>
        </w:rPr>
        <w:t>代表动态</w:t>
      </w:r>
      <w:r>
        <w:rPr>
          <w:spacing w:val="-2"/>
          <w:sz w:val="20"/>
        </w:rPr>
        <w:t>未</w:t>
      </w:r>
      <w:r>
        <w:rPr>
          <w:spacing w:val="-2"/>
          <w:sz w:val="20"/>
        </w:rPr>
        <w:t>定</w:t>
      </w:r>
      <w:r>
        <w:rPr>
          <w:spacing w:val="-2"/>
          <w:sz w:val="20"/>
        </w:rPr>
        <w:t>性</w:t>
      </w:r>
      <w:r>
        <w:rPr>
          <w:spacing w:val="-2"/>
          <w:sz w:val="20"/>
        </w:rPr>
        <w:t>肿</w:t>
      </w:r>
      <w:r>
        <w:rPr>
          <w:spacing w:val="-2"/>
          <w:sz w:val="20"/>
        </w:rPr>
        <w:t>瘤</w:t>
      </w:r>
      <w:r>
        <w:rPr>
          <w:spacing w:val="-2"/>
          <w:sz w:val="20"/>
        </w:rPr>
        <w:t>；</w:t>
      </w:r>
      <w:r>
        <w:rPr>
          <w:rFonts w:ascii="Times New Roman" w:eastAsia="Times New Roman"/>
          <w:spacing w:val="-2"/>
          <w:sz w:val="20"/>
        </w:rPr>
        <w:t>2</w:t>
      </w:r>
      <w:r>
        <w:rPr>
          <w:rFonts w:ascii="Times New Roman" w:eastAsia="Times New Roman"/>
          <w:spacing w:val="-9"/>
          <w:sz w:val="20"/>
        </w:rPr>
        <w:t> </w:t>
      </w:r>
      <w:r>
        <w:rPr>
          <w:spacing w:val="-2"/>
          <w:sz w:val="20"/>
        </w:rPr>
        <w:t>代表</w:t>
      </w:r>
      <w:r>
        <w:rPr>
          <w:spacing w:val="-2"/>
          <w:sz w:val="20"/>
        </w:rPr>
        <w:t>原</w:t>
      </w:r>
      <w:r>
        <w:rPr>
          <w:spacing w:val="-2"/>
          <w:sz w:val="20"/>
        </w:rPr>
        <w:t>位</w:t>
      </w:r>
      <w:r>
        <w:rPr>
          <w:spacing w:val="-2"/>
          <w:sz w:val="20"/>
        </w:rPr>
        <w:t>癌</w:t>
      </w:r>
      <w:r>
        <w:rPr>
          <w:spacing w:val="-2"/>
          <w:sz w:val="20"/>
        </w:rPr>
        <w:t>和</w:t>
      </w:r>
      <w:r>
        <w:rPr>
          <w:spacing w:val="-2"/>
          <w:sz w:val="20"/>
        </w:rPr>
        <w:t>非</w:t>
      </w:r>
      <w:r>
        <w:rPr>
          <w:spacing w:val="-2"/>
          <w:sz w:val="20"/>
        </w:rPr>
        <w:t>侵</w:t>
      </w:r>
      <w:r>
        <w:rPr>
          <w:spacing w:val="-2"/>
          <w:sz w:val="20"/>
        </w:rPr>
        <w:t>袭</w:t>
      </w:r>
      <w:r>
        <w:rPr>
          <w:spacing w:val="-2"/>
          <w:sz w:val="20"/>
        </w:rPr>
        <w:t>性</w:t>
      </w:r>
      <w:r>
        <w:rPr>
          <w:spacing w:val="-2"/>
          <w:sz w:val="20"/>
        </w:rPr>
        <w:t>癌</w:t>
      </w:r>
      <w:r>
        <w:rPr>
          <w:spacing w:val="-2"/>
          <w:sz w:val="20"/>
        </w:rPr>
        <w:t>；</w:t>
      </w:r>
      <w:r>
        <w:rPr>
          <w:rFonts w:ascii="Times New Roman" w:eastAsia="Times New Roman"/>
          <w:spacing w:val="-2"/>
          <w:sz w:val="20"/>
        </w:rPr>
        <w:t>3</w:t>
      </w:r>
      <w:r>
        <w:rPr>
          <w:rFonts w:ascii="Times New Roman" w:eastAsia="Times New Roman"/>
          <w:spacing w:val="-9"/>
          <w:sz w:val="20"/>
        </w:rPr>
        <w:t> </w:t>
      </w:r>
      <w:r>
        <w:rPr>
          <w:spacing w:val="-2"/>
          <w:sz w:val="20"/>
        </w:rPr>
        <w:t>代</w:t>
      </w:r>
      <w:r>
        <w:rPr>
          <w:spacing w:val="-2"/>
          <w:sz w:val="20"/>
        </w:rPr>
        <w:t>表</w:t>
      </w:r>
      <w:r>
        <w:rPr>
          <w:spacing w:val="-2"/>
          <w:sz w:val="20"/>
        </w:rPr>
        <w:t>恶</w:t>
      </w:r>
      <w:r>
        <w:rPr>
          <w:spacing w:val="-2"/>
          <w:sz w:val="20"/>
        </w:rPr>
        <w:t>性</w:t>
      </w:r>
      <w:r>
        <w:rPr>
          <w:spacing w:val="-2"/>
          <w:sz w:val="20"/>
        </w:rPr>
        <w:t>肿</w:t>
      </w:r>
      <w:r>
        <w:rPr>
          <w:spacing w:val="-2"/>
          <w:sz w:val="20"/>
        </w:rPr>
        <w:t>瘤</w:t>
      </w:r>
      <w:r>
        <w:rPr>
          <w:spacing w:val="-2"/>
          <w:sz w:val="20"/>
        </w:rPr>
        <w:t>（原发性</w:t>
      </w:r>
      <w:r>
        <w:rPr>
          <w:spacing w:val="-70"/>
          <w:sz w:val="20"/>
        </w:rPr>
        <w:t>）</w:t>
      </w:r>
      <w:r>
        <w:rPr>
          <w:spacing w:val="32"/>
          <w:sz w:val="20"/>
        </w:rPr>
        <w:t>；</w:t>
      </w:r>
      <w:r>
        <w:rPr>
          <w:rFonts w:ascii="Times New Roman" w:eastAsia="Times New Roman"/>
          <w:spacing w:val="31"/>
          <w:sz w:val="20"/>
        </w:rPr>
        <w:t>6</w:t>
      </w:r>
      <w:r>
        <w:rPr>
          <w:rFonts w:ascii="Times New Roman" w:eastAsia="Times New Roman"/>
          <w:spacing w:val="-9"/>
          <w:sz w:val="20"/>
        </w:rPr>
        <w:t> </w:t>
      </w:r>
      <w:r>
        <w:rPr>
          <w:spacing w:val="-2"/>
          <w:sz w:val="20"/>
        </w:rPr>
        <w:t>代表恶性</w:t>
      </w:r>
      <w:r>
        <w:rPr>
          <w:spacing w:val="-2"/>
          <w:sz w:val="20"/>
        </w:rPr>
        <w:t>肿</w:t>
      </w:r>
      <w:r>
        <w:rPr>
          <w:spacing w:val="-2"/>
          <w:sz w:val="20"/>
        </w:rPr>
        <w:t>瘤</w:t>
      </w:r>
      <w:r>
        <w:rPr>
          <w:spacing w:val="-2"/>
          <w:sz w:val="20"/>
        </w:rPr>
        <w:t>（转移性</w:t>
      </w:r>
      <w:r>
        <w:rPr>
          <w:spacing w:val="-70"/>
          <w:sz w:val="20"/>
        </w:rPr>
        <w:t>）</w:t>
      </w:r>
      <w:r>
        <w:rPr>
          <w:spacing w:val="32"/>
          <w:sz w:val="20"/>
        </w:rPr>
        <w:t>；</w:t>
      </w:r>
      <w:r>
        <w:rPr>
          <w:rFonts w:ascii="Times New Roman" w:eastAsia="Times New Roman"/>
          <w:spacing w:val="31"/>
          <w:sz w:val="20"/>
        </w:rPr>
        <w:t>9</w:t>
      </w:r>
      <w:r>
        <w:rPr>
          <w:rFonts w:ascii="Times New Roman" w:eastAsia="Times New Roman"/>
          <w:spacing w:val="-9"/>
          <w:sz w:val="20"/>
        </w:rPr>
        <w:t> </w:t>
      </w:r>
      <w:r>
        <w:rPr>
          <w:spacing w:val="-2"/>
          <w:sz w:val="20"/>
        </w:rPr>
        <w:t>代表</w:t>
      </w:r>
      <w:r>
        <w:rPr>
          <w:spacing w:val="-2"/>
          <w:sz w:val="20"/>
        </w:rPr>
        <w:t>恶</w:t>
      </w:r>
      <w:r>
        <w:rPr>
          <w:sz w:val="20"/>
        </w:rPr>
        <w:t>性</w:t>
      </w:r>
      <w:r>
        <w:rPr>
          <w:sz w:val="20"/>
        </w:rPr>
        <w:t>肿</w:t>
      </w:r>
      <w:r>
        <w:rPr>
          <w:sz w:val="20"/>
        </w:rPr>
        <w:t>瘤</w:t>
      </w:r>
      <w:r>
        <w:rPr>
          <w:sz w:val="20"/>
        </w:rPr>
        <w:t>（</w:t>
      </w:r>
      <w:r>
        <w:rPr>
          <w:sz w:val="20"/>
        </w:rPr>
        <w:t>原</w:t>
      </w:r>
      <w:r>
        <w:rPr>
          <w:sz w:val="20"/>
        </w:rPr>
        <w:t>发</w:t>
      </w:r>
      <w:r>
        <w:rPr>
          <w:sz w:val="20"/>
        </w:rPr>
        <w:t>性</w:t>
      </w:r>
      <w:r>
        <w:rPr>
          <w:sz w:val="20"/>
        </w:rPr>
        <w:t>或</w:t>
      </w:r>
      <w:r>
        <w:rPr>
          <w:sz w:val="20"/>
        </w:rPr>
        <w:t>转</w:t>
      </w:r>
      <w:r>
        <w:rPr>
          <w:sz w:val="20"/>
        </w:rPr>
        <w:t>移性未</w:t>
      </w:r>
      <w:r>
        <w:rPr>
          <w:sz w:val="20"/>
        </w:rPr>
        <w:t>肯</w:t>
      </w:r>
      <w:r>
        <w:rPr>
          <w:sz w:val="20"/>
        </w:rPr>
        <w:t>定</w:t>
      </w:r>
      <w:r>
        <w:rPr>
          <w:spacing w:val="-99"/>
          <w:sz w:val="20"/>
        </w:rPr>
        <w:t>）</w:t>
      </w:r>
      <w:r>
        <w:rPr>
          <w:sz w:val="20"/>
        </w:rPr>
        <w:t>。</w:t>
      </w:r>
      <w:r>
        <w:rPr>
          <w:sz w:val="20"/>
        </w:rPr>
        <w:t>如</w:t>
      </w:r>
      <w:r>
        <w:rPr>
          <w:sz w:val="20"/>
        </w:rPr>
        <w:t>果</w:t>
      </w:r>
      <w:r>
        <w:rPr>
          <w:sz w:val="20"/>
        </w:rPr>
        <w:t>出</w:t>
      </w:r>
      <w:r>
        <w:rPr>
          <w:sz w:val="20"/>
        </w:rPr>
        <w:t>现</w:t>
      </w:r>
      <w:r>
        <w:rPr>
          <w:spacing w:val="-26"/>
          <w:sz w:val="20"/>
        </w:rPr>
        <w:t> </w:t>
      </w:r>
      <w:r>
        <w:rPr>
          <w:rFonts w:ascii="Times New Roman" w:eastAsia="Times New Roman"/>
          <w:sz w:val="20"/>
        </w:rPr>
        <w:t>ICD-10 </w:t>
      </w:r>
      <w:r>
        <w:rPr>
          <w:spacing w:val="-14"/>
          <w:sz w:val="20"/>
        </w:rPr>
        <w:t>与 </w:t>
      </w:r>
      <w:r>
        <w:rPr>
          <w:rFonts w:ascii="Times New Roman" w:eastAsia="Times New Roman"/>
          <w:sz w:val="20"/>
        </w:rPr>
        <w:t>ICD-0-3 </w:t>
      </w:r>
      <w:r>
        <w:rPr>
          <w:sz w:val="20"/>
        </w:rPr>
        <w:t>不</w:t>
      </w:r>
      <w:r>
        <w:rPr>
          <w:sz w:val="20"/>
        </w:rPr>
        <w:t>一</w:t>
      </w:r>
      <w:r>
        <w:rPr>
          <w:sz w:val="20"/>
        </w:rPr>
        <w:t>致</w:t>
      </w:r>
      <w:r>
        <w:rPr>
          <w:sz w:val="20"/>
        </w:rPr>
        <w:t>的</w:t>
      </w:r>
      <w:r>
        <w:rPr>
          <w:sz w:val="20"/>
        </w:rPr>
        <w:t>情</w:t>
      </w:r>
      <w:r>
        <w:rPr>
          <w:sz w:val="20"/>
        </w:rPr>
        <w:t>况</w:t>
      </w:r>
      <w:r>
        <w:rPr>
          <w:spacing w:val="-9"/>
          <w:sz w:val="20"/>
        </w:rPr>
        <w:t>，以 </w:t>
      </w:r>
      <w:r>
        <w:rPr>
          <w:rFonts w:ascii="Times New Roman" w:eastAsia="Times New Roman"/>
          <w:sz w:val="20"/>
        </w:rPr>
        <w:t>ICD-0-3 </w:t>
      </w:r>
      <w:r>
        <w:rPr>
          <w:sz w:val="20"/>
        </w:rPr>
        <w:t>为</w:t>
      </w:r>
      <w:r>
        <w:rPr>
          <w:sz w:val="20"/>
        </w:rPr>
        <w:t>准</w:t>
      </w:r>
      <w:r>
        <w:rPr>
          <w:sz w:val="20"/>
        </w:rPr>
        <w:t>。</w:t>
      </w:r>
    </w:p>
    <w:p>
      <w:pPr>
        <w:spacing w:line="283" w:lineRule="exact" w:before="0"/>
        <w:ind w:left="232" w:right="0" w:firstLine="0"/>
        <w:jc w:val="left"/>
        <w:rPr>
          <w:sz w:val="20"/>
        </w:rPr>
      </w:pPr>
      <w:r>
        <w:rPr>
          <w:rFonts w:ascii="微软雅黑" w:eastAsia="微软雅黑"/>
          <w:b/>
          <w:w w:val="95"/>
          <w:position w:val="10"/>
          <w:sz w:val="10"/>
        </w:rPr>
        <w:t>24</w:t>
      </w:r>
      <w:r>
        <w:rPr>
          <w:rFonts w:ascii="微软雅黑" w:eastAsia="微软雅黑"/>
          <w:b/>
          <w:spacing w:val="65"/>
          <w:w w:val="150"/>
          <w:position w:val="10"/>
          <w:sz w:val="10"/>
        </w:rPr>
        <w:t>  </w:t>
      </w:r>
      <w:r>
        <w:rPr>
          <w:rFonts w:ascii="微软雅黑" w:eastAsia="微软雅黑"/>
          <w:b/>
          <w:w w:val="90"/>
          <w:sz w:val="20"/>
        </w:rPr>
        <w:t>TNM</w:t>
      </w:r>
      <w:r>
        <w:rPr>
          <w:rFonts w:ascii="微软雅黑" w:eastAsia="微软雅黑"/>
          <w:b/>
          <w:spacing w:val="4"/>
          <w:sz w:val="20"/>
        </w:rPr>
        <w:t> </w:t>
      </w:r>
      <w:r>
        <w:rPr>
          <w:rFonts w:ascii="微软雅黑" w:eastAsia="微软雅黑"/>
          <w:b/>
          <w:w w:val="95"/>
          <w:sz w:val="20"/>
        </w:rPr>
        <w:t>分期</w:t>
      </w:r>
      <w:r>
        <w:rPr>
          <w:spacing w:val="13"/>
          <w:w w:val="95"/>
          <w:sz w:val="20"/>
        </w:rPr>
        <w:t>采用</w:t>
      </w:r>
      <w:r>
        <w:rPr>
          <w:w w:val="95"/>
          <w:sz w:val="20"/>
        </w:rPr>
        <w:t>AJCC</w:t>
      </w:r>
      <w:r>
        <w:rPr>
          <w:spacing w:val="-37"/>
          <w:w w:val="95"/>
          <w:sz w:val="20"/>
        </w:rPr>
        <w:t> </w:t>
      </w:r>
      <w:r>
        <w:rPr>
          <w:w w:val="95"/>
          <w:sz w:val="20"/>
        </w:rPr>
        <w:t>癌</w:t>
      </w:r>
      <w:r>
        <w:rPr>
          <w:w w:val="95"/>
          <w:sz w:val="20"/>
        </w:rPr>
        <w:t>症</w:t>
      </w:r>
      <w:r>
        <w:rPr>
          <w:w w:val="95"/>
          <w:sz w:val="20"/>
        </w:rPr>
        <w:t>分</w:t>
      </w:r>
      <w:r>
        <w:rPr>
          <w:w w:val="95"/>
          <w:sz w:val="20"/>
        </w:rPr>
        <w:t>期</w:t>
      </w:r>
      <w:r>
        <w:rPr>
          <w:w w:val="95"/>
          <w:sz w:val="20"/>
        </w:rPr>
        <w:t>手</w:t>
      </w:r>
      <w:r>
        <w:rPr>
          <w:w w:val="95"/>
          <w:sz w:val="20"/>
        </w:rPr>
        <w:t>册</w:t>
      </w:r>
      <w:r>
        <w:rPr>
          <w:spacing w:val="-34"/>
          <w:w w:val="95"/>
          <w:sz w:val="20"/>
        </w:rPr>
        <w:t>标准。</w:t>
      </w:r>
      <w:r>
        <w:rPr>
          <w:w w:val="95"/>
          <w:sz w:val="20"/>
        </w:rPr>
        <w:t>该</w:t>
      </w:r>
      <w:r>
        <w:rPr>
          <w:w w:val="95"/>
          <w:sz w:val="20"/>
        </w:rPr>
        <w:t>标</w:t>
      </w:r>
      <w:r>
        <w:rPr>
          <w:w w:val="95"/>
          <w:sz w:val="20"/>
        </w:rPr>
        <w:t>准</w:t>
      </w:r>
      <w:r>
        <w:rPr>
          <w:w w:val="95"/>
          <w:sz w:val="20"/>
        </w:rPr>
        <w:t>由</w:t>
      </w:r>
      <w:r>
        <w:rPr>
          <w:w w:val="95"/>
          <w:sz w:val="20"/>
        </w:rPr>
        <w:t>美</w:t>
      </w:r>
      <w:r>
        <w:rPr>
          <w:w w:val="95"/>
          <w:sz w:val="20"/>
        </w:rPr>
        <w:t>国</w:t>
      </w:r>
      <w:r>
        <w:rPr>
          <w:w w:val="95"/>
          <w:sz w:val="20"/>
        </w:rPr>
        <w:t>癌</w:t>
      </w:r>
      <w:r>
        <w:rPr>
          <w:w w:val="95"/>
          <w:sz w:val="20"/>
        </w:rPr>
        <w:t>症</w:t>
      </w:r>
      <w:r>
        <w:rPr>
          <w:w w:val="95"/>
          <w:sz w:val="20"/>
        </w:rPr>
        <w:t>联</w:t>
      </w:r>
      <w:r>
        <w:rPr>
          <w:w w:val="95"/>
          <w:sz w:val="20"/>
        </w:rPr>
        <w:t>合</w:t>
      </w:r>
      <w:r>
        <w:rPr>
          <w:w w:val="95"/>
          <w:sz w:val="20"/>
        </w:rPr>
        <w:t>委</w:t>
      </w:r>
      <w:r>
        <w:rPr>
          <w:w w:val="95"/>
          <w:sz w:val="20"/>
        </w:rPr>
        <w:t>员</w:t>
      </w:r>
      <w:r>
        <w:rPr>
          <w:w w:val="95"/>
          <w:sz w:val="20"/>
        </w:rPr>
        <w:t>会</w:t>
      </w:r>
      <w:r>
        <w:rPr>
          <w:w w:val="95"/>
          <w:sz w:val="20"/>
        </w:rPr>
        <w:t>与</w:t>
      </w:r>
      <w:r>
        <w:rPr>
          <w:w w:val="95"/>
          <w:sz w:val="20"/>
        </w:rPr>
        <w:t>国</w:t>
      </w:r>
      <w:r>
        <w:rPr>
          <w:w w:val="95"/>
          <w:sz w:val="20"/>
        </w:rPr>
        <w:t>际抗癌</w:t>
      </w:r>
      <w:r>
        <w:rPr>
          <w:w w:val="95"/>
          <w:sz w:val="20"/>
        </w:rPr>
        <w:t>联</w:t>
      </w:r>
      <w:r>
        <w:rPr>
          <w:w w:val="95"/>
          <w:sz w:val="20"/>
        </w:rPr>
        <w:t>合</w:t>
      </w:r>
      <w:r>
        <w:rPr>
          <w:spacing w:val="29"/>
          <w:w w:val="95"/>
          <w:sz w:val="20"/>
        </w:rPr>
        <w:t>会</w:t>
      </w:r>
      <w:r>
        <w:rPr>
          <w:w w:val="95"/>
          <w:sz w:val="20"/>
        </w:rPr>
        <w:t>TNM</w:t>
      </w:r>
      <w:r>
        <w:rPr>
          <w:spacing w:val="-37"/>
          <w:w w:val="95"/>
          <w:sz w:val="20"/>
        </w:rPr>
        <w:t> </w:t>
      </w:r>
      <w:r>
        <w:rPr>
          <w:w w:val="95"/>
          <w:sz w:val="20"/>
        </w:rPr>
        <w:t>委</w:t>
      </w:r>
      <w:r>
        <w:rPr>
          <w:w w:val="95"/>
          <w:sz w:val="20"/>
        </w:rPr>
        <w:t>员</w:t>
      </w:r>
      <w:r>
        <w:rPr>
          <w:w w:val="95"/>
          <w:sz w:val="20"/>
        </w:rPr>
        <w:t>会</w:t>
      </w:r>
      <w:r>
        <w:rPr>
          <w:w w:val="95"/>
          <w:sz w:val="20"/>
        </w:rPr>
        <w:t>联</w:t>
      </w:r>
      <w:r>
        <w:rPr>
          <w:w w:val="95"/>
          <w:sz w:val="20"/>
        </w:rPr>
        <w:t>合</w:t>
      </w:r>
      <w:r>
        <w:rPr>
          <w:w w:val="95"/>
          <w:sz w:val="20"/>
        </w:rPr>
        <w:t>制</w:t>
      </w:r>
      <w:r>
        <w:rPr>
          <w:w w:val="95"/>
          <w:sz w:val="20"/>
        </w:rPr>
        <w:t>定</w:t>
      </w:r>
      <w:r>
        <w:rPr>
          <w:spacing w:val="-10"/>
          <w:w w:val="95"/>
          <w:sz w:val="20"/>
        </w:rPr>
        <w:t>，</w:t>
      </w:r>
    </w:p>
    <w:p>
      <w:pPr>
        <w:spacing w:line="234" w:lineRule="exact" w:before="0"/>
        <w:ind w:left="374" w:right="0" w:firstLine="0"/>
        <w:jc w:val="left"/>
        <w:rPr>
          <w:sz w:val="20"/>
        </w:rPr>
      </w:pPr>
      <w:r>
        <w:rPr>
          <w:w w:val="95"/>
          <w:sz w:val="20"/>
        </w:rPr>
        <w:t>是</w:t>
      </w:r>
      <w:r>
        <w:rPr>
          <w:w w:val="95"/>
          <w:sz w:val="20"/>
        </w:rPr>
        <w:t>目</w:t>
      </w:r>
      <w:r>
        <w:rPr>
          <w:w w:val="95"/>
          <w:sz w:val="20"/>
        </w:rPr>
        <w:t>前</w:t>
      </w:r>
      <w:r>
        <w:rPr>
          <w:w w:val="95"/>
          <w:sz w:val="20"/>
        </w:rPr>
        <w:t>肿</w:t>
      </w:r>
      <w:r>
        <w:rPr>
          <w:w w:val="95"/>
          <w:sz w:val="20"/>
        </w:rPr>
        <w:t>瘤</w:t>
      </w:r>
      <w:r>
        <w:rPr>
          <w:w w:val="95"/>
          <w:sz w:val="20"/>
        </w:rPr>
        <w:t>医</w:t>
      </w:r>
      <w:r>
        <w:rPr>
          <w:w w:val="95"/>
          <w:sz w:val="20"/>
        </w:rPr>
        <w:t>学</w:t>
      </w:r>
      <w:r>
        <w:rPr>
          <w:w w:val="95"/>
          <w:sz w:val="20"/>
        </w:rPr>
        <w:t>分</w:t>
      </w:r>
      <w:r>
        <w:rPr>
          <w:w w:val="95"/>
          <w:sz w:val="20"/>
        </w:rPr>
        <w:t>期</w:t>
      </w:r>
      <w:r>
        <w:rPr>
          <w:w w:val="95"/>
          <w:sz w:val="20"/>
        </w:rPr>
        <w:t>的国际</w:t>
      </w:r>
      <w:r>
        <w:rPr>
          <w:w w:val="95"/>
          <w:sz w:val="20"/>
        </w:rPr>
        <w:t>通</w:t>
      </w:r>
      <w:r>
        <w:rPr>
          <w:w w:val="95"/>
          <w:sz w:val="20"/>
        </w:rPr>
        <w:t>用</w:t>
      </w:r>
      <w:r>
        <w:rPr>
          <w:w w:val="95"/>
          <w:sz w:val="20"/>
        </w:rPr>
        <w:t>标</w:t>
      </w:r>
      <w:r>
        <w:rPr>
          <w:w w:val="95"/>
          <w:sz w:val="20"/>
        </w:rPr>
        <w:t>准。T</w:t>
      </w:r>
      <w:r>
        <w:rPr>
          <w:spacing w:val="29"/>
          <w:w w:val="150"/>
          <w:sz w:val="20"/>
        </w:rPr>
        <w:t> </w:t>
      </w:r>
      <w:r>
        <w:rPr>
          <w:w w:val="95"/>
          <w:sz w:val="20"/>
        </w:rPr>
        <w:t>指</w:t>
      </w:r>
      <w:r>
        <w:rPr>
          <w:w w:val="95"/>
          <w:sz w:val="20"/>
        </w:rPr>
        <w:t>原</w:t>
      </w:r>
      <w:r>
        <w:rPr>
          <w:w w:val="95"/>
          <w:sz w:val="20"/>
        </w:rPr>
        <w:t>发</w:t>
      </w:r>
      <w:r>
        <w:rPr>
          <w:w w:val="95"/>
          <w:sz w:val="20"/>
        </w:rPr>
        <w:t>肿</w:t>
      </w:r>
      <w:r>
        <w:rPr>
          <w:w w:val="95"/>
          <w:sz w:val="20"/>
        </w:rPr>
        <w:t>瘤</w:t>
      </w:r>
      <w:r>
        <w:rPr>
          <w:w w:val="95"/>
          <w:sz w:val="20"/>
        </w:rPr>
        <w:t>的</w:t>
      </w:r>
      <w:r>
        <w:rPr>
          <w:w w:val="95"/>
          <w:sz w:val="20"/>
        </w:rPr>
        <w:t>大</w:t>
      </w:r>
      <w:r>
        <w:rPr>
          <w:w w:val="95"/>
          <w:sz w:val="20"/>
        </w:rPr>
        <w:t>小</w:t>
      </w:r>
      <w:r>
        <w:rPr>
          <w:w w:val="95"/>
          <w:sz w:val="20"/>
        </w:rPr>
        <w:t>、</w:t>
      </w:r>
      <w:r>
        <w:rPr>
          <w:w w:val="95"/>
          <w:sz w:val="20"/>
        </w:rPr>
        <w:t>形</w:t>
      </w:r>
      <w:r>
        <w:rPr>
          <w:w w:val="95"/>
          <w:sz w:val="20"/>
        </w:rPr>
        <w:t>态</w:t>
      </w:r>
      <w:r>
        <w:rPr>
          <w:w w:val="95"/>
          <w:sz w:val="20"/>
        </w:rPr>
        <w:t>等</w:t>
      </w:r>
      <w:r>
        <w:rPr>
          <w:w w:val="95"/>
          <w:sz w:val="20"/>
        </w:rPr>
        <w:t>；N</w:t>
      </w:r>
      <w:r>
        <w:rPr>
          <w:spacing w:val="31"/>
          <w:w w:val="150"/>
          <w:sz w:val="20"/>
        </w:rPr>
        <w:t> </w:t>
      </w:r>
      <w:r>
        <w:rPr>
          <w:w w:val="95"/>
          <w:sz w:val="20"/>
        </w:rPr>
        <w:t>指</w:t>
      </w:r>
      <w:r>
        <w:rPr>
          <w:w w:val="95"/>
          <w:sz w:val="20"/>
        </w:rPr>
        <w:t>淋</w:t>
      </w:r>
      <w:r>
        <w:rPr>
          <w:w w:val="95"/>
          <w:sz w:val="20"/>
        </w:rPr>
        <w:t>巴</w:t>
      </w:r>
      <w:r>
        <w:rPr>
          <w:w w:val="95"/>
          <w:sz w:val="20"/>
        </w:rPr>
        <w:t>结</w:t>
      </w:r>
      <w:r>
        <w:rPr>
          <w:w w:val="95"/>
          <w:sz w:val="20"/>
        </w:rPr>
        <w:t>的</w:t>
      </w:r>
      <w:r>
        <w:rPr>
          <w:w w:val="95"/>
          <w:sz w:val="20"/>
        </w:rPr>
        <w:t>转</w:t>
      </w:r>
      <w:r>
        <w:rPr>
          <w:w w:val="95"/>
          <w:sz w:val="20"/>
        </w:rPr>
        <w:t>移</w:t>
      </w:r>
      <w:r>
        <w:rPr>
          <w:w w:val="95"/>
          <w:sz w:val="20"/>
        </w:rPr>
        <w:t>情况；M</w:t>
      </w:r>
      <w:r>
        <w:rPr>
          <w:spacing w:val="32"/>
          <w:w w:val="150"/>
          <w:sz w:val="20"/>
        </w:rPr>
        <w:t> </w:t>
      </w:r>
      <w:r>
        <w:rPr>
          <w:w w:val="95"/>
          <w:sz w:val="20"/>
        </w:rPr>
        <w:t>指有</w:t>
      </w:r>
      <w:r>
        <w:rPr>
          <w:w w:val="95"/>
          <w:sz w:val="20"/>
        </w:rPr>
        <w:t>无</w:t>
      </w:r>
      <w:r>
        <w:rPr>
          <w:w w:val="95"/>
          <w:sz w:val="20"/>
        </w:rPr>
        <w:t>其</w:t>
      </w:r>
      <w:r>
        <w:rPr>
          <w:spacing w:val="-10"/>
          <w:w w:val="95"/>
          <w:sz w:val="20"/>
        </w:rPr>
        <w:t>他</w:t>
      </w:r>
    </w:p>
    <w:p>
      <w:pPr>
        <w:spacing w:before="3"/>
        <w:ind w:left="374" w:right="0" w:firstLine="0"/>
        <w:jc w:val="left"/>
        <w:rPr>
          <w:sz w:val="20"/>
        </w:rPr>
      </w:pPr>
      <w:r>
        <w:rPr>
          <w:w w:val="95"/>
          <w:sz w:val="20"/>
        </w:rPr>
        <w:t>脏</w:t>
      </w:r>
      <w:r>
        <w:rPr>
          <w:w w:val="95"/>
          <w:sz w:val="20"/>
        </w:rPr>
        <w:t>器</w:t>
      </w:r>
      <w:r>
        <w:rPr>
          <w:w w:val="95"/>
          <w:sz w:val="20"/>
        </w:rPr>
        <w:t>的</w:t>
      </w:r>
      <w:r>
        <w:rPr>
          <w:w w:val="95"/>
          <w:sz w:val="20"/>
        </w:rPr>
        <w:t>转</w:t>
      </w:r>
      <w:r>
        <w:rPr>
          <w:w w:val="95"/>
          <w:sz w:val="20"/>
        </w:rPr>
        <w:t>移</w:t>
      </w:r>
      <w:r>
        <w:rPr>
          <w:w w:val="95"/>
          <w:sz w:val="20"/>
        </w:rPr>
        <w:t>情</w:t>
      </w:r>
      <w:r>
        <w:rPr>
          <w:spacing w:val="-5"/>
          <w:w w:val="95"/>
          <w:sz w:val="20"/>
        </w:rPr>
        <w:t>况。</w:t>
      </w:r>
    </w:p>
    <w:p>
      <w:pPr>
        <w:spacing w:after="0"/>
        <w:jc w:val="left"/>
        <w:rPr>
          <w:sz w:val="20"/>
        </w:rPr>
        <w:sectPr>
          <w:type w:val="continuous"/>
          <w:pgSz w:w="11910" w:h="16840"/>
          <w:pgMar w:header="566" w:footer="664" w:top="1340" w:bottom="860" w:left="900" w:right="720"/>
        </w:sectPr>
      </w:pPr>
    </w:p>
    <w:p>
      <w:pPr>
        <w:pStyle w:val="BodyText"/>
        <w:spacing w:before="11"/>
        <w:rPr>
          <w:sz w:val="8"/>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3"/>
        <w:gridCol w:w="1877"/>
        <w:gridCol w:w="7180"/>
      </w:tblGrid>
      <w:tr>
        <w:trPr>
          <w:trHeight w:val="261" w:hRule="atLeast"/>
        </w:trPr>
        <w:tc>
          <w:tcPr>
            <w:tcW w:w="2670" w:type="dxa"/>
            <w:gridSpan w:val="2"/>
            <w:vMerge w:val="restart"/>
          </w:tcPr>
          <w:p>
            <w:pPr>
              <w:pStyle w:val="TableParagraph"/>
              <w:rPr>
                <w:rFonts w:ascii="Times New Roman"/>
                <w:sz w:val="20"/>
              </w:rPr>
            </w:pPr>
          </w:p>
        </w:tc>
        <w:tc>
          <w:tcPr>
            <w:tcW w:w="7180" w:type="dxa"/>
          </w:tcPr>
          <w:p>
            <w:pPr>
              <w:pStyle w:val="TableParagraph"/>
              <w:spacing w:line="241" w:lineRule="exact"/>
              <w:ind w:left="184"/>
              <w:rPr>
                <w:sz w:val="21"/>
              </w:rPr>
            </w:pPr>
            <w:r>
              <w:rPr>
                <w:spacing w:val="-4"/>
                <w:sz w:val="21"/>
              </w:rPr>
              <w:t>（3）</w:t>
            </w:r>
            <w:r>
              <w:rPr>
                <w:spacing w:val="-9"/>
                <w:sz w:val="21"/>
              </w:rPr>
              <w:t>出现左心室收缩功能下降，在确诊</w:t>
            </w:r>
            <w:r>
              <w:rPr>
                <w:spacing w:val="-4"/>
                <w:sz w:val="21"/>
              </w:rPr>
              <w:t>6</w:t>
            </w:r>
            <w:r>
              <w:rPr>
                <w:spacing w:val="-15"/>
                <w:sz w:val="21"/>
              </w:rPr>
              <w:t>周以后，检测左室射血分数</w:t>
            </w:r>
            <w:r>
              <w:rPr>
                <w:spacing w:val="-4"/>
                <w:sz w:val="21"/>
              </w:rPr>
              <w:t>（LVEF）</w:t>
            </w:r>
          </w:p>
        </w:tc>
      </w:tr>
      <w:tr>
        <w:trPr>
          <w:trHeight w:val="312" w:hRule="atLeast"/>
        </w:trPr>
        <w:tc>
          <w:tcPr>
            <w:tcW w:w="2670" w:type="dxa"/>
            <w:gridSpan w:val="2"/>
            <w:vMerge/>
            <w:tcBorders>
              <w:top w:val="nil"/>
            </w:tcBorders>
          </w:tcPr>
          <w:p>
            <w:pPr>
              <w:rPr>
                <w:sz w:val="2"/>
                <w:szCs w:val="2"/>
              </w:rPr>
            </w:pPr>
          </w:p>
        </w:tc>
        <w:tc>
          <w:tcPr>
            <w:tcW w:w="7180" w:type="dxa"/>
          </w:tcPr>
          <w:p>
            <w:pPr>
              <w:pStyle w:val="TableParagraph"/>
              <w:spacing w:before="22"/>
              <w:ind w:left="184"/>
              <w:rPr>
                <w:sz w:val="21"/>
              </w:rPr>
            </w:pPr>
            <w:r>
              <w:rPr>
                <w:spacing w:val="-2"/>
                <w:sz w:val="21"/>
              </w:rPr>
              <w:t>低于50%（不含</w:t>
            </w:r>
            <w:r>
              <w:rPr>
                <w:spacing w:val="-5"/>
                <w:sz w:val="21"/>
              </w:rPr>
              <w:t>）；</w:t>
            </w:r>
          </w:p>
        </w:tc>
      </w:tr>
      <w:tr>
        <w:trPr>
          <w:trHeight w:val="312" w:hRule="atLeast"/>
        </w:trPr>
        <w:tc>
          <w:tcPr>
            <w:tcW w:w="2670" w:type="dxa"/>
            <w:gridSpan w:val="2"/>
            <w:vMerge/>
            <w:tcBorders>
              <w:top w:val="nil"/>
            </w:tcBorders>
          </w:tcPr>
          <w:p>
            <w:pPr>
              <w:rPr>
                <w:sz w:val="2"/>
                <w:szCs w:val="2"/>
              </w:rPr>
            </w:pPr>
          </w:p>
        </w:tc>
        <w:tc>
          <w:tcPr>
            <w:tcW w:w="7180" w:type="dxa"/>
          </w:tcPr>
          <w:p>
            <w:pPr>
              <w:pStyle w:val="TableParagraph"/>
              <w:spacing w:before="22"/>
              <w:ind w:left="184"/>
              <w:rPr>
                <w:sz w:val="21"/>
              </w:rPr>
            </w:pPr>
            <w:r>
              <w:rPr>
                <w:spacing w:val="-2"/>
                <w:sz w:val="21"/>
              </w:rPr>
              <w:t>（4）影像学检查证实存在新发的乳头肌功能失调或断裂引起的中度（含</w:t>
            </w:r>
            <w:r>
              <w:rPr>
                <w:spacing w:val="-10"/>
                <w:sz w:val="21"/>
              </w:rPr>
              <w:t>）</w:t>
            </w:r>
          </w:p>
        </w:tc>
      </w:tr>
      <w:tr>
        <w:trPr>
          <w:trHeight w:val="311" w:hRule="atLeast"/>
        </w:trPr>
        <w:tc>
          <w:tcPr>
            <w:tcW w:w="2670" w:type="dxa"/>
            <w:gridSpan w:val="2"/>
            <w:vMerge/>
            <w:tcBorders>
              <w:top w:val="nil"/>
            </w:tcBorders>
          </w:tcPr>
          <w:p>
            <w:pPr>
              <w:rPr>
                <w:sz w:val="2"/>
                <w:szCs w:val="2"/>
              </w:rPr>
            </w:pPr>
          </w:p>
        </w:tc>
        <w:tc>
          <w:tcPr>
            <w:tcW w:w="7180" w:type="dxa"/>
          </w:tcPr>
          <w:p>
            <w:pPr>
              <w:pStyle w:val="TableParagraph"/>
              <w:spacing w:before="22"/>
              <w:ind w:left="184"/>
              <w:rPr>
                <w:sz w:val="21"/>
              </w:rPr>
            </w:pPr>
            <w:r>
              <w:rPr>
                <w:spacing w:val="-3"/>
                <w:sz w:val="21"/>
              </w:rPr>
              <w:t>以上的二尖瓣反流；</w:t>
            </w:r>
          </w:p>
        </w:tc>
      </w:tr>
      <w:tr>
        <w:trPr>
          <w:trHeight w:val="312" w:hRule="atLeast"/>
        </w:trPr>
        <w:tc>
          <w:tcPr>
            <w:tcW w:w="2670" w:type="dxa"/>
            <w:gridSpan w:val="2"/>
            <w:vMerge/>
            <w:tcBorders>
              <w:top w:val="nil"/>
            </w:tcBorders>
          </w:tcPr>
          <w:p>
            <w:pPr>
              <w:rPr>
                <w:sz w:val="2"/>
                <w:szCs w:val="2"/>
              </w:rPr>
            </w:pPr>
          </w:p>
        </w:tc>
        <w:tc>
          <w:tcPr>
            <w:tcW w:w="7180" w:type="dxa"/>
          </w:tcPr>
          <w:p>
            <w:pPr>
              <w:pStyle w:val="TableParagraph"/>
              <w:spacing w:before="22"/>
              <w:ind w:left="184"/>
              <w:rPr>
                <w:sz w:val="21"/>
              </w:rPr>
            </w:pPr>
            <w:r>
              <w:rPr>
                <w:spacing w:val="-2"/>
                <w:sz w:val="21"/>
              </w:rPr>
              <w:t>（5）</w:t>
            </w:r>
            <w:r>
              <w:rPr>
                <w:spacing w:val="-3"/>
                <w:sz w:val="21"/>
              </w:rPr>
              <w:t>影像学检查证实存在新出现的室壁瘤；</w:t>
            </w:r>
          </w:p>
        </w:tc>
      </w:tr>
      <w:tr>
        <w:trPr>
          <w:trHeight w:val="309" w:hRule="atLeast"/>
        </w:trPr>
        <w:tc>
          <w:tcPr>
            <w:tcW w:w="2670" w:type="dxa"/>
            <w:gridSpan w:val="2"/>
            <w:vMerge/>
            <w:tcBorders>
              <w:top w:val="nil"/>
            </w:tcBorders>
          </w:tcPr>
          <w:p>
            <w:pPr>
              <w:rPr>
                <w:sz w:val="2"/>
                <w:szCs w:val="2"/>
              </w:rPr>
            </w:pPr>
          </w:p>
        </w:tc>
        <w:tc>
          <w:tcPr>
            <w:tcW w:w="7180" w:type="dxa"/>
          </w:tcPr>
          <w:p>
            <w:pPr>
              <w:pStyle w:val="TableParagraph"/>
              <w:spacing w:line="267" w:lineRule="exact" w:before="22"/>
              <w:ind w:left="184"/>
              <w:rPr>
                <w:sz w:val="21"/>
              </w:rPr>
            </w:pPr>
            <w:r>
              <w:rPr>
                <w:spacing w:val="-2"/>
                <w:sz w:val="21"/>
              </w:rPr>
              <w:t>（6）</w:t>
            </w:r>
            <w:r>
              <w:rPr>
                <w:spacing w:val="-3"/>
                <w:sz w:val="21"/>
              </w:rPr>
              <w:t>出现室性心动过速、心室颤动或心源性休克。</w:t>
            </w:r>
          </w:p>
        </w:tc>
      </w:tr>
      <w:tr>
        <w:trPr>
          <w:trHeight w:val="313" w:hRule="atLeast"/>
        </w:trPr>
        <w:tc>
          <w:tcPr>
            <w:tcW w:w="2670" w:type="dxa"/>
            <w:gridSpan w:val="2"/>
            <w:vMerge/>
            <w:tcBorders>
              <w:top w:val="nil"/>
            </w:tcBorders>
          </w:tcPr>
          <w:p>
            <w:pPr>
              <w:rPr>
                <w:sz w:val="2"/>
                <w:szCs w:val="2"/>
              </w:rPr>
            </w:pPr>
          </w:p>
        </w:tc>
        <w:tc>
          <w:tcPr>
            <w:tcW w:w="7180" w:type="dxa"/>
          </w:tcPr>
          <w:p>
            <w:pPr>
              <w:pStyle w:val="TableParagraph"/>
              <w:spacing w:line="294" w:lineRule="exact"/>
              <w:ind w:left="184"/>
              <w:rPr>
                <w:rFonts w:ascii="微软雅黑" w:eastAsia="微软雅黑"/>
                <w:b/>
                <w:sz w:val="22"/>
              </w:rPr>
            </w:pPr>
            <w:r>
              <w:rPr>
                <w:rFonts w:ascii="微软雅黑" w:eastAsia="微软雅黑"/>
                <w:b/>
                <w:color w:val="000000"/>
                <w:w w:val="95"/>
                <w:sz w:val="22"/>
                <w:shd w:fill="D9D9D9" w:color="auto" w:val="clear"/>
              </w:rPr>
              <w:t>其</w:t>
            </w:r>
            <w:r>
              <w:rPr>
                <w:rFonts w:ascii="微软雅黑" w:eastAsia="微软雅黑"/>
                <w:b/>
                <w:color w:val="000000"/>
                <w:w w:val="95"/>
                <w:sz w:val="22"/>
                <w:shd w:fill="D9D9D9" w:color="auto" w:val="clear"/>
              </w:rPr>
              <w:t>他</w:t>
            </w:r>
            <w:r>
              <w:rPr>
                <w:rFonts w:ascii="微软雅黑" w:eastAsia="微软雅黑"/>
                <w:b/>
                <w:color w:val="000000"/>
                <w:w w:val="95"/>
                <w:sz w:val="22"/>
                <w:shd w:fill="D9D9D9" w:color="auto" w:val="clear"/>
              </w:rPr>
              <w:t>非</w:t>
            </w:r>
            <w:r>
              <w:rPr>
                <w:rFonts w:ascii="微软雅黑" w:eastAsia="微软雅黑"/>
                <w:b/>
                <w:color w:val="000000"/>
                <w:w w:val="95"/>
                <w:sz w:val="22"/>
                <w:shd w:fill="D9D9D9" w:color="auto" w:val="clear"/>
              </w:rPr>
              <w:t>冠</w:t>
            </w:r>
            <w:r>
              <w:rPr>
                <w:rFonts w:ascii="微软雅黑" w:eastAsia="微软雅黑"/>
                <w:b/>
                <w:color w:val="000000"/>
                <w:w w:val="95"/>
                <w:sz w:val="22"/>
                <w:shd w:fill="D9D9D9" w:color="auto" w:val="clear"/>
              </w:rPr>
              <w:t>状</w:t>
            </w:r>
            <w:r>
              <w:rPr>
                <w:rFonts w:ascii="微软雅黑" w:eastAsia="微软雅黑"/>
                <w:b/>
                <w:color w:val="000000"/>
                <w:w w:val="95"/>
                <w:sz w:val="22"/>
                <w:shd w:fill="D9D9D9" w:color="auto" w:val="clear"/>
              </w:rPr>
              <w:t>动</w:t>
            </w:r>
            <w:r>
              <w:rPr>
                <w:rFonts w:ascii="微软雅黑" w:eastAsia="微软雅黑"/>
                <w:b/>
                <w:color w:val="000000"/>
                <w:w w:val="95"/>
                <w:sz w:val="22"/>
                <w:shd w:fill="D9D9D9" w:color="auto" w:val="clear"/>
              </w:rPr>
              <w:t>脉</w:t>
            </w:r>
            <w:r>
              <w:rPr>
                <w:rFonts w:ascii="微软雅黑" w:eastAsia="微软雅黑"/>
                <w:b/>
                <w:color w:val="000000"/>
                <w:w w:val="95"/>
                <w:sz w:val="22"/>
                <w:shd w:fill="D9D9D9" w:color="auto" w:val="clear"/>
              </w:rPr>
              <w:t>阻</w:t>
            </w:r>
            <w:r>
              <w:rPr>
                <w:rFonts w:ascii="微软雅黑" w:eastAsia="微软雅黑"/>
                <w:b/>
                <w:color w:val="000000"/>
                <w:w w:val="95"/>
                <w:sz w:val="22"/>
                <w:shd w:fill="D9D9D9" w:color="auto" w:val="clear"/>
              </w:rPr>
              <w:t>塞</w:t>
            </w:r>
            <w:r>
              <w:rPr>
                <w:rFonts w:ascii="微软雅黑" w:eastAsia="微软雅黑"/>
                <w:b/>
                <w:color w:val="000000"/>
                <w:w w:val="95"/>
                <w:sz w:val="22"/>
                <w:shd w:fill="D9D9D9" w:color="auto" w:val="clear"/>
              </w:rPr>
              <w:t>性</w:t>
            </w:r>
            <w:r>
              <w:rPr>
                <w:rFonts w:ascii="微软雅黑" w:eastAsia="微软雅黑"/>
                <w:b/>
                <w:color w:val="000000"/>
                <w:w w:val="95"/>
                <w:sz w:val="22"/>
                <w:shd w:fill="D9D9D9" w:color="auto" w:val="clear"/>
              </w:rPr>
              <w:t>疾</w:t>
            </w:r>
            <w:r>
              <w:rPr>
                <w:rFonts w:ascii="微软雅黑" w:eastAsia="微软雅黑"/>
                <w:b/>
                <w:color w:val="000000"/>
                <w:w w:val="95"/>
                <w:sz w:val="22"/>
                <w:shd w:fill="D9D9D9" w:color="auto" w:val="clear"/>
              </w:rPr>
              <w:t>病</w:t>
            </w:r>
            <w:r>
              <w:rPr>
                <w:rFonts w:ascii="微软雅黑" w:eastAsia="微软雅黑"/>
                <w:b/>
                <w:color w:val="000000"/>
                <w:w w:val="95"/>
                <w:sz w:val="22"/>
                <w:shd w:fill="D9D9D9" w:color="auto" w:val="clear"/>
              </w:rPr>
              <w:t>所</w:t>
            </w:r>
            <w:r>
              <w:rPr>
                <w:rFonts w:ascii="微软雅黑" w:eastAsia="微软雅黑"/>
                <w:b/>
                <w:color w:val="000000"/>
                <w:w w:val="95"/>
                <w:sz w:val="22"/>
                <w:shd w:fill="D9D9D9" w:color="auto" w:val="clear"/>
              </w:rPr>
              <w:t>引</w:t>
            </w:r>
            <w:r>
              <w:rPr>
                <w:rFonts w:ascii="微软雅黑" w:eastAsia="微软雅黑"/>
                <w:b/>
                <w:color w:val="000000"/>
                <w:w w:val="95"/>
                <w:sz w:val="22"/>
                <w:shd w:fill="D9D9D9" w:color="auto" w:val="clear"/>
              </w:rPr>
              <w:t>起</w:t>
            </w:r>
            <w:r>
              <w:rPr>
                <w:rFonts w:ascii="微软雅黑" w:eastAsia="微软雅黑"/>
                <w:b/>
                <w:color w:val="000000"/>
                <w:w w:val="95"/>
                <w:sz w:val="22"/>
                <w:shd w:fill="D9D9D9" w:color="auto" w:val="clear"/>
              </w:rPr>
              <w:t>的</w:t>
            </w:r>
            <w:r>
              <w:rPr>
                <w:rFonts w:ascii="微软雅黑" w:eastAsia="微软雅黑"/>
                <w:b/>
                <w:color w:val="000000"/>
                <w:w w:val="95"/>
                <w:sz w:val="22"/>
                <w:shd w:fill="D9D9D9" w:color="auto" w:val="clear"/>
              </w:rPr>
              <w:t>肌</w:t>
            </w:r>
            <w:r>
              <w:rPr>
                <w:rFonts w:ascii="微软雅黑" w:eastAsia="微软雅黑"/>
                <w:b/>
                <w:color w:val="000000"/>
                <w:w w:val="95"/>
                <w:sz w:val="22"/>
                <w:shd w:fill="D9D9D9" w:color="auto" w:val="clear"/>
              </w:rPr>
              <w:t>钙</w:t>
            </w:r>
            <w:r>
              <w:rPr>
                <w:rFonts w:ascii="微软雅黑" w:eastAsia="微软雅黑"/>
                <w:b/>
                <w:color w:val="000000"/>
                <w:w w:val="95"/>
                <w:sz w:val="22"/>
                <w:shd w:fill="D9D9D9" w:color="auto" w:val="clear"/>
              </w:rPr>
              <w:t>蛋</w:t>
            </w:r>
            <w:r>
              <w:rPr>
                <w:rFonts w:ascii="微软雅黑" w:eastAsia="微软雅黑"/>
                <w:b/>
                <w:color w:val="000000"/>
                <w:w w:val="95"/>
                <w:sz w:val="22"/>
                <w:shd w:fill="D9D9D9" w:color="auto" w:val="clear"/>
              </w:rPr>
              <w:t>白</w:t>
            </w:r>
            <w:r>
              <w:rPr>
                <w:rFonts w:ascii="微软雅黑" w:eastAsia="微软雅黑"/>
                <w:b/>
                <w:color w:val="000000"/>
                <w:w w:val="95"/>
                <w:sz w:val="22"/>
                <w:shd w:fill="D9D9D9" w:color="auto" w:val="clear"/>
              </w:rPr>
              <w:t>（cTn）</w:t>
            </w:r>
            <w:r>
              <w:rPr>
                <w:rFonts w:ascii="微软雅黑" w:eastAsia="微软雅黑"/>
                <w:b/>
                <w:color w:val="000000"/>
                <w:w w:val="95"/>
                <w:sz w:val="22"/>
                <w:shd w:fill="D9D9D9" w:color="auto" w:val="clear"/>
              </w:rPr>
              <w:t>升</w:t>
            </w:r>
            <w:r>
              <w:rPr>
                <w:rFonts w:ascii="微软雅黑" w:eastAsia="微软雅黑"/>
                <w:b/>
                <w:color w:val="000000"/>
                <w:w w:val="95"/>
                <w:sz w:val="22"/>
                <w:shd w:fill="D9D9D9" w:color="auto" w:val="clear"/>
              </w:rPr>
              <w:t>高</w:t>
            </w:r>
            <w:r>
              <w:rPr>
                <w:rFonts w:ascii="微软雅黑" w:eastAsia="微软雅黑"/>
                <w:b/>
                <w:color w:val="000000"/>
                <w:w w:val="95"/>
                <w:sz w:val="22"/>
                <w:shd w:fill="D9D9D9" w:color="auto" w:val="clear"/>
              </w:rPr>
              <w:t>不</w:t>
            </w:r>
            <w:r>
              <w:rPr>
                <w:rFonts w:ascii="微软雅黑" w:eastAsia="微软雅黑"/>
                <w:b/>
                <w:color w:val="000000"/>
                <w:w w:val="95"/>
                <w:sz w:val="22"/>
                <w:shd w:fill="D9D9D9" w:color="auto" w:val="clear"/>
              </w:rPr>
              <w:t>在</w:t>
            </w:r>
            <w:r>
              <w:rPr>
                <w:rFonts w:ascii="微软雅黑" w:eastAsia="微软雅黑"/>
                <w:b/>
                <w:color w:val="000000"/>
                <w:w w:val="95"/>
                <w:sz w:val="22"/>
                <w:shd w:fill="D9D9D9" w:color="auto" w:val="clear"/>
              </w:rPr>
              <w:t>保</w:t>
            </w:r>
            <w:r>
              <w:rPr>
                <w:rFonts w:ascii="微软雅黑" w:eastAsia="微软雅黑"/>
                <w:b/>
                <w:color w:val="000000"/>
                <w:w w:val="95"/>
                <w:sz w:val="22"/>
                <w:shd w:fill="D9D9D9" w:color="auto" w:val="clear"/>
              </w:rPr>
              <w:t>障</w:t>
            </w:r>
            <w:r>
              <w:rPr>
                <w:rFonts w:ascii="微软雅黑" w:eastAsia="微软雅黑"/>
                <w:b/>
                <w:color w:val="000000"/>
                <w:spacing w:val="-10"/>
                <w:w w:val="95"/>
                <w:sz w:val="22"/>
                <w:shd w:fill="D9D9D9" w:color="auto" w:val="clear"/>
              </w:rPr>
              <w:t>范</w:t>
            </w:r>
          </w:p>
        </w:tc>
      </w:tr>
      <w:tr>
        <w:trPr>
          <w:trHeight w:val="400" w:hRule="atLeast"/>
        </w:trPr>
        <w:tc>
          <w:tcPr>
            <w:tcW w:w="2670" w:type="dxa"/>
            <w:gridSpan w:val="2"/>
            <w:vMerge/>
            <w:tcBorders>
              <w:top w:val="nil"/>
            </w:tcBorders>
          </w:tcPr>
          <w:p>
            <w:pPr>
              <w:rPr>
                <w:sz w:val="2"/>
                <w:szCs w:val="2"/>
              </w:rPr>
            </w:pPr>
          </w:p>
        </w:tc>
        <w:tc>
          <w:tcPr>
            <w:tcW w:w="7180" w:type="dxa"/>
          </w:tcPr>
          <w:p>
            <w:pPr>
              <w:pStyle w:val="TableParagraph"/>
              <w:spacing w:line="351" w:lineRule="exact"/>
              <w:ind w:left="184"/>
              <w:rPr>
                <w:rFonts w:ascii="微软雅黑" w:eastAsia="微软雅黑"/>
                <w:b/>
                <w:sz w:val="22"/>
              </w:rPr>
            </w:pPr>
            <w:r>
              <w:rPr>
                <w:rFonts w:ascii="微软雅黑" w:eastAsia="微软雅黑"/>
                <w:b/>
                <w:color w:val="000000"/>
                <w:spacing w:val="-4"/>
                <w:sz w:val="22"/>
                <w:shd w:fill="D9D9D9" w:color="auto" w:val="clear"/>
              </w:rPr>
              <w:t>围内。</w:t>
            </w:r>
          </w:p>
        </w:tc>
      </w:tr>
      <w:tr>
        <w:trPr>
          <w:trHeight w:val="395" w:hRule="atLeast"/>
        </w:trPr>
        <w:tc>
          <w:tcPr>
            <w:tcW w:w="793" w:type="dxa"/>
          </w:tcPr>
          <w:p>
            <w:pPr>
              <w:pStyle w:val="TableParagraph"/>
              <w:spacing w:line="337" w:lineRule="exact" w:before="38"/>
              <w:ind w:left="50"/>
              <w:rPr>
                <w:rFonts w:ascii="微软雅黑"/>
                <w:b/>
                <w:sz w:val="21"/>
              </w:rPr>
            </w:pPr>
            <w:r>
              <w:rPr>
                <w:rFonts w:ascii="微软雅黑"/>
                <w:b/>
                <w:spacing w:val="-2"/>
                <w:w w:val="105"/>
                <w:sz w:val="21"/>
              </w:rPr>
              <w:t>8.1.3</w:t>
            </w:r>
          </w:p>
        </w:tc>
        <w:tc>
          <w:tcPr>
            <w:tcW w:w="1877" w:type="dxa"/>
          </w:tcPr>
          <w:p>
            <w:pPr>
              <w:pStyle w:val="TableParagraph"/>
              <w:spacing w:line="337" w:lineRule="exact" w:before="38"/>
              <w:ind w:left="215"/>
              <w:rPr>
                <w:rFonts w:ascii="微软雅黑" w:eastAsia="微软雅黑"/>
                <w:b/>
                <w:sz w:val="21"/>
              </w:rPr>
            </w:pPr>
            <w:r>
              <w:rPr>
                <w:rFonts w:ascii="微软雅黑" w:eastAsia="微软雅黑"/>
                <w:b/>
                <w:spacing w:val="-2"/>
                <w:sz w:val="21"/>
              </w:rPr>
              <w:t>严重脑中风后遗</w:t>
            </w:r>
          </w:p>
        </w:tc>
        <w:tc>
          <w:tcPr>
            <w:tcW w:w="7180" w:type="dxa"/>
          </w:tcPr>
          <w:p>
            <w:pPr>
              <w:pStyle w:val="TableParagraph"/>
              <w:spacing w:before="105"/>
              <w:ind w:left="184"/>
              <w:rPr>
                <w:sz w:val="21"/>
              </w:rPr>
            </w:pPr>
            <w:r>
              <w:rPr>
                <w:spacing w:val="-3"/>
                <w:sz w:val="21"/>
              </w:rPr>
              <w:t>指因脑血管的突发病变引起脑血管出血、栓塞或梗塞，须由头颅断层扫描</w:t>
            </w:r>
          </w:p>
        </w:tc>
      </w:tr>
      <w:tr>
        <w:trPr>
          <w:trHeight w:val="312" w:hRule="atLeast"/>
        </w:trPr>
        <w:tc>
          <w:tcPr>
            <w:tcW w:w="793" w:type="dxa"/>
          </w:tcPr>
          <w:p>
            <w:pPr>
              <w:pStyle w:val="TableParagraph"/>
              <w:rPr>
                <w:rFonts w:ascii="Times New Roman"/>
                <w:sz w:val="20"/>
              </w:rPr>
            </w:pPr>
          </w:p>
        </w:tc>
        <w:tc>
          <w:tcPr>
            <w:tcW w:w="1877" w:type="dxa"/>
          </w:tcPr>
          <w:p>
            <w:pPr>
              <w:pStyle w:val="TableParagraph"/>
              <w:spacing w:line="292" w:lineRule="exact"/>
              <w:ind w:left="215"/>
              <w:rPr>
                <w:rFonts w:ascii="微软雅黑" w:eastAsia="微软雅黑"/>
                <w:b/>
                <w:sz w:val="21"/>
              </w:rPr>
            </w:pPr>
            <w:r>
              <w:rPr>
                <w:rFonts w:ascii="微软雅黑" w:eastAsia="微软雅黑"/>
                <w:b/>
                <w:w w:val="100"/>
                <w:sz w:val="21"/>
              </w:rPr>
              <w:t>症</w:t>
            </w:r>
          </w:p>
        </w:tc>
        <w:tc>
          <w:tcPr>
            <w:tcW w:w="7180" w:type="dxa"/>
          </w:tcPr>
          <w:p>
            <w:pPr>
              <w:pStyle w:val="TableParagraph"/>
              <w:spacing w:before="22"/>
              <w:ind w:left="184"/>
              <w:rPr>
                <w:sz w:val="21"/>
              </w:rPr>
            </w:pPr>
            <w:r>
              <w:rPr>
                <w:spacing w:val="-2"/>
                <w:sz w:val="21"/>
              </w:rPr>
              <w:t>（CT）、核磁共振检查（MRI）</w:t>
            </w:r>
            <w:r>
              <w:rPr>
                <w:spacing w:val="-3"/>
                <w:sz w:val="21"/>
              </w:rPr>
              <w:t>等影像学检查证实，并导致神经系统永久性</w:t>
            </w:r>
          </w:p>
        </w:tc>
      </w:tr>
      <w:tr>
        <w:trPr>
          <w:trHeight w:val="311" w:hRule="atLeast"/>
        </w:trPr>
        <w:tc>
          <w:tcPr>
            <w:tcW w:w="793" w:type="dxa"/>
          </w:tcPr>
          <w:p>
            <w:pPr>
              <w:pStyle w:val="TableParagraph"/>
              <w:rPr>
                <w:rFonts w:ascii="Times New Roman"/>
                <w:sz w:val="20"/>
              </w:rPr>
            </w:pPr>
          </w:p>
        </w:tc>
        <w:tc>
          <w:tcPr>
            <w:tcW w:w="1877" w:type="dxa"/>
          </w:tcPr>
          <w:p>
            <w:pPr>
              <w:pStyle w:val="TableParagraph"/>
              <w:rPr>
                <w:rFonts w:ascii="Times New Roman"/>
                <w:sz w:val="20"/>
              </w:rPr>
            </w:pPr>
          </w:p>
        </w:tc>
        <w:tc>
          <w:tcPr>
            <w:tcW w:w="7180" w:type="dxa"/>
          </w:tcPr>
          <w:p>
            <w:pPr>
              <w:pStyle w:val="TableParagraph"/>
              <w:spacing w:before="22"/>
              <w:ind w:left="184"/>
              <w:rPr>
                <w:sz w:val="21"/>
              </w:rPr>
            </w:pPr>
            <w:r>
              <w:rPr>
                <w:spacing w:val="-2"/>
                <w:sz w:val="21"/>
              </w:rPr>
              <w:t>的功能障碍。神经系统永久性的功能障碍，指疾病确诊180</w:t>
            </w:r>
            <w:r>
              <w:rPr>
                <w:spacing w:val="-4"/>
                <w:sz w:val="21"/>
              </w:rPr>
              <w:t>天后，仍遗留下</w:t>
            </w:r>
          </w:p>
        </w:tc>
      </w:tr>
      <w:tr>
        <w:trPr>
          <w:trHeight w:val="1248" w:hRule="atLeast"/>
        </w:trPr>
        <w:tc>
          <w:tcPr>
            <w:tcW w:w="793" w:type="dxa"/>
          </w:tcPr>
          <w:p>
            <w:pPr>
              <w:pStyle w:val="TableParagraph"/>
              <w:rPr>
                <w:rFonts w:ascii="Times New Roman"/>
                <w:sz w:val="20"/>
              </w:rPr>
            </w:pPr>
          </w:p>
        </w:tc>
        <w:tc>
          <w:tcPr>
            <w:tcW w:w="1877" w:type="dxa"/>
          </w:tcPr>
          <w:p>
            <w:pPr>
              <w:pStyle w:val="TableParagraph"/>
              <w:rPr>
                <w:rFonts w:ascii="Times New Roman"/>
                <w:sz w:val="20"/>
              </w:rPr>
            </w:pPr>
          </w:p>
        </w:tc>
        <w:tc>
          <w:tcPr>
            <w:tcW w:w="7180" w:type="dxa"/>
          </w:tcPr>
          <w:p>
            <w:pPr>
              <w:pStyle w:val="TableParagraph"/>
              <w:spacing w:line="257" w:lineRule="exact" w:before="22"/>
              <w:ind w:left="184"/>
              <w:rPr>
                <w:sz w:val="21"/>
              </w:rPr>
            </w:pPr>
            <w:r>
              <w:rPr>
                <w:spacing w:val="-4"/>
                <w:sz w:val="21"/>
              </w:rPr>
              <w:t>列至少一种障碍：</w:t>
            </w:r>
          </w:p>
          <w:p>
            <w:pPr>
              <w:pStyle w:val="TableParagraph"/>
              <w:numPr>
                <w:ilvl w:val="0"/>
                <w:numId w:val="31"/>
              </w:numPr>
              <w:tabs>
                <w:tab w:pos="714" w:val="left" w:leader="none"/>
              </w:tabs>
              <w:spacing w:line="338" w:lineRule="exact" w:before="0" w:after="0"/>
              <w:ind w:left="713" w:right="0" w:hanging="530"/>
              <w:jc w:val="left"/>
              <w:rPr>
                <w:sz w:val="21"/>
              </w:rPr>
            </w:pPr>
            <w:r>
              <w:rPr>
                <w:w w:val="95"/>
                <w:sz w:val="21"/>
              </w:rPr>
              <w:t>一肢（含）以上</w:t>
            </w:r>
            <w:r>
              <w:rPr>
                <w:rFonts w:ascii="微软雅黑" w:eastAsia="微软雅黑"/>
                <w:b/>
                <w:w w:val="95"/>
                <w:sz w:val="21"/>
              </w:rPr>
              <w:t>肢</w:t>
            </w:r>
            <w:r>
              <w:rPr>
                <w:rFonts w:ascii="微软雅黑" w:eastAsia="微软雅黑"/>
                <w:b/>
                <w:w w:val="95"/>
                <w:sz w:val="21"/>
              </w:rPr>
              <w:t>体</w:t>
            </w:r>
            <w:r>
              <w:rPr>
                <w:rFonts w:ascii="微软雅黑" w:eastAsia="微软雅黑"/>
                <w:b/>
                <w:w w:val="95"/>
                <w:position w:val="11"/>
                <w:sz w:val="11"/>
              </w:rPr>
              <w:t>25</w:t>
            </w:r>
            <w:r>
              <w:rPr>
                <w:rFonts w:ascii="微软雅黑" w:eastAsia="微软雅黑"/>
                <w:b/>
                <w:w w:val="95"/>
                <w:sz w:val="21"/>
              </w:rPr>
              <w:t>肌</w:t>
            </w:r>
            <w:r>
              <w:rPr>
                <w:rFonts w:ascii="微软雅黑" w:eastAsia="微软雅黑"/>
                <w:b/>
                <w:w w:val="95"/>
                <w:sz w:val="21"/>
              </w:rPr>
              <w:t>力</w:t>
            </w:r>
            <w:r>
              <w:rPr>
                <w:rFonts w:ascii="微软雅黑" w:eastAsia="微软雅黑"/>
                <w:b/>
                <w:w w:val="95"/>
                <w:position w:val="11"/>
                <w:sz w:val="11"/>
              </w:rPr>
              <w:t>26</w:t>
            </w:r>
            <w:r>
              <w:rPr>
                <w:w w:val="95"/>
                <w:sz w:val="21"/>
              </w:rPr>
              <w:t>2级（含）以</w:t>
            </w:r>
            <w:r>
              <w:rPr>
                <w:w w:val="95"/>
                <w:sz w:val="21"/>
              </w:rPr>
              <w:t>下</w:t>
            </w:r>
            <w:r>
              <w:rPr>
                <w:spacing w:val="-10"/>
                <w:w w:val="95"/>
                <w:sz w:val="21"/>
              </w:rPr>
              <w:t>；</w:t>
            </w:r>
          </w:p>
          <w:p>
            <w:pPr>
              <w:pStyle w:val="TableParagraph"/>
              <w:numPr>
                <w:ilvl w:val="0"/>
                <w:numId w:val="31"/>
              </w:numPr>
              <w:tabs>
                <w:tab w:pos="714" w:val="left" w:leader="none"/>
              </w:tabs>
              <w:spacing w:line="312" w:lineRule="exact" w:before="0" w:after="0"/>
              <w:ind w:left="713" w:right="0" w:hanging="530"/>
              <w:jc w:val="left"/>
              <w:rPr>
                <w:sz w:val="21"/>
              </w:rPr>
            </w:pPr>
            <w:r>
              <w:rPr>
                <w:rFonts w:ascii="微软雅黑" w:eastAsia="微软雅黑"/>
                <w:b/>
                <w:spacing w:val="-2"/>
                <w:sz w:val="21"/>
              </w:rPr>
              <w:t>语言能力完全丧失，或严重咀嚼吞咽功能障碍</w:t>
            </w:r>
            <w:r>
              <w:rPr>
                <w:rFonts w:ascii="微软雅黑" w:eastAsia="微软雅黑"/>
                <w:b/>
                <w:spacing w:val="-5"/>
                <w:position w:val="11"/>
                <w:sz w:val="11"/>
              </w:rPr>
              <w:t>27</w:t>
            </w:r>
            <w:r>
              <w:rPr>
                <w:spacing w:val="-5"/>
                <w:sz w:val="21"/>
              </w:rPr>
              <w:t>；</w:t>
            </w:r>
          </w:p>
          <w:p>
            <w:pPr>
              <w:pStyle w:val="TableParagraph"/>
              <w:numPr>
                <w:ilvl w:val="0"/>
                <w:numId w:val="31"/>
              </w:numPr>
              <w:tabs>
                <w:tab w:pos="714" w:val="left" w:leader="none"/>
              </w:tabs>
              <w:spacing w:line="300" w:lineRule="exact" w:before="0" w:after="0"/>
              <w:ind w:left="713" w:right="0" w:hanging="530"/>
              <w:jc w:val="left"/>
              <w:rPr>
                <w:sz w:val="21"/>
              </w:rPr>
            </w:pPr>
            <w:r>
              <w:rPr>
                <w:w w:val="95"/>
                <w:sz w:val="21"/>
              </w:rPr>
              <w:t>自主生活能力完全丧</w:t>
            </w:r>
            <w:r>
              <w:rPr>
                <w:w w:val="95"/>
                <w:sz w:val="21"/>
              </w:rPr>
              <w:t>失</w:t>
            </w:r>
            <w:r>
              <w:rPr>
                <w:w w:val="95"/>
                <w:sz w:val="21"/>
              </w:rPr>
              <w:t>，无法独立完成</w:t>
            </w:r>
            <w:r>
              <w:rPr>
                <w:rFonts w:ascii="微软雅黑" w:eastAsia="微软雅黑"/>
                <w:b/>
                <w:w w:val="95"/>
                <w:sz w:val="21"/>
              </w:rPr>
              <w:t>六</w:t>
            </w:r>
            <w:r>
              <w:rPr>
                <w:rFonts w:ascii="微软雅黑" w:eastAsia="微软雅黑"/>
                <w:b/>
                <w:w w:val="95"/>
                <w:sz w:val="21"/>
              </w:rPr>
              <w:t>项</w:t>
            </w:r>
            <w:r>
              <w:rPr>
                <w:rFonts w:ascii="微软雅黑" w:eastAsia="微软雅黑"/>
                <w:b/>
                <w:w w:val="95"/>
                <w:sz w:val="21"/>
              </w:rPr>
              <w:t>基</w:t>
            </w:r>
            <w:r>
              <w:rPr>
                <w:rFonts w:ascii="微软雅黑" w:eastAsia="微软雅黑"/>
                <w:b/>
                <w:w w:val="95"/>
                <w:sz w:val="21"/>
              </w:rPr>
              <w:t>本</w:t>
            </w:r>
            <w:r>
              <w:rPr>
                <w:rFonts w:ascii="微软雅黑" w:eastAsia="微软雅黑"/>
                <w:b/>
                <w:w w:val="95"/>
                <w:sz w:val="21"/>
              </w:rPr>
              <w:t>日</w:t>
            </w:r>
            <w:r>
              <w:rPr>
                <w:rFonts w:ascii="微软雅黑" w:eastAsia="微软雅黑"/>
                <w:b/>
                <w:w w:val="95"/>
                <w:sz w:val="21"/>
              </w:rPr>
              <w:t>常</w:t>
            </w:r>
            <w:r>
              <w:rPr>
                <w:rFonts w:ascii="微软雅黑" w:eastAsia="微软雅黑"/>
                <w:b/>
                <w:w w:val="95"/>
                <w:sz w:val="21"/>
              </w:rPr>
              <w:t>生</w:t>
            </w:r>
            <w:r>
              <w:rPr>
                <w:rFonts w:ascii="微软雅黑" w:eastAsia="微软雅黑"/>
                <w:b/>
                <w:w w:val="95"/>
                <w:sz w:val="21"/>
              </w:rPr>
              <w:t>活</w:t>
            </w:r>
            <w:r>
              <w:rPr>
                <w:rFonts w:ascii="微软雅黑" w:eastAsia="微软雅黑"/>
                <w:b/>
                <w:w w:val="95"/>
                <w:sz w:val="21"/>
              </w:rPr>
              <w:t>活</w:t>
            </w:r>
            <w:r>
              <w:rPr>
                <w:rFonts w:ascii="微软雅黑" w:eastAsia="微软雅黑"/>
                <w:b/>
                <w:w w:val="95"/>
                <w:sz w:val="21"/>
              </w:rPr>
              <w:t>动</w:t>
            </w:r>
            <w:r>
              <w:rPr>
                <w:rFonts w:ascii="微软雅黑" w:eastAsia="微软雅黑"/>
                <w:b/>
                <w:w w:val="95"/>
                <w:position w:val="11"/>
                <w:sz w:val="11"/>
              </w:rPr>
              <w:t>28</w:t>
            </w:r>
            <w:r>
              <w:rPr>
                <w:w w:val="95"/>
                <w:sz w:val="21"/>
              </w:rPr>
              <w:t>中</w:t>
            </w:r>
            <w:r>
              <w:rPr>
                <w:spacing w:val="-10"/>
                <w:w w:val="95"/>
                <w:sz w:val="21"/>
              </w:rPr>
              <w:t>的</w:t>
            </w:r>
          </w:p>
        </w:tc>
      </w:tr>
      <w:tr>
        <w:trPr>
          <w:trHeight w:val="396" w:hRule="atLeast"/>
        </w:trPr>
        <w:tc>
          <w:tcPr>
            <w:tcW w:w="793" w:type="dxa"/>
          </w:tcPr>
          <w:p>
            <w:pPr>
              <w:pStyle w:val="TableParagraph"/>
              <w:rPr>
                <w:rFonts w:ascii="Times New Roman"/>
                <w:sz w:val="20"/>
              </w:rPr>
            </w:pPr>
          </w:p>
        </w:tc>
        <w:tc>
          <w:tcPr>
            <w:tcW w:w="1877" w:type="dxa"/>
          </w:tcPr>
          <w:p>
            <w:pPr>
              <w:pStyle w:val="TableParagraph"/>
              <w:rPr>
                <w:rFonts w:ascii="Times New Roman"/>
                <w:sz w:val="20"/>
              </w:rPr>
            </w:pPr>
          </w:p>
        </w:tc>
        <w:tc>
          <w:tcPr>
            <w:tcW w:w="7180" w:type="dxa"/>
          </w:tcPr>
          <w:p>
            <w:pPr>
              <w:pStyle w:val="TableParagraph"/>
              <w:spacing w:before="22"/>
              <w:ind w:left="184"/>
              <w:rPr>
                <w:sz w:val="21"/>
              </w:rPr>
            </w:pPr>
            <w:r>
              <w:rPr>
                <w:spacing w:val="-4"/>
                <w:sz w:val="21"/>
              </w:rPr>
              <w:t>三项或三项以上。</w:t>
            </w:r>
          </w:p>
        </w:tc>
      </w:tr>
      <w:tr>
        <w:trPr>
          <w:trHeight w:val="396" w:hRule="atLeast"/>
        </w:trPr>
        <w:tc>
          <w:tcPr>
            <w:tcW w:w="793" w:type="dxa"/>
          </w:tcPr>
          <w:p>
            <w:pPr>
              <w:pStyle w:val="TableParagraph"/>
              <w:spacing w:line="337" w:lineRule="exact" w:before="38"/>
              <w:ind w:left="50"/>
              <w:rPr>
                <w:rFonts w:ascii="微软雅黑"/>
                <w:b/>
                <w:sz w:val="21"/>
              </w:rPr>
            </w:pPr>
            <w:r>
              <w:rPr>
                <w:rFonts w:ascii="微软雅黑"/>
                <w:b/>
                <w:spacing w:val="-2"/>
                <w:w w:val="105"/>
                <w:sz w:val="21"/>
              </w:rPr>
              <w:t>8.1.4</w:t>
            </w:r>
          </w:p>
        </w:tc>
        <w:tc>
          <w:tcPr>
            <w:tcW w:w="1877" w:type="dxa"/>
          </w:tcPr>
          <w:p>
            <w:pPr>
              <w:pStyle w:val="TableParagraph"/>
              <w:spacing w:line="337" w:lineRule="exact" w:before="38"/>
              <w:ind w:left="215"/>
              <w:rPr>
                <w:rFonts w:ascii="微软雅黑" w:eastAsia="微软雅黑"/>
                <w:b/>
                <w:sz w:val="21"/>
              </w:rPr>
            </w:pPr>
            <w:r>
              <w:rPr>
                <w:rFonts w:ascii="微软雅黑" w:eastAsia="微软雅黑"/>
                <w:b/>
                <w:spacing w:val="-2"/>
                <w:sz w:val="21"/>
              </w:rPr>
              <w:t>重大器官移植术</w:t>
            </w:r>
          </w:p>
        </w:tc>
        <w:tc>
          <w:tcPr>
            <w:tcW w:w="7180" w:type="dxa"/>
          </w:tcPr>
          <w:p>
            <w:pPr>
              <w:pStyle w:val="TableParagraph"/>
              <w:spacing w:before="106"/>
              <w:ind w:left="184"/>
              <w:rPr>
                <w:sz w:val="21"/>
              </w:rPr>
            </w:pPr>
            <w:r>
              <w:rPr>
                <w:spacing w:val="-3"/>
                <w:sz w:val="21"/>
              </w:rPr>
              <w:t>重大器官移植术，指因相应器官功能衰竭，已经实施了肾脏、肝脏、心脏、</w:t>
            </w:r>
          </w:p>
        </w:tc>
      </w:tr>
      <w:tr>
        <w:trPr>
          <w:trHeight w:val="312" w:hRule="atLeast"/>
        </w:trPr>
        <w:tc>
          <w:tcPr>
            <w:tcW w:w="793" w:type="dxa"/>
          </w:tcPr>
          <w:p>
            <w:pPr>
              <w:pStyle w:val="TableParagraph"/>
              <w:rPr>
                <w:rFonts w:ascii="Times New Roman"/>
                <w:sz w:val="20"/>
              </w:rPr>
            </w:pPr>
          </w:p>
        </w:tc>
        <w:tc>
          <w:tcPr>
            <w:tcW w:w="1877" w:type="dxa"/>
          </w:tcPr>
          <w:p>
            <w:pPr>
              <w:pStyle w:val="TableParagraph"/>
              <w:spacing w:line="292" w:lineRule="exact"/>
              <w:ind w:left="215"/>
              <w:rPr>
                <w:rFonts w:ascii="微软雅黑" w:eastAsia="微软雅黑"/>
                <w:b/>
                <w:sz w:val="21"/>
              </w:rPr>
            </w:pPr>
            <w:r>
              <w:rPr>
                <w:rFonts w:ascii="微软雅黑" w:eastAsia="微软雅黑"/>
                <w:b/>
                <w:spacing w:val="-2"/>
                <w:sz w:val="21"/>
              </w:rPr>
              <w:t>或造血干细胞移</w:t>
            </w:r>
          </w:p>
        </w:tc>
        <w:tc>
          <w:tcPr>
            <w:tcW w:w="7180" w:type="dxa"/>
          </w:tcPr>
          <w:p>
            <w:pPr>
              <w:pStyle w:val="TableParagraph"/>
              <w:spacing w:before="22"/>
              <w:ind w:left="184"/>
              <w:rPr>
                <w:sz w:val="21"/>
              </w:rPr>
            </w:pPr>
            <w:r>
              <w:rPr>
                <w:spacing w:val="-3"/>
                <w:sz w:val="21"/>
              </w:rPr>
              <w:t>肺脏或小肠的异体移植手术。</w:t>
            </w:r>
          </w:p>
        </w:tc>
      </w:tr>
      <w:tr>
        <w:trPr>
          <w:trHeight w:val="311" w:hRule="atLeast"/>
        </w:trPr>
        <w:tc>
          <w:tcPr>
            <w:tcW w:w="793" w:type="dxa"/>
          </w:tcPr>
          <w:p>
            <w:pPr>
              <w:pStyle w:val="TableParagraph"/>
              <w:rPr>
                <w:rFonts w:ascii="Times New Roman"/>
                <w:sz w:val="20"/>
              </w:rPr>
            </w:pPr>
          </w:p>
        </w:tc>
        <w:tc>
          <w:tcPr>
            <w:tcW w:w="1877" w:type="dxa"/>
          </w:tcPr>
          <w:p>
            <w:pPr>
              <w:pStyle w:val="TableParagraph"/>
              <w:spacing w:line="292" w:lineRule="exact"/>
              <w:ind w:left="215"/>
              <w:rPr>
                <w:rFonts w:ascii="微软雅黑" w:eastAsia="微软雅黑"/>
                <w:b/>
                <w:sz w:val="21"/>
              </w:rPr>
            </w:pPr>
            <w:r>
              <w:rPr>
                <w:rFonts w:ascii="微软雅黑" w:eastAsia="微软雅黑"/>
                <w:b/>
                <w:spacing w:val="-5"/>
                <w:sz w:val="21"/>
              </w:rPr>
              <w:t>植术</w:t>
            </w:r>
          </w:p>
        </w:tc>
        <w:tc>
          <w:tcPr>
            <w:tcW w:w="7180" w:type="dxa"/>
          </w:tcPr>
          <w:p>
            <w:pPr>
              <w:pStyle w:val="TableParagraph"/>
              <w:spacing w:before="22"/>
              <w:ind w:left="184"/>
              <w:rPr>
                <w:sz w:val="21"/>
              </w:rPr>
            </w:pPr>
            <w:r>
              <w:rPr>
                <w:spacing w:val="-10"/>
                <w:sz w:val="21"/>
              </w:rPr>
              <w:t>造血干细胞移植术，指因造血功能损害或造血系统恶性肿瘤，已经实施了造</w:t>
            </w:r>
          </w:p>
        </w:tc>
      </w:tr>
      <w:tr>
        <w:trPr>
          <w:trHeight w:val="311" w:hRule="atLeast"/>
        </w:trPr>
        <w:tc>
          <w:tcPr>
            <w:tcW w:w="793" w:type="dxa"/>
          </w:tcPr>
          <w:p>
            <w:pPr>
              <w:pStyle w:val="TableParagraph"/>
              <w:rPr>
                <w:rFonts w:ascii="Times New Roman"/>
                <w:sz w:val="20"/>
              </w:rPr>
            </w:pPr>
          </w:p>
        </w:tc>
        <w:tc>
          <w:tcPr>
            <w:tcW w:w="1877" w:type="dxa"/>
          </w:tcPr>
          <w:p>
            <w:pPr>
              <w:pStyle w:val="TableParagraph"/>
              <w:rPr>
                <w:rFonts w:ascii="Times New Roman"/>
                <w:sz w:val="20"/>
              </w:rPr>
            </w:pPr>
          </w:p>
        </w:tc>
        <w:tc>
          <w:tcPr>
            <w:tcW w:w="7180" w:type="dxa"/>
          </w:tcPr>
          <w:p>
            <w:pPr>
              <w:pStyle w:val="TableParagraph"/>
              <w:spacing w:before="22"/>
              <w:ind w:left="184"/>
              <w:rPr>
                <w:sz w:val="21"/>
              </w:rPr>
            </w:pPr>
            <w:r>
              <w:rPr>
                <w:spacing w:val="-6"/>
                <w:sz w:val="21"/>
              </w:rPr>
              <w:t>血干细胞（包括骨髓造血干细胞、外周血造血干细胞和脐血造血干细胞）</w:t>
            </w:r>
            <w:r>
              <w:rPr>
                <w:spacing w:val="-10"/>
                <w:sz w:val="21"/>
              </w:rPr>
              <w:t>的</w:t>
            </w:r>
          </w:p>
        </w:tc>
      </w:tr>
      <w:tr>
        <w:trPr>
          <w:trHeight w:val="397" w:hRule="atLeast"/>
        </w:trPr>
        <w:tc>
          <w:tcPr>
            <w:tcW w:w="793" w:type="dxa"/>
          </w:tcPr>
          <w:p>
            <w:pPr>
              <w:pStyle w:val="TableParagraph"/>
              <w:rPr>
                <w:rFonts w:ascii="Times New Roman"/>
                <w:sz w:val="20"/>
              </w:rPr>
            </w:pPr>
          </w:p>
        </w:tc>
        <w:tc>
          <w:tcPr>
            <w:tcW w:w="1877" w:type="dxa"/>
          </w:tcPr>
          <w:p>
            <w:pPr>
              <w:pStyle w:val="TableParagraph"/>
              <w:rPr>
                <w:rFonts w:ascii="Times New Roman"/>
                <w:sz w:val="20"/>
              </w:rPr>
            </w:pPr>
          </w:p>
        </w:tc>
        <w:tc>
          <w:tcPr>
            <w:tcW w:w="7180" w:type="dxa"/>
          </w:tcPr>
          <w:p>
            <w:pPr>
              <w:pStyle w:val="TableParagraph"/>
              <w:spacing w:before="22"/>
              <w:ind w:left="184"/>
              <w:rPr>
                <w:sz w:val="21"/>
              </w:rPr>
            </w:pPr>
            <w:r>
              <w:rPr>
                <w:spacing w:val="-4"/>
                <w:sz w:val="21"/>
              </w:rPr>
              <w:t>移植手术。</w:t>
            </w:r>
          </w:p>
        </w:tc>
      </w:tr>
      <w:tr>
        <w:trPr>
          <w:trHeight w:val="397" w:hRule="atLeast"/>
        </w:trPr>
        <w:tc>
          <w:tcPr>
            <w:tcW w:w="793" w:type="dxa"/>
          </w:tcPr>
          <w:p>
            <w:pPr>
              <w:pStyle w:val="TableParagraph"/>
              <w:spacing w:line="337" w:lineRule="exact" w:before="40"/>
              <w:ind w:left="50"/>
              <w:rPr>
                <w:rFonts w:ascii="微软雅黑"/>
                <w:b/>
                <w:sz w:val="21"/>
              </w:rPr>
            </w:pPr>
            <w:r>
              <w:rPr>
                <w:rFonts w:ascii="微软雅黑"/>
                <w:b/>
                <w:spacing w:val="-2"/>
                <w:w w:val="105"/>
                <w:sz w:val="21"/>
              </w:rPr>
              <w:t>8.1.5</w:t>
            </w:r>
          </w:p>
        </w:tc>
        <w:tc>
          <w:tcPr>
            <w:tcW w:w="1877" w:type="dxa"/>
          </w:tcPr>
          <w:p>
            <w:pPr>
              <w:pStyle w:val="TableParagraph"/>
              <w:spacing w:line="337" w:lineRule="exact" w:before="40"/>
              <w:ind w:left="215"/>
              <w:rPr>
                <w:rFonts w:ascii="微软雅黑" w:eastAsia="微软雅黑"/>
                <w:b/>
                <w:sz w:val="21"/>
              </w:rPr>
            </w:pPr>
            <w:r>
              <w:rPr>
                <w:rFonts w:ascii="微软雅黑" w:eastAsia="微软雅黑"/>
                <w:b/>
                <w:spacing w:val="-2"/>
                <w:sz w:val="21"/>
              </w:rPr>
              <w:t>冠状动脉搭桥术</w:t>
            </w:r>
          </w:p>
        </w:tc>
        <w:tc>
          <w:tcPr>
            <w:tcW w:w="7180" w:type="dxa"/>
          </w:tcPr>
          <w:p>
            <w:pPr>
              <w:pStyle w:val="TableParagraph"/>
              <w:spacing w:before="107"/>
              <w:ind w:left="184"/>
              <w:rPr>
                <w:sz w:val="21"/>
              </w:rPr>
            </w:pPr>
            <w:r>
              <w:rPr>
                <w:spacing w:val="-11"/>
                <w:sz w:val="21"/>
              </w:rPr>
              <w:t>指为治疗严重的冠心病，已经实施了切开心包进行的冠状动脉血管旁路移植</w:t>
            </w:r>
          </w:p>
        </w:tc>
      </w:tr>
      <w:tr>
        <w:trPr>
          <w:trHeight w:val="309" w:hRule="atLeast"/>
        </w:trPr>
        <w:tc>
          <w:tcPr>
            <w:tcW w:w="793" w:type="dxa"/>
          </w:tcPr>
          <w:p>
            <w:pPr>
              <w:pStyle w:val="TableParagraph"/>
              <w:rPr>
                <w:rFonts w:ascii="Times New Roman"/>
                <w:sz w:val="20"/>
              </w:rPr>
            </w:pPr>
          </w:p>
        </w:tc>
        <w:tc>
          <w:tcPr>
            <w:tcW w:w="1877" w:type="dxa"/>
          </w:tcPr>
          <w:p>
            <w:pPr>
              <w:pStyle w:val="TableParagraph"/>
              <w:spacing w:line="289" w:lineRule="exact"/>
              <w:ind w:left="215"/>
              <w:rPr>
                <w:rFonts w:ascii="微软雅黑" w:eastAsia="微软雅黑"/>
                <w:b/>
                <w:sz w:val="21"/>
              </w:rPr>
            </w:pPr>
            <w:r>
              <w:rPr>
                <w:rFonts w:ascii="微软雅黑" w:eastAsia="微软雅黑"/>
                <w:b/>
                <w:sz w:val="21"/>
              </w:rPr>
              <w:t>（</w:t>
            </w:r>
            <w:r>
              <w:rPr>
                <w:rFonts w:ascii="微软雅黑" w:eastAsia="微软雅黑"/>
                <w:b/>
                <w:spacing w:val="-2"/>
                <w:sz w:val="21"/>
              </w:rPr>
              <w:t>或称冠状动脉</w:t>
            </w:r>
          </w:p>
        </w:tc>
        <w:tc>
          <w:tcPr>
            <w:tcW w:w="7180" w:type="dxa"/>
          </w:tcPr>
          <w:p>
            <w:pPr>
              <w:pStyle w:val="TableParagraph"/>
              <w:spacing w:line="267" w:lineRule="exact" w:before="22"/>
              <w:ind w:left="184"/>
              <w:rPr>
                <w:sz w:val="21"/>
              </w:rPr>
            </w:pPr>
            <w:r>
              <w:rPr>
                <w:spacing w:val="-4"/>
                <w:sz w:val="21"/>
              </w:rPr>
              <w:t>的手术。</w:t>
            </w:r>
          </w:p>
        </w:tc>
      </w:tr>
      <w:tr>
        <w:trPr>
          <w:trHeight w:val="402" w:hRule="atLeast"/>
        </w:trPr>
        <w:tc>
          <w:tcPr>
            <w:tcW w:w="793" w:type="dxa"/>
          </w:tcPr>
          <w:p>
            <w:pPr>
              <w:pStyle w:val="TableParagraph"/>
              <w:rPr>
                <w:rFonts w:ascii="Times New Roman"/>
                <w:sz w:val="20"/>
              </w:rPr>
            </w:pPr>
          </w:p>
        </w:tc>
        <w:tc>
          <w:tcPr>
            <w:tcW w:w="1877" w:type="dxa"/>
          </w:tcPr>
          <w:p>
            <w:pPr>
              <w:pStyle w:val="TableParagraph"/>
              <w:spacing w:line="345" w:lineRule="exact"/>
              <w:ind w:left="215"/>
              <w:rPr>
                <w:rFonts w:ascii="微软雅黑" w:eastAsia="微软雅黑"/>
                <w:b/>
                <w:sz w:val="21"/>
              </w:rPr>
            </w:pPr>
            <w:r>
              <w:rPr>
                <w:rFonts w:ascii="微软雅黑" w:eastAsia="微软雅黑"/>
                <w:b/>
                <w:sz w:val="21"/>
              </w:rPr>
              <w:t>旁路移植术</w:t>
            </w:r>
            <w:r>
              <w:rPr>
                <w:rFonts w:ascii="微软雅黑" w:eastAsia="微软雅黑"/>
                <w:b/>
                <w:spacing w:val="-10"/>
                <w:sz w:val="21"/>
              </w:rPr>
              <w:t>）</w:t>
            </w:r>
          </w:p>
        </w:tc>
        <w:tc>
          <w:tcPr>
            <w:tcW w:w="7180" w:type="dxa"/>
          </w:tcPr>
          <w:p>
            <w:pPr>
              <w:pStyle w:val="TableParagraph"/>
              <w:spacing w:line="353" w:lineRule="exact"/>
              <w:ind w:left="184"/>
              <w:rPr>
                <w:rFonts w:ascii="微软雅黑" w:eastAsia="微软雅黑"/>
                <w:b/>
                <w:sz w:val="22"/>
              </w:rPr>
            </w:pPr>
            <w:r>
              <w:rPr>
                <w:rFonts w:ascii="微软雅黑" w:eastAsia="微软雅黑"/>
                <w:b/>
                <w:color w:val="000000"/>
                <w:spacing w:val="-1"/>
                <w:sz w:val="22"/>
                <w:shd w:fill="D9D9D9" w:color="auto" w:val="clear"/>
              </w:rPr>
              <w:t>所有未切开心包的冠状动脉介入治疗不在保障范围内。</w:t>
            </w:r>
          </w:p>
        </w:tc>
      </w:tr>
      <w:tr>
        <w:trPr>
          <w:trHeight w:val="344" w:hRule="atLeast"/>
        </w:trPr>
        <w:tc>
          <w:tcPr>
            <w:tcW w:w="793" w:type="dxa"/>
          </w:tcPr>
          <w:p>
            <w:pPr>
              <w:pStyle w:val="TableParagraph"/>
              <w:spacing w:line="287" w:lineRule="exact" w:before="38"/>
              <w:ind w:left="50"/>
              <w:rPr>
                <w:rFonts w:ascii="微软雅黑"/>
                <w:b/>
                <w:sz w:val="21"/>
              </w:rPr>
            </w:pPr>
            <w:r>
              <w:rPr>
                <w:rFonts w:ascii="微软雅黑"/>
                <w:b/>
                <w:spacing w:val="-2"/>
                <w:w w:val="105"/>
                <w:sz w:val="21"/>
              </w:rPr>
              <w:t>8.1.6</w:t>
            </w:r>
          </w:p>
        </w:tc>
        <w:tc>
          <w:tcPr>
            <w:tcW w:w="1877" w:type="dxa"/>
          </w:tcPr>
          <w:p>
            <w:pPr>
              <w:pStyle w:val="TableParagraph"/>
              <w:spacing w:line="287" w:lineRule="exact" w:before="38"/>
              <w:ind w:left="215"/>
              <w:rPr>
                <w:rFonts w:ascii="微软雅黑" w:eastAsia="微软雅黑"/>
                <w:b/>
                <w:sz w:val="21"/>
              </w:rPr>
            </w:pPr>
            <w:r>
              <w:rPr>
                <w:rFonts w:ascii="微软雅黑" w:eastAsia="微软雅黑"/>
                <w:b/>
                <w:spacing w:val="-2"/>
                <w:sz w:val="21"/>
              </w:rPr>
              <w:t>严重慢性肾衰竭</w:t>
            </w:r>
          </w:p>
        </w:tc>
        <w:tc>
          <w:tcPr>
            <w:tcW w:w="7180" w:type="dxa"/>
          </w:tcPr>
          <w:p>
            <w:pPr>
              <w:pStyle w:val="TableParagraph"/>
              <w:spacing w:line="220" w:lineRule="exact" w:before="105"/>
              <w:ind w:left="184"/>
              <w:rPr>
                <w:sz w:val="21"/>
              </w:rPr>
            </w:pPr>
            <w:r>
              <w:rPr>
                <w:spacing w:val="-4"/>
                <w:sz w:val="21"/>
              </w:rPr>
              <w:t>指双肾功能慢性不可逆性衰竭，依据肾脏病预后质量倡议（K/DOQI）</w:t>
            </w:r>
            <w:r>
              <w:rPr>
                <w:spacing w:val="-7"/>
                <w:sz w:val="21"/>
              </w:rPr>
              <w:t>制定的</w:t>
            </w:r>
          </w:p>
        </w:tc>
      </w:tr>
    </w:tbl>
    <w:p>
      <w:pPr>
        <w:pStyle w:val="BodyText"/>
        <w:rPr>
          <w:sz w:val="20"/>
        </w:rPr>
      </w:pPr>
    </w:p>
    <w:p>
      <w:pPr>
        <w:pStyle w:val="BodyText"/>
        <w:spacing w:before="9"/>
        <w:rPr>
          <w:sz w:val="13"/>
        </w:rPr>
      </w:pPr>
      <w:r>
        <w:rPr/>
        <w:drawing>
          <wp:anchor distT="0" distB="0" distL="0" distR="0" allowOverlap="1" layoutInCell="1" locked="0" behindDoc="0" simplePos="0" relativeHeight="46">
            <wp:simplePos x="0" y="0"/>
            <wp:positionH relativeFrom="page">
              <wp:posOffset>719327</wp:posOffset>
            </wp:positionH>
            <wp:positionV relativeFrom="paragraph">
              <wp:posOffset>127286</wp:posOffset>
            </wp:positionV>
            <wp:extent cx="1829511" cy="6096"/>
            <wp:effectExtent l="0" t="0" r="0" b="0"/>
            <wp:wrapTopAndBottom/>
            <wp:docPr id="53" name="image6.png"/>
            <wp:cNvGraphicFramePr>
              <a:graphicFrameLocks noChangeAspect="1"/>
            </wp:cNvGraphicFramePr>
            <a:graphic>
              <a:graphicData uri="http://schemas.openxmlformats.org/drawingml/2006/picture">
                <pic:pic>
                  <pic:nvPicPr>
                    <pic:cNvPr id="54" name="image6.png"/>
                    <pic:cNvPicPr/>
                  </pic:nvPicPr>
                  <pic:blipFill>
                    <a:blip r:embed="rId11" cstate="print"/>
                    <a:stretch>
                      <a:fillRect/>
                    </a:stretch>
                  </pic:blipFill>
                  <pic:spPr>
                    <a:xfrm>
                      <a:off x="0" y="0"/>
                      <a:ext cx="1829511" cy="6096"/>
                    </a:xfrm>
                    <a:prstGeom prst="rect">
                      <a:avLst/>
                    </a:prstGeom>
                  </pic:spPr>
                </pic:pic>
              </a:graphicData>
            </a:graphic>
          </wp:anchor>
        </w:drawing>
      </w:r>
    </w:p>
    <w:p>
      <w:pPr>
        <w:spacing w:line="314" w:lineRule="exact" w:before="36"/>
        <w:ind w:left="232" w:right="0" w:firstLine="0"/>
        <w:jc w:val="left"/>
        <w:rPr>
          <w:sz w:val="20"/>
        </w:rPr>
      </w:pPr>
      <w:r>
        <w:rPr>
          <w:rFonts w:ascii="微软雅黑" w:eastAsia="微软雅黑"/>
          <w:b/>
          <w:w w:val="95"/>
          <w:position w:val="10"/>
          <w:sz w:val="10"/>
        </w:rPr>
        <w:t>25</w:t>
      </w:r>
      <w:r>
        <w:rPr>
          <w:rFonts w:ascii="微软雅黑" w:eastAsia="微软雅黑"/>
          <w:b/>
          <w:spacing w:val="72"/>
          <w:w w:val="95"/>
          <w:position w:val="10"/>
          <w:sz w:val="10"/>
        </w:rPr>
        <w:t>   </w:t>
      </w:r>
      <w:r>
        <w:rPr>
          <w:rFonts w:ascii="微软雅黑" w:eastAsia="微软雅黑"/>
          <w:b/>
          <w:w w:val="95"/>
          <w:sz w:val="20"/>
        </w:rPr>
        <w:t>肢</w:t>
      </w:r>
      <w:r>
        <w:rPr>
          <w:rFonts w:ascii="微软雅黑" w:eastAsia="微软雅黑"/>
          <w:b/>
          <w:w w:val="95"/>
          <w:sz w:val="20"/>
        </w:rPr>
        <w:t>体</w:t>
      </w:r>
      <w:r>
        <w:rPr>
          <w:w w:val="95"/>
          <w:sz w:val="20"/>
        </w:rPr>
        <w:t>是</w:t>
      </w:r>
      <w:r>
        <w:rPr>
          <w:w w:val="95"/>
          <w:sz w:val="20"/>
        </w:rPr>
        <w:t>指</w:t>
      </w:r>
      <w:r>
        <w:rPr>
          <w:w w:val="95"/>
          <w:sz w:val="20"/>
        </w:rPr>
        <w:t>包</w:t>
      </w:r>
      <w:r>
        <w:rPr>
          <w:w w:val="95"/>
          <w:sz w:val="20"/>
        </w:rPr>
        <w:t>括</w:t>
      </w:r>
      <w:r>
        <w:rPr>
          <w:w w:val="95"/>
          <w:sz w:val="20"/>
        </w:rPr>
        <w:t>肩</w:t>
      </w:r>
      <w:r>
        <w:rPr>
          <w:w w:val="95"/>
          <w:sz w:val="20"/>
        </w:rPr>
        <w:t>关</w:t>
      </w:r>
      <w:r>
        <w:rPr>
          <w:w w:val="95"/>
          <w:sz w:val="20"/>
        </w:rPr>
        <w:t>节</w:t>
      </w:r>
      <w:r>
        <w:rPr>
          <w:w w:val="95"/>
          <w:sz w:val="20"/>
        </w:rPr>
        <w:t>的</w:t>
      </w:r>
      <w:r>
        <w:rPr>
          <w:w w:val="95"/>
          <w:sz w:val="20"/>
        </w:rPr>
        <w:t>整</w:t>
      </w:r>
      <w:r>
        <w:rPr>
          <w:w w:val="95"/>
          <w:sz w:val="20"/>
        </w:rPr>
        <w:t>个</w:t>
      </w:r>
      <w:r>
        <w:rPr>
          <w:w w:val="95"/>
          <w:sz w:val="20"/>
        </w:rPr>
        <w:t>上</w:t>
      </w:r>
      <w:r>
        <w:rPr>
          <w:w w:val="95"/>
          <w:sz w:val="20"/>
        </w:rPr>
        <w:t>肢</w:t>
      </w:r>
      <w:r>
        <w:rPr>
          <w:w w:val="95"/>
          <w:sz w:val="20"/>
        </w:rPr>
        <w:t>或</w:t>
      </w:r>
      <w:r>
        <w:rPr>
          <w:w w:val="95"/>
          <w:sz w:val="20"/>
        </w:rPr>
        <w:t>包</w:t>
      </w:r>
      <w:r>
        <w:rPr>
          <w:w w:val="95"/>
          <w:sz w:val="20"/>
        </w:rPr>
        <w:t>括</w:t>
      </w:r>
      <w:r>
        <w:rPr>
          <w:w w:val="95"/>
          <w:sz w:val="20"/>
        </w:rPr>
        <w:t>髋</w:t>
      </w:r>
      <w:r>
        <w:rPr>
          <w:w w:val="95"/>
          <w:sz w:val="20"/>
        </w:rPr>
        <w:t>关</w:t>
      </w:r>
      <w:r>
        <w:rPr>
          <w:w w:val="95"/>
          <w:sz w:val="20"/>
        </w:rPr>
        <w:t>节</w:t>
      </w:r>
      <w:r>
        <w:rPr>
          <w:w w:val="95"/>
          <w:sz w:val="20"/>
        </w:rPr>
        <w:t>的整个</w:t>
      </w:r>
      <w:r>
        <w:rPr>
          <w:w w:val="95"/>
          <w:sz w:val="20"/>
        </w:rPr>
        <w:t>下</w:t>
      </w:r>
      <w:r>
        <w:rPr>
          <w:w w:val="95"/>
          <w:sz w:val="20"/>
        </w:rPr>
        <w:t>肢</w:t>
      </w:r>
      <w:r>
        <w:rPr>
          <w:spacing w:val="-10"/>
          <w:w w:val="95"/>
          <w:sz w:val="20"/>
        </w:rPr>
        <w:t>。</w:t>
      </w:r>
    </w:p>
    <w:p>
      <w:pPr>
        <w:spacing w:line="291" w:lineRule="exact" w:before="0"/>
        <w:ind w:left="232" w:right="0" w:firstLine="0"/>
        <w:jc w:val="left"/>
        <w:rPr>
          <w:sz w:val="20"/>
        </w:rPr>
      </w:pPr>
      <w:r>
        <w:rPr>
          <w:rFonts w:ascii="微软雅黑" w:eastAsia="微软雅黑"/>
          <w:b/>
          <w:w w:val="95"/>
          <w:position w:val="10"/>
          <w:sz w:val="10"/>
        </w:rPr>
        <w:t>26</w:t>
      </w:r>
      <w:r>
        <w:rPr>
          <w:rFonts w:ascii="微软雅黑" w:eastAsia="微软雅黑"/>
          <w:b/>
          <w:spacing w:val="69"/>
          <w:w w:val="95"/>
          <w:position w:val="10"/>
          <w:sz w:val="10"/>
        </w:rPr>
        <w:t>  </w:t>
      </w:r>
      <w:r>
        <w:rPr>
          <w:rFonts w:ascii="微软雅黑" w:eastAsia="微软雅黑"/>
          <w:b/>
          <w:w w:val="95"/>
          <w:sz w:val="20"/>
        </w:rPr>
        <w:t>肌</w:t>
      </w:r>
      <w:r>
        <w:rPr>
          <w:rFonts w:ascii="微软雅黑" w:eastAsia="微软雅黑"/>
          <w:b/>
          <w:w w:val="95"/>
          <w:sz w:val="20"/>
        </w:rPr>
        <w:t>力</w:t>
      </w:r>
      <w:r>
        <w:rPr>
          <w:w w:val="95"/>
          <w:sz w:val="20"/>
        </w:rPr>
        <w:t>指</w:t>
      </w:r>
      <w:r>
        <w:rPr>
          <w:w w:val="95"/>
          <w:sz w:val="20"/>
        </w:rPr>
        <w:t>肌</w:t>
      </w:r>
      <w:r>
        <w:rPr>
          <w:w w:val="95"/>
          <w:sz w:val="20"/>
        </w:rPr>
        <w:t>肉</w:t>
      </w:r>
      <w:r>
        <w:rPr>
          <w:w w:val="95"/>
          <w:sz w:val="20"/>
        </w:rPr>
        <w:t>收</w:t>
      </w:r>
      <w:r>
        <w:rPr>
          <w:w w:val="95"/>
          <w:sz w:val="20"/>
        </w:rPr>
        <w:t>缩</w:t>
      </w:r>
      <w:r>
        <w:rPr>
          <w:w w:val="95"/>
          <w:sz w:val="20"/>
        </w:rPr>
        <w:t>时</w:t>
      </w:r>
      <w:r>
        <w:rPr>
          <w:w w:val="95"/>
          <w:sz w:val="20"/>
        </w:rPr>
        <w:t>的</w:t>
      </w:r>
      <w:r>
        <w:rPr>
          <w:w w:val="95"/>
          <w:sz w:val="20"/>
        </w:rPr>
        <w:t>力</w:t>
      </w:r>
      <w:r>
        <w:rPr>
          <w:w w:val="95"/>
          <w:sz w:val="20"/>
        </w:rPr>
        <w:t>量</w:t>
      </w:r>
      <w:r>
        <w:rPr>
          <w:w w:val="95"/>
          <w:sz w:val="20"/>
        </w:rPr>
        <w:t>。</w:t>
      </w:r>
      <w:r>
        <w:rPr>
          <w:w w:val="95"/>
          <w:sz w:val="20"/>
        </w:rPr>
        <w:t>肌</w:t>
      </w:r>
      <w:r>
        <w:rPr>
          <w:w w:val="95"/>
          <w:sz w:val="20"/>
        </w:rPr>
        <w:t>力</w:t>
      </w:r>
      <w:r>
        <w:rPr>
          <w:w w:val="95"/>
          <w:sz w:val="20"/>
        </w:rPr>
        <w:t>划</w:t>
      </w:r>
      <w:r>
        <w:rPr>
          <w:w w:val="95"/>
          <w:sz w:val="20"/>
        </w:rPr>
        <w:t>分</w:t>
      </w:r>
      <w:r>
        <w:rPr>
          <w:w w:val="95"/>
          <w:sz w:val="20"/>
        </w:rPr>
        <w:t>为</w:t>
      </w:r>
      <w:r>
        <w:rPr>
          <w:spacing w:val="-1"/>
          <w:sz w:val="20"/>
        </w:rPr>
        <w:t> </w:t>
      </w:r>
      <w:r>
        <w:rPr>
          <w:w w:val="95"/>
          <w:sz w:val="20"/>
        </w:rPr>
        <w:t>0-5</w:t>
      </w:r>
      <w:r>
        <w:rPr>
          <w:spacing w:val="-3"/>
          <w:sz w:val="20"/>
        </w:rPr>
        <w:t> </w:t>
      </w:r>
      <w:r>
        <w:rPr>
          <w:w w:val="95"/>
          <w:sz w:val="20"/>
        </w:rPr>
        <w:t>级</w:t>
      </w:r>
      <w:r>
        <w:rPr>
          <w:w w:val="95"/>
          <w:sz w:val="20"/>
        </w:rPr>
        <w:t>，</w:t>
      </w:r>
      <w:r>
        <w:rPr>
          <w:w w:val="95"/>
          <w:sz w:val="20"/>
        </w:rPr>
        <w:t>具</w:t>
      </w:r>
      <w:r>
        <w:rPr>
          <w:w w:val="95"/>
          <w:sz w:val="20"/>
        </w:rPr>
        <w:t>体</w:t>
      </w:r>
      <w:r>
        <w:rPr>
          <w:w w:val="95"/>
          <w:sz w:val="20"/>
        </w:rPr>
        <w:t>为</w:t>
      </w:r>
      <w:r>
        <w:rPr>
          <w:spacing w:val="-10"/>
          <w:w w:val="95"/>
          <w:sz w:val="20"/>
        </w:rPr>
        <w:t>：</w:t>
      </w:r>
    </w:p>
    <w:p>
      <w:pPr>
        <w:pStyle w:val="ListParagraph"/>
        <w:numPr>
          <w:ilvl w:val="1"/>
          <w:numId w:val="30"/>
        </w:numPr>
        <w:tabs>
          <w:tab w:pos="527" w:val="left" w:leader="none"/>
        </w:tabs>
        <w:spacing w:line="234" w:lineRule="exact" w:before="0" w:after="0"/>
        <w:ind w:left="526" w:right="0" w:hanging="153"/>
        <w:jc w:val="left"/>
        <w:rPr>
          <w:sz w:val="20"/>
        </w:rPr>
      </w:pPr>
      <w:r>
        <w:rPr>
          <w:w w:val="95"/>
          <w:sz w:val="20"/>
        </w:rPr>
        <w:t>级</w:t>
      </w:r>
      <w:r>
        <w:rPr>
          <w:w w:val="95"/>
          <w:sz w:val="20"/>
        </w:rPr>
        <w:t>：</w:t>
      </w:r>
      <w:r>
        <w:rPr>
          <w:w w:val="95"/>
          <w:sz w:val="20"/>
        </w:rPr>
        <w:t>肌</w:t>
      </w:r>
      <w:r>
        <w:rPr>
          <w:w w:val="95"/>
          <w:sz w:val="20"/>
        </w:rPr>
        <w:t>肉</w:t>
      </w:r>
      <w:r>
        <w:rPr>
          <w:w w:val="95"/>
          <w:sz w:val="20"/>
        </w:rPr>
        <w:t>完</w:t>
      </w:r>
      <w:r>
        <w:rPr>
          <w:w w:val="95"/>
          <w:sz w:val="20"/>
        </w:rPr>
        <w:t>全</w:t>
      </w:r>
      <w:r>
        <w:rPr>
          <w:w w:val="95"/>
          <w:sz w:val="20"/>
        </w:rPr>
        <w:t>瘫</w:t>
      </w:r>
      <w:r>
        <w:rPr>
          <w:w w:val="95"/>
          <w:sz w:val="20"/>
        </w:rPr>
        <w:t>痪，</w:t>
      </w:r>
      <w:r>
        <w:rPr>
          <w:w w:val="95"/>
          <w:sz w:val="20"/>
        </w:rPr>
        <w:t>毫</w:t>
      </w:r>
      <w:r>
        <w:rPr>
          <w:w w:val="95"/>
          <w:sz w:val="20"/>
        </w:rPr>
        <w:t>无</w:t>
      </w:r>
      <w:r>
        <w:rPr>
          <w:w w:val="95"/>
          <w:sz w:val="20"/>
        </w:rPr>
        <w:t>收</w:t>
      </w:r>
      <w:r>
        <w:rPr>
          <w:w w:val="95"/>
          <w:sz w:val="20"/>
        </w:rPr>
        <w:t>缩</w:t>
      </w:r>
      <w:r>
        <w:rPr>
          <w:spacing w:val="-10"/>
          <w:w w:val="95"/>
          <w:sz w:val="20"/>
        </w:rPr>
        <w:t>。</w:t>
      </w:r>
    </w:p>
    <w:p>
      <w:pPr>
        <w:pStyle w:val="ListParagraph"/>
        <w:numPr>
          <w:ilvl w:val="1"/>
          <w:numId w:val="30"/>
        </w:numPr>
        <w:tabs>
          <w:tab w:pos="527" w:val="left" w:leader="none"/>
        </w:tabs>
        <w:spacing w:line="240" w:lineRule="auto" w:before="3" w:after="0"/>
        <w:ind w:left="526" w:right="0" w:hanging="153"/>
        <w:jc w:val="left"/>
        <w:rPr>
          <w:sz w:val="20"/>
        </w:rPr>
      </w:pPr>
      <w:r>
        <w:rPr>
          <w:w w:val="95"/>
          <w:sz w:val="20"/>
        </w:rPr>
        <w:t>级</w:t>
      </w:r>
      <w:r>
        <w:rPr>
          <w:w w:val="95"/>
          <w:sz w:val="20"/>
        </w:rPr>
        <w:t>：</w:t>
      </w:r>
      <w:r>
        <w:rPr>
          <w:w w:val="95"/>
          <w:sz w:val="20"/>
        </w:rPr>
        <w:t>可</w:t>
      </w:r>
      <w:r>
        <w:rPr>
          <w:w w:val="95"/>
          <w:sz w:val="20"/>
        </w:rPr>
        <w:t>看</w:t>
      </w:r>
      <w:r>
        <w:rPr>
          <w:w w:val="95"/>
          <w:sz w:val="20"/>
        </w:rPr>
        <w:t>到</w:t>
      </w:r>
      <w:r>
        <w:rPr>
          <w:w w:val="95"/>
          <w:sz w:val="20"/>
        </w:rPr>
        <w:t>或</w:t>
      </w:r>
      <w:r>
        <w:rPr>
          <w:w w:val="95"/>
          <w:sz w:val="20"/>
        </w:rPr>
        <w:t>者</w:t>
      </w:r>
      <w:r>
        <w:rPr>
          <w:w w:val="95"/>
          <w:sz w:val="20"/>
        </w:rPr>
        <w:t>触</w:t>
      </w:r>
      <w:r>
        <w:rPr>
          <w:w w:val="95"/>
          <w:sz w:val="20"/>
        </w:rPr>
        <w:t>及</w:t>
      </w:r>
      <w:r>
        <w:rPr>
          <w:w w:val="95"/>
          <w:sz w:val="20"/>
        </w:rPr>
        <w:t>肌</w:t>
      </w:r>
      <w:r>
        <w:rPr>
          <w:w w:val="95"/>
          <w:sz w:val="20"/>
        </w:rPr>
        <w:t>肉</w:t>
      </w:r>
      <w:r>
        <w:rPr>
          <w:w w:val="95"/>
          <w:sz w:val="20"/>
        </w:rPr>
        <w:t>轻</w:t>
      </w:r>
      <w:r>
        <w:rPr>
          <w:w w:val="95"/>
          <w:sz w:val="20"/>
        </w:rPr>
        <w:t>微</w:t>
      </w:r>
      <w:r>
        <w:rPr>
          <w:w w:val="95"/>
          <w:sz w:val="20"/>
        </w:rPr>
        <w:t>收</w:t>
      </w:r>
      <w:r>
        <w:rPr>
          <w:w w:val="95"/>
          <w:sz w:val="20"/>
        </w:rPr>
        <w:t>缩，</w:t>
      </w:r>
      <w:r>
        <w:rPr>
          <w:w w:val="95"/>
          <w:sz w:val="20"/>
        </w:rPr>
        <w:t>但</w:t>
      </w:r>
      <w:r>
        <w:rPr>
          <w:w w:val="95"/>
          <w:sz w:val="20"/>
        </w:rPr>
        <w:t>不</w:t>
      </w:r>
      <w:r>
        <w:rPr>
          <w:w w:val="95"/>
          <w:sz w:val="20"/>
        </w:rPr>
        <w:t>能</w:t>
      </w:r>
      <w:r>
        <w:rPr>
          <w:w w:val="95"/>
          <w:sz w:val="20"/>
        </w:rPr>
        <w:t>产</w:t>
      </w:r>
      <w:r>
        <w:rPr>
          <w:spacing w:val="-3"/>
          <w:w w:val="95"/>
          <w:sz w:val="20"/>
        </w:rPr>
        <w:t>生动作。</w:t>
      </w:r>
    </w:p>
    <w:p>
      <w:pPr>
        <w:pStyle w:val="ListParagraph"/>
        <w:numPr>
          <w:ilvl w:val="1"/>
          <w:numId w:val="30"/>
        </w:numPr>
        <w:tabs>
          <w:tab w:pos="527" w:val="left" w:leader="none"/>
        </w:tabs>
        <w:spacing w:line="240" w:lineRule="auto" w:before="3" w:after="0"/>
        <w:ind w:left="526" w:right="0" w:hanging="153"/>
        <w:jc w:val="left"/>
        <w:rPr>
          <w:sz w:val="20"/>
        </w:rPr>
      </w:pPr>
      <w:r>
        <w:rPr>
          <w:w w:val="95"/>
          <w:sz w:val="20"/>
        </w:rPr>
        <w:t>级</w:t>
      </w:r>
      <w:r>
        <w:rPr>
          <w:w w:val="95"/>
          <w:sz w:val="20"/>
        </w:rPr>
        <w:t>：</w:t>
      </w:r>
      <w:r>
        <w:rPr>
          <w:w w:val="95"/>
          <w:sz w:val="20"/>
        </w:rPr>
        <w:t>肌</w:t>
      </w:r>
      <w:r>
        <w:rPr>
          <w:w w:val="95"/>
          <w:sz w:val="20"/>
        </w:rPr>
        <w:t>肉</w:t>
      </w:r>
      <w:r>
        <w:rPr>
          <w:w w:val="95"/>
          <w:sz w:val="20"/>
        </w:rPr>
        <w:t>在</w:t>
      </w:r>
      <w:r>
        <w:rPr>
          <w:w w:val="95"/>
          <w:sz w:val="20"/>
        </w:rPr>
        <w:t>不</w:t>
      </w:r>
      <w:r>
        <w:rPr>
          <w:w w:val="95"/>
          <w:sz w:val="20"/>
        </w:rPr>
        <w:t>受</w:t>
      </w:r>
      <w:r>
        <w:rPr>
          <w:w w:val="95"/>
          <w:sz w:val="20"/>
        </w:rPr>
        <w:t>重</w:t>
      </w:r>
      <w:r>
        <w:rPr>
          <w:w w:val="95"/>
          <w:sz w:val="20"/>
        </w:rPr>
        <w:t>力</w:t>
      </w:r>
      <w:r>
        <w:rPr>
          <w:w w:val="95"/>
          <w:sz w:val="20"/>
        </w:rPr>
        <w:t>影</w:t>
      </w:r>
      <w:r>
        <w:rPr>
          <w:w w:val="95"/>
          <w:sz w:val="20"/>
        </w:rPr>
        <w:t>响</w:t>
      </w:r>
      <w:r>
        <w:rPr>
          <w:w w:val="95"/>
          <w:sz w:val="20"/>
        </w:rPr>
        <w:t>下</w:t>
      </w:r>
      <w:r>
        <w:rPr>
          <w:w w:val="95"/>
          <w:sz w:val="20"/>
        </w:rPr>
        <w:t>，</w:t>
      </w:r>
      <w:r>
        <w:rPr>
          <w:w w:val="95"/>
          <w:sz w:val="20"/>
        </w:rPr>
        <w:t>可</w:t>
      </w:r>
      <w:r>
        <w:rPr>
          <w:w w:val="95"/>
          <w:sz w:val="20"/>
        </w:rPr>
        <w:t>进</w:t>
      </w:r>
      <w:r>
        <w:rPr>
          <w:w w:val="95"/>
          <w:sz w:val="20"/>
        </w:rPr>
        <w:t>行</w:t>
      </w:r>
      <w:r>
        <w:rPr>
          <w:w w:val="95"/>
          <w:sz w:val="20"/>
        </w:rPr>
        <w:t>运</w:t>
      </w:r>
      <w:r>
        <w:rPr>
          <w:w w:val="95"/>
          <w:sz w:val="20"/>
        </w:rPr>
        <w:t>动，</w:t>
      </w:r>
      <w:r>
        <w:rPr>
          <w:w w:val="95"/>
          <w:sz w:val="20"/>
        </w:rPr>
        <w:t>即</w:t>
      </w:r>
      <w:r>
        <w:rPr>
          <w:w w:val="95"/>
          <w:sz w:val="20"/>
        </w:rPr>
        <w:t>肢体能</w:t>
      </w:r>
      <w:r>
        <w:rPr>
          <w:w w:val="95"/>
          <w:sz w:val="20"/>
        </w:rPr>
        <w:t>在</w:t>
      </w:r>
      <w:r>
        <w:rPr>
          <w:w w:val="95"/>
          <w:sz w:val="20"/>
        </w:rPr>
        <w:t>床</w:t>
      </w:r>
      <w:r>
        <w:rPr>
          <w:w w:val="95"/>
          <w:sz w:val="20"/>
        </w:rPr>
        <w:t>面</w:t>
      </w:r>
      <w:r>
        <w:rPr>
          <w:w w:val="95"/>
          <w:sz w:val="20"/>
        </w:rPr>
        <w:t>上</w:t>
      </w:r>
      <w:r>
        <w:rPr>
          <w:w w:val="95"/>
          <w:sz w:val="20"/>
        </w:rPr>
        <w:t>移</w:t>
      </w:r>
      <w:r>
        <w:rPr>
          <w:w w:val="95"/>
          <w:sz w:val="20"/>
        </w:rPr>
        <w:t>动</w:t>
      </w:r>
      <w:r>
        <w:rPr>
          <w:w w:val="95"/>
          <w:sz w:val="20"/>
        </w:rPr>
        <w:t>，</w:t>
      </w:r>
      <w:r>
        <w:rPr>
          <w:w w:val="95"/>
          <w:sz w:val="20"/>
        </w:rPr>
        <w:t>但</w:t>
      </w:r>
      <w:r>
        <w:rPr>
          <w:w w:val="95"/>
          <w:sz w:val="20"/>
        </w:rPr>
        <w:t>不</w:t>
      </w:r>
      <w:r>
        <w:rPr>
          <w:spacing w:val="-3"/>
          <w:w w:val="95"/>
          <w:sz w:val="20"/>
        </w:rPr>
        <w:t>能抬高。</w:t>
      </w:r>
    </w:p>
    <w:p>
      <w:pPr>
        <w:pStyle w:val="ListParagraph"/>
        <w:numPr>
          <w:ilvl w:val="1"/>
          <w:numId w:val="30"/>
        </w:numPr>
        <w:tabs>
          <w:tab w:pos="527" w:val="left" w:leader="none"/>
        </w:tabs>
        <w:spacing w:line="240" w:lineRule="auto" w:before="3" w:after="0"/>
        <w:ind w:left="526" w:right="0" w:hanging="153"/>
        <w:jc w:val="left"/>
        <w:rPr>
          <w:sz w:val="20"/>
        </w:rPr>
      </w:pPr>
      <w:r>
        <w:rPr>
          <w:w w:val="95"/>
          <w:sz w:val="20"/>
        </w:rPr>
        <w:t>级</w:t>
      </w:r>
      <w:r>
        <w:rPr>
          <w:w w:val="95"/>
          <w:sz w:val="20"/>
        </w:rPr>
        <w:t>：</w:t>
      </w:r>
      <w:r>
        <w:rPr>
          <w:w w:val="95"/>
          <w:sz w:val="20"/>
        </w:rPr>
        <w:t>在</w:t>
      </w:r>
      <w:r>
        <w:rPr>
          <w:w w:val="95"/>
          <w:sz w:val="20"/>
        </w:rPr>
        <w:t>和</w:t>
      </w:r>
      <w:r>
        <w:rPr>
          <w:w w:val="95"/>
          <w:sz w:val="20"/>
        </w:rPr>
        <w:t>地</w:t>
      </w:r>
      <w:r>
        <w:rPr>
          <w:w w:val="95"/>
          <w:sz w:val="20"/>
        </w:rPr>
        <w:t>心</w:t>
      </w:r>
      <w:r>
        <w:rPr>
          <w:w w:val="95"/>
          <w:sz w:val="20"/>
        </w:rPr>
        <w:t>引</w:t>
      </w:r>
      <w:r>
        <w:rPr>
          <w:w w:val="95"/>
          <w:sz w:val="20"/>
        </w:rPr>
        <w:t>力</w:t>
      </w:r>
      <w:r>
        <w:rPr>
          <w:w w:val="95"/>
          <w:sz w:val="20"/>
        </w:rPr>
        <w:t>相</w:t>
      </w:r>
      <w:r>
        <w:rPr>
          <w:w w:val="95"/>
          <w:sz w:val="20"/>
        </w:rPr>
        <w:t>反</w:t>
      </w:r>
      <w:r>
        <w:rPr>
          <w:w w:val="95"/>
          <w:sz w:val="20"/>
        </w:rPr>
        <w:t>的</w:t>
      </w:r>
      <w:r>
        <w:rPr>
          <w:w w:val="95"/>
          <w:sz w:val="20"/>
        </w:rPr>
        <w:t>方</w:t>
      </w:r>
      <w:r>
        <w:rPr>
          <w:w w:val="95"/>
          <w:sz w:val="20"/>
        </w:rPr>
        <w:t>向</w:t>
      </w:r>
      <w:r>
        <w:rPr>
          <w:w w:val="95"/>
          <w:sz w:val="20"/>
        </w:rPr>
        <w:t>中</w:t>
      </w:r>
      <w:r>
        <w:rPr>
          <w:w w:val="95"/>
          <w:sz w:val="20"/>
        </w:rPr>
        <w:t>尚</w:t>
      </w:r>
      <w:r>
        <w:rPr>
          <w:w w:val="95"/>
          <w:sz w:val="20"/>
        </w:rPr>
        <w:t>能</w:t>
      </w:r>
      <w:r>
        <w:rPr>
          <w:w w:val="95"/>
          <w:sz w:val="20"/>
        </w:rPr>
        <w:t>完</w:t>
      </w:r>
      <w:r>
        <w:rPr>
          <w:w w:val="95"/>
          <w:sz w:val="20"/>
        </w:rPr>
        <w:t>成</w:t>
      </w:r>
      <w:r>
        <w:rPr>
          <w:w w:val="95"/>
          <w:sz w:val="20"/>
        </w:rPr>
        <w:t>其</w:t>
      </w:r>
      <w:r>
        <w:rPr>
          <w:w w:val="95"/>
          <w:sz w:val="20"/>
        </w:rPr>
        <w:t>动</w:t>
      </w:r>
      <w:r>
        <w:rPr>
          <w:w w:val="95"/>
          <w:sz w:val="20"/>
        </w:rPr>
        <w:t>作，但</w:t>
      </w:r>
      <w:r>
        <w:rPr>
          <w:w w:val="95"/>
          <w:sz w:val="20"/>
        </w:rPr>
        <w:t>不</w:t>
      </w:r>
      <w:r>
        <w:rPr>
          <w:w w:val="95"/>
          <w:sz w:val="20"/>
        </w:rPr>
        <w:t>能</w:t>
      </w:r>
      <w:r>
        <w:rPr>
          <w:w w:val="95"/>
          <w:sz w:val="20"/>
        </w:rPr>
        <w:t>对</w:t>
      </w:r>
      <w:r>
        <w:rPr>
          <w:w w:val="95"/>
          <w:sz w:val="20"/>
        </w:rPr>
        <w:t>抗</w:t>
      </w:r>
      <w:r>
        <w:rPr>
          <w:w w:val="95"/>
          <w:sz w:val="20"/>
        </w:rPr>
        <w:t>外</w:t>
      </w:r>
      <w:r>
        <w:rPr>
          <w:w w:val="95"/>
          <w:sz w:val="20"/>
        </w:rPr>
        <w:t>加</w:t>
      </w:r>
      <w:r>
        <w:rPr>
          <w:w w:val="95"/>
          <w:sz w:val="20"/>
        </w:rPr>
        <w:t>阻</w:t>
      </w:r>
      <w:r>
        <w:rPr>
          <w:w w:val="95"/>
          <w:sz w:val="20"/>
        </w:rPr>
        <w:t>力</w:t>
      </w:r>
      <w:r>
        <w:rPr>
          <w:spacing w:val="-10"/>
          <w:w w:val="95"/>
          <w:sz w:val="20"/>
        </w:rPr>
        <w:t>。</w:t>
      </w:r>
    </w:p>
    <w:p>
      <w:pPr>
        <w:pStyle w:val="ListParagraph"/>
        <w:numPr>
          <w:ilvl w:val="1"/>
          <w:numId w:val="30"/>
        </w:numPr>
        <w:tabs>
          <w:tab w:pos="527" w:val="left" w:leader="none"/>
        </w:tabs>
        <w:spacing w:line="240" w:lineRule="auto" w:before="3" w:after="0"/>
        <w:ind w:left="526" w:right="0" w:hanging="153"/>
        <w:jc w:val="left"/>
        <w:rPr>
          <w:sz w:val="20"/>
        </w:rPr>
      </w:pPr>
      <w:r>
        <w:rPr>
          <w:w w:val="95"/>
          <w:sz w:val="20"/>
        </w:rPr>
        <w:t>级</w:t>
      </w:r>
      <w:r>
        <w:rPr>
          <w:w w:val="95"/>
          <w:sz w:val="20"/>
        </w:rPr>
        <w:t>：</w:t>
      </w:r>
      <w:r>
        <w:rPr>
          <w:w w:val="95"/>
          <w:sz w:val="20"/>
        </w:rPr>
        <w:t>能</w:t>
      </w:r>
      <w:r>
        <w:rPr>
          <w:w w:val="95"/>
          <w:sz w:val="20"/>
        </w:rPr>
        <w:t>对</w:t>
      </w:r>
      <w:r>
        <w:rPr>
          <w:w w:val="95"/>
          <w:sz w:val="20"/>
        </w:rPr>
        <w:t>抗</w:t>
      </w:r>
      <w:r>
        <w:rPr>
          <w:w w:val="95"/>
          <w:sz w:val="20"/>
        </w:rPr>
        <w:t>一</w:t>
      </w:r>
      <w:r>
        <w:rPr>
          <w:w w:val="95"/>
          <w:sz w:val="20"/>
        </w:rPr>
        <w:t>定</w:t>
      </w:r>
      <w:r>
        <w:rPr>
          <w:w w:val="95"/>
          <w:sz w:val="20"/>
        </w:rPr>
        <w:t>的</w:t>
      </w:r>
      <w:r>
        <w:rPr>
          <w:w w:val="95"/>
          <w:sz w:val="20"/>
        </w:rPr>
        <w:t>阻</w:t>
      </w:r>
      <w:r>
        <w:rPr>
          <w:w w:val="95"/>
          <w:sz w:val="20"/>
        </w:rPr>
        <w:t>力</w:t>
      </w:r>
      <w:r>
        <w:rPr>
          <w:w w:val="95"/>
          <w:sz w:val="20"/>
        </w:rPr>
        <w:t>，</w:t>
      </w:r>
      <w:r>
        <w:rPr>
          <w:w w:val="95"/>
          <w:sz w:val="20"/>
        </w:rPr>
        <w:t>但</w:t>
      </w:r>
      <w:r>
        <w:rPr>
          <w:w w:val="95"/>
          <w:sz w:val="20"/>
        </w:rPr>
        <w:t>较</w:t>
      </w:r>
      <w:r>
        <w:rPr>
          <w:w w:val="95"/>
          <w:sz w:val="20"/>
        </w:rPr>
        <w:t>正</w:t>
      </w:r>
      <w:r>
        <w:rPr>
          <w:w w:val="95"/>
          <w:sz w:val="20"/>
        </w:rPr>
        <w:t>常</w:t>
      </w:r>
      <w:r>
        <w:rPr>
          <w:w w:val="95"/>
          <w:sz w:val="20"/>
        </w:rPr>
        <w:t>人</w:t>
      </w:r>
      <w:r>
        <w:rPr>
          <w:w w:val="95"/>
          <w:sz w:val="20"/>
        </w:rPr>
        <w:t>为</w:t>
      </w:r>
      <w:r>
        <w:rPr>
          <w:spacing w:val="-5"/>
          <w:w w:val="95"/>
          <w:sz w:val="20"/>
        </w:rPr>
        <w:t>低。</w:t>
      </w:r>
    </w:p>
    <w:p>
      <w:pPr>
        <w:pStyle w:val="ListParagraph"/>
        <w:numPr>
          <w:ilvl w:val="1"/>
          <w:numId w:val="30"/>
        </w:numPr>
        <w:tabs>
          <w:tab w:pos="527" w:val="left" w:leader="none"/>
        </w:tabs>
        <w:spacing w:line="226" w:lineRule="exact" w:before="2" w:after="0"/>
        <w:ind w:left="526" w:right="0" w:hanging="153"/>
        <w:jc w:val="left"/>
        <w:rPr>
          <w:sz w:val="20"/>
        </w:rPr>
      </w:pPr>
      <w:r>
        <w:rPr>
          <w:w w:val="95"/>
          <w:sz w:val="20"/>
        </w:rPr>
        <w:t>级</w:t>
      </w:r>
      <w:r>
        <w:rPr>
          <w:w w:val="95"/>
          <w:sz w:val="20"/>
        </w:rPr>
        <w:t>：</w:t>
      </w:r>
      <w:r>
        <w:rPr>
          <w:w w:val="95"/>
          <w:sz w:val="20"/>
        </w:rPr>
        <w:t>正</w:t>
      </w:r>
      <w:r>
        <w:rPr>
          <w:w w:val="95"/>
          <w:sz w:val="20"/>
        </w:rPr>
        <w:t>常</w:t>
      </w:r>
      <w:r>
        <w:rPr>
          <w:w w:val="95"/>
          <w:sz w:val="20"/>
        </w:rPr>
        <w:t>肌</w:t>
      </w:r>
      <w:r>
        <w:rPr>
          <w:w w:val="95"/>
          <w:sz w:val="20"/>
        </w:rPr>
        <w:t>力</w:t>
      </w:r>
      <w:r>
        <w:rPr>
          <w:spacing w:val="-10"/>
          <w:w w:val="95"/>
          <w:sz w:val="20"/>
        </w:rPr>
        <w:t>。</w:t>
      </w:r>
    </w:p>
    <w:p>
      <w:pPr>
        <w:spacing w:line="204" w:lineRule="auto" w:before="10"/>
        <w:ind w:left="374" w:right="432" w:hanging="143"/>
        <w:jc w:val="left"/>
        <w:rPr>
          <w:sz w:val="20"/>
        </w:rPr>
      </w:pPr>
      <w:r>
        <w:rPr>
          <w:rFonts w:ascii="微软雅黑" w:eastAsia="微软雅黑"/>
          <w:b/>
          <w:position w:val="10"/>
          <w:sz w:val="10"/>
        </w:rPr>
        <w:t>27</w:t>
      </w:r>
      <w:r>
        <w:rPr>
          <w:rFonts w:ascii="微软雅黑" w:eastAsia="微软雅黑"/>
          <w:b/>
          <w:spacing w:val="37"/>
          <w:position w:val="10"/>
          <w:sz w:val="10"/>
        </w:rPr>
        <w:t> </w:t>
      </w:r>
      <w:r>
        <w:rPr>
          <w:rFonts w:ascii="微软雅黑" w:eastAsia="微软雅黑"/>
          <w:b/>
          <w:sz w:val="20"/>
        </w:rPr>
        <w:t>语</w:t>
      </w:r>
      <w:r>
        <w:rPr>
          <w:rFonts w:ascii="微软雅黑" w:eastAsia="微软雅黑"/>
          <w:b/>
          <w:sz w:val="20"/>
        </w:rPr>
        <w:t>言</w:t>
      </w:r>
      <w:r>
        <w:rPr>
          <w:rFonts w:ascii="微软雅黑" w:eastAsia="微软雅黑"/>
          <w:b/>
          <w:sz w:val="20"/>
        </w:rPr>
        <w:t>能</w:t>
      </w:r>
      <w:r>
        <w:rPr>
          <w:rFonts w:ascii="微软雅黑" w:eastAsia="微软雅黑"/>
          <w:b/>
          <w:sz w:val="20"/>
        </w:rPr>
        <w:t>力</w:t>
      </w:r>
      <w:r>
        <w:rPr>
          <w:rFonts w:ascii="微软雅黑" w:eastAsia="微软雅黑"/>
          <w:b/>
          <w:sz w:val="20"/>
        </w:rPr>
        <w:t>完</w:t>
      </w:r>
      <w:r>
        <w:rPr>
          <w:rFonts w:ascii="微软雅黑" w:eastAsia="微软雅黑"/>
          <w:b/>
          <w:sz w:val="20"/>
        </w:rPr>
        <w:t>全</w:t>
      </w:r>
      <w:r>
        <w:rPr>
          <w:rFonts w:ascii="微软雅黑" w:eastAsia="微软雅黑"/>
          <w:b/>
          <w:sz w:val="20"/>
        </w:rPr>
        <w:t>丧</w:t>
      </w:r>
      <w:r>
        <w:rPr>
          <w:rFonts w:ascii="微软雅黑" w:eastAsia="微软雅黑"/>
          <w:b/>
          <w:sz w:val="20"/>
        </w:rPr>
        <w:t>失</w:t>
      </w:r>
      <w:r>
        <w:rPr>
          <w:rFonts w:ascii="微软雅黑" w:eastAsia="微软雅黑"/>
          <w:b/>
          <w:sz w:val="20"/>
        </w:rPr>
        <w:t>，或严</w:t>
      </w:r>
      <w:r>
        <w:rPr>
          <w:rFonts w:ascii="微软雅黑" w:eastAsia="微软雅黑"/>
          <w:b/>
          <w:sz w:val="20"/>
        </w:rPr>
        <w:t>重</w:t>
      </w:r>
      <w:r>
        <w:rPr>
          <w:rFonts w:ascii="微软雅黑" w:eastAsia="微软雅黑"/>
          <w:b/>
          <w:sz w:val="20"/>
        </w:rPr>
        <w:t>咀</w:t>
      </w:r>
      <w:r>
        <w:rPr>
          <w:rFonts w:ascii="微软雅黑" w:eastAsia="微软雅黑"/>
          <w:b/>
          <w:sz w:val="20"/>
        </w:rPr>
        <w:t>嚼</w:t>
      </w:r>
      <w:r>
        <w:rPr>
          <w:rFonts w:ascii="微软雅黑" w:eastAsia="微软雅黑"/>
          <w:b/>
          <w:sz w:val="20"/>
        </w:rPr>
        <w:t>吞</w:t>
      </w:r>
      <w:r>
        <w:rPr>
          <w:rFonts w:ascii="微软雅黑" w:eastAsia="微软雅黑"/>
          <w:b/>
          <w:sz w:val="20"/>
        </w:rPr>
        <w:t>咽</w:t>
      </w:r>
      <w:r>
        <w:rPr>
          <w:rFonts w:ascii="微软雅黑" w:eastAsia="微软雅黑"/>
          <w:b/>
          <w:sz w:val="20"/>
        </w:rPr>
        <w:t>功</w:t>
      </w:r>
      <w:r>
        <w:rPr>
          <w:rFonts w:ascii="微软雅黑" w:eastAsia="微软雅黑"/>
          <w:b/>
          <w:sz w:val="20"/>
        </w:rPr>
        <w:t>能障碍</w:t>
      </w:r>
      <w:r>
        <w:rPr>
          <w:sz w:val="20"/>
        </w:rPr>
        <w:t>：</w:t>
      </w:r>
      <w:r>
        <w:rPr>
          <w:sz w:val="20"/>
        </w:rPr>
        <w:t>语</w:t>
      </w:r>
      <w:r>
        <w:rPr>
          <w:sz w:val="20"/>
        </w:rPr>
        <w:t>言</w:t>
      </w:r>
      <w:r>
        <w:rPr>
          <w:sz w:val="20"/>
        </w:rPr>
        <w:t>能</w:t>
      </w:r>
      <w:r>
        <w:rPr>
          <w:sz w:val="20"/>
        </w:rPr>
        <w:t>力</w:t>
      </w:r>
      <w:r>
        <w:rPr>
          <w:sz w:val="20"/>
        </w:rPr>
        <w:t>完</w:t>
      </w:r>
      <w:r>
        <w:rPr>
          <w:sz w:val="20"/>
        </w:rPr>
        <w:t>全</w:t>
      </w:r>
      <w:r>
        <w:rPr>
          <w:sz w:val="20"/>
        </w:rPr>
        <w:t>丧</w:t>
      </w:r>
      <w:r>
        <w:rPr>
          <w:sz w:val="20"/>
        </w:rPr>
        <w:t>失</w:t>
      </w:r>
      <w:r>
        <w:rPr>
          <w:sz w:val="20"/>
        </w:rPr>
        <w:t>，</w:t>
      </w:r>
      <w:r>
        <w:rPr>
          <w:sz w:val="20"/>
        </w:rPr>
        <w:t>指</w:t>
      </w:r>
      <w:r>
        <w:rPr>
          <w:sz w:val="20"/>
        </w:rPr>
        <w:t>无</w:t>
      </w:r>
      <w:r>
        <w:rPr>
          <w:sz w:val="20"/>
        </w:rPr>
        <w:t>法发出</w:t>
      </w:r>
      <w:r>
        <w:rPr>
          <w:sz w:val="20"/>
        </w:rPr>
        <w:t>四</w:t>
      </w:r>
      <w:r>
        <w:rPr>
          <w:sz w:val="20"/>
        </w:rPr>
        <w:t>种</w:t>
      </w:r>
      <w:r>
        <w:rPr>
          <w:sz w:val="20"/>
        </w:rPr>
        <w:t>语</w:t>
      </w:r>
      <w:r>
        <w:rPr>
          <w:sz w:val="20"/>
        </w:rPr>
        <w:t>音（</w:t>
      </w:r>
      <w:r>
        <w:rPr>
          <w:sz w:val="20"/>
        </w:rPr>
        <w:t>包</w:t>
      </w:r>
      <w:r>
        <w:rPr>
          <w:sz w:val="20"/>
        </w:rPr>
        <w:t>括</w:t>
      </w:r>
      <w:r>
        <w:rPr>
          <w:sz w:val="20"/>
        </w:rPr>
        <w:t>口</w:t>
      </w:r>
      <w:r>
        <w:rPr>
          <w:sz w:val="20"/>
        </w:rPr>
        <w:t>唇</w:t>
      </w:r>
      <w:r>
        <w:rPr>
          <w:sz w:val="20"/>
        </w:rPr>
        <w:t>音、齿</w:t>
      </w:r>
      <w:r>
        <w:rPr>
          <w:spacing w:val="-2"/>
          <w:sz w:val="20"/>
        </w:rPr>
        <w:t>舌</w:t>
      </w:r>
      <w:r>
        <w:rPr>
          <w:spacing w:val="-2"/>
          <w:sz w:val="20"/>
        </w:rPr>
        <w:t>音</w:t>
      </w:r>
      <w:r>
        <w:rPr>
          <w:spacing w:val="-2"/>
          <w:sz w:val="20"/>
        </w:rPr>
        <w:t>、</w:t>
      </w:r>
      <w:r>
        <w:rPr>
          <w:spacing w:val="-2"/>
          <w:sz w:val="20"/>
        </w:rPr>
        <w:t>口</w:t>
      </w:r>
      <w:r>
        <w:rPr>
          <w:spacing w:val="-2"/>
          <w:sz w:val="20"/>
        </w:rPr>
        <w:t>盖</w:t>
      </w:r>
      <w:r>
        <w:rPr>
          <w:spacing w:val="-2"/>
          <w:sz w:val="20"/>
        </w:rPr>
        <w:t>音</w:t>
      </w:r>
      <w:r>
        <w:rPr>
          <w:spacing w:val="-2"/>
          <w:sz w:val="20"/>
        </w:rPr>
        <w:t>和</w:t>
      </w:r>
      <w:r>
        <w:rPr>
          <w:spacing w:val="-2"/>
          <w:sz w:val="20"/>
        </w:rPr>
        <w:t>喉</w:t>
      </w:r>
      <w:r>
        <w:rPr>
          <w:spacing w:val="-2"/>
          <w:sz w:val="20"/>
        </w:rPr>
        <w:t>头</w:t>
      </w:r>
      <w:r>
        <w:rPr>
          <w:spacing w:val="-2"/>
          <w:sz w:val="20"/>
        </w:rPr>
        <w:t>音）中</w:t>
      </w:r>
      <w:r>
        <w:rPr>
          <w:spacing w:val="-2"/>
          <w:sz w:val="20"/>
        </w:rPr>
        <w:t>的</w:t>
      </w:r>
      <w:r>
        <w:rPr>
          <w:spacing w:val="-2"/>
          <w:sz w:val="20"/>
        </w:rPr>
        <w:t>任</w:t>
      </w:r>
      <w:r>
        <w:rPr>
          <w:spacing w:val="-2"/>
          <w:sz w:val="20"/>
        </w:rPr>
        <w:t>何</w:t>
      </w:r>
      <w:r>
        <w:rPr>
          <w:spacing w:val="-2"/>
          <w:sz w:val="20"/>
        </w:rPr>
        <w:t>三</w:t>
      </w:r>
      <w:r>
        <w:rPr>
          <w:spacing w:val="-2"/>
          <w:sz w:val="20"/>
        </w:rPr>
        <w:t>种</w:t>
      </w:r>
      <w:r>
        <w:rPr>
          <w:spacing w:val="-2"/>
          <w:sz w:val="20"/>
        </w:rPr>
        <w:t>、</w:t>
      </w:r>
      <w:r>
        <w:rPr>
          <w:spacing w:val="-2"/>
          <w:sz w:val="20"/>
        </w:rPr>
        <w:t>或</w:t>
      </w:r>
      <w:r>
        <w:rPr>
          <w:spacing w:val="-2"/>
          <w:sz w:val="20"/>
        </w:rPr>
        <w:t>声</w:t>
      </w:r>
      <w:r>
        <w:rPr>
          <w:spacing w:val="-2"/>
          <w:sz w:val="20"/>
        </w:rPr>
        <w:t>带</w:t>
      </w:r>
      <w:r>
        <w:rPr>
          <w:spacing w:val="-2"/>
          <w:sz w:val="20"/>
        </w:rPr>
        <w:t>全部切</w:t>
      </w:r>
      <w:r>
        <w:rPr>
          <w:spacing w:val="-2"/>
          <w:sz w:val="20"/>
        </w:rPr>
        <w:t>除</w:t>
      </w:r>
      <w:r>
        <w:rPr>
          <w:spacing w:val="-2"/>
          <w:sz w:val="20"/>
        </w:rPr>
        <w:t>，</w:t>
      </w:r>
      <w:r>
        <w:rPr>
          <w:spacing w:val="-2"/>
          <w:sz w:val="20"/>
        </w:rPr>
        <w:t>或</w:t>
      </w:r>
      <w:r>
        <w:rPr>
          <w:spacing w:val="-2"/>
          <w:sz w:val="20"/>
        </w:rPr>
        <w:t>因</w:t>
      </w:r>
      <w:r>
        <w:rPr>
          <w:spacing w:val="-2"/>
          <w:sz w:val="20"/>
        </w:rPr>
        <w:t>大</w:t>
      </w:r>
      <w:r>
        <w:rPr>
          <w:spacing w:val="-2"/>
          <w:sz w:val="20"/>
        </w:rPr>
        <w:t>脑</w:t>
      </w:r>
      <w:r>
        <w:rPr>
          <w:spacing w:val="-2"/>
          <w:sz w:val="20"/>
        </w:rPr>
        <w:t>语</w:t>
      </w:r>
      <w:r>
        <w:rPr>
          <w:spacing w:val="-2"/>
          <w:sz w:val="20"/>
        </w:rPr>
        <w:t>言</w:t>
      </w:r>
      <w:r>
        <w:rPr>
          <w:spacing w:val="-2"/>
          <w:sz w:val="20"/>
        </w:rPr>
        <w:t>中</w:t>
      </w:r>
      <w:r>
        <w:rPr>
          <w:spacing w:val="-2"/>
          <w:sz w:val="20"/>
        </w:rPr>
        <w:t>枢受伤</w:t>
      </w:r>
      <w:r>
        <w:rPr>
          <w:spacing w:val="-2"/>
          <w:sz w:val="20"/>
        </w:rPr>
        <w:t>害</w:t>
      </w:r>
      <w:r>
        <w:rPr>
          <w:spacing w:val="-2"/>
          <w:sz w:val="20"/>
        </w:rPr>
        <w:t>而</w:t>
      </w:r>
      <w:r>
        <w:rPr>
          <w:spacing w:val="-2"/>
          <w:sz w:val="20"/>
        </w:rPr>
        <w:t>患</w:t>
      </w:r>
      <w:r>
        <w:rPr>
          <w:spacing w:val="-2"/>
          <w:sz w:val="20"/>
        </w:rPr>
        <w:t>失</w:t>
      </w:r>
      <w:r>
        <w:rPr>
          <w:spacing w:val="-2"/>
          <w:sz w:val="20"/>
        </w:rPr>
        <w:t>语</w:t>
      </w:r>
      <w:r>
        <w:rPr>
          <w:spacing w:val="-2"/>
          <w:sz w:val="20"/>
        </w:rPr>
        <w:t>症</w:t>
      </w:r>
      <w:r>
        <w:rPr>
          <w:spacing w:val="-2"/>
          <w:sz w:val="20"/>
        </w:rPr>
        <w:t>。</w:t>
      </w:r>
      <w:r>
        <w:rPr>
          <w:spacing w:val="-2"/>
          <w:sz w:val="20"/>
        </w:rPr>
        <w:t>严</w:t>
      </w:r>
      <w:r>
        <w:rPr>
          <w:spacing w:val="-2"/>
          <w:sz w:val="20"/>
        </w:rPr>
        <w:t>重</w:t>
      </w:r>
      <w:r>
        <w:rPr>
          <w:spacing w:val="-2"/>
          <w:sz w:val="20"/>
        </w:rPr>
        <w:t>咀嚼</w:t>
      </w:r>
    </w:p>
    <w:p>
      <w:pPr>
        <w:spacing w:line="242" w:lineRule="auto" w:before="14"/>
        <w:ind w:left="374" w:right="514" w:firstLine="0"/>
        <w:jc w:val="left"/>
        <w:rPr>
          <w:sz w:val="20"/>
        </w:rPr>
      </w:pPr>
      <w:r>
        <w:rPr>
          <w:spacing w:val="-1"/>
          <w:w w:val="99"/>
          <w:sz w:val="20"/>
        </w:rPr>
        <w:t>吞咽功能障碍，指因牙齿以外的原因导致器质障碍或机能障碍，以致不能作咀嚼吞咽运动，除流质食物外不</w:t>
      </w:r>
      <w:r>
        <w:rPr>
          <w:w w:val="99"/>
          <w:sz w:val="20"/>
        </w:rPr>
        <w:t>能摄取或吞咽的状态。</w:t>
      </w:r>
    </w:p>
    <w:p>
      <w:pPr>
        <w:spacing w:line="283" w:lineRule="exact" w:before="0"/>
        <w:ind w:left="232" w:right="0" w:firstLine="0"/>
        <w:jc w:val="left"/>
        <w:rPr>
          <w:sz w:val="20"/>
        </w:rPr>
      </w:pPr>
      <w:r>
        <w:rPr>
          <w:rFonts w:ascii="微软雅黑" w:eastAsia="微软雅黑"/>
          <w:b/>
          <w:w w:val="95"/>
          <w:position w:val="10"/>
          <w:sz w:val="10"/>
        </w:rPr>
        <w:t>28</w:t>
      </w:r>
      <w:r>
        <w:rPr>
          <w:rFonts w:ascii="微软雅黑" w:eastAsia="微软雅黑"/>
          <w:b/>
          <w:spacing w:val="70"/>
          <w:w w:val="95"/>
          <w:position w:val="10"/>
          <w:sz w:val="10"/>
        </w:rPr>
        <w:t>  </w:t>
      </w:r>
      <w:r>
        <w:rPr>
          <w:rFonts w:ascii="微软雅黑" w:eastAsia="微软雅黑"/>
          <w:b/>
          <w:w w:val="95"/>
          <w:sz w:val="20"/>
        </w:rPr>
        <w:t>六</w:t>
      </w:r>
      <w:r>
        <w:rPr>
          <w:rFonts w:ascii="微软雅黑" w:eastAsia="微软雅黑"/>
          <w:b/>
          <w:w w:val="95"/>
          <w:sz w:val="20"/>
        </w:rPr>
        <w:t>项</w:t>
      </w:r>
      <w:r>
        <w:rPr>
          <w:rFonts w:ascii="微软雅黑" w:eastAsia="微软雅黑"/>
          <w:b/>
          <w:w w:val="95"/>
          <w:sz w:val="20"/>
        </w:rPr>
        <w:t>基</w:t>
      </w:r>
      <w:r>
        <w:rPr>
          <w:rFonts w:ascii="微软雅黑" w:eastAsia="微软雅黑"/>
          <w:b/>
          <w:w w:val="95"/>
          <w:sz w:val="20"/>
        </w:rPr>
        <w:t>本</w:t>
      </w:r>
      <w:r>
        <w:rPr>
          <w:rFonts w:ascii="微软雅黑" w:eastAsia="微软雅黑"/>
          <w:b/>
          <w:w w:val="95"/>
          <w:sz w:val="20"/>
        </w:rPr>
        <w:t>日</w:t>
      </w:r>
      <w:r>
        <w:rPr>
          <w:rFonts w:ascii="微软雅黑" w:eastAsia="微软雅黑"/>
          <w:b/>
          <w:w w:val="95"/>
          <w:sz w:val="20"/>
        </w:rPr>
        <w:t>常</w:t>
      </w:r>
      <w:r>
        <w:rPr>
          <w:rFonts w:ascii="微软雅黑" w:eastAsia="微软雅黑"/>
          <w:b/>
          <w:w w:val="95"/>
          <w:sz w:val="20"/>
        </w:rPr>
        <w:t>生</w:t>
      </w:r>
      <w:r>
        <w:rPr>
          <w:rFonts w:ascii="微软雅黑" w:eastAsia="微软雅黑"/>
          <w:b/>
          <w:w w:val="95"/>
          <w:sz w:val="20"/>
        </w:rPr>
        <w:t>活</w:t>
      </w:r>
      <w:r>
        <w:rPr>
          <w:rFonts w:ascii="微软雅黑" w:eastAsia="微软雅黑"/>
          <w:b/>
          <w:w w:val="95"/>
          <w:sz w:val="20"/>
        </w:rPr>
        <w:t>活动</w:t>
      </w:r>
      <w:r>
        <w:rPr>
          <w:w w:val="95"/>
          <w:sz w:val="20"/>
        </w:rPr>
        <w:t>是</w:t>
      </w:r>
      <w:r>
        <w:rPr>
          <w:w w:val="95"/>
          <w:sz w:val="20"/>
        </w:rPr>
        <w:t>指</w:t>
      </w:r>
      <w:r>
        <w:rPr>
          <w:spacing w:val="-10"/>
          <w:w w:val="95"/>
          <w:sz w:val="20"/>
        </w:rPr>
        <w:t>：</w:t>
      </w:r>
    </w:p>
    <w:p>
      <w:pPr>
        <w:pStyle w:val="ListParagraph"/>
        <w:numPr>
          <w:ilvl w:val="0"/>
          <w:numId w:val="32"/>
        </w:numPr>
        <w:tabs>
          <w:tab w:pos="734" w:val="left" w:leader="none"/>
        </w:tabs>
        <w:spacing w:line="234" w:lineRule="exact" w:before="0" w:after="0"/>
        <w:ind w:left="733" w:right="0" w:hanging="502"/>
        <w:jc w:val="left"/>
        <w:rPr>
          <w:sz w:val="20"/>
        </w:rPr>
      </w:pPr>
      <w:r>
        <w:rPr>
          <w:w w:val="95"/>
          <w:sz w:val="20"/>
        </w:rPr>
        <w:t>穿</w:t>
      </w:r>
      <w:r>
        <w:rPr>
          <w:w w:val="95"/>
          <w:sz w:val="20"/>
        </w:rPr>
        <w:t>衣</w:t>
      </w:r>
      <w:r>
        <w:rPr>
          <w:w w:val="95"/>
          <w:sz w:val="20"/>
        </w:rPr>
        <w:t>：</w:t>
      </w:r>
      <w:r>
        <w:rPr>
          <w:w w:val="95"/>
          <w:sz w:val="20"/>
        </w:rPr>
        <w:t>自</w:t>
      </w:r>
      <w:r>
        <w:rPr>
          <w:w w:val="95"/>
          <w:sz w:val="20"/>
        </w:rPr>
        <w:t>己</w:t>
      </w:r>
      <w:r>
        <w:rPr>
          <w:w w:val="95"/>
          <w:sz w:val="20"/>
        </w:rPr>
        <w:t>能</w:t>
      </w:r>
      <w:r>
        <w:rPr>
          <w:w w:val="95"/>
          <w:sz w:val="20"/>
        </w:rPr>
        <w:t>够</w:t>
      </w:r>
      <w:r>
        <w:rPr>
          <w:w w:val="95"/>
          <w:sz w:val="20"/>
        </w:rPr>
        <w:t>穿</w:t>
      </w:r>
      <w:r>
        <w:rPr>
          <w:w w:val="95"/>
          <w:sz w:val="20"/>
        </w:rPr>
        <w:t>衣</w:t>
      </w:r>
      <w:r>
        <w:rPr>
          <w:w w:val="95"/>
          <w:sz w:val="20"/>
        </w:rPr>
        <w:t>及</w:t>
      </w:r>
      <w:r>
        <w:rPr>
          <w:w w:val="95"/>
          <w:sz w:val="20"/>
        </w:rPr>
        <w:t>脱</w:t>
      </w:r>
      <w:r>
        <w:rPr>
          <w:w w:val="95"/>
          <w:sz w:val="20"/>
        </w:rPr>
        <w:t>衣</w:t>
      </w:r>
      <w:r>
        <w:rPr>
          <w:spacing w:val="-10"/>
          <w:w w:val="95"/>
          <w:sz w:val="20"/>
        </w:rPr>
        <w:t>；</w:t>
      </w:r>
    </w:p>
    <w:p>
      <w:pPr>
        <w:pStyle w:val="ListParagraph"/>
        <w:numPr>
          <w:ilvl w:val="0"/>
          <w:numId w:val="32"/>
        </w:numPr>
        <w:tabs>
          <w:tab w:pos="734" w:val="left" w:leader="none"/>
        </w:tabs>
        <w:spacing w:line="240" w:lineRule="auto" w:before="3" w:after="0"/>
        <w:ind w:left="733" w:right="0" w:hanging="502"/>
        <w:jc w:val="left"/>
        <w:rPr>
          <w:sz w:val="20"/>
        </w:rPr>
      </w:pPr>
      <w:r>
        <w:rPr>
          <w:w w:val="95"/>
          <w:sz w:val="20"/>
        </w:rPr>
        <w:t>移</w:t>
      </w:r>
      <w:r>
        <w:rPr>
          <w:w w:val="95"/>
          <w:sz w:val="20"/>
        </w:rPr>
        <w:t>动</w:t>
      </w:r>
      <w:r>
        <w:rPr>
          <w:w w:val="95"/>
          <w:sz w:val="20"/>
        </w:rPr>
        <w:t>：</w:t>
      </w:r>
      <w:r>
        <w:rPr>
          <w:w w:val="95"/>
          <w:sz w:val="20"/>
        </w:rPr>
        <w:t>自</w:t>
      </w:r>
      <w:r>
        <w:rPr>
          <w:w w:val="95"/>
          <w:sz w:val="20"/>
        </w:rPr>
        <w:t>己</w:t>
      </w:r>
      <w:r>
        <w:rPr>
          <w:w w:val="95"/>
          <w:sz w:val="20"/>
        </w:rPr>
        <w:t>从</w:t>
      </w:r>
      <w:r>
        <w:rPr>
          <w:w w:val="95"/>
          <w:sz w:val="20"/>
        </w:rPr>
        <w:t>一</w:t>
      </w:r>
      <w:r>
        <w:rPr>
          <w:w w:val="95"/>
          <w:sz w:val="20"/>
        </w:rPr>
        <w:t>个</w:t>
      </w:r>
      <w:r>
        <w:rPr>
          <w:w w:val="95"/>
          <w:sz w:val="20"/>
        </w:rPr>
        <w:t>房</w:t>
      </w:r>
      <w:r>
        <w:rPr>
          <w:w w:val="95"/>
          <w:sz w:val="20"/>
        </w:rPr>
        <w:t>间</w:t>
      </w:r>
      <w:r>
        <w:rPr>
          <w:w w:val="95"/>
          <w:sz w:val="20"/>
        </w:rPr>
        <w:t>到</w:t>
      </w:r>
      <w:r>
        <w:rPr>
          <w:w w:val="95"/>
          <w:sz w:val="20"/>
        </w:rPr>
        <w:t>另</w:t>
      </w:r>
      <w:r>
        <w:rPr>
          <w:w w:val="95"/>
          <w:sz w:val="20"/>
        </w:rPr>
        <w:t>一</w:t>
      </w:r>
      <w:r>
        <w:rPr>
          <w:w w:val="95"/>
          <w:sz w:val="20"/>
        </w:rPr>
        <w:t>个</w:t>
      </w:r>
      <w:r>
        <w:rPr>
          <w:w w:val="95"/>
          <w:sz w:val="20"/>
        </w:rPr>
        <w:t>房</w:t>
      </w:r>
      <w:r>
        <w:rPr>
          <w:spacing w:val="-5"/>
          <w:w w:val="95"/>
          <w:sz w:val="20"/>
        </w:rPr>
        <w:t>间；</w:t>
      </w:r>
    </w:p>
    <w:p>
      <w:pPr>
        <w:pStyle w:val="ListParagraph"/>
        <w:numPr>
          <w:ilvl w:val="0"/>
          <w:numId w:val="32"/>
        </w:numPr>
        <w:tabs>
          <w:tab w:pos="734" w:val="left" w:leader="none"/>
        </w:tabs>
        <w:spacing w:line="240" w:lineRule="auto" w:before="3" w:after="0"/>
        <w:ind w:left="733" w:right="0" w:hanging="502"/>
        <w:jc w:val="left"/>
        <w:rPr>
          <w:sz w:val="20"/>
        </w:rPr>
      </w:pPr>
      <w:r>
        <w:rPr>
          <w:w w:val="95"/>
          <w:sz w:val="20"/>
        </w:rPr>
        <w:t>行</w:t>
      </w:r>
      <w:r>
        <w:rPr>
          <w:w w:val="95"/>
          <w:sz w:val="20"/>
        </w:rPr>
        <w:t>动</w:t>
      </w:r>
      <w:r>
        <w:rPr>
          <w:w w:val="95"/>
          <w:sz w:val="20"/>
        </w:rPr>
        <w:t>：</w:t>
      </w:r>
      <w:r>
        <w:rPr>
          <w:w w:val="95"/>
          <w:sz w:val="20"/>
        </w:rPr>
        <w:t>自</w:t>
      </w:r>
      <w:r>
        <w:rPr>
          <w:w w:val="95"/>
          <w:sz w:val="20"/>
        </w:rPr>
        <w:t>己</w:t>
      </w:r>
      <w:r>
        <w:rPr>
          <w:w w:val="95"/>
          <w:sz w:val="20"/>
        </w:rPr>
        <w:t>上</w:t>
      </w:r>
      <w:r>
        <w:rPr>
          <w:w w:val="95"/>
          <w:sz w:val="20"/>
        </w:rPr>
        <w:t>下</w:t>
      </w:r>
      <w:r>
        <w:rPr>
          <w:w w:val="95"/>
          <w:sz w:val="20"/>
        </w:rPr>
        <w:t>床</w:t>
      </w:r>
      <w:r>
        <w:rPr>
          <w:w w:val="95"/>
          <w:sz w:val="20"/>
        </w:rPr>
        <w:t>或</w:t>
      </w:r>
      <w:r>
        <w:rPr>
          <w:w w:val="95"/>
          <w:sz w:val="20"/>
        </w:rPr>
        <w:t>上</w:t>
      </w:r>
      <w:r>
        <w:rPr>
          <w:w w:val="95"/>
          <w:sz w:val="20"/>
        </w:rPr>
        <w:t>下</w:t>
      </w:r>
      <w:r>
        <w:rPr>
          <w:w w:val="95"/>
          <w:sz w:val="20"/>
        </w:rPr>
        <w:t>轮</w:t>
      </w:r>
      <w:r>
        <w:rPr>
          <w:spacing w:val="-5"/>
          <w:w w:val="95"/>
          <w:sz w:val="20"/>
        </w:rPr>
        <w:t>椅；</w:t>
      </w:r>
    </w:p>
    <w:p>
      <w:pPr>
        <w:pStyle w:val="ListParagraph"/>
        <w:numPr>
          <w:ilvl w:val="0"/>
          <w:numId w:val="32"/>
        </w:numPr>
        <w:tabs>
          <w:tab w:pos="734" w:val="left" w:leader="none"/>
        </w:tabs>
        <w:spacing w:line="240" w:lineRule="auto" w:before="3" w:after="0"/>
        <w:ind w:left="733" w:right="0" w:hanging="502"/>
        <w:jc w:val="left"/>
        <w:rPr>
          <w:sz w:val="20"/>
        </w:rPr>
      </w:pPr>
      <w:r>
        <w:rPr>
          <w:w w:val="95"/>
          <w:sz w:val="20"/>
        </w:rPr>
        <w:t>如</w:t>
      </w:r>
      <w:r>
        <w:rPr>
          <w:w w:val="95"/>
          <w:sz w:val="20"/>
        </w:rPr>
        <w:t>厕</w:t>
      </w:r>
      <w:r>
        <w:rPr>
          <w:w w:val="95"/>
          <w:sz w:val="20"/>
        </w:rPr>
        <w:t>：</w:t>
      </w:r>
      <w:r>
        <w:rPr>
          <w:w w:val="95"/>
          <w:sz w:val="20"/>
        </w:rPr>
        <w:t>自</w:t>
      </w:r>
      <w:r>
        <w:rPr>
          <w:w w:val="95"/>
          <w:sz w:val="20"/>
        </w:rPr>
        <w:t>己</w:t>
      </w:r>
      <w:r>
        <w:rPr>
          <w:w w:val="95"/>
          <w:sz w:val="20"/>
        </w:rPr>
        <w:t>控</w:t>
      </w:r>
      <w:r>
        <w:rPr>
          <w:w w:val="95"/>
          <w:sz w:val="20"/>
        </w:rPr>
        <w:t>制</w:t>
      </w:r>
      <w:r>
        <w:rPr>
          <w:w w:val="95"/>
          <w:sz w:val="20"/>
        </w:rPr>
        <w:t>进</w:t>
      </w:r>
      <w:r>
        <w:rPr>
          <w:w w:val="95"/>
          <w:sz w:val="20"/>
        </w:rPr>
        <w:t>行</w:t>
      </w:r>
      <w:r>
        <w:rPr>
          <w:w w:val="95"/>
          <w:sz w:val="20"/>
        </w:rPr>
        <w:t>大</w:t>
      </w:r>
      <w:r>
        <w:rPr>
          <w:w w:val="95"/>
          <w:sz w:val="20"/>
        </w:rPr>
        <w:t>小</w:t>
      </w:r>
      <w:r>
        <w:rPr>
          <w:w w:val="95"/>
          <w:sz w:val="20"/>
        </w:rPr>
        <w:t>便</w:t>
      </w:r>
      <w:r>
        <w:rPr>
          <w:spacing w:val="-10"/>
          <w:w w:val="95"/>
          <w:sz w:val="20"/>
        </w:rPr>
        <w:t>；</w:t>
      </w:r>
    </w:p>
    <w:p>
      <w:pPr>
        <w:pStyle w:val="ListParagraph"/>
        <w:numPr>
          <w:ilvl w:val="0"/>
          <w:numId w:val="32"/>
        </w:numPr>
        <w:tabs>
          <w:tab w:pos="734" w:val="left" w:leader="none"/>
        </w:tabs>
        <w:spacing w:line="240" w:lineRule="auto" w:before="3" w:after="0"/>
        <w:ind w:left="733" w:right="0" w:hanging="502"/>
        <w:jc w:val="left"/>
        <w:rPr>
          <w:sz w:val="20"/>
        </w:rPr>
      </w:pPr>
      <w:r>
        <w:rPr>
          <w:w w:val="95"/>
          <w:sz w:val="20"/>
        </w:rPr>
        <w:t>进</w:t>
      </w:r>
      <w:r>
        <w:rPr>
          <w:w w:val="95"/>
          <w:sz w:val="20"/>
        </w:rPr>
        <w:t>食</w:t>
      </w:r>
      <w:r>
        <w:rPr>
          <w:w w:val="95"/>
          <w:sz w:val="20"/>
        </w:rPr>
        <w:t>：</w:t>
      </w:r>
      <w:r>
        <w:rPr>
          <w:w w:val="95"/>
          <w:sz w:val="20"/>
        </w:rPr>
        <w:t>自</w:t>
      </w:r>
      <w:r>
        <w:rPr>
          <w:w w:val="95"/>
          <w:sz w:val="20"/>
        </w:rPr>
        <w:t>己</w:t>
      </w:r>
      <w:r>
        <w:rPr>
          <w:w w:val="95"/>
          <w:sz w:val="20"/>
        </w:rPr>
        <w:t>从</w:t>
      </w:r>
      <w:r>
        <w:rPr>
          <w:w w:val="95"/>
          <w:sz w:val="20"/>
        </w:rPr>
        <w:t>已</w:t>
      </w:r>
      <w:r>
        <w:rPr>
          <w:w w:val="95"/>
          <w:sz w:val="20"/>
        </w:rPr>
        <w:t>准</w:t>
      </w:r>
      <w:r>
        <w:rPr>
          <w:w w:val="95"/>
          <w:sz w:val="20"/>
        </w:rPr>
        <w:t>备</w:t>
      </w:r>
      <w:r>
        <w:rPr>
          <w:w w:val="95"/>
          <w:sz w:val="20"/>
        </w:rPr>
        <w:t>好</w:t>
      </w:r>
      <w:r>
        <w:rPr>
          <w:w w:val="95"/>
          <w:sz w:val="20"/>
        </w:rPr>
        <w:t>的</w:t>
      </w:r>
      <w:r>
        <w:rPr>
          <w:w w:val="95"/>
          <w:sz w:val="20"/>
        </w:rPr>
        <w:t>碗</w:t>
      </w:r>
      <w:r>
        <w:rPr>
          <w:w w:val="95"/>
          <w:sz w:val="20"/>
        </w:rPr>
        <w:t>或</w:t>
      </w:r>
      <w:r>
        <w:rPr>
          <w:w w:val="95"/>
          <w:sz w:val="20"/>
        </w:rPr>
        <w:t>碟</w:t>
      </w:r>
      <w:r>
        <w:rPr>
          <w:w w:val="95"/>
          <w:sz w:val="20"/>
        </w:rPr>
        <w:t>中</w:t>
      </w:r>
      <w:r>
        <w:rPr>
          <w:w w:val="95"/>
          <w:sz w:val="20"/>
        </w:rPr>
        <w:t>取</w:t>
      </w:r>
      <w:r>
        <w:rPr>
          <w:w w:val="95"/>
          <w:sz w:val="20"/>
        </w:rPr>
        <w:t>食</w:t>
      </w:r>
      <w:r>
        <w:rPr>
          <w:w w:val="95"/>
          <w:sz w:val="20"/>
        </w:rPr>
        <w:t>物</w:t>
      </w:r>
      <w:r>
        <w:rPr>
          <w:w w:val="95"/>
          <w:sz w:val="20"/>
        </w:rPr>
        <w:t>放入口</w:t>
      </w:r>
      <w:r>
        <w:rPr>
          <w:w w:val="95"/>
          <w:sz w:val="20"/>
        </w:rPr>
        <w:t>中</w:t>
      </w:r>
      <w:r>
        <w:rPr>
          <w:spacing w:val="-10"/>
          <w:w w:val="95"/>
          <w:sz w:val="20"/>
        </w:rPr>
        <w:t>；</w:t>
      </w:r>
    </w:p>
    <w:p>
      <w:pPr>
        <w:pStyle w:val="ListParagraph"/>
        <w:numPr>
          <w:ilvl w:val="0"/>
          <w:numId w:val="32"/>
        </w:numPr>
        <w:tabs>
          <w:tab w:pos="734" w:val="left" w:leader="none"/>
        </w:tabs>
        <w:spacing w:line="226" w:lineRule="exact" w:before="3" w:after="0"/>
        <w:ind w:left="733" w:right="0" w:hanging="502"/>
        <w:jc w:val="left"/>
        <w:rPr>
          <w:sz w:val="20"/>
        </w:rPr>
      </w:pPr>
      <w:r>
        <w:rPr>
          <w:w w:val="95"/>
          <w:sz w:val="20"/>
        </w:rPr>
        <w:t>洗</w:t>
      </w:r>
      <w:r>
        <w:rPr>
          <w:w w:val="95"/>
          <w:sz w:val="20"/>
        </w:rPr>
        <w:t>澡</w:t>
      </w:r>
      <w:r>
        <w:rPr>
          <w:w w:val="95"/>
          <w:sz w:val="20"/>
        </w:rPr>
        <w:t>：</w:t>
      </w:r>
      <w:r>
        <w:rPr>
          <w:w w:val="95"/>
          <w:sz w:val="20"/>
        </w:rPr>
        <w:t>自</w:t>
      </w:r>
      <w:r>
        <w:rPr>
          <w:w w:val="95"/>
          <w:sz w:val="20"/>
        </w:rPr>
        <w:t>己</w:t>
      </w:r>
      <w:r>
        <w:rPr>
          <w:w w:val="95"/>
          <w:sz w:val="20"/>
        </w:rPr>
        <w:t>进</w:t>
      </w:r>
      <w:r>
        <w:rPr>
          <w:w w:val="95"/>
          <w:sz w:val="20"/>
        </w:rPr>
        <w:t>行</w:t>
      </w:r>
      <w:r>
        <w:rPr>
          <w:w w:val="95"/>
          <w:sz w:val="20"/>
        </w:rPr>
        <w:t>淋</w:t>
      </w:r>
      <w:r>
        <w:rPr>
          <w:w w:val="95"/>
          <w:sz w:val="20"/>
        </w:rPr>
        <w:t>浴</w:t>
      </w:r>
      <w:r>
        <w:rPr>
          <w:w w:val="95"/>
          <w:sz w:val="20"/>
        </w:rPr>
        <w:t>或</w:t>
      </w:r>
      <w:r>
        <w:rPr>
          <w:w w:val="95"/>
          <w:sz w:val="20"/>
        </w:rPr>
        <w:t>盆</w:t>
      </w:r>
      <w:r>
        <w:rPr>
          <w:w w:val="95"/>
          <w:sz w:val="20"/>
        </w:rPr>
        <w:t>浴</w:t>
      </w:r>
      <w:r>
        <w:rPr>
          <w:spacing w:val="-10"/>
          <w:w w:val="95"/>
          <w:sz w:val="20"/>
        </w:rPr>
        <w:t>。</w:t>
      </w:r>
    </w:p>
    <w:p>
      <w:pPr>
        <w:spacing w:line="338" w:lineRule="exact" w:before="0"/>
        <w:ind w:left="374" w:right="0" w:firstLine="0"/>
        <w:jc w:val="left"/>
        <w:rPr>
          <w:rFonts w:ascii="微软雅黑" w:eastAsia="微软雅黑"/>
          <w:b/>
          <w:sz w:val="20"/>
        </w:rPr>
      </w:pPr>
      <w:r>
        <w:rPr>
          <w:rFonts w:ascii="微软雅黑" w:eastAsia="微软雅黑"/>
          <w:b/>
          <w:color w:val="000000"/>
          <w:w w:val="95"/>
          <w:sz w:val="20"/>
          <w:shd w:fill="D9D9D9" w:color="auto" w:val="clear"/>
        </w:rPr>
        <w:t>六</w:t>
      </w:r>
      <w:r>
        <w:rPr>
          <w:rFonts w:ascii="微软雅黑" w:eastAsia="微软雅黑"/>
          <w:b/>
          <w:color w:val="000000"/>
          <w:w w:val="95"/>
          <w:sz w:val="20"/>
          <w:shd w:fill="D9D9D9" w:color="auto" w:val="clear"/>
        </w:rPr>
        <w:t>项</w:t>
      </w:r>
      <w:r>
        <w:rPr>
          <w:rFonts w:ascii="微软雅黑" w:eastAsia="微软雅黑"/>
          <w:b/>
          <w:color w:val="000000"/>
          <w:w w:val="95"/>
          <w:sz w:val="20"/>
          <w:shd w:fill="D9D9D9" w:color="auto" w:val="clear"/>
        </w:rPr>
        <w:t>基</w:t>
      </w:r>
      <w:r>
        <w:rPr>
          <w:rFonts w:ascii="微软雅黑" w:eastAsia="微软雅黑"/>
          <w:b/>
          <w:color w:val="000000"/>
          <w:w w:val="95"/>
          <w:sz w:val="20"/>
          <w:shd w:fill="D9D9D9" w:color="auto" w:val="clear"/>
        </w:rPr>
        <w:t>本</w:t>
      </w:r>
      <w:r>
        <w:rPr>
          <w:rFonts w:ascii="微软雅黑" w:eastAsia="微软雅黑"/>
          <w:b/>
          <w:color w:val="000000"/>
          <w:w w:val="95"/>
          <w:sz w:val="20"/>
          <w:shd w:fill="D9D9D9" w:color="auto" w:val="clear"/>
        </w:rPr>
        <w:t>日</w:t>
      </w:r>
      <w:r>
        <w:rPr>
          <w:rFonts w:ascii="微软雅黑" w:eastAsia="微软雅黑"/>
          <w:b/>
          <w:color w:val="000000"/>
          <w:w w:val="95"/>
          <w:sz w:val="20"/>
          <w:shd w:fill="D9D9D9" w:color="auto" w:val="clear"/>
        </w:rPr>
        <w:t>常</w:t>
      </w:r>
      <w:r>
        <w:rPr>
          <w:rFonts w:ascii="微软雅黑" w:eastAsia="微软雅黑"/>
          <w:b/>
          <w:color w:val="000000"/>
          <w:w w:val="95"/>
          <w:sz w:val="20"/>
          <w:shd w:fill="D9D9D9" w:color="auto" w:val="clear"/>
        </w:rPr>
        <w:t>生</w:t>
      </w:r>
      <w:r>
        <w:rPr>
          <w:rFonts w:ascii="微软雅黑" w:eastAsia="微软雅黑"/>
          <w:b/>
          <w:color w:val="000000"/>
          <w:w w:val="95"/>
          <w:sz w:val="20"/>
          <w:shd w:fill="D9D9D9" w:color="auto" w:val="clear"/>
        </w:rPr>
        <w:t>活</w:t>
      </w:r>
      <w:r>
        <w:rPr>
          <w:rFonts w:ascii="微软雅黑" w:eastAsia="微软雅黑"/>
          <w:b/>
          <w:color w:val="000000"/>
          <w:w w:val="95"/>
          <w:sz w:val="20"/>
          <w:shd w:fill="D9D9D9" w:color="auto" w:val="clear"/>
        </w:rPr>
        <w:t>活</w:t>
      </w:r>
      <w:r>
        <w:rPr>
          <w:rFonts w:ascii="微软雅黑" w:eastAsia="微软雅黑"/>
          <w:b/>
          <w:color w:val="000000"/>
          <w:w w:val="95"/>
          <w:sz w:val="20"/>
          <w:shd w:fill="D9D9D9" w:color="auto" w:val="clear"/>
        </w:rPr>
        <w:t>动能力</w:t>
      </w:r>
      <w:r>
        <w:rPr>
          <w:rFonts w:ascii="微软雅黑" w:eastAsia="微软雅黑"/>
          <w:b/>
          <w:color w:val="000000"/>
          <w:w w:val="95"/>
          <w:sz w:val="20"/>
          <w:shd w:fill="D9D9D9" w:color="auto" w:val="clear"/>
        </w:rPr>
        <w:t>的</w:t>
      </w:r>
      <w:r>
        <w:rPr>
          <w:rFonts w:ascii="微软雅黑" w:eastAsia="微软雅黑"/>
          <w:b/>
          <w:color w:val="000000"/>
          <w:w w:val="95"/>
          <w:sz w:val="20"/>
          <w:shd w:fill="D9D9D9" w:color="auto" w:val="clear"/>
        </w:rPr>
        <w:t>鉴</w:t>
      </w:r>
      <w:r>
        <w:rPr>
          <w:rFonts w:ascii="微软雅黑" w:eastAsia="微软雅黑"/>
          <w:b/>
          <w:color w:val="000000"/>
          <w:w w:val="95"/>
          <w:sz w:val="20"/>
          <w:shd w:fill="D9D9D9" w:color="auto" w:val="clear"/>
        </w:rPr>
        <w:t>定</w:t>
      </w:r>
      <w:r>
        <w:rPr>
          <w:rFonts w:ascii="微软雅黑" w:eastAsia="微软雅黑"/>
          <w:b/>
          <w:color w:val="000000"/>
          <w:w w:val="95"/>
          <w:sz w:val="20"/>
          <w:shd w:fill="D9D9D9" w:color="auto" w:val="clear"/>
        </w:rPr>
        <w:t>不</w:t>
      </w:r>
      <w:r>
        <w:rPr>
          <w:rFonts w:ascii="微软雅黑" w:eastAsia="微软雅黑"/>
          <w:b/>
          <w:color w:val="000000"/>
          <w:w w:val="95"/>
          <w:sz w:val="20"/>
          <w:shd w:fill="D9D9D9" w:color="auto" w:val="clear"/>
        </w:rPr>
        <w:t>适</w:t>
      </w:r>
      <w:r>
        <w:rPr>
          <w:rFonts w:ascii="微软雅黑" w:eastAsia="微软雅黑"/>
          <w:b/>
          <w:color w:val="000000"/>
          <w:w w:val="95"/>
          <w:sz w:val="20"/>
          <w:shd w:fill="D9D9D9" w:color="auto" w:val="clear"/>
        </w:rPr>
        <w:t>用</w:t>
      </w:r>
      <w:r>
        <w:rPr>
          <w:rFonts w:ascii="微软雅黑" w:eastAsia="微软雅黑"/>
          <w:b/>
          <w:color w:val="000000"/>
          <w:w w:val="95"/>
          <w:sz w:val="20"/>
          <w:shd w:fill="D9D9D9" w:color="auto" w:val="clear"/>
        </w:rPr>
        <w:t>于</w:t>
      </w:r>
      <w:r>
        <w:rPr>
          <w:rFonts w:ascii="微软雅黑" w:eastAsia="微软雅黑"/>
          <w:b/>
          <w:color w:val="000000"/>
          <w:spacing w:val="63"/>
          <w:w w:val="150"/>
          <w:sz w:val="20"/>
          <w:shd w:fill="D9D9D9" w:color="auto" w:val="clear"/>
        </w:rPr>
        <w:t> </w:t>
      </w:r>
      <w:r>
        <w:rPr>
          <w:rFonts w:ascii="微软雅黑" w:eastAsia="微软雅黑"/>
          <w:b/>
          <w:color w:val="000000"/>
          <w:w w:val="95"/>
          <w:sz w:val="20"/>
          <w:shd w:fill="D9D9D9" w:color="auto" w:val="clear"/>
        </w:rPr>
        <w:t>0-3</w:t>
      </w:r>
      <w:r>
        <w:rPr>
          <w:rFonts w:ascii="微软雅黑" w:eastAsia="微软雅黑"/>
          <w:b/>
          <w:color w:val="000000"/>
          <w:spacing w:val="59"/>
          <w:w w:val="150"/>
          <w:sz w:val="20"/>
          <w:shd w:fill="D9D9D9" w:color="auto" w:val="clear"/>
        </w:rPr>
        <w:t> </w:t>
      </w:r>
      <w:r>
        <w:rPr>
          <w:rFonts w:ascii="微软雅黑" w:eastAsia="微软雅黑"/>
          <w:b/>
          <w:color w:val="000000"/>
          <w:w w:val="95"/>
          <w:sz w:val="20"/>
          <w:shd w:fill="D9D9D9" w:color="auto" w:val="clear"/>
        </w:rPr>
        <w:t>周</w:t>
      </w:r>
      <w:r>
        <w:rPr>
          <w:rFonts w:ascii="微软雅黑" w:eastAsia="微软雅黑"/>
          <w:b/>
          <w:color w:val="000000"/>
          <w:w w:val="95"/>
          <w:sz w:val="20"/>
          <w:shd w:fill="D9D9D9" w:color="auto" w:val="clear"/>
        </w:rPr>
        <w:t>岁</w:t>
      </w:r>
      <w:r>
        <w:rPr>
          <w:rFonts w:ascii="微软雅黑" w:eastAsia="微软雅黑"/>
          <w:b/>
          <w:color w:val="000000"/>
          <w:w w:val="95"/>
          <w:sz w:val="20"/>
          <w:shd w:fill="D9D9D9" w:color="auto" w:val="clear"/>
        </w:rPr>
        <w:t>幼</w:t>
      </w:r>
      <w:r>
        <w:rPr>
          <w:rFonts w:ascii="微软雅黑" w:eastAsia="微软雅黑"/>
          <w:b/>
          <w:color w:val="000000"/>
          <w:spacing w:val="-5"/>
          <w:w w:val="95"/>
          <w:sz w:val="20"/>
          <w:shd w:fill="D9D9D9" w:color="auto" w:val="clear"/>
        </w:rPr>
        <w:t>儿。</w:t>
      </w:r>
    </w:p>
    <w:p>
      <w:pPr>
        <w:spacing w:after="0" w:line="338" w:lineRule="exact"/>
        <w:jc w:val="left"/>
        <w:rPr>
          <w:rFonts w:ascii="微软雅黑" w:eastAsia="微软雅黑"/>
          <w:sz w:val="20"/>
        </w:rPr>
        <w:sectPr>
          <w:pgSz w:w="11910" w:h="16840"/>
          <w:pgMar w:header="566" w:footer="664" w:top="1340" w:bottom="860" w:left="900" w:right="720"/>
        </w:sectPr>
      </w:pPr>
    </w:p>
    <w:p>
      <w:pPr>
        <w:pStyle w:val="BodyText"/>
        <w:spacing w:line="278" w:lineRule="auto" w:before="85"/>
        <w:ind w:left="3037" w:right="415"/>
      </w:pPr>
      <w:r>
        <w:rPr>
          <w:spacing w:val="-5"/>
        </w:rPr>
        <w:t>指南，分期达到慢性肾脏病 </w:t>
      </w:r>
      <w:r>
        <w:rPr/>
        <w:t>5</w:t>
      </w:r>
      <w:r>
        <w:rPr>
          <w:spacing w:val="-11"/>
        </w:rPr>
        <w:t> 期，且经诊断后已经进行了至少 </w:t>
      </w:r>
      <w:r>
        <w:rPr/>
        <w:t>90</w:t>
      </w:r>
      <w:r>
        <w:rPr>
          <w:spacing w:val="-12"/>
        </w:rPr>
        <w:t> 天的规律</w:t>
      </w:r>
      <w:r>
        <w:rPr>
          <w:spacing w:val="-2"/>
        </w:rPr>
        <w:t>性透析治疗。规律性透析是指每周进行血液透析或每天进行腹膜透析。</w:t>
      </w:r>
    </w:p>
    <w:p>
      <w:pPr>
        <w:pStyle w:val="ListParagraph"/>
        <w:numPr>
          <w:ilvl w:val="2"/>
          <w:numId w:val="33"/>
        </w:numPr>
        <w:tabs>
          <w:tab w:pos="1190" w:val="left" w:leader="none"/>
          <w:tab w:pos="1191" w:val="left" w:leader="none"/>
          <w:tab w:pos="3036" w:val="left" w:leader="none"/>
        </w:tabs>
        <w:spacing w:line="235" w:lineRule="auto" w:before="109" w:after="0"/>
        <w:ind w:left="3037" w:right="406" w:hanging="2805"/>
        <w:jc w:val="left"/>
        <w:rPr>
          <w:sz w:val="21"/>
        </w:rPr>
      </w:pPr>
      <w:r>
        <w:rPr>
          <w:rFonts w:ascii="微软雅黑" w:eastAsia="微软雅黑"/>
          <w:b/>
          <w:spacing w:val="-2"/>
          <w:sz w:val="21"/>
        </w:rPr>
        <w:t>多</w:t>
      </w:r>
      <w:r>
        <w:rPr>
          <w:rFonts w:ascii="微软雅黑" w:eastAsia="微软雅黑"/>
          <w:b/>
          <w:spacing w:val="-2"/>
          <w:sz w:val="21"/>
        </w:rPr>
        <w:t>个</w:t>
      </w:r>
      <w:r>
        <w:rPr>
          <w:rFonts w:ascii="微软雅黑" w:eastAsia="微软雅黑"/>
          <w:b/>
          <w:spacing w:val="-2"/>
          <w:sz w:val="21"/>
        </w:rPr>
        <w:t>肢</w:t>
      </w:r>
      <w:r>
        <w:rPr>
          <w:rFonts w:ascii="微软雅黑" w:eastAsia="微软雅黑"/>
          <w:b/>
          <w:spacing w:val="-2"/>
          <w:sz w:val="21"/>
        </w:rPr>
        <w:t>体</w:t>
      </w:r>
      <w:r>
        <w:rPr>
          <w:rFonts w:ascii="微软雅黑" w:eastAsia="微软雅黑"/>
          <w:b/>
          <w:spacing w:val="-2"/>
          <w:sz w:val="21"/>
        </w:rPr>
        <w:t>缺</w:t>
      </w:r>
      <w:r>
        <w:rPr>
          <w:rFonts w:ascii="微软雅黑" w:eastAsia="微软雅黑"/>
          <w:b/>
          <w:spacing w:val="-2"/>
          <w:sz w:val="21"/>
        </w:rPr>
        <w:t>失</w:t>
      </w:r>
      <w:r>
        <w:rPr>
          <w:rFonts w:ascii="微软雅黑" w:eastAsia="微软雅黑"/>
          <w:b/>
          <w:sz w:val="21"/>
        </w:rPr>
        <w:tab/>
      </w:r>
      <w:r>
        <w:rPr>
          <w:spacing w:val="-2"/>
          <w:sz w:val="21"/>
        </w:rPr>
        <w:t>指</w:t>
      </w:r>
      <w:r>
        <w:rPr>
          <w:spacing w:val="-2"/>
          <w:sz w:val="21"/>
        </w:rPr>
        <w:t>因</w:t>
      </w:r>
      <w:r>
        <w:rPr>
          <w:spacing w:val="-2"/>
          <w:sz w:val="21"/>
        </w:rPr>
        <w:t>疾病或意外伤害导致</w:t>
      </w:r>
      <w:r>
        <w:rPr>
          <w:spacing w:val="-2"/>
          <w:sz w:val="21"/>
        </w:rPr>
        <w:t>两</w:t>
      </w:r>
      <w:r>
        <w:rPr>
          <w:spacing w:val="-2"/>
          <w:sz w:val="21"/>
        </w:rPr>
        <w:t>个</w:t>
      </w:r>
      <w:r>
        <w:rPr>
          <w:spacing w:val="-2"/>
          <w:sz w:val="21"/>
        </w:rPr>
        <w:t>或两个以上肢体自腕</w:t>
      </w:r>
      <w:r>
        <w:rPr>
          <w:spacing w:val="-2"/>
          <w:sz w:val="21"/>
        </w:rPr>
        <w:t>关</w:t>
      </w:r>
      <w:r>
        <w:rPr>
          <w:spacing w:val="-2"/>
          <w:sz w:val="21"/>
        </w:rPr>
        <w:t>节</w:t>
      </w:r>
      <w:r>
        <w:rPr>
          <w:spacing w:val="-2"/>
          <w:sz w:val="21"/>
        </w:rPr>
        <w:t>或踝关节近</w:t>
      </w:r>
      <w:r>
        <w:rPr>
          <w:spacing w:val="-97"/>
          <w:sz w:val="21"/>
        </w:rPr>
        <w:t>端</w:t>
      </w:r>
      <w:r>
        <w:rPr>
          <w:spacing w:val="-2"/>
          <w:sz w:val="21"/>
        </w:rPr>
        <w:t>（靠近</w:t>
      </w:r>
      <w:r>
        <w:rPr>
          <w:spacing w:val="-2"/>
          <w:sz w:val="21"/>
        </w:rPr>
        <w:t>躯</w:t>
      </w:r>
      <w:r>
        <w:rPr>
          <w:spacing w:val="-2"/>
          <w:sz w:val="21"/>
        </w:rPr>
        <w:t>干</w:t>
      </w:r>
      <w:r>
        <w:rPr>
          <w:spacing w:val="-2"/>
          <w:sz w:val="21"/>
        </w:rPr>
        <w:t>端）以上完全性断离。</w:t>
      </w:r>
    </w:p>
    <w:p>
      <w:pPr>
        <w:pStyle w:val="BodyText"/>
        <w:spacing w:before="11"/>
        <w:rPr>
          <w:sz w:val="10"/>
        </w:rPr>
      </w:pPr>
    </w:p>
    <w:p>
      <w:pPr>
        <w:spacing w:after="0"/>
        <w:rPr>
          <w:sz w:val="10"/>
        </w:rPr>
        <w:sectPr>
          <w:pgSz w:w="11910" w:h="16840"/>
          <w:pgMar w:header="566" w:footer="664" w:top="1340" w:bottom="860" w:left="900" w:right="720"/>
        </w:sectPr>
      </w:pPr>
    </w:p>
    <w:p>
      <w:pPr>
        <w:pStyle w:val="ListParagraph"/>
        <w:numPr>
          <w:ilvl w:val="2"/>
          <w:numId w:val="33"/>
        </w:numPr>
        <w:tabs>
          <w:tab w:pos="957" w:val="left" w:leader="none"/>
          <w:tab w:pos="1191" w:val="left" w:leader="none"/>
        </w:tabs>
        <w:spacing w:line="350" w:lineRule="exact" w:before="4" w:after="0"/>
        <w:ind w:left="1190" w:right="38" w:hanging="1191"/>
        <w:jc w:val="right"/>
        <w:rPr>
          <w:rFonts w:ascii="微软雅黑" w:eastAsia="微软雅黑"/>
          <w:b/>
          <w:sz w:val="21"/>
        </w:rPr>
      </w:pPr>
      <w:r>
        <w:rPr>
          <w:rFonts w:ascii="微软雅黑" w:eastAsia="微软雅黑"/>
          <w:b/>
          <w:spacing w:val="-2"/>
          <w:sz w:val="21"/>
        </w:rPr>
        <w:t>急性重症肝炎或</w:t>
      </w:r>
    </w:p>
    <w:p>
      <w:pPr>
        <w:spacing w:line="350" w:lineRule="exact" w:before="0"/>
        <w:ind w:left="0" w:right="38" w:firstLine="0"/>
        <w:jc w:val="right"/>
        <w:rPr>
          <w:rFonts w:ascii="微软雅黑" w:eastAsia="微软雅黑"/>
          <w:b/>
          <w:sz w:val="21"/>
        </w:rPr>
      </w:pPr>
      <w:r>
        <w:rPr>
          <w:rFonts w:ascii="微软雅黑" w:eastAsia="微软雅黑"/>
          <w:b/>
          <w:spacing w:val="-2"/>
          <w:sz w:val="21"/>
        </w:rPr>
        <w:t>亚急性重症肝炎</w:t>
      </w:r>
    </w:p>
    <w:p>
      <w:pPr>
        <w:pStyle w:val="BodyText"/>
        <w:spacing w:line="278" w:lineRule="auto" w:before="71"/>
        <w:ind w:left="232" w:right="406"/>
      </w:pPr>
      <w:r>
        <w:rPr/>
        <w:br w:type="column"/>
      </w:r>
      <w:r>
        <w:rPr>
          <w:spacing w:val="-5"/>
        </w:rPr>
        <w:t>指因肝炎病毒感染引起肝脏组织弥漫性坏死，导致急性肝功能衰竭，且经血</w:t>
      </w:r>
      <w:r>
        <w:rPr>
          <w:spacing w:val="-2"/>
        </w:rPr>
        <w:t>清学或病毒学检查证实，并须满足下列全部条件：</w:t>
      </w:r>
    </w:p>
    <w:p>
      <w:pPr>
        <w:pStyle w:val="ListParagraph"/>
        <w:numPr>
          <w:ilvl w:val="0"/>
          <w:numId w:val="34"/>
        </w:numPr>
        <w:tabs>
          <w:tab w:pos="762" w:val="left" w:leader="none"/>
        </w:tabs>
        <w:spacing w:line="269" w:lineRule="exact" w:before="0" w:after="0"/>
        <w:ind w:left="761" w:right="0" w:hanging="530"/>
        <w:jc w:val="left"/>
        <w:rPr>
          <w:sz w:val="21"/>
        </w:rPr>
      </w:pPr>
      <w:r>
        <w:rPr>
          <w:spacing w:val="-3"/>
          <w:sz w:val="21"/>
        </w:rPr>
        <w:t>重度黄疸或黄疸迅速加重；</w:t>
      </w:r>
    </w:p>
    <w:p>
      <w:pPr>
        <w:pStyle w:val="ListParagraph"/>
        <w:numPr>
          <w:ilvl w:val="0"/>
          <w:numId w:val="34"/>
        </w:numPr>
        <w:tabs>
          <w:tab w:pos="762" w:val="left" w:leader="none"/>
        </w:tabs>
        <w:spacing w:line="240" w:lineRule="auto" w:before="43" w:after="0"/>
        <w:ind w:left="761" w:right="0" w:hanging="530"/>
        <w:jc w:val="left"/>
        <w:rPr>
          <w:sz w:val="21"/>
        </w:rPr>
      </w:pPr>
      <w:r>
        <w:rPr>
          <w:spacing w:val="-4"/>
          <w:sz w:val="21"/>
        </w:rPr>
        <w:t>肝性脑病；</w:t>
      </w:r>
    </w:p>
    <w:p>
      <w:pPr>
        <w:pStyle w:val="ListParagraph"/>
        <w:numPr>
          <w:ilvl w:val="0"/>
          <w:numId w:val="34"/>
        </w:numPr>
        <w:tabs>
          <w:tab w:pos="762" w:val="left" w:leader="none"/>
        </w:tabs>
        <w:spacing w:line="240" w:lineRule="auto" w:before="43" w:after="0"/>
        <w:ind w:left="761" w:right="0" w:hanging="530"/>
        <w:jc w:val="left"/>
        <w:rPr>
          <w:sz w:val="21"/>
        </w:rPr>
      </w:pPr>
      <w:r>
        <w:rPr>
          <w:spacing w:val="-2"/>
          <w:sz w:val="21"/>
        </w:rPr>
        <w:t>B</w:t>
      </w:r>
      <w:r>
        <w:rPr>
          <w:spacing w:val="-3"/>
          <w:sz w:val="21"/>
        </w:rPr>
        <w:t>超或其他影像学检查显示肝脏体积急速萎缩；</w:t>
      </w:r>
    </w:p>
    <w:p>
      <w:pPr>
        <w:pStyle w:val="ListParagraph"/>
        <w:numPr>
          <w:ilvl w:val="0"/>
          <w:numId w:val="34"/>
        </w:numPr>
        <w:tabs>
          <w:tab w:pos="762" w:val="left" w:leader="none"/>
        </w:tabs>
        <w:spacing w:line="240" w:lineRule="auto" w:before="43" w:after="0"/>
        <w:ind w:left="761" w:right="0" w:hanging="530"/>
        <w:jc w:val="left"/>
        <w:rPr>
          <w:sz w:val="21"/>
        </w:rPr>
      </w:pPr>
      <w:r>
        <w:rPr>
          <w:spacing w:val="-3"/>
          <w:sz w:val="21"/>
        </w:rPr>
        <w:t>肝功能指标进行性恶化。</w:t>
      </w:r>
    </w:p>
    <w:p>
      <w:pPr>
        <w:spacing w:after="0" w:line="240" w:lineRule="auto"/>
        <w:jc w:val="left"/>
        <w:rPr>
          <w:sz w:val="21"/>
        </w:rPr>
        <w:sectPr>
          <w:type w:val="continuous"/>
          <w:pgSz w:w="11910" w:h="16840"/>
          <w:pgMar w:header="566" w:footer="664" w:top="1340" w:bottom="860" w:left="900" w:right="720"/>
          <w:cols w:num="2" w:equalWidth="0">
            <w:col w:w="2710" w:space="94"/>
            <w:col w:w="7486"/>
          </w:cols>
        </w:sectPr>
      </w:pPr>
    </w:p>
    <w:p>
      <w:pPr>
        <w:pStyle w:val="BodyText"/>
        <w:spacing w:before="1"/>
        <w:rPr>
          <w:sz w:val="11"/>
        </w:rPr>
      </w:pPr>
    </w:p>
    <w:p>
      <w:pPr>
        <w:spacing w:after="0"/>
        <w:rPr>
          <w:sz w:val="11"/>
        </w:rPr>
        <w:sectPr>
          <w:type w:val="continuous"/>
          <w:pgSz w:w="11910" w:h="16840"/>
          <w:pgMar w:header="566" w:footer="664" w:top="1340" w:bottom="860" w:left="900" w:right="720"/>
        </w:sectPr>
      </w:pPr>
    </w:p>
    <w:p>
      <w:pPr>
        <w:pStyle w:val="ListParagraph"/>
        <w:numPr>
          <w:ilvl w:val="2"/>
          <w:numId w:val="33"/>
        </w:numPr>
        <w:tabs>
          <w:tab w:pos="1190" w:val="left" w:leader="none"/>
          <w:tab w:pos="1191" w:val="left" w:leader="none"/>
        </w:tabs>
        <w:spacing w:line="194" w:lineRule="auto" w:before="57" w:after="0"/>
        <w:ind w:left="1190" w:right="38" w:hanging="958"/>
        <w:jc w:val="left"/>
        <w:rPr>
          <w:rFonts w:ascii="微软雅黑" w:eastAsia="微软雅黑"/>
          <w:b/>
          <w:sz w:val="21"/>
        </w:rPr>
      </w:pPr>
      <w:r>
        <w:rPr>
          <w:rFonts w:ascii="微软雅黑" w:eastAsia="微软雅黑"/>
          <w:b/>
          <w:spacing w:val="-2"/>
          <w:sz w:val="21"/>
        </w:rPr>
        <w:t>严重非恶性颅内</w:t>
      </w:r>
      <w:r>
        <w:rPr>
          <w:rFonts w:ascii="微软雅黑" w:eastAsia="微软雅黑"/>
          <w:b/>
          <w:spacing w:val="-6"/>
          <w:sz w:val="21"/>
        </w:rPr>
        <w:t>肿瘤</w:t>
      </w:r>
    </w:p>
    <w:p>
      <w:pPr>
        <w:pStyle w:val="BodyText"/>
        <w:spacing w:before="72"/>
        <w:ind w:left="232"/>
      </w:pPr>
      <w:r>
        <w:rPr/>
        <w:br w:type="column"/>
      </w:r>
      <w:r>
        <w:rPr>
          <w:spacing w:val="-4"/>
        </w:rPr>
        <w:t>指起源于脑、脑神经、脑被膜的非恶性肿瘤，ICD-0-3肿瘤形态学编码属于</w:t>
      </w:r>
      <w:r>
        <w:rPr>
          <w:spacing w:val="-10"/>
        </w:rPr>
        <w:t>0</w:t>
      </w:r>
    </w:p>
    <w:p>
      <w:pPr>
        <w:pStyle w:val="BodyText"/>
        <w:spacing w:line="278" w:lineRule="auto" w:before="43"/>
        <w:ind w:left="232" w:right="406"/>
        <w:jc w:val="both"/>
      </w:pPr>
      <w:r>
        <w:rPr>
          <w:spacing w:val="-4"/>
        </w:rPr>
        <w:t>（良性肿瘤</w:t>
      </w:r>
      <w:r>
        <w:rPr>
          <w:spacing w:val="-106"/>
        </w:rPr>
        <w:t>）</w:t>
      </w:r>
      <w:r>
        <w:rPr>
          <w:spacing w:val="-4"/>
        </w:rPr>
        <w:t>、1（动态未定性肿瘤）范畴，并已经引起颅内压升高或神经系</w:t>
      </w:r>
      <w:r>
        <w:rPr>
          <w:spacing w:val="-4"/>
        </w:rPr>
        <w:t>统功能损害，出现视乳头水肿或视觉受损、听觉受损、面部或肢体瘫痪、癫</w:t>
      </w:r>
      <w:r>
        <w:rPr>
          <w:spacing w:val="-6"/>
        </w:rPr>
        <w:t>痫等，须由头颅断层扫描</w:t>
      </w:r>
      <w:r>
        <w:rPr>
          <w:spacing w:val="20"/>
        </w:rPr>
        <w:t>（CT</w:t>
      </w:r>
      <w:r>
        <w:rPr>
          <w:spacing w:val="-86"/>
        </w:rPr>
        <w:t>）</w:t>
      </w:r>
      <w:r>
        <w:rPr>
          <w:spacing w:val="-6"/>
        </w:rPr>
        <w:t>、核磁共振检查（MRI）或正电子发射断层扫</w:t>
      </w:r>
      <w:r>
        <w:rPr>
          <w:spacing w:val="-2"/>
        </w:rPr>
        <w:t>描（PET）等影像学检查证实，且须满足下列至少一项条件：</w:t>
      </w:r>
    </w:p>
    <w:p>
      <w:pPr>
        <w:pStyle w:val="ListParagraph"/>
        <w:numPr>
          <w:ilvl w:val="0"/>
          <w:numId w:val="35"/>
        </w:numPr>
        <w:tabs>
          <w:tab w:pos="762" w:val="left" w:leader="none"/>
        </w:tabs>
        <w:spacing w:line="269" w:lineRule="exact" w:before="0" w:after="0"/>
        <w:ind w:left="761" w:right="0" w:hanging="530"/>
        <w:jc w:val="left"/>
        <w:rPr>
          <w:sz w:val="21"/>
        </w:rPr>
      </w:pPr>
      <w:r>
        <w:rPr>
          <w:spacing w:val="-3"/>
          <w:sz w:val="21"/>
        </w:rPr>
        <w:t>已经实施了开颅进行的颅内肿瘤完全或部分切除手术；</w:t>
      </w:r>
    </w:p>
    <w:p>
      <w:pPr>
        <w:pStyle w:val="ListParagraph"/>
        <w:numPr>
          <w:ilvl w:val="0"/>
          <w:numId w:val="35"/>
        </w:numPr>
        <w:tabs>
          <w:tab w:pos="762" w:val="left" w:leader="none"/>
        </w:tabs>
        <w:spacing w:line="240" w:lineRule="auto" w:before="43" w:after="0"/>
        <w:ind w:left="761" w:right="0" w:hanging="530"/>
        <w:jc w:val="left"/>
        <w:rPr>
          <w:sz w:val="21"/>
        </w:rPr>
      </w:pPr>
      <w:r>
        <w:rPr>
          <w:spacing w:val="-2"/>
          <w:sz w:val="21"/>
        </w:rPr>
        <w:t>已经实施了针对颅内肿瘤的放射治疗，如γ</w:t>
      </w:r>
      <w:r>
        <w:rPr>
          <w:spacing w:val="-3"/>
          <w:sz w:val="21"/>
        </w:rPr>
        <w:t>刀、质子重离子治疗等。</w:t>
      </w:r>
    </w:p>
    <w:p>
      <w:pPr>
        <w:spacing w:after="0" w:line="240" w:lineRule="auto"/>
        <w:jc w:val="left"/>
        <w:rPr>
          <w:sz w:val="21"/>
        </w:rPr>
        <w:sectPr>
          <w:type w:val="continuous"/>
          <w:pgSz w:w="11910" w:h="16840"/>
          <w:pgMar w:header="566" w:footer="664" w:top="1340" w:bottom="860" w:left="900" w:right="720"/>
          <w:cols w:num="2" w:equalWidth="0">
            <w:col w:w="2710" w:space="94"/>
            <w:col w:w="7486"/>
          </w:cols>
        </w:sectPr>
      </w:pPr>
    </w:p>
    <w:p>
      <w:pPr>
        <w:pStyle w:val="BodyText"/>
        <w:spacing w:before="6"/>
        <w:rPr>
          <w:sz w:val="2"/>
        </w:rPr>
      </w:pPr>
    </w:p>
    <w:p>
      <w:pPr>
        <w:pStyle w:val="BodyText"/>
        <w:ind w:left="3037"/>
        <w:rPr>
          <w:sz w:val="20"/>
        </w:rPr>
      </w:pPr>
      <w:r>
        <w:rPr>
          <w:sz w:val="20"/>
        </w:rPr>
        <w:pict>
          <v:shape style="width:132.5pt;height:14.4pt;mso-position-horizontal-relative:char;mso-position-vertical-relative:line" type="#_x0000_t202" id="docshape41"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3"/>
                      <w:sz w:val="22"/>
                    </w:rPr>
                    <w:t>下列疾病不在保障范围内：</w:t>
                  </w:r>
                </w:p>
              </w:txbxContent>
            </v:textbox>
            <v:fill type="solid"/>
          </v:shape>
        </w:pict>
      </w:r>
      <w:r>
        <w:rPr>
          <w:sz w:val="20"/>
        </w:rPr>
      </w:r>
    </w:p>
    <w:p>
      <w:pPr>
        <w:pStyle w:val="BodyText"/>
        <w:ind w:left="3037"/>
        <w:rPr>
          <w:sz w:val="20"/>
        </w:rPr>
      </w:pPr>
      <w:r>
        <w:rPr>
          <w:sz w:val="20"/>
        </w:rPr>
        <w:pict>
          <v:shape style="width:82.8pt;height:14.4pt;mso-position-horizontal-relative:char;mso-position-vertical-relative:line" type="#_x0000_t202" id="docshape42"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w w:val="95"/>
                      <w:sz w:val="22"/>
                    </w:rPr>
                    <w:t>（1）</w:t>
                  </w:r>
                  <w:r>
                    <w:rPr>
                      <w:rFonts w:ascii="微软雅黑" w:eastAsia="微软雅黑"/>
                      <w:b/>
                      <w:color w:val="000000"/>
                      <w:spacing w:val="-2"/>
                      <w:w w:val="95"/>
                      <w:sz w:val="22"/>
                    </w:rPr>
                    <w:t>脑垂体瘤；</w:t>
                  </w:r>
                </w:p>
              </w:txbxContent>
            </v:textbox>
            <v:fill type="solid"/>
          </v:shape>
        </w:pict>
      </w:r>
      <w:r>
        <w:rPr>
          <w:sz w:val="20"/>
        </w:rPr>
      </w:r>
    </w:p>
    <w:p>
      <w:pPr>
        <w:pStyle w:val="BodyText"/>
        <w:ind w:left="3037"/>
        <w:rPr>
          <w:sz w:val="20"/>
        </w:rPr>
      </w:pPr>
      <w:r>
        <w:rPr>
          <w:sz w:val="20"/>
        </w:rPr>
        <w:pict>
          <v:shape style="width:71.8pt;height:14.4pt;mso-position-horizontal-relative:char;mso-position-vertical-relative:line" type="#_x0000_t202" id="docshape43"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w w:val="95"/>
                      <w:sz w:val="22"/>
                    </w:rPr>
                    <w:t>（2）</w:t>
                  </w:r>
                  <w:r>
                    <w:rPr>
                      <w:rFonts w:ascii="微软雅黑" w:eastAsia="微软雅黑"/>
                      <w:b/>
                      <w:color w:val="000000"/>
                      <w:spacing w:val="-3"/>
                      <w:w w:val="95"/>
                      <w:sz w:val="22"/>
                    </w:rPr>
                    <w:t>脑囊肿；</w:t>
                  </w:r>
                </w:p>
              </w:txbxContent>
            </v:textbox>
            <v:fill type="solid"/>
          </v:shape>
        </w:pict>
      </w:r>
      <w:r>
        <w:rPr>
          <w:sz w:val="20"/>
        </w:rPr>
      </w:r>
    </w:p>
    <w:p>
      <w:pPr>
        <w:pStyle w:val="BodyText"/>
        <w:ind w:left="3037"/>
        <w:rPr>
          <w:sz w:val="20"/>
        </w:rPr>
      </w:pPr>
      <w:r>
        <w:rPr>
          <w:sz w:val="20"/>
        </w:rPr>
        <w:pict>
          <v:shape style="width:336.9pt;height:14.4pt;mso-position-horizontal-relative:char;mso-position-vertical-relative:line" type="#_x0000_t202" id="docshape44"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（3）颅内血管性疾病（</w:t>
                  </w:r>
                  <w:r>
                    <w:rPr>
                      <w:rFonts w:ascii="微软雅黑" w:eastAsia="微软雅黑"/>
                      <w:b/>
                      <w:color w:val="000000"/>
                      <w:spacing w:val="-1"/>
                      <w:w w:val="95"/>
                      <w:sz w:val="22"/>
                    </w:rPr>
                    <w:t>如脑动脉瘤、脑动静脉畸形、海绵状血管瘤、</w:t>
                  </w:r>
                </w:p>
              </w:txbxContent>
            </v:textbox>
            <v:fill type="solid"/>
          </v:shape>
        </w:pict>
      </w:r>
      <w:r>
        <w:rPr>
          <w:sz w:val="20"/>
        </w:rPr>
      </w:r>
    </w:p>
    <w:p>
      <w:pPr>
        <w:pStyle w:val="BodyText"/>
        <w:ind w:left="3037"/>
        <w:rPr>
          <w:sz w:val="20"/>
        </w:rPr>
      </w:pPr>
      <w:r>
        <w:rPr>
          <w:sz w:val="20"/>
        </w:rPr>
        <w:pict>
          <v:shape style="width:104.9pt;height:14.4pt;mso-position-horizontal-relative:char;mso-position-vertical-relative:line" type="#_x0000_t202" id="docshape45"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z w:val="22"/>
                    </w:rPr>
                    <w:t>毛细血管扩张症等</w:t>
                  </w:r>
                  <w:r>
                    <w:rPr>
                      <w:rFonts w:ascii="微软雅黑" w:eastAsia="微软雅黑"/>
                      <w:b/>
                      <w:color w:val="000000"/>
                      <w:spacing w:val="-111"/>
                      <w:sz w:val="22"/>
                    </w:rPr>
                    <w:t>）</w:t>
                  </w:r>
                  <w:r>
                    <w:rPr>
                      <w:rFonts w:ascii="微软雅黑" w:eastAsia="微软雅黑"/>
                      <w:b/>
                      <w:color w:val="000000"/>
                      <w:spacing w:val="-10"/>
                      <w:sz w:val="22"/>
                    </w:rPr>
                    <w:t>。</w:t>
                  </w:r>
                </w:p>
              </w:txbxContent>
            </v:textbox>
            <v:fill type="solid"/>
          </v:shape>
        </w:pict>
      </w:r>
      <w:r>
        <w:rPr>
          <w:sz w:val="20"/>
        </w:rPr>
      </w:r>
    </w:p>
    <w:p>
      <w:pPr>
        <w:pStyle w:val="BodyText"/>
        <w:spacing w:before="5"/>
        <w:rPr>
          <w:sz w:val="7"/>
        </w:rPr>
      </w:pPr>
    </w:p>
    <w:p>
      <w:pPr>
        <w:pStyle w:val="ListParagraph"/>
        <w:numPr>
          <w:ilvl w:val="2"/>
          <w:numId w:val="33"/>
        </w:numPr>
        <w:tabs>
          <w:tab w:pos="1190" w:val="left" w:leader="none"/>
          <w:tab w:pos="1191" w:val="left" w:leader="none"/>
          <w:tab w:pos="3036" w:val="left" w:leader="none"/>
        </w:tabs>
        <w:spacing w:line="383" w:lineRule="exact" w:before="5" w:after="0"/>
        <w:ind w:left="1190" w:right="0" w:hanging="959"/>
        <w:jc w:val="left"/>
        <w:rPr>
          <w:sz w:val="21"/>
        </w:rPr>
      </w:pPr>
      <w:r>
        <w:rPr>
          <w:rFonts w:ascii="微软雅黑" w:eastAsia="微软雅黑"/>
          <w:b/>
          <w:sz w:val="21"/>
        </w:rPr>
        <w:t>严重慢性肝衰</w:t>
      </w:r>
      <w:r>
        <w:rPr>
          <w:rFonts w:ascii="微软雅黑" w:eastAsia="微软雅黑"/>
          <w:b/>
          <w:spacing w:val="-10"/>
          <w:sz w:val="21"/>
        </w:rPr>
        <w:t>竭</w:t>
      </w:r>
      <w:r>
        <w:rPr>
          <w:rFonts w:ascii="微软雅黑" w:eastAsia="微软雅黑"/>
          <w:b/>
          <w:sz w:val="21"/>
        </w:rPr>
        <w:tab/>
      </w:r>
      <w:r>
        <w:rPr>
          <w:spacing w:val="-2"/>
          <w:sz w:val="21"/>
        </w:rPr>
        <w:t>指</w:t>
      </w:r>
      <w:r>
        <w:rPr>
          <w:spacing w:val="-2"/>
          <w:sz w:val="21"/>
        </w:rPr>
        <w:t>因</w:t>
      </w:r>
      <w:r>
        <w:rPr>
          <w:spacing w:val="-2"/>
          <w:sz w:val="21"/>
        </w:rPr>
        <w:t>慢性肝脏疾病导致的</w:t>
      </w:r>
      <w:r>
        <w:rPr>
          <w:spacing w:val="-2"/>
          <w:sz w:val="21"/>
        </w:rPr>
        <w:t>肝</w:t>
      </w:r>
      <w:r>
        <w:rPr>
          <w:spacing w:val="-2"/>
          <w:sz w:val="21"/>
        </w:rPr>
        <w:t>衰</w:t>
      </w:r>
      <w:r>
        <w:rPr>
          <w:spacing w:val="-2"/>
          <w:sz w:val="21"/>
        </w:rPr>
        <w:t>竭，且须满足下列全</w:t>
      </w:r>
      <w:r>
        <w:rPr>
          <w:spacing w:val="-2"/>
          <w:sz w:val="21"/>
        </w:rPr>
        <w:t>部</w:t>
      </w:r>
      <w:r>
        <w:rPr>
          <w:spacing w:val="-2"/>
          <w:sz w:val="21"/>
        </w:rPr>
        <w:t>条</w:t>
      </w:r>
      <w:r>
        <w:rPr>
          <w:spacing w:val="-2"/>
          <w:sz w:val="21"/>
        </w:rPr>
        <w:t>件</w:t>
      </w:r>
      <w:r>
        <w:rPr>
          <w:spacing w:val="-10"/>
          <w:sz w:val="21"/>
        </w:rPr>
        <w:t>：</w:t>
      </w:r>
    </w:p>
    <w:p>
      <w:pPr>
        <w:pStyle w:val="BodyText"/>
        <w:spacing w:line="265" w:lineRule="exact"/>
        <w:ind w:left="3037"/>
      </w:pPr>
      <w:r>
        <w:rPr>
          <w:spacing w:val="-2"/>
        </w:rPr>
        <w:t>（1）</w:t>
      </w:r>
      <w:r>
        <w:rPr>
          <w:spacing w:val="-4"/>
        </w:rPr>
        <w:t>持续性黄疸；</w:t>
      </w:r>
    </w:p>
    <w:p>
      <w:pPr>
        <w:pStyle w:val="BodyText"/>
        <w:spacing w:before="43"/>
        <w:ind w:left="3037"/>
      </w:pPr>
      <w:r>
        <w:rPr>
          <w:spacing w:val="-2"/>
        </w:rPr>
        <w:t>（2）</w:t>
      </w:r>
      <w:r>
        <w:rPr>
          <w:spacing w:val="-5"/>
        </w:rPr>
        <w:t>腹水；</w:t>
      </w:r>
    </w:p>
    <w:p>
      <w:pPr>
        <w:pStyle w:val="ListParagraph"/>
        <w:numPr>
          <w:ilvl w:val="0"/>
          <w:numId w:val="36"/>
        </w:numPr>
        <w:tabs>
          <w:tab w:pos="3566" w:val="left" w:leader="none"/>
        </w:tabs>
        <w:spacing w:line="240" w:lineRule="auto" w:before="43" w:after="0"/>
        <w:ind w:left="3566" w:right="0" w:hanging="529"/>
        <w:jc w:val="left"/>
        <w:rPr>
          <w:sz w:val="21"/>
        </w:rPr>
      </w:pPr>
      <w:r>
        <w:rPr>
          <w:spacing w:val="-4"/>
          <w:sz w:val="21"/>
        </w:rPr>
        <w:t>肝性脑病；</w:t>
      </w:r>
    </w:p>
    <w:p>
      <w:pPr>
        <w:pStyle w:val="ListParagraph"/>
        <w:numPr>
          <w:ilvl w:val="0"/>
          <w:numId w:val="36"/>
        </w:numPr>
        <w:tabs>
          <w:tab w:pos="3566" w:val="left" w:leader="none"/>
        </w:tabs>
        <w:spacing w:line="252" w:lineRule="exact" w:before="43" w:after="0"/>
        <w:ind w:left="3566" w:right="0" w:hanging="529"/>
        <w:jc w:val="left"/>
        <w:rPr>
          <w:sz w:val="21"/>
        </w:rPr>
      </w:pPr>
      <w:r>
        <w:rPr>
          <w:spacing w:val="-3"/>
          <w:sz w:val="21"/>
        </w:rPr>
        <w:t>充血性脾肿大伴脾功能亢进或食管胃底静脉曲张。</w:t>
      </w:r>
    </w:p>
    <w:p>
      <w:pPr>
        <w:pStyle w:val="Heading1"/>
        <w:spacing w:line="388" w:lineRule="exact"/>
        <w:ind w:left="3037"/>
      </w:pPr>
      <w:r>
        <w:rPr>
          <w:color w:val="000000"/>
          <w:spacing w:val="-1"/>
          <w:shd w:fill="D9D9D9" w:color="auto" w:val="clear"/>
        </w:rPr>
        <w:t>因酗酒或药物滥用导致的肝衰竭不在保障范围内。</w:t>
      </w:r>
    </w:p>
    <w:p>
      <w:pPr>
        <w:spacing w:after="0" w:line="388" w:lineRule="exact"/>
        <w:sectPr>
          <w:type w:val="continuous"/>
          <w:pgSz w:w="11910" w:h="16840"/>
          <w:pgMar w:header="566" w:footer="664" w:top="1340" w:bottom="860" w:left="900" w:right="720"/>
        </w:sectPr>
      </w:pPr>
    </w:p>
    <w:p>
      <w:pPr>
        <w:pStyle w:val="ListParagraph"/>
        <w:numPr>
          <w:ilvl w:val="2"/>
          <w:numId w:val="33"/>
        </w:numPr>
        <w:tabs>
          <w:tab w:pos="1190" w:val="left" w:leader="none"/>
          <w:tab w:pos="1191" w:val="left" w:leader="none"/>
        </w:tabs>
        <w:spacing w:line="350" w:lineRule="exact" w:before="87" w:after="0"/>
        <w:ind w:left="1190" w:right="0" w:hanging="959"/>
        <w:jc w:val="left"/>
        <w:rPr>
          <w:rFonts w:ascii="微软雅黑" w:eastAsia="微软雅黑"/>
          <w:b/>
          <w:sz w:val="21"/>
        </w:rPr>
      </w:pPr>
      <w:r>
        <w:rPr>
          <w:rFonts w:ascii="微软雅黑" w:eastAsia="微软雅黑"/>
          <w:b/>
          <w:spacing w:val="-2"/>
          <w:sz w:val="21"/>
        </w:rPr>
        <w:t>严重脑炎后遗症</w:t>
      </w:r>
    </w:p>
    <w:p>
      <w:pPr>
        <w:spacing w:line="194" w:lineRule="auto" w:before="16"/>
        <w:ind w:left="1190" w:right="38" w:firstLine="0"/>
        <w:jc w:val="left"/>
        <w:rPr>
          <w:rFonts w:ascii="微软雅黑" w:eastAsia="微软雅黑"/>
          <w:b/>
          <w:sz w:val="21"/>
        </w:rPr>
      </w:pPr>
      <w:r>
        <w:rPr>
          <w:rFonts w:ascii="微软雅黑" w:eastAsia="微软雅黑"/>
          <w:b/>
          <w:spacing w:val="-2"/>
          <w:sz w:val="21"/>
        </w:rPr>
        <w:t>或严重脑膜炎后</w:t>
      </w:r>
      <w:r>
        <w:rPr>
          <w:rFonts w:ascii="微软雅黑" w:eastAsia="微软雅黑"/>
          <w:b/>
          <w:spacing w:val="-6"/>
          <w:sz w:val="21"/>
        </w:rPr>
        <w:t>遗症</w:t>
      </w:r>
    </w:p>
    <w:p>
      <w:pPr>
        <w:pStyle w:val="BodyText"/>
        <w:spacing w:line="278" w:lineRule="auto" w:before="155"/>
        <w:ind w:left="232" w:right="300"/>
      </w:pPr>
      <w:r>
        <w:rPr/>
        <w:br w:type="column"/>
      </w:r>
      <w:r>
        <w:rPr>
          <w:spacing w:val="-6"/>
        </w:rPr>
        <w:t>指因患脑炎或脑膜炎导致的神经系统永久性的功能障碍。神经系统永久性的</w:t>
      </w:r>
      <w:r>
        <w:rPr>
          <w:spacing w:val="-9"/>
        </w:rPr>
        <w:t>功能障碍，指经相关专科医生确诊疾病</w:t>
      </w:r>
      <w:r>
        <w:rPr>
          <w:spacing w:val="-2"/>
        </w:rPr>
        <w:t>180天后，仍遗留下列至少一种障碍：</w:t>
      </w:r>
    </w:p>
    <w:p>
      <w:pPr>
        <w:pStyle w:val="ListParagraph"/>
        <w:numPr>
          <w:ilvl w:val="0"/>
          <w:numId w:val="37"/>
        </w:numPr>
        <w:tabs>
          <w:tab w:pos="762" w:val="left" w:leader="none"/>
        </w:tabs>
        <w:spacing w:line="269" w:lineRule="exact" w:before="0" w:after="0"/>
        <w:ind w:left="761" w:right="0" w:hanging="530"/>
        <w:jc w:val="left"/>
        <w:rPr>
          <w:sz w:val="21"/>
        </w:rPr>
      </w:pPr>
      <w:r>
        <w:rPr>
          <w:spacing w:val="-2"/>
          <w:sz w:val="21"/>
        </w:rPr>
        <w:t>一肢（含）以上肢体肌力2级（含）</w:t>
      </w:r>
      <w:r>
        <w:rPr>
          <w:spacing w:val="-5"/>
          <w:sz w:val="21"/>
        </w:rPr>
        <w:t>以下；</w:t>
      </w:r>
    </w:p>
    <w:p>
      <w:pPr>
        <w:pStyle w:val="ListParagraph"/>
        <w:numPr>
          <w:ilvl w:val="0"/>
          <w:numId w:val="37"/>
        </w:numPr>
        <w:tabs>
          <w:tab w:pos="762" w:val="left" w:leader="none"/>
        </w:tabs>
        <w:spacing w:line="240" w:lineRule="auto" w:before="43" w:after="0"/>
        <w:ind w:left="761" w:right="0" w:hanging="530"/>
        <w:jc w:val="left"/>
        <w:rPr>
          <w:sz w:val="21"/>
        </w:rPr>
      </w:pPr>
      <w:r>
        <w:rPr>
          <w:spacing w:val="-3"/>
          <w:sz w:val="21"/>
        </w:rPr>
        <w:t>语言能力完全丧失，或严重咀嚼吞咽功能障碍；</w:t>
      </w:r>
    </w:p>
    <w:p>
      <w:pPr>
        <w:pStyle w:val="ListParagraph"/>
        <w:numPr>
          <w:ilvl w:val="0"/>
          <w:numId w:val="37"/>
        </w:numPr>
        <w:tabs>
          <w:tab w:pos="762" w:val="left" w:leader="none"/>
        </w:tabs>
        <w:spacing w:line="278" w:lineRule="auto" w:before="42" w:after="0"/>
        <w:ind w:left="232" w:right="523" w:firstLine="0"/>
        <w:jc w:val="left"/>
        <w:rPr>
          <w:sz w:val="21"/>
        </w:rPr>
      </w:pPr>
      <w:r>
        <w:rPr>
          <w:spacing w:val="-2"/>
          <w:sz w:val="21"/>
        </w:rPr>
        <w:t>由具有评估资格的专科医生根据临床痴呆评定量表（CDR，Clinical </w:t>
      </w:r>
      <w:r>
        <w:rPr>
          <w:sz w:val="21"/>
        </w:rPr>
        <w:t>Dementia Rating）评估结果为3分；</w:t>
      </w:r>
    </w:p>
    <w:p>
      <w:pPr>
        <w:pStyle w:val="ListParagraph"/>
        <w:numPr>
          <w:ilvl w:val="0"/>
          <w:numId w:val="37"/>
        </w:numPr>
        <w:tabs>
          <w:tab w:pos="762" w:val="left" w:leader="none"/>
        </w:tabs>
        <w:spacing w:line="278" w:lineRule="auto" w:before="1" w:after="0"/>
        <w:ind w:left="232" w:right="418" w:firstLine="0"/>
        <w:jc w:val="left"/>
        <w:rPr>
          <w:sz w:val="21"/>
        </w:rPr>
      </w:pPr>
      <w:r>
        <w:rPr>
          <w:spacing w:val="-2"/>
          <w:sz w:val="21"/>
        </w:rPr>
        <w:t>自主生活能力完全丧失，无法独立完成六项基本日常生活活动中的三</w:t>
      </w:r>
      <w:r>
        <w:rPr>
          <w:spacing w:val="-2"/>
          <w:sz w:val="21"/>
        </w:rPr>
        <w:t>项或三项以上。</w:t>
      </w:r>
    </w:p>
    <w:p>
      <w:pPr>
        <w:spacing w:after="0" w:line="278" w:lineRule="auto"/>
        <w:jc w:val="left"/>
        <w:rPr>
          <w:sz w:val="21"/>
        </w:rPr>
        <w:sectPr>
          <w:type w:val="continuous"/>
          <w:pgSz w:w="11910" w:h="16840"/>
          <w:pgMar w:header="566" w:footer="664" w:top="1340" w:bottom="860" w:left="900" w:right="720"/>
          <w:cols w:num="2" w:equalWidth="0">
            <w:col w:w="2710" w:space="94"/>
            <w:col w:w="7486"/>
          </w:cols>
        </w:sectPr>
      </w:pPr>
    </w:p>
    <w:p>
      <w:pPr>
        <w:pStyle w:val="ListParagraph"/>
        <w:numPr>
          <w:ilvl w:val="2"/>
          <w:numId w:val="33"/>
        </w:numPr>
        <w:tabs>
          <w:tab w:pos="1191" w:val="left" w:leader="none"/>
          <w:tab w:pos="3036" w:val="left" w:leader="none"/>
        </w:tabs>
        <w:spacing w:line="256" w:lineRule="auto" w:before="103" w:after="0"/>
        <w:ind w:left="3037" w:right="406" w:hanging="2805"/>
        <w:jc w:val="both"/>
        <w:rPr>
          <w:sz w:val="21"/>
        </w:rPr>
      </w:pPr>
      <w:r>
        <w:rPr>
          <w:rFonts w:ascii="微软雅黑" w:eastAsia="微软雅黑"/>
          <w:b/>
          <w:spacing w:val="-4"/>
          <w:sz w:val="21"/>
        </w:rPr>
        <w:t>深</w:t>
      </w:r>
      <w:r>
        <w:rPr>
          <w:rFonts w:ascii="微软雅黑" w:eastAsia="微软雅黑"/>
          <w:b/>
          <w:spacing w:val="-4"/>
          <w:sz w:val="21"/>
        </w:rPr>
        <w:t>度</w:t>
      </w:r>
      <w:r>
        <w:rPr>
          <w:rFonts w:ascii="微软雅黑" w:eastAsia="微软雅黑"/>
          <w:b/>
          <w:spacing w:val="-4"/>
          <w:sz w:val="21"/>
        </w:rPr>
        <w:t>昏</w:t>
      </w:r>
      <w:r>
        <w:rPr>
          <w:rFonts w:ascii="微软雅黑" w:eastAsia="微软雅黑"/>
          <w:b/>
          <w:spacing w:val="-4"/>
          <w:sz w:val="21"/>
        </w:rPr>
        <w:t>迷</w:t>
      </w:r>
      <w:r>
        <w:rPr>
          <w:rFonts w:ascii="微软雅黑" w:eastAsia="微软雅黑"/>
          <w:b/>
          <w:sz w:val="21"/>
        </w:rPr>
        <w:tab/>
      </w:r>
      <w:r>
        <w:rPr>
          <w:spacing w:val="-2"/>
          <w:sz w:val="21"/>
        </w:rPr>
        <w:t>指</w:t>
      </w:r>
      <w:r>
        <w:rPr>
          <w:spacing w:val="-2"/>
          <w:sz w:val="21"/>
        </w:rPr>
        <w:t>因</w:t>
      </w:r>
      <w:r>
        <w:rPr>
          <w:spacing w:val="-2"/>
          <w:sz w:val="21"/>
        </w:rPr>
        <w:t>疾病或意外伤害导致</w:t>
      </w:r>
      <w:r>
        <w:rPr>
          <w:spacing w:val="-2"/>
          <w:sz w:val="21"/>
        </w:rPr>
        <w:t>意</w:t>
      </w:r>
      <w:r>
        <w:rPr>
          <w:spacing w:val="-2"/>
          <w:sz w:val="21"/>
        </w:rPr>
        <w:t>识</w:t>
      </w:r>
      <w:r>
        <w:rPr>
          <w:spacing w:val="-2"/>
          <w:sz w:val="21"/>
        </w:rPr>
        <w:t>丧失</w:t>
      </w:r>
      <w:r>
        <w:rPr>
          <w:spacing w:val="-51"/>
          <w:sz w:val="21"/>
        </w:rPr>
        <w:t>，</w:t>
      </w:r>
      <w:r>
        <w:rPr>
          <w:spacing w:val="-2"/>
          <w:sz w:val="21"/>
        </w:rPr>
        <w:t>对外界刺激和</w:t>
      </w:r>
      <w:r>
        <w:rPr>
          <w:spacing w:val="-2"/>
          <w:sz w:val="21"/>
        </w:rPr>
        <w:t>体</w:t>
      </w:r>
      <w:r>
        <w:rPr>
          <w:spacing w:val="-2"/>
          <w:sz w:val="21"/>
        </w:rPr>
        <w:t>内</w:t>
      </w:r>
      <w:r>
        <w:rPr>
          <w:spacing w:val="-2"/>
          <w:sz w:val="21"/>
        </w:rPr>
        <w:t>需求均无反应</w:t>
      </w:r>
      <w:r>
        <w:rPr>
          <w:spacing w:val="-51"/>
          <w:sz w:val="21"/>
        </w:rPr>
        <w:t>，</w:t>
      </w:r>
      <w:r>
        <w:rPr>
          <w:spacing w:val="-2"/>
          <w:sz w:val="21"/>
        </w:rPr>
        <w:t>昏</w:t>
      </w:r>
      <w:r>
        <w:rPr>
          <w:spacing w:val="-2"/>
          <w:sz w:val="21"/>
        </w:rPr>
        <w:t>迷</w:t>
      </w:r>
      <w:r>
        <w:rPr>
          <w:sz w:val="21"/>
        </w:rPr>
        <w:t>程度按照格拉斯哥昏迷分</w:t>
      </w:r>
      <w:r>
        <w:rPr>
          <w:sz w:val="21"/>
        </w:rPr>
        <w:t>级（GCS，Glasgow</w:t>
      </w:r>
      <w:r>
        <w:rPr>
          <w:spacing w:val="-9"/>
          <w:sz w:val="21"/>
        </w:rPr>
        <w:t> </w:t>
      </w:r>
      <w:r>
        <w:rPr>
          <w:sz w:val="21"/>
        </w:rPr>
        <w:t>Coma</w:t>
      </w:r>
      <w:r>
        <w:rPr>
          <w:spacing w:val="-11"/>
          <w:sz w:val="21"/>
        </w:rPr>
        <w:t> </w:t>
      </w:r>
      <w:r>
        <w:rPr>
          <w:sz w:val="21"/>
        </w:rPr>
        <w:t>Scale）结果为5</w:t>
      </w:r>
      <w:r>
        <w:rPr>
          <w:sz w:val="21"/>
        </w:rPr>
        <w:t>分或5分</w:t>
      </w:r>
      <w:r>
        <w:rPr>
          <w:spacing w:val="-2"/>
          <w:sz w:val="21"/>
        </w:rPr>
        <w:t>以</w:t>
      </w:r>
      <w:r>
        <w:rPr>
          <w:spacing w:val="-2"/>
          <w:sz w:val="21"/>
        </w:rPr>
        <w:t>下</w:t>
      </w:r>
      <w:r>
        <w:rPr>
          <w:spacing w:val="-2"/>
          <w:sz w:val="21"/>
        </w:rPr>
        <w:t>，且已经持续使用呼</w:t>
      </w:r>
      <w:r>
        <w:rPr>
          <w:spacing w:val="-2"/>
          <w:sz w:val="21"/>
        </w:rPr>
        <w:t>吸</w:t>
      </w:r>
      <w:r>
        <w:rPr>
          <w:spacing w:val="-2"/>
          <w:sz w:val="21"/>
        </w:rPr>
        <w:t>机</w:t>
      </w:r>
      <w:r>
        <w:rPr>
          <w:spacing w:val="-2"/>
          <w:sz w:val="21"/>
        </w:rPr>
        <w:t>及其他生命维持系</w:t>
      </w:r>
      <w:r>
        <w:rPr>
          <w:spacing w:val="-2"/>
          <w:sz w:val="21"/>
        </w:rPr>
        <w:t>统</w:t>
      </w:r>
      <w:r>
        <w:rPr>
          <w:spacing w:val="-2"/>
          <w:sz w:val="21"/>
        </w:rPr>
        <w:t>96</w:t>
      </w:r>
      <w:r>
        <w:rPr>
          <w:spacing w:val="-2"/>
          <w:sz w:val="21"/>
        </w:rPr>
        <w:t>小</w:t>
      </w:r>
      <w:r>
        <w:rPr>
          <w:spacing w:val="-2"/>
          <w:sz w:val="21"/>
        </w:rPr>
        <w:t>时以上。</w:t>
      </w:r>
    </w:p>
    <w:p>
      <w:pPr>
        <w:pStyle w:val="Heading1"/>
        <w:spacing w:line="341" w:lineRule="exact"/>
        <w:ind w:left="3037"/>
      </w:pPr>
      <w:r>
        <w:rPr>
          <w:color w:val="000000"/>
          <w:spacing w:val="-1"/>
          <w:shd w:fill="D9D9D9" w:color="auto" w:val="clear"/>
        </w:rPr>
        <w:t>因酗酒或药物滥用导致的深度昏迷不在保障范围内。</w:t>
      </w:r>
    </w:p>
    <w:p>
      <w:pPr>
        <w:spacing w:after="0" w:line="341" w:lineRule="exact"/>
        <w:sectPr>
          <w:type w:val="continuous"/>
          <w:pgSz w:w="11910" w:h="16840"/>
          <w:pgMar w:header="566" w:footer="664" w:top="1340" w:bottom="860" w:left="900" w:right="720"/>
        </w:sectPr>
      </w:pPr>
    </w:p>
    <w:p>
      <w:pPr>
        <w:pStyle w:val="BodyText"/>
        <w:spacing w:before="16"/>
        <w:rPr>
          <w:rFonts w:ascii="微软雅黑"/>
          <w:b/>
          <w:sz w:val="4"/>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7"/>
        <w:gridCol w:w="1929"/>
        <w:gridCol w:w="7063"/>
      </w:tblGrid>
      <w:tr>
        <w:trPr>
          <w:trHeight w:val="285" w:hRule="atLeast"/>
        </w:trPr>
        <w:tc>
          <w:tcPr>
            <w:tcW w:w="847" w:type="dxa"/>
          </w:tcPr>
          <w:p>
            <w:pPr>
              <w:pStyle w:val="TableParagraph"/>
              <w:spacing w:line="266" w:lineRule="exact"/>
              <w:ind w:left="50"/>
              <w:rPr>
                <w:rFonts w:ascii="微软雅黑"/>
                <w:b/>
                <w:sz w:val="21"/>
              </w:rPr>
            </w:pPr>
            <w:r>
              <w:rPr>
                <w:rFonts w:ascii="微软雅黑"/>
                <w:b/>
                <w:spacing w:val="-2"/>
                <w:sz w:val="21"/>
              </w:rPr>
              <w:t>8.1.13</w:t>
            </w:r>
          </w:p>
        </w:tc>
        <w:tc>
          <w:tcPr>
            <w:tcW w:w="1929" w:type="dxa"/>
          </w:tcPr>
          <w:p>
            <w:pPr>
              <w:pStyle w:val="TableParagraph"/>
              <w:spacing w:line="266" w:lineRule="exact"/>
              <w:ind w:left="160"/>
              <w:rPr>
                <w:rFonts w:ascii="微软雅黑" w:eastAsia="微软雅黑"/>
                <w:b/>
                <w:sz w:val="21"/>
              </w:rPr>
            </w:pPr>
            <w:r>
              <w:rPr>
                <w:rFonts w:ascii="微软雅黑" w:eastAsia="微软雅黑"/>
                <w:b/>
                <w:spacing w:val="-3"/>
                <w:sz w:val="21"/>
              </w:rPr>
              <w:t>双耳失聪</w:t>
            </w:r>
          </w:p>
        </w:tc>
        <w:tc>
          <w:tcPr>
            <w:tcW w:w="7063" w:type="dxa"/>
          </w:tcPr>
          <w:p>
            <w:pPr>
              <w:pStyle w:val="TableParagraph"/>
              <w:spacing w:line="266" w:lineRule="exact"/>
              <w:ind w:left="78"/>
              <w:rPr>
                <w:sz w:val="21"/>
              </w:rPr>
            </w:pPr>
            <w:r>
              <w:rPr>
                <w:w w:val="95"/>
                <w:sz w:val="21"/>
              </w:rPr>
              <w:t>指</w:t>
            </w:r>
            <w:r>
              <w:rPr>
                <w:w w:val="95"/>
                <w:sz w:val="21"/>
              </w:rPr>
              <w:t>因</w:t>
            </w:r>
            <w:r>
              <w:rPr>
                <w:w w:val="95"/>
                <w:sz w:val="21"/>
              </w:rPr>
              <w:t>疾病或意外伤害导致</w:t>
            </w:r>
            <w:r>
              <w:rPr>
                <w:w w:val="95"/>
                <w:sz w:val="21"/>
              </w:rPr>
              <w:t>双</w:t>
            </w:r>
            <w:r>
              <w:rPr>
                <w:w w:val="95"/>
                <w:sz w:val="21"/>
              </w:rPr>
              <w:t>耳</w:t>
            </w:r>
            <w:r>
              <w:rPr>
                <w:w w:val="95"/>
                <w:sz w:val="21"/>
              </w:rPr>
              <w:t>听</w:t>
            </w:r>
            <w:r>
              <w:rPr>
                <w:w w:val="95"/>
                <w:sz w:val="21"/>
              </w:rPr>
              <w:t>力</w:t>
            </w:r>
            <w:r>
              <w:rPr>
                <w:rFonts w:ascii="微软雅黑" w:eastAsia="微软雅黑"/>
                <w:b/>
                <w:w w:val="95"/>
                <w:sz w:val="21"/>
              </w:rPr>
              <w:t>永</w:t>
            </w:r>
            <w:r>
              <w:rPr>
                <w:rFonts w:ascii="微软雅黑" w:eastAsia="微软雅黑"/>
                <w:b/>
                <w:w w:val="95"/>
                <w:sz w:val="21"/>
              </w:rPr>
              <w:t>久</w:t>
            </w:r>
            <w:r>
              <w:rPr>
                <w:rFonts w:ascii="微软雅黑" w:eastAsia="微软雅黑"/>
                <w:b/>
                <w:w w:val="95"/>
                <w:sz w:val="21"/>
              </w:rPr>
              <w:t>不</w:t>
            </w:r>
            <w:r>
              <w:rPr>
                <w:rFonts w:ascii="微软雅黑" w:eastAsia="微软雅黑"/>
                <w:b/>
                <w:w w:val="95"/>
                <w:sz w:val="21"/>
              </w:rPr>
              <w:t>可</w:t>
            </w:r>
            <w:r>
              <w:rPr>
                <w:rFonts w:ascii="微软雅黑" w:eastAsia="微软雅黑"/>
                <w:b/>
                <w:w w:val="95"/>
                <w:sz w:val="21"/>
              </w:rPr>
              <w:t>逆</w:t>
            </w:r>
            <w:r>
              <w:rPr>
                <w:rFonts w:ascii="微软雅黑" w:eastAsia="微软雅黑"/>
                <w:b/>
                <w:w w:val="95"/>
                <w:position w:val="11"/>
                <w:sz w:val="11"/>
              </w:rPr>
              <w:t>29</w:t>
            </w:r>
            <w:r>
              <w:rPr>
                <w:w w:val="95"/>
                <w:sz w:val="21"/>
              </w:rPr>
              <w:t>性丧失，在</w:t>
            </w:r>
            <w:r>
              <w:rPr>
                <w:spacing w:val="29"/>
                <w:w w:val="150"/>
                <w:sz w:val="21"/>
              </w:rPr>
              <w:t> </w:t>
            </w:r>
            <w:r>
              <w:rPr>
                <w:w w:val="95"/>
                <w:sz w:val="21"/>
              </w:rPr>
              <w:t>500</w:t>
            </w:r>
            <w:r>
              <w:rPr>
                <w:spacing w:val="72"/>
                <w:sz w:val="21"/>
              </w:rPr>
              <w:t> </w:t>
            </w:r>
            <w:r>
              <w:rPr>
                <w:w w:val="95"/>
                <w:sz w:val="21"/>
              </w:rPr>
              <w:t>赫兹、</w:t>
            </w:r>
            <w:r>
              <w:rPr>
                <w:spacing w:val="-4"/>
                <w:w w:val="95"/>
                <w:sz w:val="21"/>
              </w:rPr>
              <w:t>1000</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15"/>
                <w:sz w:val="21"/>
              </w:rPr>
              <w:t>赫兹和 </w:t>
            </w:r>
            <w:r>
              <w:rPr>
                <w:spacing w:val="-4"/>
                <w:sz w:val="21"/>
              </w:rPr>
              <w:t>2000</w:t>
            </w:r>
            <w:r>
              <w:rPr>
                <w:spacing w:val="-12"/>
                <w:sz w:val="21"/>
              </w:rPr>
              <w:t> 赫兹语音频率下，平均听阈大于等于 </w:t>
            </w:r>
            <w:r>
              <w:rPr>
                <w:spacing w:val="-4"/>
                <w:sz w:val="21"/>
              </w:rPr>
              <w:t>91</w:t>
            </w:r>
            <w:r>
              <w:rPr>
                <w:spacing w:val="-15"/>
                <w:sz w:val="21"/>
              </w:rPr>
              <w:t> 分贝，且经纯音听力测</w:t>
            </w:r>
          </w:p>
        </w:tc>
      </w:tr>
      <w:tr>
        <w:trPr>
          <w:trHeight w:val="625"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line="252" w:lineRule="exact" w:before="22"/>
              <w:ind w:left="78"/>
              <w:rPr>
                <w:sz w:val="21"/>
              </w:rPr>
            </w:pPr>
            <w:r>
              <w:rPr>
                <w:spacing w:val="-3"/>
                <w:sz w:val="21"/>
              </w:rPr>
              <w:t>试、声导抗检测或听觉诱发电位检测等证实。</w:t>
            </w:r>
          </w:p>
          <w:p>
            <w:pPr>
              <w:pStyle w:val="TableParagraph"/>
              <w:spacing w:line="332" w:lineRule="exact"/>
              <w:ind w:left="78"/>
              <w:rPr>
                <w:sz w:val="21"/>
              </w:rPr>
            </w:pPr>
            <w:r>
              <w:rPr>
                <w:rFonts w:ascii="微软雅黑" w:eastAsia="微软雅黑"/>
                <w:b/>
                <w:color w:val="000000"/>
                <w:w w:val="95"/>
                <w:sz w:val="22"/>
                <w:shd w:fill="D9D9D9" w:color="auto" w:val="clear"/>
              </w:rPr>
              <w:t>在</w:t>
            </w:r>
            <w:r>
              <w:rPr>
                <w:rFonts w:ascii="微软雅黑" w:eastAsia="微软雅黑"/>
                <w:b/>
                <w:color w:val="000000"/>
                <w:spacing w:val="54"/>
                <w:sz w:val="22"/>
                <w:shd w:fill="D9D9D9" w:color="auto" w:val="clear"/>
              </w:rPr>
              <w:t> </w:t>
            </w:r>
            <w:r>
              <w:rPr>
                <w:rFonts w:ascii="微软雅黑" w:eastAsia="微软雅黑"/>
                <w:b/>
                <w:color w:val="000000"/>
                <w:w w:val="95"/>
                <w:sz w:val="22"/>
                <w:shd w:fill="D9D9D9" w:color="auto" w:val="clear"/>
              </w:rPr>
              <w:t>0</w:t>
            </w:r>
            <w:r>
              <w:rPr>
                <w:rFonts w:ascii="微软雅黑" w:eastAsia="微软雅黑"/>
                <w:b/>
                <w:color w:val="000000"/>
                <w:spacing w:val="54"/>
                <w:sz w:val="22"/>
                <w:shd w:fill="D9D9D9" w:color="auto" w:val="clear"/>
              </w:rPr>
              <w:t> </w:t>
            </w:r>
            <w:r>
              <w:rPr>
                <w:rFonts w:ascii="微软雅黑" w:eastAsia="微软雅黑"/>
                <w:b/>
                <w:color w:val="000000"/>
                <w:w w:val="95"/>
                <w:sz w:val="22"/>
                <w:shd w:fill="D9D9D9" w:color="auto" w:val="clear"/>
              </w:rPr>
              <w:t>周</w:t>
            </w:r>
            <w:r>
              <w:rPr>
                <w:rFonts w:ascii="微软雅黑" w:eastAsia="微软雅黑"/>
                <w:b/>
                <w:color w:val="000000"/>
                <w:w w:val="95"/>
                <w:sz w:val="22"/>
                <w:shd w:fill="D9D9D9" w:color="auto" w:val="clear"/>
              </w:rPr>
              <w:t>岁</w:t>
            </w:r>
            <w:r>
              <w:rPr>
                <w:rFonts w:ascii="微软雅黑" w:eastAsia="微软雅黑"/>
                <w:b/>
                <w:color w:val="000000"/>
                <w:w w:val="95"/>
                <w:sz w:val="22"/>
                <w:shd w:fill="D9D9D9" w:color="auto" w:val="clear"/>
              </w:rPr>
              <w:t>至</w:t>
            </w:r>
            <w:r>
              <w:rPr>
                <w:rFonts w:ascii="微软雅黑" w:eastAsia="微软雅黑"/>
                <w:b/>
                <w:color w:val="000000"/>
                <w:spacing w:val="61"/>
                <w:sz w:val="22"/>
                <w:shd w:fill="D9D9D9" w:color="auto" w:val="clear"/>
              </w:rPr>
              <w:t> </w:t>
            </w:r>
            <w:r>
              <w:rPr>
                <w:rFonts w:ascii="微软雅黑" w:eastAsia="微软雅黑"/>
                <w:b/>
                <w:color w:val="000000"/>
                <w:w w:val="95"/>
                <w:sz w:val="22"/>
                <w:shd w:fill="D9D9D9" w:color="auto" w:val="clear"/>
              </w:rPr>
              <w:t>3</w:t>
            </w:r>
            <w:r>
              <w:rPr>
                <w:rFonts w:ascii="微软雅黑" w:eastAsia="微软雅黑"/>
                <w:b/>
                <w:color w:val="000000"/>
                <w:spacing w:val="55"/>
                <w:sz w:val="22"/>
                <w:shd w:fill="D9D9D9" w:color="auto" w:val="clear"/>
              </w:rPr>
              <w:t> </w:t>
            </w:r>
            <w:r>
              <w:rPr>
                <w:rFonts w:ascii="微软雅黑" w:eastAsia="微软雅黑"/>
                <w:b/>
                <w:color w:val="000000"/>
                <w:w w:val="95"/>
                <w:sz w:val="22"/>
                <w:shd w:fill="D9D9D9" w:color="auto" w:val="clear"/>
              </w:rPr>
              <w:t>周</w:t>
            </w:r>
            <w:r>
              <w:rPr>
                <w:rFonts w:ascii="微软雅黑" w:eastAsia="微软雅黑"/>
                <w:b/>
                <w:color w:val="000000"/>
                <w:w w:val="95"/>
                <w:sz w:val="22"/>
                <w:shd w:fill="D9D9D9" w:color="auto" w:val="clear"/>
              </w:rPr>
              <w:t>岁</w:t>
            </w:r>
            <w:r>
              <w:rPr>
                <w:rFonts w:ascii="微软雅黑" w:eastAsia="微软雅黑"/>
                <w:b/>
                <w:color w:val="000000"/>
                <w:w w:val="95"/>
                <w:sz w:val="22"/>
                <w:shd w:fill="D9D9D9" w:color="auto" w:val="clear"/>
              </w:rPr>
              <w:t>期</w:t>
            </w:r>
            <w:r>
              <w:rPr>
                <w:rFonts w:ascii="微软雅黑" w:eastAsia="微软雅黑"/>
                <w:b/>
                <w:color w:val="000000"/>
                <w:w w:val="95"/>
                <w:sz w:val="22"/>
                <w:shd w:fill="D9D9D9" w:color="auto" w:val="clear"/>
              </w:rPr>
              <w:t>间</w:t>
            </w:r>
            <w:r>
              <w:rPr>
                <w:rFonts w:ascii="微软雅黑" w:eastAsia="微软雅黑"/>
                <w:b/>
                <w:color w:val="000000"/>
                <w:w w:val="95"/>
                <w:sz w:val="22"/>
                <w:shd w:fill="D9D9D9" w:color="auto" w:val="clear"/>
              </w:rPr>
              <w:t>，</w:t>
            </w:r>
            <w:r>
              <w:rPr>
                <w:rFonts w:ascii="微软雅黑" w:eastAsia="微软雅黑"/>
                <w:b/>
                <w:color w:val="000000"/>
                <w:w w:val="95"/>
                <w:sz w:val="22"/>
                <w:shd w:fill="D9D9D9" w:color="auto" w:val="clear"/>
              </w:rPr>
              <w:t>被</w:t>
            </w:r>
            <w:r>
              <w:rPr>
                <w:rFonts w:ascii="微软雅黑" w:eastAsia="微软雅黑"/>
                <w:b/>
                <w:color w:val="000000"/>
                <w:w w:val="95"/>
                <w:sz w:val="22"/>
                <w:shd w:fill="D9D9D9" w:color="auto" w:val="clear"/>
              </w:rPr>
              <w:t>保</w:t>
            </w:r>
            <w:r>
              <w:rPr>
                <w:rFonts w:ascii="微软雅黑" w:eastAsia="微软雅黑"/>
                <w:b/>
                <w:color w:val="000000"/>
                <w:w w:val="95"/>
                <w:sz w:val="22"/>
                <w:shd w:fill="D9D9D9" w:color="auto" w:val="clear"/>
              </w:rPr>
              <w:t>险</w:t>
            </w:r>
            <w:r>
              <w:rPr>
                <w:rFonts w:ascii="微软雅黑" w:eastAsia="微软雅黑"/>
                <w:b/>
                <w:color w:val="000000"/>
                <w:w w:val="95"/>
                <w:sz w:val="22"/>
                <w:shd w:fill="D9D9D9" w:color="auto" w:val="clear"/>
              </w:rPr>
              <w:t>人</w:t>
            </w:r>
            <w:r>
              <w:rPr>
                <w:rFonts w:ascii="微软雅黑" w:eastAsia="微软雅黑"/>
                <w:b/>
                <w:color w:val="000000"/>
                <w:w w:val="95"/>
                <w:sz w:val="22"/>
                <w:shd w:fill="D9D9D9" w:color="auto" w:val="clear"/>
              </w:rPr>
              <w:t>首</w:t>
            </w:r>
            <w:r>
              <w:rPr>
                <w:rFonts w:ascii="微软雅黑" w:eastAsia="微软雅黑"/>
                <w:b/>
                <w:color w:val="000000"/>
                <w:w w:val="95"/>
                <w:sz w:val="22"/>
                <w:shd w:fill="D9D9D9" w:color="auto" w:val="clear"/>
              </w:rPr>
              <w:t>次</w:t>
            </w:r>
            <w:r>
              <w:rPr>
                <w:rFonts w:ascii="微软雅黑" w:eastAsia="微软雅黑"/>
                <w:b/>
                <w:color w:val="000000"/>
                <w:w w:val="95"/>
                <w:sz w:val="22"/>
                <w:shd w:fill="D9D9D9" w:color="auto" w:val="clear"/>
              </w:rPr>
              <w:t>患</w:t>
            </w:r>
            <w:r>
              <w:rPr>
                <w:rFonts w:ascii="微软雅黑" w:eastAsia="微软雅黑"/>
                <w:b/>
                <w:color w:val="000000"/>
                <w:w w:val="95"/>
                <w:sz w:val="22"/>
                <w:shd w:fill="D9D9D9" w:color="auto" w:val="clear"/>
              </w:rPr>
              <w:t>有</w:t>
            </w:r>
            <w:r>
              <w:rPr>
                <w:rFonts w:ascii="微软雅黑" w:eastAsia="微软雅黑"/>
                <w:b/>
                <w:color w:val="000000"/>
                <w:w w:val="95"/>
                <w:sz w:val="22"/>
                <w:shd w:fill="D9D9D9" w:color="auto" w:val="clear"/>
              </w:rPr>
              <w:t>双</w:t>
            </w:r>
            <w:r>
              <w:rPr>
                <w:rFonts w:ascii="微软雅黑" w:eastAsia="微软雅黑"/>
                <w:b/>
                <w:color w:val="000000"/>
                <w:w w:val="95"/>
                <w:sz w:val="22"/>
                <w:shd w:fill="D9D9D9" w:color="auto" w:val="clear"/>
              </w:rPr>
              <w:t>耳</w:t>
            </w:r>
            <w:r>
              <w:rPr>
                <w:rFonts w:ascii="微软雅黑" w:eastAsia="微软雅黑"/>
                <w:b/>
                <w:color w:val="000000"/>
                <w:w w:val="95"/>
                <w:sz w:val="22"/>
                <w:shd w:fill="D9D9D9" w:color="auto" w:val="clear"/>
              </w:rPr>
              <w:t>失</w:t>
            </w:r>
            <w:r>
              <w:rPr>
                <w:rFonts w:ascii="微软雅黑" w:eastAsia="微软雅黑"/>
                <w:b/>
                <w:color w:val="000000"/>
                <w:w w:val="95"/>
                <w:sz w:val="22"/>
                <w:shd w:fill="D9D9D9" w:color="auto" w:val="clear"/>
              </w:rPr>
              <w:t>聪</w:t>
            </w:r>
            <w:r>
              <w:rPr>
                <w:rFonts w:ascii="微软雅黑" w:eastAsia="微软雅黑"/>
                <w:b/>
                <w:color w:val="000000"/>
                <w:w w:val="95"/>
                <w:sz w:val="22"/>
                <w:shd w:fill="D9D9D9" w:color="auto" w:val="clear"/>
              </w:rPr>
              <w:t>除</w:t>
            </w:r>
            <w:r>
              <w:rPr>
                <w:rFonts w:ascii="微软雅黑" w:eastAsia="微软雅黑"/>
                <w:b/>
                <w:color w:val="000000"/>
                <w:w w:val="95"/>
                <w:sz w:val="22"/>
                <w:shd w:fill="D9D9D9" w:color="auto" w:val="clear"/>
              </w:rPr>
              <w:t>外</w:t>
            </w:r>
            <w:r>
              <w:rPr>
                <w:rFonts w:ascii="微软雅黑" w:eastAsia="微软雅黑"/>
                <w:b/>
                <w:color w:val="000000"/>
                <w:w w:val="95"/>
                <w:sz w:val="22"/>
                <w:shd w:fill="D9D9D9" w:color="auto" w:val="clear"/>
              </w:rPr>
              <w:t>。</w:t>
            </w:r>
            <w:r>
              <w:rPr>
                <w:color w:val="000000"/>
                <w:w w:val="95"/>
                <w:sz w:val="21"/>
              </w:rPr>
              <w:t>申请理</w:t>
            </w:r>
            <w:r>
              <w:rPr>
                <w:color w:val="000000"/>
                <w:w w:val="95"/>
                <w:sz w:val="21"/>
              </w:rPr>
              <w:t>赔</w:t>
            </w:r>
            <w:r>
              <w:rPr>
                <w:color w:val="000000"/>
                <w:spacing w:val="-10"/>
                <w:w w:val="95"/>
                <w:sz w:val="21"/>
              </w:rPr>
              <w:t>时</w:t>
            </w:r>
          </w:p>
        </w:tc>
      </w:tr>
      <w:tr>
        <w:trPr>
          <w:trHeight w:val="395"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0"/>
              <w:ind w:left="78"/>
              <w:rPr>
                <w:sz w:val="21"/>
              </w:rPr>
            </w:pPr>
            <w:r>
              <w:rPr>
                <w:spacing w:val="-3"/>
                <w:sz w:val="21"/>
              </w:rPr>
              <w:t>需提供理赔当时的听力丧失诊断及检查证据。</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8.1.14</w:t>
            </w:r>
          </w:p>
        </w:tc>
        <w:tc>
          <w:tcPr>
            <w:tcW w:w="1929" w:type="dxa"/>
          </w:tcPr>
          <w:p>
            <w:pPr>
              <w:pStyle w:val="TableParagraph"/>
              <w:spacing w:line="337" w:lineRule="exact" w:before="40"/>
              <w:ind w:left="160"/>
              <w:rPr>
                <w:rFonts w:ascii="微软雅黑" w:eastAsia="微软雅黑"/>
                <w:b/>
                <w:sz w:val="21"/>
              </w:rPr>
            </w:pPr>
            <w:r>
              <w:rPr>
                <w:rFonts w:ascii="微软雅黑" w:eastAsia="微软雅黑"/>
                <w:b/>
                <w:spacing w:val="-3"/>
                <w:sz w:val="21"/>
              </w:rPr>
              <w:t>双目失明</w:t>
            </w:r>
          </w:p>
        </w:tc>
        <w:tc>
          <w:tcPr>
            <w:tcW w:w="7063" w:type="dxa"/>
          </w:tcPr>
          <w:p>
            <w:pPr>
              <w:pStyle w:val="TableParagraph"/>
              <w:spacing w:before="107"/>
              <w:ind w:left="78"/>
              <w:rPr>
                <w:sz w:val="21"/>
              </w:rPr>
            </w:pPr>
            <w:r>
              <w:rPr>
                <w:spacing w:val="-7"/>
                <w:sz w:val="21"/>
              </w:rPr>
              <w:t>指因疾病或意外伤害导致双眼视力永久不可逆性丧失，双眼中较好眼须满足</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3"/>
                <w:sz w:val="21"/>
              </w:rPr>
              <w:t>下列至少一项条件：</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2"/>
                <w:sz w:val="21"/>
              </w:rPr>
              <w:t>（1）</w:t>
            </w:r>
            <w:r>
              <w:rPr>
                <w:spacing w:val="-4"/>
                <w:sz w:val="21"/>
              </w:rPr>
              <w:t>眼球缺失或摘除；</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2"/>
                <w:sz w:val="21"/>
              </w:rPr>
              <w:t>（2）矫正视力低于0.02（</w:t>
            </w:r>
            <w:r>
              <w:rPr>
                <w:spacing w:val="-3"/>
                <w:sz w:val="21"/>
              </w:rPr>
              <w:t>采用国际标准视力表，如果使用其他视力表应进</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2"/>
                <w:sz w:val="21"/>
              </w:rPr>
              <w:t>行换算</w:t>
            </w:r>
            <w:r>
              <w:rPr>
                <w:spacing w:val="-111"/>
                <w:sz w:val="21"/>
              </w:rPr>
              <w:t>）</w:t>
            </w:r>
            <w:r>
              <w:rPr>
                <w:spacing w:val="-5"/>
                <w:sz w:val="21"/>
              </w:rPr>
              <w:t>；</w:t>
            </w:r>
          </w:p>
        </w:tc>
      </w:tr>
      <w:tr>
        <w:trPr>
          <w:trHeight w:val="626"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line="252" w:lineRule="exact" w:before="22"/>
              <w:ind w:left="78"/>
              <w:rPr>
                <w:sz w:val="21"/>
              </w:rPr>
            </w:pPr>
            <w:r>
              <w:rPr>
                <w:spacing w:val="-2"/>
                <w:sz w:val="21"/>
              </w:rPr>
              <w:t>（3）视野半径小于5</w:t>
            </w:r>
            <w:r>
              <w:rPr>
                <w:spacing w:val="-6"/>
                <w:sz w:val="21"/>
              </w:rPr>
              <w:t>度。</w:t>
            </w:r>
          </w:p>
          <w:p>
            <w:pPr>
              <w:pStyle w:val="TableParagraph"/>
              <w:spacing w:line="333" w:lineRule="exact"/>
              <w:ind w:left="78"/>
              <w:rPr>
                <w:sz w:val="21"/>
              </w:rPr>
            </w:pPr>
            <w:r>
              <w:rPr>
                <w:rFonts w:ascii="微软雅黑" w:eastAsia="微软雅黑"/>
                <w:b/>
                <w:color w:val="000000"/>
                <w:w w:val="95"/>
                <w:sz w:val="22"/>
                <w:shd w:fill="D9D9D9" w:color="auto" w:val="clear"/>
              </w:rPr>
              <w:t>在</w:t>
            </w:r>
            <w:r>
              <w:rPr>
                <w:rFonts w:ascii="微软雅黑" w:eastAsia="微软雅黑"/>
                <w:b/>
                <w:color w:val="000000"/>
                <w:spacing w:val="54"/>
                <w:sz w:val="22"/>
                <w:shd w:fill="D9D9D9" w:color="auto" w:val="clear"/>
              </w:rPr>
              <w:t> </w:t>
            </w:r>
            <w:r>
              <w:rPr>
                <w:rFonts w:ascii="微软雅黑" w:eastAsia="微软雅黑"/>
                <w:b/>
                <w:color w:val="000000"/>
                <w:w w:val="95"/>
                <w:sz w:val="22"/>
                <w:shd w:fill="D9D9D9" w:color="auto" w:val="clear"/>
              </w:rPr>
              <w:t>0</w:t>
            </w:r>
            <w:r>
              <w:rPr>
                <w:rFonts w:ascii="微软雅黑" w:eastAsia="微软雅黑"/>
                <w:b/>
                <w:color w:val="000000"/>
                <w:spacing w:val="54"/>
                <w:sz w:val="22"/>
                <w:shd w:fill="D9D9D9" w:color="auto" w:val="clear"/>
              </w:rPr>
              <w:t> </w:t>
            </w:r>
            <w:r>
              <w:rPr>
                <w:rFonts w:ascii="微软雅黑" w:eastAsia="微软雅黑"/>
                <w:b/>
                <w:color w:val="000000"/>
                <w:w w:val="95"/>
                <w:sz w:val="22"/>
                <w:shd w:fill="D9D9D9" w:color="auto" w:val="clear"/>
              </w:rPr>
              <w:t>周</w:t>
            </w:r>
            <w:r>
              <w:rPr>
                <w:rFonts w:ascii="微软雅黑" w:eastAsia="微软雅黑"/>
                <w:b/>
                <w:color w:val="000000"/>
                <w:w w:val="95"/>
                <w:sz w:val="22"/>
                <w:shd w:fill="D9D9D9" w:color="auto" w:val="clear"/>
              </w:rPr>
              <w:t>岁</w:t>
            </w:r>
            <w:r>
              <w:rPr>
                <w:rFonts w:ascii="微软雅黑" w:eastAsia="微软雅黑"/>
                <w:b/>
                <w:color w:val="000000"/>
                <w:w w:val="95"/>
                <w:sz w:val="22"/>
                <w:shd w:fill="D9D9D9" w:color="auto" w:val="clear"/>
              </w:rPr>
              <w:t>至</w:t>
            </w:r>
            <w:r>
              <w:rPr>
                <w:rFonts w:ascii="微软雅黑" w:eastAsia="微软雅黑"/>
                <w:b/>
                <w:color w:val="000000"/>
                <w:spacing w:val="61"/>
                <w:sz w:val="22"/>
                <w:shd w:fill="D9D9D9" w:color="auto" w:val="clear"/>
              </w:rPr>
              <w:t> </w:t>
            </w:r>
            <w:r>
              <w:rPr>
                <w:rFonts w:ascii="微软雅黑" w:eastAsia="微软雅黑"/>
                <w:b/>
                <w:color w:val="000000"/>
                <w:w w:val="95"/>
                <w:sz w:val="22"/>
                <w:shd w:fill="D9D9D9" w:color="auto" w:val="clear"/>
              </w:rPr>
              <w:t>3</w:t>
            </w:r>
            <w:r>
              <w:rPr>
                <w:rFonts w:ascii="微软雅黑" w:eastAsia="微软雅黑"/>
                <w:b/>
                <w:color w:val="000000"/>
                <w:spacing w:val="55"/>
                <w:sz w:val="22"/>
                <w:shd w:fill="D9D9D9" w:color="auto" w:val="clear"/>
              </w:rPr>
              <w:t> </w:t>
            </w:r>
            <w:r>
              <w:rPr>
                <w:rFonts w:ascii="微软雅黑" w:eastAsia="微软雅黑"/>
                <w:b/>
                <w:color w:val="000000"/>
                <w:w w:val="95"/>
                <w:sz w:val="22"/>
                <w:shd w:fill="D9D9D9" w:color="auto" w:val="clear"/>
              </w:rPr>
              <w:t>周</w:t>
            </w:r>
            <w:r>
              <w:rPr>
                <w:rFonts w:ascii="微软雅黑" w:eastAsia="微软雅黑"/>
                <w:b/>
                <w:color w:val="000000"/>
                <w:w w:val="95"/>
                <w:sz w:val="22"/>
                <w:shd w:fill="D9D9D9" w:color="auto" w:val="clear"/>
              </w:rPr>
              <w:t>岁</w:t>
            </w:r>
            <w:r>
              <w:rPr>
                <w:rFonts w:ascii="微软雅黑" w:eastAsia="微软雅黑"/>
                <w:b/>
                <w:color w:val="000000"/>
                <w:w w:val="95"/>
                <w:sz w:val="22"/>
                <w:shd w:fill="D9D9D9" w:color="auto" w:val="clear"/>
              </w:rPr>
              <w:t>期</w:t>
            </w:r>
            <w:r>
              <w:rPr>
                <w:rFonts w:ascii="微软雅黑" w:eastAsia="微软雅黑"/>
                <w:b/>
                <w:color w:val="000000"/>
                <w:w w:val="95"/>
                <w:sz w:val="22"/>
                <w:shd w:fill="D9D9D9" w:color="auto" w:val="clear"/>
              </w:rPr>
              <w:t>间</w:t>
            </w:r>
            <w:r>
              <w:rPr>
                <w:rFonts w:ascii="微软雅黑" w:eastAsia="微软雅黑"/>
                <w:b/>
                <w:color w:val="000000"/>
                <w:w w:val="95"/>
                <w:sz w:val="22"/>
                <w:shd w:fill="D9D9D9" w:color="auto" w:val="clear"/>
              </w:rPr>
              <w:t>，</w:t>
            </w:r>
            <w:r>
              <w:rPr>
                <w:rFonts w:ascii="微软雅黑" w:eastAsia="微软雅黑"/>
                <w:b/>
                <w:color w:val="000000"/>
                <w:w w:val="95"/>
                <w:sz w:val="22"/>
                <w:shd w:fill="D9D9D9" w:color="auto" w:val="clear"/>
              </w:rPr>
              <w:t>被</w:t>
            </w:r>
            <w:r>
              <w:rPr>
                <w:rFonts w:ascii="微软雅黑" w:eastAsia="微软雅黑"/>
                <w:b/>
                <w:color w:val="000000"/>
                <w:w w:val="95"/>
                <w:sz w:val="22"/>
                <w:shd w:fill="D9D9D9" w:color="auto" w:val="clear"/>
              </w:rPr>
              <w:t>保</w:t>
            </w:r>
            <w:r>
              <w:rPr>
                <w:rFonts w:ascii="微软雅黑" w:eastAsia="微软雅黑"/>
                <w:b/>
                <w:color w:val="000000"/>
                <w:w w:val="95"/>
                <w:sz w:val="22"/>
                <w:shd w:fill="D9D9D9" w:color="auto" w:val="clear"/>
              </w:rPr>
              <w:t>险</w:t>
            </w:r>
            <w:r>
              <w:rPr>
                <w:rFonts w:ascii="微软雅黑" w:eastAsia="微软雅黑"/>
                <w:b/>
                <w:color w:val="000000"/>
                <w:w w:val="95"/>
                <w:sz w:val="22"/>
                <w:shd w:fill="D9D9D9" w:color="auto" w:val="clear"/>
              </w:rPr>
              <w:t>人</w:t>
            </w:r>
            <w:r>
              <w:rPr>
                <w:rFonts w:ascii="微软雅黑" w:eastAsia="微软雅黑"/>
                <w:b/>
                <w:color w:val="000000"/>
                <w:w w:val="95"/>
                <w:sz w:val="22"/>
                <w:shd w:fill="D9D9D9" w:color="auto" w:val="clear"/>
              </w:rPr>
              <w:t>首</w:t>
            </w:r>
            <w:r>
              <w:rPr>
                <w:rFonts w:ascii="微软雅黑" w:eastAsia="微软雅黑"/>
                <w:b/>
                <w:color w:val="000000"/>
                <w:w w:val="95"/>
                <w:sz w:val="22"/>
                <w:shd w:fill="D9D9D9" w:color="auto" w:val="clear"/>
              </w:rPr>
              <w:t>次</w:t>
            </w:r>
            <w:r>
              <w:rPr>
                <w:rFonts w:ascii="微软雅黑" w:eastAsia="微软雅黑"/>
                <w:b/>
                <w:color w:val="000000"/>
                <w:w w:val="95"/>
                <w:sz w:val="22"/>
                <w:shd w:fill="D9D9D9" w:color="auto" w:val="clear"/>
              </w:rPr>
              <w:t>患</w:t>
            </w:r>
            <w:r>
              <w:rPr>
                <w:rFonts w:ascii="微软雅黑" w:eastAsia="微软雅黑"/>
                <w:b/>
                <w:color w:val="000000"/>
                <w:w w:val="95"/>
                <w:sz w:val="22"/>
                <w:shd w:fill="D9D9D9" w:color="auto" w:val="clear"/>
              </w:rPr>
              <w:t>有</w:t>
            </w:r>
            <w:r>
              <w:rPr>
                <w:rFonts w:ascii="微软雅黑" w:eastAsia="微软雅黑"/>
                <w:b/>
                <w:color w:val="000000"/>
                <w:w w:val="95"/>
                <w:sz w:val="22"/>
                <w:shd w:fill="D9D9D9" w:color="auto" w:val="clear"/>
              </w:rPr>
              <w:t>双</w:t>
            </w:r>
            <w:r>
              <w:rPr>
                <w:rFonts w:ascii="微软雅黑" w:eastAsia="微软雅黑"/>
                <w:b/>
                <w:color w:val="000000"/>
                <w:w w:val="95"/>
                <w:sz w:val="22"/>
                <w:shd w:fill="D9D9D9" w:color="auto" w:val="clear"/>
              </w:rPr>
              <w:t>目</w:t>
            </w:r>
            <w:r>
              <w:rPr>
                <w:rFonts w:ascii="微软雅黑" w:eastAsia="微软雅黑"/>
                <w:b/>
                <w:color w:val="000000"/>
                <w:w w:val="95"/>
                <w:sz w:val="22"/>
                <w:shd w:fill="D9D9D9" w:color="auto" w:val="clear"/>
              </w:rPr>
              <w:t>失</w:t>
            </w:r>
            <w:r>
              <w:rPr>
                <w:rFonts w:ascii="微软雅黑" w:eastAsia="微软雅黑"/>
                <w:b/>
                <w:color w:val="000000"/>
                <w:w w:val="95"/>
                <w:sz w:val="22"/>
                <w:shd w:fill="D9D9D9" w:color="auto" w:val="clear"/>
              </w:rPr>
              <w:t>明</w:t>
            </w:r>
            <w:r>
              <w:rPr>
                <w:rFonts w:ascii="微软雅黑" w:eastAsia="微软雅黑"/>
                <w:b/>
                <w:color w:val="000000"/>
                <w:w w:val="95"/>
                <w:sz w:val="22"/>
                <w:shd w:fill="D9D9D9" w:color="auto" w:val="clear"/>
              </w:rPr>
              <w:t>除</w:t>
            </w:r>
            <w:r>
              <w:rPr>
                <w:rFonts w:ascii="微软雅黑" w:eastAsia="微软雅黑"/>
                <w:b/>
                <w:color w:val="000000"/>
                <w:w w:val="95"/>
                <w:sz w:val="22"/>
                <w:shd w:fill="D9D9D9" w:color="auto" w:val="clear"/>
              </w:rPr>
              <w:t>外</w:t>
            </w:r>
            <w:r>
              <w:rPr>
                <w:rFonts w:ascii="微软雅黑" w:eastAsia="微软雅黑"/>
                <w:b/>
                <w:color w:val="000000"/>
                <w:w w:val="95"/>
                <w:sz w:val="22"/>
                <w:shd w:fill="D9D9D9" w:color="auto" w:val="clear"/>
              </w:rPr>
              <w:t>。</w:t>
            </w:r>
            <w:r>
              <w:rPr>
                <w:color w:val="000000"/>
                <w:w w:val="95"/>
                <w:sz w:val="21"/>
              </w:rPr>
              <w:t>申请理</w:t>
            </w:r>
            <w:r>
              <w:rPr>
                <w:color w:val="000000"/>
                <w:w w:val="95"/>
                <w:sz w:val="21"/>
              </w:rPr>
              <w:t>赔</w:t>
            </w:r>
            <w:r>
              <w:rPr>
                <w:color w:val="000000"/>
                <w:spacing w:val="-10"/>
                <w:w w:val="95"/>
                <w:sz w:val="21"/>
              </w:rPr>
              <w:t>时</w:t>
            </w:r>
          </w:p>
        </w:tc>
      </w:tr>
      <w:tr>
        <w:trPr>
          <w:trHeight w:val="394"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0"/>
              <w:ind w:left="78"/>
              <w:rPr>
                <w:sz w:val="21"/>
              </w:rPr>
            </w:pPr>
            <w:r>
              <w:rPr>
                <w:spacing w:val="-3"/>
                <w:sz w:val="21"/>
              </w:rPr>
              <w:t>需提供理赔当时的视力丧失诊断及检查证据。</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8.1.15</w:t>
            </w:r>
          </w:p>
        </w:tc>
        <w:tc>
          <w:tcPr>
            <w:tcW w:w="1929" w:type="dxa"/>
          </w:tcPr>
          <w:p>
            <w:pPr>
              <w:pStyle w:val="TableParagraph"/>
              <w:spacing w:line="337" w:lineRule="exact" w:before="38"/>
              <w:ind w:left="160"/>
              <w:rPr>
                <w:rFonts w:ascii="微软雅黑" w:eastAsia="微软雅黑"/>
                <w:b/>
                <w:sz w:val="21"/>
              </w:rPr>
            </w:pPr>
            <w:r>
              <w:rPr>
                <w:rFonts w:ascii="微软雅黑" w:eastAsia="微软雅黑"/>
                <w:b/>
                <w:spacing w:val="-5"/>
                <w:sz w:val="21"/>
              </w:rPr>
              <w:t>瘫痪</w:t>
            </w:r>
          </w:p>
        </w:tc>
        <w:tc>
          <w:tcPr>
            <w:tcW w:w="7063" w:type="dxa"/>
          </w:tcPr>
          <w:p>
            <w:pPr>
              <w:pStyle w:val="TableParagraph"/>
              <w:spacing w:before="106"/>
              <w:ind w:left="78"/>
              <w:rPr>
                <w:sz w:val="21"/>
              </w:rPr>
            </w:pPr>
            <w:r>
              <w:rPr>
                <w:spacing w:val="-3"/>
                <w:sz w:val="21"/>
              </w:rPr>
              <w:t>指因疾病或意外伤害导致两肢或两肢以上肢体随意运动功能永久完全丧失。</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6"/>
                <w:sz w:val="21"/>
              </w:rPr>
              <w:t>肢体随意运动功能永久完全丧失，指疾病确诊 </w:t>
            </w:r>
            <w:r>
              <w:rPr>
                <w:spacing w:val="-4"/>
                <w:sz w:val="21"/>
              </w:rPr>
              <w:t>180</w:t>
            </w:r>
            <w:r>
              <w:rPr>
                <w:spacing w:val="-13"/>
                <w:sz w:val="21"/>
              </w:rPr>
              <w:t> 天后或意外伤害发生 </w:t>
            </w:r>
            <w:r>
              <w:rPr>
                <w:spacing w:val="-5"/>
                <w:sz w:val="21"/>
              </w:rPr>
              <w:t>180</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4"/>
                <w:sz w:val="21"/>
              </w:rPr>
              <w:t>天后，每肢三大关节中的两大关节仍然完全僵硬，或肢体肌力在 </w:t>
            </w:r>
            <w:r>
              <w:rPr>
                <w:spacing w:val="-2"/>
                <w:sz w:val="21"/>
              </w:rPr>
              <w:t>2</w:t>
            </w:r>
            <w:r>
              <w:rPr>
                <w:spacing w:val="-23"/>
                <w:sz w:val="21"/>
              </w:rPr>
              <w:t> 级</w:t>
            </w:r>
            <w:r>
              <w:rPr>
                <w:spacing w:val="-2"/>
                <w:sz w:val="21"/>
              </w:rPr>
              <w:t>（含</w:t>
            </w:r>
            <w:r>
              <w:rPr>
                <w:spacing w:val="-10"/>
                <w:sz w:val="21"/>
              </w:rPr>
              <w:t>）</w:t>
            </w:r>
          </w:p>
        </w:tc>
      </w:tr>
      <w:tr>
        <w:trPr>
          <w:trHeight w:val="397"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4"/>
                <w:sz w:val="21"/>
              </w:rPr>
              <w:t>以下。</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8.1.16</w:t>
            </w:r>
          </w:p>
        </w:tc>
        <w:tc>
          <w:tcPr>
            <w:tcW w:w="1929" w:type="dxa"/>
          </w:tcPr>
          <w:p>
            <w:pPr>
              <w:pStyle w:val="TableParagraph"/>
              <w:spacing w:line="337" w:lineRule="exact" w:before="40"/>
              <w:ind w:left="160"/>
              <w:rPr>
                <w:rFonts w:ascii="微软雅黑" w:eastAsia="微软雅黑"/>
                <w:b/>
                <w:sz w:val="21"/>
              </w:rPr>
            </w:pPr>
            <w:r>
              <w:rPr>
                <w:rFonts w:ascii="微软雅黑" w:eastAsia="微软雅黑"/>
                <w:b/>
                <w:spacing w:val="-2"/>
                <w:sz w:val="21"/>
              </w:rPr>
              <w:t>心脏瓣膜手术</w:t>
            </w:r>
          </w:p>
        </w:tc>
        <w:tc>
          <w:tcPr>
            <w:tcW w:w="7063" w:type="dxa"/>
          </w:tcPr>
          <w:p>
            <w:pPr>
              <w:pStyle w:val="TableParagraph"/>
              <w:spacing w:before="107"/>
              <w:ind w:left="78"/>
              <w:rPr>
                <w:sz w:val="21"/>
              </w:rPr>
            </w:pPr>
            <w:r>
              <w:rPr>
                <w:spacing w:val="-11"/>
                <w:sz w:val="21"/>
              </w:rPr>
              <w:t>指为治疗心脏瓣膜疾病，已经实施了切开心脏进行的心脏瓣膜置换或修复的</w:t>
            </w:r>
          </w:p>
        </w:tc>
      </w:tr>
      <w:tr>
        <w:trPr>
          <w:trHeight w:val="700"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line="252" w:lineRule="exact" w:before="22"/>
              <w:ind w:left="78"/>
              <w:rPr>
                <w:sz w:val="21"/>
              </w:rPr>
            </w:pPr>
            <w:r>
              <w:rPr>
                <w:spacing w:val="-4"/>
                <w:sz w:val="21"/>
              </w:rPr>
              <w:t>手术。</w:t>
            </w:r>
          </w:p>
          <w:p>
            <w:pPr>
              <w:pStyle w:val="TableParagraph"/>
              <w:spacing w:line="388" w:lineRule="exact"/>
              <w:ind w:left="78"/>
              <w:rPr>
                <w:rFonts w:ascii="微软雅黑" w:eastAsia="微软雅黑"/>
                <w:b/>
                <w:sz w:val="22"/>
              </w:rPr>
            </w:pPr>
            <w:r>
              <w:rPr>
                <w:rFonts w:ascii="微软雅黑" w:eastAsia="微软雅黑"/>
                <w:b/>
                <w:color w:val="000000"/>
                <w:spacing w:val="-1"/>
                <w:sz w:val="22"/>
                <w:shd w:fill="D9D9D9" w:color="auto" w:val="clear"/>
              </w:rPr>
              <w:t>所有未切开心脏的心脏瓣膜介入手术不在保障范围内。</w:t>
            </w:r>
          </w:p>
        </w:tc>
      </w:tr>
      <w:tr>
        <w:trPr>
          <w:trHeight w:val="406" w:hRule="atLeast"/>
        </w:trPr>
        <w:tc>
          <w:tcPr>
            <w:tcW w:w="847" w:type="dxa"/>
          </w:tcPr>
          <w:p>
            <w:pPr>
              <w:pStyle w:val="TableParagraph"/>
              <w:spacing w:line="337" w:lineRule="exact" w:before="49"/>
              <w:ind w:left="50"/>
              <w:rPr>
                <w:rFonts w:ascii="微软雅黑"/>
                <w:b/>
                <w:sz w:val="21"/>
              </w:rPr>
            </w:pPr>
            <w:r>
              <w:rPr>
                <w:rFonts w:ascii="微软雅黑"/>
                <w:b/>
                <w:spacing w:val="-2"/>
                <w:sz w:val="21"/>
              </w:rPr>
              <w:t>8.1.17</w:t>
            </w:r>
          </w:p>
        </w:tc>
        <w:tc>
          <w:tcPr>
            <w:tcW w:w="1929" w:type="dxa"/>
          </w:tcPr>
          <w:p>
            <w:pPr>
              <w:pStyle w:val="TableParagraph"/>
              <w:spacing w:line="359" w:lineRule="exact" w:before="27"/>
              <w:ind w:left="160"/>
              <w:rPr>
                <w:rFonts w:ascii="微软雅黑" w:eastAsia="微软雅黑"/>
                <w:b/>
                <w:sz w:val="21"/>
              </w:rPr>
            </w:pPr>
            <w:r>
              <w:rPr>
                <w:rFonts w:ascii="微软雅黑" w:eastAsia="微软雅黑"/>
                <w:b/>
                <w:spacing w:val="-2"/>
                <w:sz w:val="21"/>
              </w:rPr>
              <w:t>严重阿尔茨海默病</w:t>
            </w:r>
          </w:p>
        </w:tc>
        <w:tc>
          <w:tcPr>
            <w:tcW w:w="7063" w:type="dxa"/>
          </w:tcPr>
          <w:p>
            <w:pPr>
              <w:pStyle w:val="TableParagraph"/>
              <w:spacing w:before="116"/>
              <w:ind w:left="78"/>
              <w:rPr>
                <w:sz w:val="21"/>
              </w:rPr>
            </w:pPr>
            <w:r>
              <w:rPr>
                <w:spacing w:val="-7"/>
                <w:sz w:val="21"/>
              </w:rPr>
              <w:t>指因大脑进行性、不可逆性改变导致智能严重衰退或丧失，临床表现为严重</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7"/>
                <w:sz w:val="21"/>
              </w:rPr>
              <w:t>的认知功能障碍、精神行为异常和社交能力减退等，其日常生活必须持续受</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8"/>
                <w:sz w:val="21"/>
              </w:rPr>
              <w:t>到他人监护。须由头颅断层扫描</w:t>
            </w:r>
            <w:r>
              <w:rPr>
                <w:spacing w:val="18"/>
                <w:sz w:val="21"/>
              </w:rPr>
              <w:t>（</w:t>
            </w:r>
            <w:r>
              <w:rPr>
                <w:spacing w:val="19"/>
                <w:sz w:val="21"/>
              </w:rPr>
              <w:t>C</w:t>
            </w:r>
            <w:r>
              <w:rPr>
                <w:spacing w:val="16"/>
                <w:sz w:val="21"/>
              </w:rPr>
              <w:t>T</w:t>
            </w:r>
            <w:r>
              <w:rPr>
                <w:spacing w:val="-87"/>
                <w:sz w:val="21"/>
              </w:rPr>
              <w:t>）</w:t>
            </w:r>
            <w:r>
              <w:rPr>
                <w:spacing w:val="-8"/>
                <w:sz w:val="21"/>
              </w:rPr>
              <w:t>、核磁共振检查（MRI）</w:t>
            </w:r>
            <w:r>
              <w:rPr>
                <w:spacing w:val="-9"/>
                <w:sz w:val="21"/>
              </w:rPr>
              <w:t>或正电子发射</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2"/>
                <w:sz w:val="21"/>
              </w:rPr>
              <w:t>断层扫描（PET）</w:t>
            </w:r>
            <w:r>
              <w:rPr>
                <w:spacing w:val="-3"/>
                <w:sz w:val="21"/>
              </w:rPr>
              <w:t>等影像学检查证实，并经相关专科医生确诊，且须满足下</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4"/>
                <w:sz w:val="21"/>
              </w:rPr>
              <w:t>列至少一项条件：</w:t>
            </w:r>
          </w:p>
        </w:tc>
      </w:tr>
      <w:tr>
        <w:trPr>
          <w:trHeight w:val="311"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2"/>
                <w:sz w:val="21"/>
              </w:rPr>
              <w:t>（1）由具有评估资格的专科医生根据临床痴呆评定量表（CDR，Clinical</w:t>
            </w:r>
          </w:p>
        </w:tc>
      </w:tr>
      <w:tr>
        <w:trPr>
          <w:trHeight w:val="311"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z w:val="21"/>
              </w:rPr>
              <w:t>Dementia</w:t>
            </w:r>
            <w:r>
              <w:rPr>
                <w:spacing w:val="-21"/>
                <w:sz w:val="21"/>
              </w:rPr>
              <w:t> </w:t>
            </w:r>
            <w:r>
              <w:rPr>
                <w:sz w:val="21"/>
              </w:rPr>
              <w:t>Rating）</w:t>
            </w:r>
            <w:r>
              <w:rPr>
                <w:spacing w:val="-9"/>
                <w:sz w:val="21"/>
              </w:rPr>
              <w:t>评估结果为 </w:t>
            </w:r>
            <w:r>
              <w:rPr>
                <w:sz w:val="21"/>
              </w:rPr>
              <w:t>3</w:t>
            </w:r>
            <w:r>
              <w:rPr>
                <w:spacing w:val="-22"/>
                <w:sz w:val="21"/>
              </w:rPr>
              <w:t> 分；</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2"/>
                <w:sz w:val="21"/>
              </w:rPr>
              <w:t>（2）</w:t>
            </w:r>
            <w:r>
              <w:rPr>
                <w:spacing w:val="-3"/>
                <w:sz w:val="21"/>
              </w:rPr>
              <w:t>自主生活能力完全丧失，无法独立完成六项基本日常生活活动中的三</w:t>
            </w:r>
          </w:p>
        </w:tc>
      </w:tr>
      <w:tr>
        <w:trPr>
          <w:trHeight w:val="711"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line="252" w:lineRule="exact" w:before="22"/>
              <w:ind w:left="78"/>
              <w:rPr>
                <w:sz w:val="21"/>
              </w:rPr>
            </w:pPr>
            <w:r>
              <w:rPr>
                <w:spacing w:val="-4"/>
                <w:sz w:val="21"/>
              </w:rPr>
              <w:t>项或三项以上。</w:t>
            </w:r>
          </w:p>
          <w:p>
            <w:pPr>
              <w:pStyle w:val="TableParagraph"/>
              <w:spacing w:line="388" w:lineRule="exact"/>
              <w:ind w:left="78"/>
              <w:rPr>
                <w:rFonts w:ascii="微软雅黑" w:eastAsia="微软雅黑"/>
                <w:b/>
                <w:sz w:val="22"/>
              </w:rPr>
            </w:pPr>
            <w:r>
              <w:rPr>
                <w:rFonts w:ascii="微软雅黑" w:eastAsia="微软雅黑"/>
                <w:b/>
                <w:color w:val="000000"/>
                <w:spacing w:val="-1"/>
                <w:sz w:val="22"/>
                <w:shd w:fill="D9D9D9" w:color="auto" w:val="clear"/>
              </w:rPr>
              <w:t>阿尔茨海默病之外的其他类型痴呆不在保障范围内。</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8.1.18</w:t>
            </w:r>
          </w:p>
        </w:tc>
        <w:tc>
          <w:tcPr>
            <w:tcW w:w="1929" w:type="dxa"/>
          </w:tcPr>
          <w:p>
            <w:pPr>
              <w:pStyle w:val="TableParagraph"/>
              <w:spacing w:line="337" w:lineRule="exact" w:before="38"/>
              <w:ind w:left="160"/>
              <w:rPr>
                <w:rFonts w:ascii="微软雅黑" w:eastAsia="微软雅黑"/>
                <w:b/>
                <w:sz w:val="21"/>
              </w:rPr>
            </w:pPr>
            <w:r>
              <w:rPr>
                <w:rFonts w:ascii="微软雅黑" w:eastAsia="微软雅黑"/>
                <w:b/>
                <w:spacing w:val="-2"/>
                <w:sz w:val="21"/>
              </w:rPr>
              <w:t>严重脑损伤</w:t>
            </w:r>
          </w:p>
        </w:tc>
        <w:tc>
          <w:tcPr>
            <w:tcW w:w="7063" w:type="dxa"/>
          </w:tcPr>
          <w:p>
            <w:pPr>
              <w:pStyle w:val="TableParagraph"/>
              <w:spacing w:before="105"/>
              <w:ind w:left="78"/>
              <w:rPr>
                <w:sz w:val="21"/>
              </w:rPr>
            </w:pPr>
            <w:r>
              <w:rPr>
                <w:spacing w:val="-7"/>
                <w:sz w:val="21"/>
              </w:rPr>
              <w:t>指因头部遭受机械性外力，引起脑重要部位损伤，导致神经系统永久性的功</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2"/>
                <w:sz w:val="21"/>
              </w:rPr>
              <w:t>能障碍。须由头颅断层扫描（CT）、核磁共振检查（MRI）</w:t>
            </w:r>
            <w:r>
              <w:rPr>
                <w:spacing w:val="-4"/>
                <w:sz w:val="21"/>
              </w:rPr>
              <w:t>或正电子发射断</w:t>
            </w:r>
          </w:p>
        </w:tc>
      </w:tr>
      <w:tr>
        <w:trPr>
          <w:trHeight w:val="311"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2"/>
                <w:sz w:val="21"/>
              </w:rPr>
              <w:t>层扫描（PET）</w:t>
            </w:r>
            <w:r>
              <w:rPr>
                <w:spacing w:val="-3"/>
                <w:sz w:val="21"/>
              </w:rPr>
              <w:t>等影像学检查证实。神经系统永久性的功能障碍，指脑损伤</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2"/>
                <w:sz w:val="21"/>
              </w:rPr>
              <w:t>180</w:t>
            </w:r>
            <w:r>
              <w:rPr>
                <w:spacing w:val="-10"/>
                <w:sz w:val="21"/>
              </w:rPr>
              <w:t> 天后，仍遗留下列至少一种障碍：</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2"/>
                <w:sz w:val="21"/>
              </w:rPr>
              <w:t>（1）一肢（含）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tc>
      </w:tr>
      <w:tr>
        <w:trPr>
          <w:trHeight w:val="312"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2"/>
                <w:sz w:val="21"/>
              </w:rPr>
              <w:t>（2）</w:t>
            </w:r>
            <w:r>
              <w:rPr>
                <w:spacing w:val="-3"/>
                <w:sz w:val="21"/>
              </w:rPr>
              <w:t>语言能力完全丧失，或严重咀嚼吞咽功能障碍；</w:t>
            </w:r>
          </w:p>
        </w:tc>
      </w:tr>
      <w:tr>
        <w:trPr>
          <w:trHeight w:val="311"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2"/>
                <w:sz w:val="21"/>
              </w:rPr>
              <w:t>（3）</w:t>
            </w:r>
            <w:r>
              <w:rPr>
                <w:spacing w:val="-3"/>
                <w:sz w:val="21"/>
              </w:rPr>
              <w:t>自主生活能力完全丧失，无法独立完成六项基本日常生活活动中的三</w:t>
            </w:r>
          </w:p>
        </w:tc>
      </w:tr>
      <w:tr>
        <w:trPr>
          <w:trHeight w:val="397" w:hRule="atLeast"/>
        </w:trPr>
        <w:tc>
          <w:tcPr>
            <w:tcW w:w="847" w:type="dxa"/>
          </w:tcPr>
          <w:p>
            <w:pPr>
              <w:pStyle w:val="TableParagraph"/>
              <w:rPr>
                <w:rFonts w:ascii="Times New Roman"/>
                <w:sz w:val="20"/>
              </w:rPr>
            </w:pPr>
          </w:p>
        </w:tc>
        <w:tc>
          <w:tcPr>
            <w:tcW w:w="1929" w:type="dxa"/>
          </w:tcPr>
          <w:p>
            <w:pPr>
              <w:pStyle w:val="TableParagraph"/>
              <w:rPr>
                <w:rFonts w:ascii="Times New Roman"/>
                <w:sz w:val="20"/>
              </w:rPr>
            </w:pPr>
          </w:p>
        </w:tc>
        <w:tc>
          <w:tcPr>
            <w:tcW w:w="7063" w:type="dxa"/>
          </w:tcPr>
          <w:p>
            <w:pPr>
              <w:pStyle w:val="TableParagraph"/>
              <w:spacing w:before="22"/>
              <w:ind w:left="78"/>
              <w:rPr>
                <w:sz w:val="21"/>
              </w:rPr>
            </w:pPr>
            <w:r>
              <w:rPr>
                <w:spacing w:val="-4"/>
                <w:sz w:val="21"/>
              </w:rPr>
              <w:t>项或三项以上。</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8.1.19</w:t>
            </w:r>
          </w:p>
        </w:tc>
        <w:tc>
          <w:tcPr>
            <w:tcW w:w="1929" w:type="dxa"/>
          </w:tcPr>
          <w:p>
            <w:pPr>
              <w:pStyle w:val="TableParagraph"/>
              <w:spacing w:line="337" w:lineRule="exact" w:before="40"/>
              <w:ind w:left="160"/>
              <w:rPr>
                <w:rFonts w:ascii="微软雅黑" w:eastAsia="微软雅黑"/>
                <w:b/>
                <w:sz w:val="21"/>
              </w:rPr>
            </w:pPr>
            <w:r>
              <w:rPr>
                <w:rFonts w:ascii="微软雅黑" w:eastAsia="微软雅黑"/>
                <w:b/>
                <w:spacing w:val="-2"/>
                <w:sz w:val="21"/>
              </w:rPr>
              <w:t>严重原发性帕金</w:t>
            </w:r>
          </w:p>
        </w:tc>
        <w:tc>
          <w:tcPr>
            <w:tcW w:w="7063" w:type="dxa"/>
          </w:tcPr>
          <w:p>
            <w:pPr>
              <w:pStyle w:val="TableParagraph"/>
              <w:spacing w:before="107"/>
              <w:ind w:left="78"/>
              <w:rPr>
                <w:sz w:val="21"/>
              </w:rPr>
            </w:pPr>
            <w:r>
              <w:rPr>
                <w:spacing w:val="-8"/>
                <w:sz w:val="21"/>
              </w:rPr>
              <w:t>是一种中枢神经系统的退行性疾病，临床表现为运动迟缓、静止性震颤或肌</w:t>
            </w:r>
          </w:p>
        </w:tc>
      </w:tr>
      <w:tr>
        <w:trPr>
          <w:trHeight w:val="261" w:hRule="atLeast"/>
        </w:trPr>
        <w:tc>
          <w:tcPr>
            <w:tcW w:w="847" w:type="dxa"/>
          </w:tcPr>
          <w:p>
            <w:pPr>
              <w:pStyle w:val="TableParagraph"/>
              <w:rPr>
                <w:rFonts w:ascii="Times New Roman"/>
                <w:sz w:val="18"/>
              </w:rPr>
            </w:pPr>
          </w:p>
        </w:tc>
        <w:tc>
          <w:tcPr>
            <w:tcW w:w="1929" w:type="dxa"/>
          </w:tcPr>
          <w:p>
            <w:pPr>
              <w:pStyle w:val="TableParagraph"/>
              <w:spacing w:line="242" w:lineRule="exact"/>
              <w:ind w:left="160"/>
              <w:rPr>
                <w:rFonts w:ascii="微软雅黑" w:eastAsia="微软雅黑"/>
                <w:b/>
                <w:sz w:val="21"/>
              </w:rPr>
            </w:pPr>
            <w:r>
              <w:rPr>
                <w:rFonts w:ascii="微软雅黑" w:eastAsia="微软雅黑"/>
                <w:b/>
                <w:spacing w:val="-5"/>
                <w:sz w:val="21"/>
              </w:rPr>
              <w:t>森病</w:t>
            </w:r>
          </w:p>
        </w:tc>
        <w:tc>
          <w:tcPr>
            <w:tcW w:w="7063" w:type="dxa"/>
          </w:tcPr>
          <w:p>
            <w:pPr>
              <w:pStyle w:val="TableParagraph"/>
              <w:spacing w:line="220" w:lineRule="exact" w:before="22"/>
              <w:ind w:left="78"/>
              <w:rPr>
                <w:sz w:val="21"/>
              </w:rPr>
            </w:pPr>
            <w:r>
              <w:rPr>
                <w:spacing w:val="-7"/>
                <w:sz w:val="21"/>
              </w:rPr>
              <w:t>强直等，经相关专科医生确诊，且须满足自主生活能力完全丧失，无法独立</w:t>
            </w:r>
          </w:p>
        </w:tc>
      </w:tr>
    </w:tbl>
    <w:p>
      <w:pPr>
        <w:pStyle w:val="BodyText"/>
        <w:spacing w:before="12"/>
        <w:rPr>
          <w:rFonts w:ascii="微软雅黑"/>
          <w:b/>
          <w:sz w:val="18"/>
        </w:rPr>
      </w:pPr>
      <w:r>
        <w:rPr/>
        <w:drawing>
          <wp:anchor distT="0" distB="0" distL="0" distR="0" allowOverlap="1" layoutInCell="1" locked="0" behindDoc="0" simplePos="0" relativeHeight="52">
            <wp:simplePos x="0" y="0"/>
            <wp:positionH relativeFrom="page">
              <wp:posOffset>719327</wp:posOffset>
            </wp:positionH>
            <wp:positionV relativeFrom="paragraph">
              <wp:posOffset>233593</wp:posOffset>
            </wp:positionV>
            <wp:extent cx="1829282" cy="6096"/>
            <wp:effectExtent l="0" t="0" r="0" b="0"/>
            <wp:wrapTopAndBottom/>
            <wp:docPr id="55" name="image6.png"/>
            <wp:cNvGraphicFramePr>
              <a:graphicFrameLocks noChangeAspect="1"/>
            </wp:cNvGraphicFramePr>
            <a:graphic>
              <a:graphicData uri="http://schemas.openxmlformats.org/drawingml/2006/picture">
                <pic:pic>
                  <pic:nvPicPr>
                    <pic:cNvPr id="56" name="image6.png"/>
                    <pic:cNvPicPr/>
                  </pic:nvPicPr>
                  <pic:blipFill>
                    <a:blip r:embed="rId11" cstate="print"/>
                    <a:stretch>
                      <a:fillRect/>
                    </a:stretch>
                  </pic:blipFill>
                  <pic:spPr>
                    <a:xfrm>
                      <a:off x="0" y="0"/>
                      <a:ext cx="1829282" cy="6096"/>
                    </a:xfrm>
                    <a:prstGeom prst="rect">
                      <a:avLst/>
                    </a:prstGeom>
                  </pic:spPr>
                </pic:pic>
              </a:graphicData>
            </a:graphic>
          </wp:anchor>
        </w:drawing>
      </w:r>
    </w:p>
    <w:p>
      <w:pPr>
        <w:spacing w:before="33"/>
        <w:ind w:left="232" w:right="0" w:firstLine="0"/>
        <w:jc w:val="left"/>
        <w:rPr>
          <w:sz w:val="20"/>
        </w:rPr>
      </w:pPr>
      <w:r>
        <w:rPr>
          <w:rFonts w:ascii="微软雅黑" w:eastAsia="微软雅黑"/>
          <w:b/>
          <w:w w:val="95"/>
          <w:position w:val="10"/>
          <w:sz w:val="10"/>
        </w:rPr>
        <w:t>29</w:t>
      </w:r>
      <w:r>
        <w:rPr>
          <w:rFonts w:ascii="微软雅黑" w:eastAsia="微软雅黑"/>
          <w:b/>
          <w:spacing w:val="69"/>
          <w:w w:val="95"/>
          <w:position w:val="10"/>
          <w:sz w:val="10"/>
        </w:rPr>
        <w:t>   </w:t>
      </w:r>
      <w:r>
        <w:rPr>
          <w:rFonts w:ascii="微软雅黑" w:eastAsia="微软雅黑"/>
          <w:b/>
          <w:w w:val="95"/>
          <w:sz w:val="20"/>
        </w:rPr>
        <w:t>永</w:t>
      </w:r>
      <w:r>
        <w:rPr>
          <w:rFonts w:ascii="微软雅黑" w:eastAsia="微软雅黑"/>
          <w:b/>
          <w:w w:val="95"/>
          <w:sz w:val="20"/>
        </w:rPr>
        <w:t>久</w:t>
      </w:r>
      <w:r>
        <w:rPr>
          <w:rFonts w:ascii="微软雅黑" w:eastAsia="微软雅黑"/>
          <w:b/>
          <w:w w:val="95"/>
          <w:sz w:val="20"/>
        </w:rPr>
        <w:t>不</w:t>
      </w:r>
      <w:r>
        <w:rPr>
          <w:rFonts w:ascii="微软雅黑" w:eastAsia="微软雅黑"/>
          <w:b/>
          <w:w w:val="95"/>
          <w:sz w:val="20"/>
        </w:rPr>
        <w:t>可</w:t>
      </w:r>
      <w:r>
        <w:rPr>
          <w:rFonts w:ascii="微软雅黑" w:eastAsia="微软雅黑"/>
          <w:b/>
          <w:w w:val="95"/>
          <w:sz w:val="20"/>
        </w:rPr>
        <w:t>逆</w:t>
      </w:r>
      <w:r>
        <w:rPr>
          <w:w w:val="95"/>
          <w:sz w:val="20"/>
        </w:rPr>
        <w:t>指</w:t>
      </w:r>
      <w:r>
        <w:rPr>
          <w:w w:val="95"/>
          <w:sz w:val="20"/>
        </w:rPr>
        <w:t>自</w:t>
      </w:r>
      <w:r>
        <w:rPr>
          <w:w w:val="95"/>
          <w:sz w:val="20"/>
        </w:rPr>
        <w:t>疾</w:t>
      </w:r>
      <w:r>
        <w:rPr>
          <w:w w:val="95"/>
          <w:sz w:val="20"/>
        </w:rPr>
        <w:t>病</w:t>
      </w:r>
      <w:r>
        <w:rPr>
          <w:w w:val="95"/>
          <w:sz w:val="20"/>
        </w:rPr>
        <w:t>确</w:t>
      </w:r>
      <w:r>
        <w:rPr>
          <w:w w:val="95"/>
          <w:sz w:val="20"/>
        </w:rPr>
        <w:t>诊</w:t>
      </w:r>
      <w:r>
        <w:rPr>
          <w:w w:val="95"/>
          <w:sz w:val="20"/>
        </w:rPr>
        <w:t>或</w:t>
      </w:r>
      <w:r>
        <w:rPr>
          <w:w w:val="95"/>
          <w:sz w:val="20"/>
        </w:rPr>
        <w:t>意</w:t>
      </w:r>
      <w:r>
        <w:rPr>
          <w:w w:val="95"/>
          <w:sz w:val="20"/>
        </w:rPr>
        <w:t>外</w:t>
      </w:r>
      <w:r>
        <w:rPr>
          <w:w w:val="95"/>
          <w:sz w:val="20"/>
        </w:rPr>
        <w:t>伤</w:t>
      </w:r>
      <w:r>
        <w:rPr>
          <w:w w:val="95"/>
          <w:sz w:val="20"/>
        </w:rPr>
        <w:t>害</w:t>
      </w:r>
      <w:r>
        <w:rPr>
          <w:w w:val="95"/>
          <w:sz w:val="20"/>
        </w:rPr>
        <w:t>发</w:t>
      </w:r>
      <w:r>
        <w:rPr>
          <w:w w:val="95"/>
          <w:sz w:val="20"/>
        </w:rPr>
        <w:t>生</w:t>
      </w:r>
      <w:r>
        <w:rPr>
          <w:w w:val="95"/>
          <w:sz w:val="20"/>
        </w:rPr>
        <w:t>之</w:t>
      </w:r>
      <w:r>
        <w:rPr>
          <w:w w:val="95"/>
          <w:sz w:val="20"/>
        </w:rPr>
        <w:t>日</w:t>
      </w:r>
      <w:r>
        <w:rPr>
          <w:w w:val="95"/>
          <w:sz w:val="20"/>
        </w:rPr>
        <w:t>起，经</w:t>
      </w:r>
      <w:r>
        <w:rPr>
          <w:w w:val="95"/>
          <w:sz w:val="20"/>
        </w:rPr>
        <w:t>过</w:t>
      </w:r>
      <w:r>
        <w:rPr>
          <w:w w:val="95"/>
          <w:sz w:val="20"/>
        </w:rPr>
        <w:t>积</w:t>
      </w:r>
      <w:r>
        <w:rPr>
          <w:w w:val="95"/>
          <w:sz w:val="20"/>
        </w:rPr>
        <w:t>极</w:t>
      </w:r>
      <w:r>
        <w:rPr>
          <w:w w:val="95"/>
          <w:sz w:val="20"/>
        </w:rPr>
        <w:t>治疗</w:t>
      </w:r>
      <w:r>
        <w:rPr>
          <w:spacing w:val="47"/>
          <w:sz w:val="20"/>
        </w:rPr>
        <w:t> </w:t>
      </w:r>
      <w:r>
        <w:rPr>
          <w:w w:val="95"/>
          <w:sz w:val="20"/>
        </w:rPr>
        <w:t>180</w:t>
      </w:r>
      <w:r>
        <w:rPr>
          <w:spacing w:val="45"/>
          <w:sz w:val="20"/>
        </w:rPr>
        <w:t> </w:t>
      </w:r>
      <w:r>
        <w:rPr>
          <w:w w:val="95"/>
          <w:sz w:val="20"/>
        </w:rPr>
        <w:t>天</w:t>
      </w:r>
      <w:r>
        <w:rPr>
          <w:w w:val="95"/>
          <w:sz w:val="20"/>
        </w:rPr>
        <w:t>后</w:t>
      </w:r>
      <w:r>
        <w:rPr>
          <w:w w:val="95"/>
          <w:sz w:val="20"/>
        </w:rPr>
        <w:t>，</w:t>
      </w:r>
      <w:r>
        <w:rPr>
          <w:w w:val="95"/>
          <w:sz w:val="20"/>
        </w:rPr>
        <w:t>仍</w:t>
      </w:r>
      <w:r>
        <w:rPr>
          <w:w w:val="95"/>
          <w:sz w:val="20"/>
        </w:rPr>
        <w:t>无</w:t>
      </w:r>
      <w:r>
        <w:rPr>
          <w:w w:val="95"/>
          <w:sz w:val="20"/>
        </w:rPr>
        <w:t>法</w:t>
      </w:r>
      <w:r>
        <w:rPr>
          <w:w w:val="95"/>
          <w:sz w:val="20"/>
        </w:rPr>
        <w:t>通</w:t>
      </w:r>
      <w:r>
        <w:rPr>
          <w:w w:val="95"/>
          <w:sz w:val="20"/>
        </w:rPr>
        <w:t>过</w:t>
      </w:r>
      <w:r>
        <w:rPr>
          <w:w w:val="95"/>
          <w:sz w:val="20"/>
        </w:rPr>
        <w:t>现</w:t>
      </w:r>
      <w:r>
        <w:rPr>
          <w:w w:val="95"/>
          <w:sz w:val="20"/>
        </w:rPr>
        <w:t>有</w:t>
      </w:r>
      <w:r>
        <w:rPr>
          <w:w w:val="95"/>
          <w:sz w:val="20"/>
        </w:rPr>
        <w:t>医</w:t>
      </w:r>
      <w:r>
        <w:rPr>
          <w:w w:val="95"/>
          <w:sz w:val="20"/>
        </w:rPr>
        <w:t>疗</w:t>
      </w:r>
      <w:r>
        <w:rPr>
          <w:w w:val="95"/>
          <w:sz w:val="20"/>
        </w:rPr>
        <w:t>手</w:t>
      </w:r>
      <w:r>
        <w:rPr>
          <w:w w:val="95"/>
          <w:sz w:val="20"/>
        </w:rPr>
        <w:t>段</w:t>
      </w:r>
      <w:r>
        <w:rPr>
          <w:w w:val="95"/>
          <w:sz w:val="20"/>
        </w:rPr>
        <w:t>恢</w:t>
      </w:r>
      <w:r>
        <w:rPr>
          <w:w w:val="95"/>
          <w:sz w:val="20"/>
        </w:rPr>
        <w:t>复</w:t>
      </w:r>
      <w:r>
        <w:rPr>
          <w:spacing w:val="-10"/>
          <w:w w:val="95"/>
          <w:sz w:val="20"/>
        </w:rPr>
        <w:t>。</w:t>
      </w:r>
    </w:p>
    <w:p>
      <w:pPr>
        <w:spacing w:after="0"/>
        <w:jc w:val="left"/>
        <w:rPr>
          <w:sz w:val="20"/>
        </w:rPr>
        <w:sectPr>
          <w:pgSz w:w="11910" w:h="16840"/>
          <w:pgMar w:header="566" w:footer="664" w:top="1340" w:bottom="860" w:left="900" w:right="720"/>
        </w:sectPr>
      </w:pPr>
    </w:p>
    <w:p>
      <w:pPr>
        <w:pStyle w:val="BodyText"/>
        <w:spacing w:before="11"/>
        <w:rPr>
          <w:sz w:val="8"/>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7"/>
        <w:gridCol w:w="1824"/>
        <w:gridCol w:w="7075"/>
      </w:tblGrid>
      <w:tr>
        <w:trPr>
          <w:trHeight w:val="258" w:hRule="atLeast"/>
        </w:trPr>
        <w:tc>
          <w:tcPr>
            <w:tcW w:w="847" w:type="dxa"/>
          </w:tcPr>
          <w:p>
            <w:pPr>
              <w:pStyle w:val="TableParagraph"/>
              <w:rPr>
                <w:rFonts w:ascii="Times New Roman"/>
                <w:sz w:val="18"/>
              </w:rPr>
            </w:pPr>
          </w:p>
        </w:tc>
        <w:tc>
          <w:tcPr>
            <w:tcW w:w="1824" w:type="dxa"/>
          </w:tcPr>
          <w:p>
            <w:pPr>
              <w:pStyle w:val="TableParagraph"/>
              <w:rPr>
                <w:rFonts w:ascii="Times New Roman"/>
                <w:sz w:val="18"/>
              </w:rPr>
            </w:pPr>
          </w:p>
        </w:tc>
        <w:tc>
          <w:tcPr>
            <w:tcW w:w="7075" w:type="dxa"/>
          </w:tcPr>
          <w:p>
            <w:pPr>
              <w:pStyle w:val="TableParagraph"/>
              <w:spacing w:line="239" w:lineRule="exact"/>
              <w:ind w:left="183"/>
              <w:rPr>
                <w:sz w:val="21"/>
              </w:rPr>
            </w:pPr>
            <w:r>
              <w:rPr>
                <w:spacing w:val="-3"/>
                <w:sz w:val="21"/>
              </w:rPr>
              <w:t>完成六项基本日常生活活动中的三项或三项以上。</w:t>
            </w:r>
          </w:p>
        </w:tc>
      </w:tr>
      <w:tr>
        <w:trPr>
          <w:trHeight w:val="40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line="353" w:lineRule="exact"/>
              <w:ind w:left="183"/>
              <w:rPr>
                <w:rFonts w:ascii="微软雅黑" w:eastAsia="微软雅黑"/>
                <w:b/>
                <w:sz w:val="22"/>
              </w:rPr>
            </w:pPr>
            <w:r>
              <w:rPr>
                <w:rFonts w:ascii="微软雅黑" w:eastAsia="微软雅黑"/>
                <w:b/>
                <w:color w:val="000000"/>
                <w:spacing w:val="-1"/>
                <w:sz w:val="22"/>
                <w:shd w:fill="D9D9D9" w:color="auto" w:val="clear"/>
              </w:rPr>
              <w:t>继发性帕金森综合征、帕金森叠加综合征不在保障范围内。</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8.1.20</w:t>
            </w:r>
          </w:p>
        </w:tc>
        <w:tc>
          <w:tcPr>
            <w:tcW w:w="1824" w:type="dxa"/>
          </w:tcPr>
          <w:p>
            <w:pPr>
              <w:pStyle w:val="TableParagraph"/>
              <w:spacing w:line="337" w:lineRule="exact" w:before="38"/>
              <w:ind w:left="160"/>
              <w:rPr>
                <w:rFonts w:ascii="微软雅黑" w:hAnsi="微软雅黑" w:eastAsia="微软雅黑"/>
                <w:b/>
                <w:sz w:val="21"/>
              </w:rPr>
            </w:pPr>
            <w:r>
              <w:rPr>
                <w:rFonts w:ascii="微软雅黑" w:hAnsi="微软雅黑" w:eastAsia="微软雅黑"/>
                <w:b/>
                <w:spacing w:val="-2"/>
                <w:sz w:val="21"/>
              </w:rPr>
              <w:t>严重Ⅲ度烧伤</w:t>
            </w:r>
          </w:p>
        </w:tc>
        <w:tc>
          <w:tcPr>
            <w:tcW w:w="7075" w:type="dxa"/>
          </w:tcPr>
          <w:p>
            <w:pPr>
              <w:pStyle w:val="TableParagraph"/>
              <w:spacing w:before="105"/>
              <w:ind w:left="183"/>
              <w:rPr>
                <w:sz w:val="21"/>
              </w:rPr>
            </w:pPr>
            <w:r>
              <w:rPr>
                <w:spacing w:val="-4"/>
                <w:sz w:val="21"/>
              </w:rPr>
              <w:t>指烧伤程度为Ⅲ度，且Ⅲ度烧伤的面积达到全身体表面积的 </w:t>
            </w:r>
            <w:r>
              <w:rPr>
                <w:spacing w:val="-2"/>
                <w:sz w:val="21"/>
              </w:rPr>
              <w:t>20</w:t>
            </w:r>
            <w:r>
              <w:rPr>
                <w:spacing w:val="-15"/>
                <w:sz w:val="21"/>
              </w:rPr>
              <w:t>％或 </w:t>
            </w:r>
            <w:r>
              <w:rPr>
                <w:spacing w:val="-2"/>
                <w:sz w:val="21"/>
              </w:rPr>
              <w:t>20</w:t>
            </w:r>
            <w:r>
              <w:rPr>
                <w:spacing w:val="-6"/>
                <w:sz w:val="21"/>
              </w:rPr>
              <w:t>％以</w:t>
            </w:r>
          </w:p>
        </w:tc>
      </w:tr>
      <w:tr>
        <w:trPr>
          <w:trHeight w:val="395"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before="22"/>
              <w:ind w:left="183"/>
              <w:rPr>
                <w:sz w:val="21"/>
              </w:rPr>
            </w:pPr>
            <w:r>
              <w:rPr>
                <w:spacing w:val="-3"/>
                <w:sz w:val="21"/>
              </w:rPr>
              <w:t>上。体表面积根据《中国新九分法》计算。</w:t>
            </w:r>
          </w:p>
        </w:tc>
      </w:tr>
      <w:tr>
        <w:trPr>
          <w:trHeight w:val="396" w:hRule="atLeast"/>
        </w:trPr>
        <w:tc>
          <w:tcPr>
            <w:tcW w:w="847" w:type="dxa"/>
          </w:tcPr>
          <w:p>
            <w:pPr>
              <w:pStyle w:val="TableParagraph"/>
              <w:spacing w:line="337" w:lineRule="exact" w:before="38"/>
              <w:ind w:left="50"/>
              <w:rPr>
                <w:rFonts w:ascii="微软雅黑"/>
                <w:b/>
                <w:sz w:val="21"/>
              </w:rPr>
            </w:pPr>
            <w:r>
              <w:rPr>
                <w:rFonts w:ascii="微软雅黑"/>
                <w:b/>
                <w:spacing w:val="-2"/>
                <w:sz w:val="21"/>
              </w:rPr>
              <w:t>8.1.21</w:t>
            </w:r>
          </w:p>
        </w:tc>
        <w:tc>
          <w:tcPr>
            <w:tcW w:w="1824" w:type="dxa"/>
          </w:tcPr>
          <w:p>
            <w:pPr>
              <w:pStyle w:val="TableParagraph"/>
              <w:spacing w:line="337" w:lineRule="exact" w:before="38"/>
              <w:ind w:left="160"/>
              <w:rPr>
                <w:rFonts w:ascii="微软雅黑" w:eastAsia="微软雅黑"/>
                <w:b/>
                <w:sz w:val="21"/>
              </w:rPr>
            </w:pPr>
            <w:r>
              <w:rPr>
                <w:rFonts w:ascii="微软雅黑" w:eastAsia="微软雅黑"/>
                <w:b/>
                <w:spacing w:val="-2"/>
                <w:sz w:val="21"/>
              </w:rPr>
              <w:t>严重特发性肺动</w:t>
            </w:r>
          </w:p>
        </w:tc>
        <w:tc>
          <w:tcPr>
            <w:tcW w:w="7075" w:type="dxa"/>
          </w:tcPr>
          <w:p>
            <w:pPr>
              <w:pStyle w:val="TableParagraph"/>
              <w:spacing w:before="106"/>
              <w:ind w:left="183"/>
              <w:rPr>
                <w:sz w:val="21"/>
              </w:rPr>
            </w:pPr>
            <w:r>
              <w:rPr>
                <w:spacing w:val="-7"/>
                <w:sz w:val="21"/>
              </w:rPr>
              <w:t>指不明原因的肺动脉压力持续性增高，进行性发展而导致的慢性疾病，已经</w:t>
            </w:r>
          </w:p>
        </w:tc>
      </w:tr>
      <w:tr>
        <w:trPr>
          <w:trHeight w:val="623" w:hRule="atLeast"/>
        </w:trPr>
        <w:tc>
          <w:tcPr>
            <w:tcW w:w="847" w:type="dxa"/>
          </w:tcPr>
          <w:p>
            <w:pPr>
              <w:pStyle w:val="TableParagraph"/>
              <w:rPr>
                <w:rFonts w:ascii="Times New Roman"/>
                <w:sz w:val="20"/>
              </w:rPr>
            </w:pPr>
          </w:p>
        </w:tc>
        <w:tc>
          <w:tcPr>
            <w:tcW w:w="1824" w:type="dxa"/>
          </w:tcPr>
          <w:p>
            <w:pPr>
              <w:pStyle w:val="TableParagraph"/>
              <w:spacing w:line="342" w:lineRule="exact"/>
              <w:ind w:left="160"/>
              <w:rPr>
                <w:rFonts w:ascii="微软雅黑" w:eastAsia="微软雅黑"/>
                <w:b/>
                <w:sz w:val="21"/>
              </w:rPr>
            </w:pPr>
            <w:r>
              <w:rPr>
                <w:rFonts w:ascii="微软雅黑" w:eastAsia="微软雅黑"/>
                <w:b/>
                <w:spacing w:val="-4"/>
                <w:sz w:val="21"/>
              </w:rPr>
              <w:t>脉高压</w:t>
            </w:r>
          </w:p>
        </w:tc>
        <w:tc>
          <w:tcPr>
            <w:tcW w:w="7075" w:type="dxa"/>
          </w:tcPr>
          <w:p>
            <w:pPr>
              <w:pStyle w:val="TableParagraph"/>
              <w:spacing w:line="304" w:lineRule="exact"/>
              <w:ind w:left="183"/>
              <w:rPr>
                <w:rFonts w:ascii="微软雅黑" w:eastAsia="微软雅黑"/>
                <w:b/>
                <w:sz w:val="21"/>
              </w:rPr>
            </w:pPr>
            <w:r>
              <w:rPr>
                <w:spacing w:val="-2"/>
                <w:sz w:val="21"/>
              </w:rPr>
              <w:t>造成永久不可逆性的体力活动能力受限，达到</w:t>
            </w:r>
            <w:r>
              <w:rPr>
                <w:rFonts w:ascii="微软雅黑" w:eastAsia="微软雅黑"/>
                <w:b/>
                <w:spacing w:val="-2"/>
                <w:sz w:val="21"/>
              </w:rPr>
              <w:t>美国纽约心脏病学会</w:t>
            </w:r>
            <w:r>
              <w:rPr>
                <w:rFonts w:ascii="微软雅黑" w:eastAsia="微软雅黑"/>
                <w:b/>
                <w:spacing w:val="-4"/>
                <w:sz w:val="21"/>
              </w:rPr>
              <w:t>（New</w:t>
            </w:r>
          </w:p>
          <w:p>
            <w:pPr>
              <w:pStyle w:val="TableParagraph"/>
              <w:spacing w:line="300" w:lineRule="exact"/>
              <w:ind w:left="183"/>
              <w:rPr>
                <w:sz w:val="21"/>
              </w:rPr>
            </w:pPr>
            <w:r>
              <w:rPr>
                <w:rFonts w:ascii="微软雅黑" w:eastAsia="微软雅黑"/>
                <w:b/>
                <w:w w:val="90"/>
                <w:sz w:val="21"/>
              </w:rPr>
              <w:t>York</w:t>
            </w:r>
            <w:r>
              <w:rPr>
                <w:rFonts w:ascii="微软雅黑" w:eastAsia="微软雅黑"/>
                <w:b/>
                <w:spacing w:val="25"/>
                <w:sz w:val="21"/>
              </w:rPr>
              <w:t>  </w:t>
            </w:r>
            <w:r>
              <w:rPr>
                <w:rFonts w:ascii="微软雅黑" w:eastAsia="微软雅黑"/>
                <w:b/>
                <w:w w:val="90"/>
                <w:sz w:val="21"/>
              </w:rPr>
              <w:t>Heart</w:t>
            </w:r>
            <w:r>
              <w:rPr>
                <w:rFonts w:ascii="微软雅黑" w:eastAsia="微软雅黑"/>
                <w:b/>
                <w:spacing w:val="79"/>
                <w:w w:val="150"/>
                <w:sz w:val="21"/>
              </w:rPr>
              <w:t> </w:t>
            </w:r>
            <w:r>
              <w:rPr>
                <w:rFonts w:ascii="微软雅黑" w:eastAsia="微软雅黑"/>
                <w:b/>
                <w:w w:val="90"/>
                <w:sz w:val="21"/>
              </w:rPr>
              <w:t>Association，NYHA）</w:t>
            </w:r>
            <w:r>
              <w:rPr>
                <w:rFonts w:ascii="微软雅黑" w:eastAsia="微软雅黑"/>
                <w:b/>
                <w:w w:val="90"/>
                <w:position w:val="11"/>
                <w:sz w:val="11"/>
              </w:rPr>
              <w:t>30</w:t>
            </w:r>
            <w:r>
              <w:rPr>
                <w:w w:val="90"/>
                <w:sz w:val="21"/>
              </w:rPr>
              <w:t>心</w:t>
            </w:r>
            <w:r>
              <w:rPr>
                <w:w w:val="90"/>
                <w:sz w:val="21"/>
              </w:rPr>
              <w:t>功</w:t>
            </w:r>
            <w:r>
              <w:rPr>
                <w:w w:val="90"/>
                <w:sz w:val="21"/>
              </w:rPr>
              <w:t>能状态</w:t>
            </w:r>
            <w:r>
              <w:rPr>
                <w:w w:val="90"/>
                <w:sz w:val="21"/>
              </w:rPr>
              <w:t>分</w:t>
            </w:r>
            <w:r>
              <w:rPr>
                <w:w w:val="90"/>
                <w:sz w:val="21"/>
              </w:rPr>
              <w:t>级</w:t>
            </w:r>
            <w:r>
              <w:rPr>
                <w:spacing w:val="-12"/>
                <w:w w:val="90"/>
                <w:sz w:val="21"/>
              </w:rPr>
              <w:t> </w:t>
            </w:r>
            <w:r>
              <w:rPr>
                <w:w w:val="90"/>
                <w:sz w:val="21"/>
              </w:rPr>
              <w:t>IV</w:t>
            </w:r>
            <w:r>
              <w:rPr>
                <w:spacing w:val="-4"/>
                <w:w w:val="90"/>
                <w:sz w:val="21"/>
              </w:rPr>
              <w:t> 级，且静息状态下</w:t>
            </w:r>
          </w:p>
        </w:tc>
      </w:tr>
      <w:tr>
        <w:trPr>
          <w:trHeight w:val="397"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before="22"/>
              <w:ind w:left="183"/>
              <w:rPr>
                <w:sz w:val="21"/>
              </w:rPr>
            </w:pPr>
            <w:r>
              <w:rPr>
                <w:spacing w:val="-7"/>
                <w:sz w:val="21"/>
              </w:rPr>
              <w:t>肺动脉平均压在 </w:t>
            </w:r>
            <w:r>
              <w:rPr>
                <w:spacing w:val="-2"/>
                <w:sz w:val="21"/>
              </w:rPr>
              <w:t>36mmHg（含）</w:t>
            </w:r>
            <w:r>
              <w:rPr>
                <w:spacing w:val="-5"/>
                <w:sz w:val="21"/>
              </w:rPr>
              <w:t>以上。</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8.1.22</w:t>
            </w:r>
          </w:p>
        </w:tc>
        <w:tc>
          <w:tcPr>
            <w:tcW w:w="1824" w:type="dxa"/>
          </w:tcPr>
          <w:p>
            <w:pPr>
              <w:pStyle w:val="TableParagraph"/>
              <w:spacing w:line="337" w:lineRule="exact" w:before="40"/>
              <w:ind w:left="160"/>
              <w:rPr>
                <w:rFonts w:ascii="微软雅黑" w:eastAsia="微软雅黑"/>
                <w:b/>
                <w:sz w:val="21"/>
              </w:rPr>
            </w:pPr>
            <w:r>
              <w:rPr>
                <w:rFonts w:ascii="微软雅黑" w:eastAsia="微软雅黑"/>
                <w:b/>
                <w:spacing w:val="-2"/>
                <w:sz w:val="21"/>
              </w:rPr>
              <w:t>严重运动神经元</w:t>
            </w:r>
          </w:p>
        </w:tc>
        <w:tc>
          <w:tcPr>
            <w:tcW w:w="7075" w:type="dxa"/>
          </w:tcPr>
          <w:p>
            <w:pPr>
              <w:pStyle w:val="TableParagraph"/>
              <w:spacing w:before="107"/>
              <w:ind w:left="183"/>
              <w:rPr>
                <w:sz w:val="21"/>
              </w:rPr>
            </w:pPr>
            <w:r>
              <w:rPr>
                <w:spacing w:val="-3"/>
                <w:sz w:val="21"/>
              </w:rPr>
              <w:t>是一组中枢神经系统运动神经元的进行性变性疾病，包括进行性脊肌萎缩</w:t>
            </w:r>
          </w:p>
        </w:tc>
      </w:tr>
      <w:tr>
        <w:trPr>
          <w:trHeight w:val="312" w:hRule="atLeast"/>
        </w:trPr>
        <w:tc>
          <w:tcPr>
            <w:tcW w:w="847" w:type="dxa"/>
          </w:tcPr>
          <w:p>
            <w:pPr>
              <w:pStyle w:val="TableParagraph"/>
              <w:rPr>
                <w:rFonts w:ascii="Times New Roman"/>
                <w:sz w:val="20"/>
              </w:rPr>
            </w:pPr>
          </w:p>
        </w:tc>
        <w:tc>
          <w:tcPr>
            <w:tcW w:w="1824" w:type="dxa"/>
          </w:tcPr>
          <w:p>
            <w:pPr>
              <w:pStyle w:val="TableParagraph"/>
              <w:spacing w:line="292" w:lineRule="exact"/>
              <w:ind w:left="160"/>
              <w:rPr>
                <w:rFonts w:ascii="微软雅黑" w:eastAsia="微软雅黑"/>
                <w:b/>
                <w:sz w:val="21"/>
              </w:rPr>
            </w:pPr>
            <w:r>
              <w:rPr>
                <w:rFonts w:ascii="微软雅黑" w:eastAsia="微软雅黑"/>
                <w:b/>
                <w:w w:val="100"/>
                <w:sz w:val="21"/>
              </w:rPr>
              <w:t>病</w:t>
            </w:r>
          </w:p>
        </w:tc>
        <w:tc>
          <w:tcPr>
            <w:tcW w:w="7075" w:type="dxa"/>
          </w:tcPr>
          <w:p>
            <w:pPr>
              <w:pStyle w:val="TableParagraph"/>
              <w:spacing w:before="22"/>
              <w:ind w:left="183"/>
              <w:rPr>
                <w:sz w:val="21"/>
              </w:rPr>
            </w:pPr>
            <w:r>
              <w:rPr>
                <w:spacing w:val="-7"/>
                <w:sz w:val="21"/>
              </w:rPr>
              <w:t>症、进行性延髓麻痹症、原发性侧索硬化症、肌萎缩性侧索硬化症，经相关</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before="22"/>
              <w:ind w:left="183"/>
              <w:rPr>
                <w:sz w:val="21"/>
              </w:rPr>
            </w:pPr>
            <w:r>
              <w:rPr>
                <w:spacing w:val="-3"/>
                <w:sz w:val="21"/>
              </w:rPr>
              <w:t>专科医生确诊，且须满足下列至少一项条件：</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before="22"/>
              <w:ind w:left="183"/>
              <w:rPr>
                <w:sz w:val="21"/>
              </w:rPr>
            </w:pPr>
            <w:r>
              <w:rPr>
                <w:spacing w:val="-2"/>
                <w:sz w:val="21"/>
              </w:rPr>
              <w:t>（1）</w:t>
            </w:r>
            <w:r>
              <w:rPr>
                <w:spacing w:val="-3"/>
                <w:sz w:val="21"/>
              </w:rPr>
              <w:t>严重咀嚼吞咽功能障碍；</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before="22"/>
              <w:ind w:left="183"/>
              <w:rPr>
                <w:sz w:val="21"/>
              </w:rPr>
            </w:pPr>
            <w:r>
              <w:rPr>
                <w:spacing w:val="-2"/>
                <w:sz w:val="21"/>
              </w:rPr>
              <w:t>（2）</w:t>
            </w:r>
            <w:r>
              <w:rPr>
                <w:spacing w:val="-4"/>
                <w:sz w:val="21"/>
              </w:rPr>
              <w:t>呼吸肌麻痹导致严重呼吸困难，且已经持续使用呼吸机 </w:t>
            </w:r>
            <w:r>
              <w:rPr>
                <w:spacing w:val="-2"/>
                <w:sz w:val="21"/>
              </w:rPr>
              <w:t>7</w:t>
            </w:r>
            <w:r>
              <w:rPr>
                <w:spacing w:val="-23"/>
                <w:sz w:val="21"/>
              </w:rPr>
              <w:t> 天</w:t>
            </w:r>
            <w:r>
              <w:rPr>
                <w:spacing w:val="-2"/>
                <w:sz w:val="21"/>
              </w:rPr>
              <w:t>（含）</w:t>
            </w:r>
            <w:r>
              <w:rPr>
                <w:spacing w:val="-10"/>
                <w:sz w:val="21"/>
              </w:rPr>
              <w:t>以</w:t>
            </w:r>
          </w:p>
        </w:tc>
      </w:tr>
      <w:tr>
        <w:trPr>
          <w:trHeight w:val="311"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before="22"/>
              <w:ind w:left="183"/>
              <w:rPr>
                <w:sz w:val="21"/>
              </w:rPr>
            </w:pPr>
            <w:r>
              <w:rPr>
                <w:spacing w:val="-5"/>
                <w:sz w:val="21"/>
              </w:rPr>
              <w:t>上；</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before="22"/>
              <w:ind w:left="183"/>
              <w:rPr>
                <w:sz w:val="21"/>
              </w:rPr>
            </w:pPr>
            <w:r>
              <w:rPr>
                <w:spacing w:val="-2"/>
                <w:sz w:val="21"/>
              </w:rPr>
              <w:t>（3）</w:t>
            </w:r>
            <w:r>
              <w:rPr>
                <w:spacing w:val="-3"/>
                <w:sz w:val="21"/>
              </w:rPr>
              <w:t>自主生活能力完全丧失，无法独立完成六项基本日常生活活动中的三</w:t>
            </w:r>
          </w:p>
        </w:tc>
      </w:tr>
      <w:tr>
        <w:trPr>
          <w:trHeight w:val="397"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before="22"/>
              <w:ind w:left="183"/>
              <w:rPr>
                <w:sz w:val="21"/>
              </w:rPr>
            </w:pPr>
            <w:r>
              <w:rPr>
                <w:spacing w:val="-4"/>
                <w:sz w:val="21"/>
              </w:rPr>
              <w:t>项或三项以上。</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8.1.23</w:t>
            </w:r>
          </w:p>
        </w:tc>
        <w:tc>
          <w:tcPr>
            <w:tcW w:w="1824" w:type="dxa"/>
          </w:tcPr>
          <w:p>
            <w:pPr>
              <w:pStyle w:val="TableParagraph"/>
              <w:spacing w:line="337" w:lineRule="exact" w:before="40"/>
              <w:ind w:left="160"/>
              <w:rPr>
                <w:rFonts w:ascii="微软雅黑" w:eastAsia="微软雅黑"/>
                <w:b/>
                <w:sz w:val="21"/>
              </w:rPr>
            </w:pPr>
            <w:r>
              <w:rPr>
                <w:rFonts w:ascii="微软雅黑" w:eastAsia="微软雅黑"/>
                <w:b/>
                <w:spacing w:val="-2"/>
                <w:sz w:val="21"/>
              </w:rPr>
              <w:t>语言能力丧失</w:t>
            </w:r>
          </w:p>
        </w:tc>
        <w:tc>
          <w:tcPr>
            <w:tcW w:w="7075" w:type="dxa"/>
          </w:tcPr>
          <w:p>
            <w:pPr>
              <w:pStyle w:val="TableParagraph"/>
              <w:spacing w:before="107"/>
              <w:ind w:left="183"/>
              <w:rPr>
                <w:sz w:val="21"/>
              </w:rPr>
            </w:pPr>
            <w:r>
              <w:rPr>
                <w:spacing w:val="-5"/>
                <w:sz w:val="21"/>
              </w:rPr>
              <w:t>指因疾病或意外伤害导致语言能力完全丧失，经过积极治疗至少</w:t>
            </w:r>
            <w:r>
              <w:rPr>
                <w:spacing w:val="-2"/>
                <w:sz w:val="21"/>
              </w:rPr>
              <w:t>12</w:t>
            </w:r>
            <w:r>
              <w:rPr>
                <w:spacing w:val="-27"/>
                <w:sz w:val="21"/>
              </w:rPr>
              <w:t>个月</w:t>
            </w:r>
            <w:r>
              <w:rPr>
                <w:spacing w:val="-2"/>
                <w:sz w:val="21"/>
              </w:rPr>
              <w:t>（</w:t>
            </w:r>
            <w:r>
              <w:rPr>
                <w:spacing w:val="-10"/>
                <w:sz w:val="21"/>
              </w:rPr>
              <w:t>声</w:t>
            </w:r>
          </w:p>
        </w:tc>
      </w:tr>
      <w:tr>
        <w:trPr>
          <w:trHeight w:val="309"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line="267" w:lineRule="exact" w:before="22"/>
              <w:ind w:left="183"/>
              <w:rPr>
                <w:sz w:val="21"/>
              </w:rPr>
            </w:pPr>
            <w:r>
              <w:rPr>
                <w:spacing w:val="-2"/>
                <w:sz w:val="21"/>
              </w:rPr>
              <w:t>带完全切除不受此时间限制）</w:t>
            </w:r>
            <w:r>
              <w:rPr>
                <w:spacing w:val="-3"/>
                <w:sz w:val="21"/>
              </w:rPr>
              <w:t>，仍无法通过现有医疗手段恢复。</w:t>
            </w:r>
          </w:p>
        </w:tc>
      </w:tr>
      <w:tr>
        <w:trPr>
          <w:trHeight w:val="40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line="352" w:lineRule="exact"/>
              <w:ind w:left="183"/>
              <w:rPr>
                <w:rFonts w:ascii="微软雅黑" w:eastAsia="微软雅黑"/>
                <w:b/>
                <w:sz w:val="22"/>
              </w:rPr>
            </w:pPr>
            <w:r>
              <w:rPr>
                <w:rFonts w:ascii="微软雅黑" w:eastAsia="微软雅黑"/>
                <w:b/>
                <w:color w:val="000000"/>
                <w:spacing w:val="-1"/>
                <w:sz w:val="22"/>
                <w:shd w:fill="D9D9D9" w:color="auto" w:val="clear"/>
              </w:rPr>
              <w:t>精神心理因素所致的语言能力丧失不在保障范围内。</w:t>
            </w:r>
          </w:p>
        </w:tc>
      </w:tr>
      <w:tr>
        <w:trPr>
          <w:trHeight w:val="727" w:hRule="atLeast"/>
        </w:trPr>
        <w:tc>
          <w:tcPr>
            <w:tcW w:w="847" w:type="dxa"/>
          </w:tcPr>
          <w:p>
            <w:pPr>
              <w:pStyle w:val="TableParagraph"/>
              <w:spacing w:before="38"/>
              <w:ind w:left="50"/>
              <w:rPr>
                <w:rFonts w:ascii="微软雅黑"/>
                <w:b/>
                <w:sz w:val="21"/>
              </w:rPr>
            </w:pPr>
            <w:r>
              <w:rPr>
                <w:rFonts w:ascii="微软雅黑"/>
                <w:b/>
                <w:spacing w:val="-2"/>
                <w:sz w:val="21"/>
              </w:rPr>
              <w:t>8.1.24</w:t>
            </w:r>
          </w:p>
        </w:tc>
        <w:tc>
          <w:tcPr>
            <w:tcW w:w="1824" w:type="dxa"/>
          </w:tcPr>
          <w:p>
            <w:pPr>
              <w:pStyle w:val="TableParagraph"/>
              <w:spacing w:line="312" w:lineRule="exact" w:before="65"/>
              <w:ind w:left="160" w:right="182"/>
              <w:rPr>
                <w:rFonts w:ascii="微软雅黑" w:eastAsia="微软雅黑"/>
                <w:b/>
                <w:sz w:val="21"/>
              </w:rPr>
            </w:pPr>
            <w:r>
              <w:rPr>
                <w:rFonts w:ascii="微软雅黑" w:eastAsia="微软雅黑"/>
                <w:b/>
                <w:spacing w:val="-2"/>
                <w:sz w:val="21"/>
              </w:rPr>
              <w:t>重型再生障碍性</w:t>
            </w:r>
            <w:r>
              <w:rPr>
                <w:rFonts w:ascii="微软雅黑" w:eastAsia="微软雅黑"/>
                <w:b/>
                <w:spacing w:val="-6"/>
                <w:sz w:val="21"/>
              </w:rPr>
              <w:t>贫血</w:t>
            </w:r>
          </w:p>
        </w:tc>
        <w:tc>
          <w:tcPr>
            <w:tcW w:w="7075" w:type="dxa"/>
          </w:tcPr>
          <w:p>
            <w:pPr>
              <w:pStyle w:val="TableParagraph"/>
              <w:spacing w:line="310" w:lineRule="atLeast" w:before="83"/>
              <w:ind w:left="183" w:right="233"/>
              <w:rPr>
                <w:sz w:val="21"/>
              </w:rPr>
            </w:pPr>
            <w:r>
              <w:rPr>
                <w:spacing w:val="-6"/>
                <w:sz w:val="21"/>
              </w:rPr>
              <w:t>指因骨髓造血功能慢性持续性衰竭导致的贫血、中性粒细胞减少及血小板</w:t>
            </w:r>
            <w:r>
              <w:rPr>
                <w:spacing w:val="-2"/>
                <w:sz w:val="21"/>
              </w:rPr>
              <w:t>减少，且须满足下列全部条件：</w:t>
            </w:r>
          </w:p>
        </w:tc>
      </w:tr>
      <w:tr>
        <w:trPr>
          <w:trHeight w:val="313"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before="23"/>
              <w:ind w:left="183"/>
              <w:rPr>
                <w:sz w:val="21"/>
              </w:rPr>
            </w:pPr>
            <w:r>
              <w:rPr>
                <w:spacing w:val="-2"/>
                <w:sz w:val="21"/>
              </w:rPr>
              <w:t>（1）</w:t>
            </w:r>
            <w:r>
              <w:rPr>
                <w:spacing w:val="-3"/>
                <w:sz w:val="21"/>
              </w:rPr>
              <w:t>骨髓穿刺检查或骨髓活检结果支持诊断：骨髓细胞增生程度＜正常</w:t>
            </w:r>
          </w:p>
        </w:tc>
      </w:tr>
      <w:tr>
        <w:trPr>
          <w:trHeight w:val="313"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before="22"/>
              <w:ind w:left="183"/>
              <w:rPr>
                <w:sz w:val="21"/>
              </w:rPr>
            </w:pPr>
            <w:r>
              <w:rPr>
                <w:spacing w:val="-2"/>
                <w:sz w:val="21"/>
              </w:rPr>
              <w:t>的25%；如≥正常的25%但＜50%，则残存的造血细胞应＜30%；</w:t>
            </w:r>
          </w:p>
        </w:tc>
      </w:tr>
      <w:tr>
        <w:trPr>
          <w:trHeight w:val="262" w:hRule="atLeast"/>
        </w:trPr>
        <w:tc>
          <w:tcPr>
            <w:tcW w:w="847" w:type="dxa"/>
          </w:tcPr>
          <w:p>
            <w:pPr>
              <w:pStyle w:val="TableParagraph"/>
              <w:rPr>
                <w:rFonts w:ascii="Times New Roman"/>
                <w:sz w:val="18"/>
              </w:rPr>
            </w:pPr>
          </w:p>
        </w:tc>
        <w:tc>
          <w:tcPr>
            <w:tcW w:w="1824" w:type="dxa"/>
          </w:tcPr>
          <w:p>
            <w:pPr>
              <w:pStyle w:val="TableParagraph"/>
              <w:rPr>
                <w:rFonts w:ascii="Times New Roman"/>
                <w:sz w:val="18"/>
              </w:rPr>
            </w:pPr>
          </w:p>
        </w:tc>
        <w:tc>
          <w:tcPr>
            <w:tcW w:w="7075" w:type="dxa"/>
          </w:tcPr>
          <w:p>
            <w:pPr>
              <w:pStyle w:val="TableParagraph"/>
              <w:spacing w:line="220" w:lineRule="exact" w:before="23"/>
              <w:ind w:left="183"/>
              <w:rPr>
                <w:sz w:val="21"/>
              </w:rPr>
            </w:pPr>
            <w:r>
              <w:rPr>
                <w:spacing w:val="-2"/>
                <w:sz w:val="21"/>
              </w:rPr>
              <w:t>（2）</w:t>
            </w:r>
            <w:r>
              <w:rPr>
                <w:spacing w:val="-3"/>
                <w:sz w:val="21"/>
              </w:rPr>
              <w:t>外周血象须具备以下三项条件中的两项：</w:t>
            </w:r>
          </w:p>
        </w:tc>
      </w:tr>
    </w:tbl>
    <w:p>
      <w:pPr>
        <w:pStyle w:val="BodyText"/>
        <w:spacing w:before="75"/>
        <w:ind w:left="3209"/>
      </w:pPr>
      <w:r>
        <w:rPr>
          <w:spacing w:val="-3"/>
        </w:rPr>
        <w:t>① 中性粒细胞绝对值＜</w:t>
      </w:r>
      <w:r>
        <w:rPr>
          <w:spacing w:val="-2"/>
        </w:rPr>
        <w:t>0.5×10</w:t>
      </w:r>
      <w:r>
        <w:rPr>
          <w:spacing w:val="-2"/>
          <w:position w:val="11"/>
          <w:sz w:val="11"/>
        </w:rPr>
        <w:t>9</w:t>
      </w:r>
      <w:r>
        <w:rPr>
          <w:spacing w:val="-2"/>
        </w:rPr>
        <w:t>/L；</w:t>
      </w:r>
    </w:p>
    <w:p>
      <w:pPr>
        <w:pStyle w:val="BodyText"/>
        <w:spacing w:before="35"/>
        <w:ind w:left="3209"/>
      </w:pPr>
      <w:r>
        <w:rPr>
          <w:spacing w:val="-3"/>
        </w:rPr>
        <w:t>② 网织红细胞计数＜</w:t>
      </w:r>
      <w:r>
        <w:rPr>
          <w:spacing w:val="-2"/>
        </w:rPr>
        <w:t>20×10</w:t>
      </w:r>
      <w:r>
        <w:rPr>
          <w:spacing w:val="-2"/>
          <w:position w:val="11"/>
          <w:sz w:val="11"/>
        </w:rPr>
        <w:t>9</w:t>
      </w:r>
      <w:r>
        <w:rPr>
          <w:spacing w:val="-2"/>
        </w:rPr>
        <w:t>/L；</w:t>
      </w:r>
    </w:p>
    <w:p>
      <w:pPr>
        <w:pStyle w:val="BodyText"/>
        <w:spacing w:before="16"/>
        <w:ind w:left="3209"/>
      </w:pPr>
      <w:r>
        <w:rPr>
          <w:spacing w:val="-5"/>
        </w:rPr>
        <w:t>③ 血小板绝对值＜</w:t>
      </w:r>
      <w:r>
        <w:rPr/>
        <w:t>20×10</w:t>
      </w:r>
      <w:r>
        <w:rPr>
          <w:position w:val="11"/>
          <w:sz w:val="11"/>
        </w:rPr>
        <w:t>9</w:t>
      </w:r>
      <w:r>
        <w:rPr/>
        <w:t>/L</w:t>
      </w:r>
      <w:r>
        <w:rPr>
          <w:spacing w:val="-10"/>
        </w:rPr>
        <w:t>。</w:t>
      </w:r>
    </w:p>
    <w:p>
      <w:pPr>
        <w:pStyle w:val="BodyText"/>
        <w:spacing w:before="11" w:after="1"/>
        <w:rPr>
          <w:sz w:val="18"/>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7"/>
        <w:gridCol w:w="1824"/>
        <w:gridCol w:w="7075"/>
      </w:tblGrid>
      <w:tr>
        <w:trPr>
          <w:trHeight w:val="261" w:hRule="atLeast"/>
        </w:trPr>
        <w:tc>
          <w:tcPr>
            <w:tcW w:w="847" w:type="dxa"/>
          </w:tcPr>
          <w:p>
            <w:pPr>
              <w:pStyle w:val="TableParagraph"/>
              <w:spacing w:line="242" w:lineRule="exact"/>
              <w:ind w:left="50"/>
              <w:rPr>
                <w:rFonts w:ascii="微软雅黑"/>
                <w:b/>
                <w:sz w:val="21"/>
              </w:rPr>
            </w:pPr>
            <w:r>
              <w:rPr>
                <w:rFonts w:ascii="微软雅黑"/>
                <w:b/>
                <w:spacing w:val="-2"/>
                <w:sz w:val="21"/>
              </w:rPr>
              <w:t>8.1.25</w:t>
            </w:r>
          </w:p>
        </w:tc>
        <w:tc>
          <w:tcPr>
            <w:tcW w:w="1824" w:type="dxa"/>
          </w:tcPr>
          <w:p>
            <w:pPr>
              <w:pStyle w:val="TableParagraph"/>
              <w:spacing w:line="242" w:lineRule="exact"/>
              <w:ind w:left="160"/>
              <w:rPr>
                <w:rFonts w:ascii="微软雅黑" w:eastAsia="微软雅黑"/>
                <w:b/>
                <w:sz w:val="21"/>
              </w:rPr>
            </w:pPr>
            <w:r>
              <w:rPr>
                <w:rFonts w:ascii="微软雅黑" w:eastAsia="微软雅黑"/>
                <w:b/>
                <w:spacing w:val="-2"/>
                <w:sz w:val="21"/>
              </w:rPr>
              <w:t>主动脉手术</w:t>
            </w:r>
          </w:p>
        </w:tc>
        <w:tc>
          <w:tcPr>
            <w:tcW w:w="7075" w:type="dxa"/>
          </w:tcPr>
          <w:p>
            <w:pPr>
              <w:pStyle w:val="TableParagraph"/>
              <w:spacing w:line="241" w:lineRule="exact"/>
              <w:ind w:left="183"/>
              <w:rPr>
                <w:sz w:val="21"/>
              </w:rPr>
            </w:pPr>
            <w:r>
              <w:rPr>
                <w:spacing w:val="-6"/>
                <w:sz w:val="21"/>
              </w:rPr>
              <w:t>指为治疗主动脉疾病或主动脉创伤，已经实施了开胸（含胸腔镜下）</w:t>
            </w:r>
            <w:r>
              <w:rPr>
                <w:spacing w:val="-8"/>
                <w:sz w:val="21"/>
              </w:rPr>
              <w:t>或开腹</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before="22"/>
              <w:ind w:left="183"/>
              <w:rPr>
                <w:sz w:val="21"/>
              </w:rPr>
            </w:pPr>
            <w:r>
              <w:rPr>
                <w:spacing w:val="-6"/>
                <w:sz w:val="21"/>
              </w:rPr>
              <w:t>（含腹腔镜下）</w:t>
            </w:r>
            <w:r>
              <w:rPr>
                <w:spacing w:val="-7"/>
                <w:sz w:val="21"/>
              </w:rPr>
              <w:t>进行的切除、置换、修补病损主动脉血管、主动脉创伤后修</w:t>
            </w:r>
          </w:p>
        </w:tc>
      </w:tr>
      <w:tr>
        <w:trPr>
          <w:trHeight w:val="1023"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line="216" w:lineRule="auto" w:before="43"/>
              <w:ind w:left="183" w:right="53"/>
              <w:rPr>
                <w:rFonts w:ascii="微软雅黑" w:eastAsia="微软雅黑"/>
                <w:b/>
                <w:sz w:val="22"/>
              </w:rPr>
            </w:pPr>
            <w:r>
              <w:rPr>
                <w:spacing w:val="-4"/>
                <w:sz w:val="21"/>
              </w:rPr>
              <w:t>复的手术。主动脉指升主动脉、主动脉弓和降主动脉（含胸主动脉和腹主动</w:t>
            </w:r>
            <w:r>
              <w:rPr>
                <w:spacing w:val="-2"/>
                <w:sz w:val="21"/>
              </w:rPr>
              <w:t>脉），</w:t>
            </w:r>
            <w:r>
              <w:rPr>
                <w:rFonts w:ascii="微软雅黑" w:eastAsia="微软雅黑"/>
                <w:b/>
                <w:color w:val="000000"/>
                <w:spacing w:val="-2"/>
                <w:sz w:val="22"/>
                <w:shd w:fill="D9D9D9" w:color="auto" w:val="clear"/>
              </w:rPr>
              <w:t>不包括升主动脉、主动脉弓和降主动脉的分支血管。</w:t>
            </w:r>
          </w:p>
          <w:p>
            <w:pPr>
              <w:pStyle w:val="TableParagraph"/>
              <w:spacing w:line="323" w:lineRule="exact"/>
              <w:ind w:left="183"/>
              <w:rPr>
                <w:rFonts w:ascii="微软雅黑" w:eastAsia="微软雅黑"/>
                <w:b/>
                <w:sz w:val="22"/>
              </w:rPr>
            </w:pPr>
            <w:r>
              <w:rPr>
                <w:rFonts w:ascii="微软雅黑" w:eastAsia="微软雅黑"/>
                <w:b/>
                <w:color w:val="000000"/>
                <w:spacing w:val="-1"/>
                <w:sz w:val="22"/>
                <w:shd w:fill="D9D9D9" w:color="auto" w:val="clear"/>
              </w:rPr>
              <w:t>所有未实施开胸或开腹的动脉内介入治疗不在保障范围内。</w:t>
            </w:r>
          </w:p>
        </w:tc>
      </w:tr>
      <w:tr>
        <w:trPr>
          <w:trHeight w:val="395" w:hRule="atLeast"/>
        </w:trPr>
        <w:tc>
          <w:tcPr>
            <w:tcW w:w="847" w:type="dxa"/>
          </w:tcPr>
          <w:p>
            <w:pPr>
              <w:pStyle w:val="TableParagraph"/>
              <w:spacing w:line="338" w:lineRule="exact" w:before="38"/>
              <w:ind w:left="50"/>
              <w:rPr>
                <w:rFonts w:ascii="微软雅黑"/>
                <w:b/>
                <w:sz w:val="21"/>
              </w:rPr>
            </w:pPr>
            <w:r>
              <w:rPr>
                <w:rFonts w:ascii="微软雅黑"/>
                <w:b/>
                <w:spacing w:val="-2"/>
                <w:sz w:val="21"/>
              </w:rPr>
              <w:t>8.1.26</w:t>
            </w:r>
          </w:p>
        </w:tc>
        <w:tc>
          <w:tcPr>
            <w:tcW w:w="1824" w:type="dxa"/>
          </w:tcPr>
          <w:p>
            <w:pPr>
              <w:pStyle w:val="TableParagraph"/>
              <w:spacing w:line="338" w:lineRule="exact" w:before="38"/>
              <w:ind w:left="160"/>
              <w:rPr>
                <w:rFonts w:ascii="微软雅黑" w:eastAsia="微软雅黑"/>
                <w:b/>
                <w:sz w:val="21"/>
              </w:rPr>
            </w:pPr>
            <w:r>
              <w:rPr>
                <w:rFonts w:ascii="微软雅黑" w:eastAsia="微软雅黑"/>
                <w:b/>
                <w:spacing w:val="-2"/>
                <w:sz w:val="21"/>
              </w:rPr>
              <w:t>严重慢性呼吸衰</w:t>
            </w:r>
          </w:p>
        </w:tc>
        <w:tc>
          <w:tcPr>
            <w:tcW w:w="7075" w:type="dxa"/>
          </w:tcPr>
          <w:p>
            <w:pPr>
              <w:pStyle w:val="TableParagraph"/>
              <w:spacing w:before="105"/>
              <w:ind w:left="183"/>
              <w:rPr>
                <w:sz w:val="21"/>
              </w:rPr>
            </w:pPr>
            <w:r>
              <w:rPr>
                <w:spacing w:val="-3"/>
                <w:sz w:val="21"/>
              </w:rPr>
              <w:t>指因慢性呼吸系统疾病导致永久不可逆性的呼吸衰竭，经过积极治疗 </w:t>
            </w:r>
            <w:r>
              <w:rPr>
                <w:spacing w:val="-5"/>
                <w:sz w:val="21"/>
              </w:rPr>
              <w:t>180</w:t>
            </w:r>
          </w:p>
        </w:tc>
      </w:tr>
      <w:tr>
        <w:trPr>
          <w:trHeight w:val="312" w:hRule="atLeast"/>
        </w:trPr>
        <w:tc>
          <w:tcPr>
            <w:tcW w:w="847" w:type="dxa"/>
          </w:tcPr>
          <w:p>
            <w:pPr>
              <w:pStyle w:val="TableParagraph"/>
              <w:rPr>
                <w:rFonts w:ascii="Times New Roman"/>
                <w:sz w:val="20"/>
              </w:rPr>
            </w:pPr>
          </w:p>
        </w:tc>
        <w:tc>
          <w:tcPr>
            <w:tcW w:w="1824" w:type="dxa"/>
          </w:tcPr>
          <w:p>
            <w:pPr>
              <w:pStyle w:val="TableParagraph"/>
              <w:spacing w:line="292" w:lineRule="exact"/>
              <w:ind w:left="160"/>
              <w:rPr>
                <w:rFonts w:ascii="微软雅黑" w:eastAsia="微软雅黑"/>
                <w:b/>
                <w:sz w:val="21"/>
              </w:rPr>
            </w:pPr>
            <w:r>
              <w:rPr>
                <w:rFonts w:ascii="微软雅黑" w:eastAsia="微软雅黑"/>
                <w:b/>
                <w:w w:val="100"/>
                <w:sz w:val="21"/>
              </w:rPr>
              <w:t>竭</w:t>
            </w:r>
          </w:p>
        </w:tc>
        <w:tc>
          <w:tcPr>
            <w:tcW w:w="7075" w:type="dxa"/>
          </w:tcPr>
          <w:p>
            <w:pPr>
              <w:pStyle w:val="TableParagraph"/>
              <w:spacing w:before="22"/>
              <w:ind w:left="183"/>
              <w:rPr>
                <w:sz w:val="21"/>
              </w:rPr>
            </w:pPr>
            <w:r>
              <w:rPr>
                <w:spacing w:val="-3"/>
                <w:sz w:val="21"/>
              </w:rPr>
              <w:t>天后满足以下全部条件：</w:t>
            </w:r>
          </w:p>
        </w:tc>
      </w:tr>
      <w:tr>
        <w:trPr>
          <w:trHeight w:val="311"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075" w:type="dxa"/>
          </w:tcPr>
          <w:p>
            <w:pPr>
              <w:pStyle w:val="TableParagraph"/>
              <w:spacing w:before="22"/>
              <w:ind w:left="183"/>
              <w:rPr>
                <w:sz w:val="21"/>
              </w:rPr>
            </w:pPr>
            <w:r>
              <w:rPr>
                <w:spacing w:val="-2"/>
                <w:sz w:val="21"/>
              </w:rPr>
              <w:t>（1）</w:t>
            </w:r>
            <w:r>
              <w:rPr>
                <w:spacing w:val="-3"/>
                <w:sz w:val="21"/>
              </w:rPr>
              <w:t>静息时出现呼吸困难；</w:t>
            </w:r>
          </w:p>
        </w:tc>
      </w:tr>
      <w:tr>
        <w:trPr>
          <w:trHeight w:val="261" w:hRule="atLeast"/>
        </w:trPr>
        <w:tc>
          <w:tcPr>
            <w:tcW w:w="847" w:type="dxa"/>
          </w:tcPr>
          <w:p>
            <w:pPr>
              <w:pStyle w:val="TableParagraph"/>
              <w:rPr>
                <w:rFonts w:ascii="Times New Roman"/>
                <w:sz w:val="18"/>
              </w:rPr>
            </w:pPr>
          </w:p>
        </w:tc>
        <w:tc>
          <w:tcPr>
            <w:tcW w:w="1824" w:type="dxa"/>
          </w:tcPr>
          <w:p>
            <w:pPr>
              <w:pStyle w:val="TableParagraph"/>
              <w:rPr>
                <w:rFonts w:ascii="Times New Roman"/>
                <w:sz w:val="18"/>
              </w:rPr>
            </w:pPr>
          </w:p>
        </w:tc>
        <w:tc>
          <w:tcPr>
            <w:tcW w:w="7075" w:type="dxa"/>
          </w:tcPr>
          <w:p>
            <w:pPr>
              <w:pStyle w:val="TableParagraph"/>
              <w:spacing w:line="220" w:lineRule="exact" w:before="21"/>
              <w:ind w:left="183"/>
              <w:rPr>
                <w:sz w:val="21"/>
              </w:rPr>
            </w:pPr>
            <w:r>
              <w:rPr>
                <w:spacing w:val="-2"/>
                <w:position w:val="1"/>
                <w:sz w:val="21"/>
              </w:rPr>
              <w:t>（2）肺功能第一秒用力呼气容积（FEV</w:t>
            </w:r>
            <w:r>
              <w:rPr>
                <w:spacing w:val="-2"/>
                <w:sz w:val="11"/>
              </w:rPr>
              <w:t>1</w:t>
            </w:r>
            <w:r>
              <w:rPr>
                <w:spacing w:val="-2"/>
                <w:position w:val="1"/>
                <w:sz w:val="21"/>
              </w:rPr>
              <w:t>）占预计值的百分比＜30%；</w:t>
            </w:r>
          </w:p>
        </w:tc>
      </w:tr>
    </w:tbl>
    <w:p>
      <w:pPr>
        <w:pStyle w:val="BodyText"/>
        <w:spacing w:before="9"/>
        <w:rPr>
          <w:sz w:val="15"/>
        </w:rPr>
      </w:pPr>
      <w:r>
        <w:rPr/>
        <w:drawing>
          <wp:anchor distT="0" distB="0" distL="0" distR="0" allowOverlap="1" layoutInCell="1" locked="0" behindDoc="0" simplePos="0" relativeHeight="53">
            <wp:simplePos x="0" y="0"/>
            <wp:positionH relativeFrom="page">
              <wp:posOffset>719327</wp:posOffset>
            </wp:positionH>
            <wp:positionV relativeFrom="paragraph">
              <wp:posOffset>143192</wp:posOffset>
            </wp:positionV>
            <wp:extent cx="1829511" cy="6095"/>
            <wp:effectExtent l="0" t="0" r="0" b="0"/>
            <wp:wrapTopAndBottom/>
            <wp:docPr id="57" name="image6.png"/>
            <wp:cNvGraphicFramePr>
              <a:graphicFrameLocks noChangeAspect="1"/>
            </wp:cNvGraphicFramePr>
            <a:graphic>
              <a:graphicData uri="http://schemas.openxmlformats.org/drawingml/2006/picture">
                <pic:pic>
                  <pic:nvPicPr>
                    <pic:cNvPr id="58"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256" w:lineRule="auto" w:before="74"/>
        <w:ind w:left="374" w:right="1915" w:hanging="143"/>
        <w:jc w:val="left"/>
        <w:rPr>
          <w:sz w:val="20"/>
        </w:rPr>
      </w:pPr>
      <w:r>
        <w:rPr>
          <w:rFonts w:ascii="微软雅黑" w:hAnsi="微软雅黑" w:eastAsia="微软雅黑"/>
          <w:b/>
          <w:w w:val="95"/>
          <w:sz w:val="20"/>
          <w:vertAlign w:val="superscript"/>
        </w:rPr>
        <w:t>30</w:t>
      </w:r>
      <w:r>
        <w:rPr>
          <w:rFonts w:ascii="微软雅黑" w:hAnsi="微软雅黑" w:eastAsia="微软雅黑"/>
          <w:b/>
          <w:spacing w:val="40"/>
          <w:sz w:val="20"/>
          <w:vertAlign w:val="baseline"/>
        </w:rPr>
        <w:t> </w:t>
      </w:r>
      <w:r>
        <w:rPr>
          <w:rFonts w:ascii="微软雅黑" w:hAnsi="微软雅黑" w:eastAsia="微软雅黑"/>
          <w:b/>
          <w:w w:val="95"/>
          <w:sz w:val="20"/>
          <w:vertAlign w:val="baseline"/>
        </w:rPr>
        <w:t>美国</w:t>
      </w:r>
      <w:r>
        <w:rPr>
          <w:rFonts w:ascii="微软雅黑" w:hAnsi="微软雅黑" w:eastAsia="微软雅黑"/>
          <w:b/>
          <w:w w:val="95"/>
          <w:sz w:val="20"/>
          <w:vertAlign w:val="baseline"/>
        </w:rPr>
        <w:t>纽</w:t>
      </w:r>
      <w:r>
        <w:rPr>
          <w:rFonts w:ascii="微软雅黑" w:hAnsi="微软雅黑" w:eastAsia="微软雅黑"/>
          <w:b/>
          <w:w w:val="95"/>
          <w:sz w:val="20"/>
          <w:vertAlign w:val="baseline"/>
        </w:rPr>
        <w:t>约</w:t>
      </w:r>
      <w:r>
        <w:rPr>
          <w:rFonts w:ascii="微软雅黑" w:hAnsi="微软雅黑" w:eastAsia="微软雅黑"/>
          <w:b/>
          <w:w w:val="95"/>
          <w:sz w:val="20"/>
          <w:vertAlign w:val="baseline"/>
        </w:rPr>
        <w:t>心</w:t>
      </w:r>
      <w:r>
        <w:rPr>
          <w:rFonts w:ascii="微软雅黑" w:hAnsi="微软雅黑" w:eastAsia="微软雅黑"/>
          <w:b/>
          <w:w w:val="95"/>
          <w:sz w:val="20"/>
          <w:vertAlign w:val="baseline"/>
        </w:rPr>
        <w:t>脏</w:t>
      </w:r>
      <w:r>
        <w:rPr>
          <w:rFonts w:ascii="微软雅黑" w:hAnsi="微软雅黑" w:eastAsia="微软雅黑"/>
          <w:b/>
          <w:w w:val="95"/>
          <w:sz w:val="20"/>
          <w:vertAlign w:val="baseline"/>
        </w:rPr>
        <w:t>病</w:t>
      </w:r>
      <w:r>
        <w:rPr>
          <w:rFonts w:ascii="微软雅黑" w:hAnsi="微软雅黑" w:eastAsia="微软雅黑"/>
          <w:b/>
          <w:w w:val="95"/>
          <w:sz w:val="20"/>
          <w:vertAlign w:val="baseline"/>
        </w:rPr>
        <w:t>学会（New</w:t>
      </w:r>
      <w:r>
        <w:rPr>
          <w:rFonts w:ascii="微软雅黑" w:hAnsi="微软雅黑" w:eastAsia="微软雅黑"/>
          <w:b/>
          <w:spacing w:val="36"/>
          <w:sz w:val="20"/>
          <w:vertAlign w:val="baseline"/>
        </w:rPr>
        <w:t> </w:t>
      </w:r>
      <w:r>
        <w:rPr>
          <w:rFonts w:ascii="微软雅黑" w:hAnsi="微软雅黑" w:eastAsia="微软雅黑"/>
          <w:b/>
          <w:w w:val="95"/>
          <w:sz w:val="20"/>
          <w:vertAlign w:val="baseline"/>
        </w:rPr>
        <w:t>York</w:t>
      </w:r>
      <w:r>
        <w:rPr>
          <w:rFonts w:ascii="微软雅黑" w:hAnsi="微软雅黑" w:eastAsia="微软雅黑"/>
          <w:b/>
          <w:spacing w:val="36"/>
          <w:sz w:val="20"/>
          <w:vertAlign w:val="baseline"/>
        </w:rPr>
        <w:t> </w:t>
      </w:r>
      <w:r>
        <w:rPr>
          <w:rFonts w:ascii="微软雅黑" w:hAnsi="微软雅黑" w:eastAsia="微软雅黑"/>
          <w:b/>
          <w:w w:val="95"/>
          <w:sz w:val="20"/>
          <w:vertAlign w:val="baseline"/>
        </w:rPr>
        <w:t>Heart</w:t>
      </w:r>
      <w:r>
        <w:rPr>
          <w:rFonts w:ascii="微软雅黑" w:hAnsi="微软雅黑" w:eastAsia="微软雅黑"/>
          <w:b/>
          <w:spacing w:val="36"/>
          <w:sz w:val="20"/>
          <w:vertAlign w:val="baseline"/>
        </w:rPr>
        <w:t> </w:t>
      </w:r>
      <w:r>
        <w:rPr>
          <w:rFonts w:ascii="微软雅黑" w:hAnsi="微软雅黑" w:eastAsia="微软雅黑"/>
          <w:b/>
          <w:w w:val="95"/>
          <w:sz w:val="20"/>
          <w:vertAlign w:val="baseline"/>
        </w:rPr>
        <w:t>Association，NYHA）</w:t>
      </w:r>
      <w:r>
        <w:rPr>
          <w:w w:val="95"/>
          <w:sz w:val="20"/>
          <w:vertAlign w:val="baseline"/>
        </w:rPr>
        <w:t>将</w:t>
      </w:r>
      <w:r>
        <w:rPr>
          <w:w w:val="95"/>
          <w:sz w:val="20"/>
          <w:vertAlign w:val="baseline"/>
        </w:rPr>
        <w:t>心</w:t>
      </w:r>
      <w:r>
        <w:rPr>
          <w:w w:val="95"/>
          <w:sz w:val="20"/>
          <w:vertAlign w:val="baseline"/>
        </w:rPr>
        <w:t>功</w:t>
      </w:r>
      <w:r>
        <w:rPr>
          <w:w w:val="95"/>
          <w:sz w:val="20"/>
          <w:vertAlign w:val="baseline"/>
        </w:rPr>
        <w:t>能</w:t>
      </w:r>
      <w:r>
        <w:rPr>
          <w:w w:val="95"/>
          <w:sz w:val="20"/>
          <w:vertAlign w:val="baseline"/>
        </w:rPr>
        <w:t>状</w:t>
      </w:r>
      <w:r>
        <w:rPr>
          <w:w w:val="95"/>
          <w:sz w:val="20"/>
          <w:vertAlign w:val="baseline"/>
        </w:rPr>
        <w:t>态分为</w:t>
      </w:r>
      <w:r>
        <w:rPr>
          <w:w w:val="95"/>
          <w:sz w:val="20"/>
          <w:vertAlign w:val="baseline"/>
        </w:rPr>
        <w:t>四</w:t>
      </w:r>
      <w:r>
        <w:rPr>
          <w:w w:val="95"/>
          <w:sz w:val="20"/>
          <w:vertAlign w:val="baseline"/>
        </w:rPr>
        <w:t>级</w:t>
      </w:r>
      <w:r>
        <w:rPr>
          <w:w w:val="95"/>
          <w:sz w:val="20"/>
          <w:vertAlign w:val="baseline"/>
        </w:rPr>
        <w:t>： </w:t>
      </w:r>
      <w:r>
        <w:rPr>
          <w:spacing w:val="-2"/>
          <w:sz w:val="20"/>
          <w:vertAlign w:val="baseline"/>
        </w:rPr>
        <w:t>Ⅰ</w:t>
      </w:r>
      <w:r>
        <w:rPr>
          <w:spacing w:val="-2"/>
          <w:sz w:val="20"/>
          <w:vertAlign w:val="baseline"/>
        </w:rPr>
        <w:t>级</w:t>
      </w:r>
      <w:r>
        <w:rPr>
          <w:spacing w:val="-2"/>
          <w:sz w:val="20"/>
          <w:vertAlign w:val="baseline"/>
        </w:rPr>
        <w:t>：心</w:t>
      </w:r>
      <w:r>
        <w:rPr>
          <w:spacing w:val="-2"/>
          <w:sz w:val="20"/>
          <w:vertAlign w:val="baseline"/>
        </w:rPr>
        <w:t>脏</w:t>
      </w:r>
      <w:r>
        <w:rPr>
          <w:spacing w:val="-2"/>
          <w:sz w:val="20"/>
          <w:vertAlign w:val="baseline"/>
        </w:rPr>
        <w:t>病</w:t>
      </w:r>
      <w:r>
        <w:rPr>
          <w:spacing w:val="-2"/>
          <w:sz w:val="20"/>
          <w:vertAlign w:val="baseline"/>
        </w:rPr>
        <w:t>病</w:t>
      </w:r>
      <w:r>
        <w:rPr>
          <w:spacing w:val="-2"/>
          <w:sz w:val="20"/>
          <w:vertAlign w:val="baseline"/>
        </w:rPr>
        <w:t>人</w:t>
      </w:r>
      <w:r>
        <w:rPr>
          <w:spacing w:val="-2"/>
          <w:sz w:val="20"/>
          <w:vertAlign w:val="baseline"/>
        </w:rPr>
        <w:t>日</w:t>
      </w:r>
      <w:r>
        <w:rPr>
          <w:spacing w:val="-2"/>
          <w:sz w:val="20"/>
          <w:vertAlign w:val="baseline"/>
        </w:rPr>
        <w:t>常活动</w:t>
      </w:r>
      <w:r>
        <w:rPr>
          <w:spacing w:val="-2"/>
          <w:sz w:val="20"/>
          <w:vertAlign w:val="baseline"/>
        </w:rPr>
        <w:t>量</w:t>
      </w:r>
      <w:r>
        <w:rPr>
          <w:spacing w:val="-2"/>
          <w:sz w:val="20"/>
          <w:vertAlign w:val="baseline"/>
        </w:rPr>
        <w:t>不</w:t>
      </w:r>
      <w:r>
        <w:rPr>
          <w:spacing w:val="-2"/>
          <w:sz w:val="20"/>
          <w:vertAlign w:val="baseline"/>
        </w:rPr>
        <w:t>受</w:t>
      </w:r>
      <w:r>
        <w:rPr>
          <w:spacing w:val="-2"/>
          <w:sz w:val="20"/>
          <w:vertAlign w:val="baseline"/>
        </w:rPr>
        <w:t>限</w:t>
      </w:r>
      <w:r>
        <w:rPr>
          <w:spacing w:val="-2"/>
          <w:sz w:val="20"/>
          <w:vertAlign w:val="baseline"/>
        </w:rPr>
        <w:t>制</w:t>
      </w:r>
      <w:r>
        <w:rPr>
          <w:spacing w:val="-2"/>
          <w:sz w:val="20"/>
          <w:vertAlign w:val="baseline"/>
        </w:rPr>
        <w:t>，一</w:t>
      </w:r>
      <w:r>
        <w:rPr>
          <w:spacing w:val="-2"/>
          <w:sz w:val="20"/>
          <w:vertAlign w:val="baseline"/>
        </w:rPr>
        <w:t>般</w:t>
      </w:r>
      <w:r>
        <w:rPr>
          <w:spacing w:val="-2"/>
          <w:sz w:val="20"/>
          <w:vertAlign w:val="baseline"/>
        </w:rPr>
        <w:t>活</w:t>
      </w:r>
      <w:r>
        <w:rPr>
          <w:spacing w:val="-2"/>
          <w:sz w:val="20"/>
          <w:vertAlign w:val="baseline"/>
        </w:rPr>
        <w:t>动不引</w:t>
      </w:r>
      <w:r>
        <w:rPr>
          <w:spacing w:val="-2"/>
          <w:sz w:val="20"/>
          <w:vertAlign w:val="baseline"/>
        </w:rPr>
        <w:t>起</w:t>
      </w:r>
      <w:r>
        <w:rPr>
          <w:spacing w:val="-2"/>
          <w:sz w:val="20"/>
          <w:vertAlign w:val="baseline"/>
        </w:rPr>
        <w:t>乏</w:t>
      </w:r>
      <w:r>
        <w:rPr>
          <w:spacing w:val="-2"/>
          <w:sz w:val="20"/>
          <w:vertAlign w:val="baseline"/>
        </w:rPr>
        <w:t>力</w:t>
      </w:r>
      <w:r>
        <w:rPr>
          <w:spacing w:val="-2"/>
          <w:sz w:val="20"/>
          <w:vertAlign w:val="baseline"/>
        </w:rPr>
        <w:t>、</w:t>
      </w:r>
      <w:r>
        <w:rPr>
          <w:spacing w:val="-2"/>
          <w:sz w:val="20"/>
          <w:vertAlign w:val="baseline"/>
        </w:rPr>
        <w:t>呼</w:t>
      </w:r>
      <w:r>
        <w:rPr>
          <w:spacing w:val="-2"/>
          <w:sz w:val="20"/>
          <w:vertAlign w:val="baseline"/>
        </w:rPr>
        <w:t>吸</w:t>
      </w:r>
      <w:r>
        <w:rPr>
          <w:spacing w:val="-2"/>
          <w:sz w:val="20"/>
          <w:vertAlign w:val="baseline"/>
        </w:rPr>
        <w:t>困</w:t>
      </w:r>
      <w:r>
        <w:rPr>
          <w:spacing w:val="-2"/>
          <w:sz w:val="20"/>
          <w:vertAlign w:val="baseline"/>
        </w:rPr>
        <w:t>难</w:t>
      </w:r>
      <w:r>
        <w:rPr>
          <w:spacing w:val="-2"/>
          <w:sz w:val="20"/>
          <w:vertAlign w:val="baseline"/>
        </w:rPr>
        <w:t>等</w:t>
      </w:r>
      <w:r>
        <w:rPr>
          <w:spacing w:val="-2"/>
          <w:sz w:val="20"/>
          <w:vertAlign w:val="baseline"/>
        </w:rPr>
        <w:t>心衰症</w:t>
      </w:r>
      <w:r>
        <w:rPr>
          <w:spacing w:val="-2"/>
          <w:sz w:val="20"/>
          <w:vertAlign w:val="baseline"/>
        </w:rPr>
        <w:t>状</w:t>
      </w:r>
      <w:r>
        <w:rPr>
          <w:spacing w:val="-2"/>
          <w:sz w:val="20"/>
          <w:vertAlign w:val="baseline"/>
        </w:rPr>
        <w:t>。</w:t>
      </w:r>
      <w:r>
        <w:rPr>
          <w:spacing w:val="80"/>
          <w:sz w:val="20"/>
          <w:vertAlign w:val="baseline"/>
        </w:rPr>
        <w:t>  </w:t>
      </w:r>
      <w:r>
        <w:rPr>
          <w:spacing w:val="-2"/>
          <w:w w:val="95"/>
          <w:sz w:val="20"/>
          <w:vertAlign w:val="baseline"/>
        </w:rPr>
        <w:t>Ⅱ</w:t>
      </w:r>
      <w:r>
        <w:rPr>
          <w:spacing w:val="-2"/>
          <w:w w:val="95"/>
          <w:sz w:val="20"/>
          <w:vertAlign w:val="baseline"/>
        </w:rPr>
        <w:t>级</w:t>
      </w:r>
      <w:r>
        <w:rPr>
          <w:spacing w:val="-2"/>
          <w:w w:val="95"/>
          <w:sz w:val="20"/>
          <w:vertAlign w:val="baseline"/>
        </w:rPr>
        <w:t>：心</w:t>
      </w:r>
      <w:r>
        <w:rPr>
          <w:spacing w:val="-2"/>
          <w:w w:val="95"/>
          <w:sz w:val="20"/>
          <w:vertAlign w:val="baseline"/>
        </w:rPr>
        <w:t>脏</w:t>
      </w:r>
      <w:r>
        <w:rPr>
          <w:spacing w:val="-2"/>
          <w:w w:val="95"/>
          <w:sz w:val="20"/>
          <w:vertAlign w:val="baseline"/>
        </w:rPr>
        <w:t>病</w:t>
      </w:r>
      <w:r>
        <w:rPr>
          <w:spacing w:val="-2"/>
          <w:w w:val="95"/>
          <w:sz w:val="20"/>
          <w:vertAlign w:val="baseline"/>
        </w:rPr>
        <w:t>病</w:t>
      </w:r>
      <w:r>
        <w:rPr>
          <w:spacing w:val="-2"/>
          <w:w w:val="95"/>
          <w:sz w:val="20"/>
          <w:vertAlign w:val="baseline"/>
        </w:rPr>
        <w:t>人</w:t>
      </w:r>
      <w:r>
        <w:rPr>
          <w:spacing w:val="-2"/>
          <w:w w:val="95"/>
          <w:sz w:val="20"/>
          <w:vertAlign w:val="baseline"/>
        </w:rPr>
        <w:t>体</w:t>
      </w:r>
      <w:r>
        <w:rPr>
          <w:spacing w:val="-2"/>
          <w:w w:val="95"/>
          <w:sz w:val="20"/>
          <w:vertAlign w:val="baseline"/>
        </w:rPr>
        <w:t>力活动</w:t>
      </w:r>
      <w:r>
        <w:rPr>
          <w:spacing w:val="-2"/>
          <w:w w:val="95"/>
          <w:sz w:val="20"/>
          <w:vertAlign w:val="baseline"/>
        </w:rPr>
        <w:t>轻</w:t>
      </w:r>
      <w:r>
        <w:rPr>
          <w:spacing w:val="-2"/>
          <w:w w:val="95"/>
          <w:sz w:val="20"/>
          <w:vertAlign w:val="baseline"/>
        </w:rPr>
        <w:t>度</w:t>
      </w:r>
      <w:r>
        <w:rPr>
          <w:spacing w:val="-2"/>
          <w:w w:val="95"/>
          <w:sz w:val="20"/>
          <w:vertAlign w:val="baseline"/>
        </w:rPr>
        <w:t>受</w:t>
      </w:r>
      <w:r>
        <w:rPr>
          <w:spacing w:val="-2"/>
          <w:w w:val="95"/>
          <w:sz w:val="20"/>
          <w:vertAlign w:val="baseline"/>
        </w:rPr>
        <w:t>限</w:t>
      </w:r>
      <w:r>
        <w:rPr>
          <w:spacing w:val="-2"/>
          <w:w w:val="95"/>
          <w:sz w:val="20"/>
          <w:vertAlign w:val="baseline"/>
        </w:rPr>
        <w:t>制</w:t>
      </w:r>
      <w:r>
        <w:rPr>
          <w:spacing w:val="-2"/>
          <w:w w:val="95"/>
          <w:sz w:val="20"/>
          <w:vertAlign w:val="baseline"/>
        </w:rPr>
        <w:t>，休</w:t>
      </w:r>
      <w:r>
        <w:rPr>
          <w:spacing w:val="-2"/>
          <w:w w:val="95"/>
          <w:sz w:val="20"/>
          <w:vertAlign w:val="baseline"/>
        </w:rPr>
        <w:t>息</w:t>
      </w:r>
      <w:r>
        <w:rPr>
          <w:spacing w:val="-2"/>
          <w:w w:val="95"/>
          <w:sz w:val="20"/>
          <w:vertAlign w:val="baseline"/>
        </w:rPr>
        <w:t>时</w:t>
      </w:r>
      <w:r>
        <w:rPr>
          <w:spacing w:val="-2"/>
          <w:w w:val="95"/>
          <w:sz w:val="20"/>
          <w:vertAlign w:val="baseline"/>
        </w:rPr>
        <w:t>无自觉</w:t>
      </w:r>
      <w:r>
        <w:rPr>
          <w:spacing w:val="-2"/>
          <w:w w:val="95"/>
          <w:sz w:val="20"/>
          <w:vertAlign w:val="baseline"/>
        </w:rPr>
        <w:t>症</w:t>
      </w:r>
      <w:r>
        <w:rPr>
          <w:spacing w:val="-2"/>
          <w:w w:val="95"/>
          <w:sz w:val="20"/>
          <w:vertAlign w:val="baseline"/>
        </w:rPr>
        <w:t>状</w:t>
      </w:r>
      <w:r>
        <w:rPr>
          <w:spacing w:val="-2"/>
          <w:w w:val="95"/>
          <w:sz w:val="20"/>
          <w:vertAlign w:val="baseline"/>
        </w:rPr>
        <w:t>，一</w:t>
      </w:r>
      <w:r>
        <w:rPr>
          <w:spacing w:val="-2"/>
          <w:w w:val="95"/>
          <w:sz w:val="20"/>
          <w:vertAlign w:val="baseline"/>
        </w:rPr>
        <w:t>般</w:t>
      </w:r>
      <w:r>
        <w:rPr>
          <w:spacing w:val="-2"/>
          <w:w w:val="95"/>
          <w:sz w:val="20"/>
          <w:vertAlign w:val="baseline"/>
        </w:rPr>
        <w:t>活</w:t>
      </w:r>
      <w:r>
        <w:rPr>
          <w:spacing w:val="-2"/>
          <w:w w:val="95"/>
          <w:sz w:val="20"/>
          <w:vertAlign w:val="baseline"/>
        </w:rPr>
        <w:t>动</w:t>
      </w:r>
      <w:r>
        <w:rPr>
          <w:spacing w:val="-2"/>
          <w:w w:val="95"/>
          <w:sz w:val="20"/>
          <w:vertAlign w:val="baseline"/>
        </w:rPr>
        <w:t>下</w:t>
      </w:r>
      <w:r>
        <w:rPr>
          <w:spacing w:val="-2"/>
          <w:w w:val="95"/>
          <w:sz w:val="20"/>
          <w:vertAlign w:val="baseline"/>
        </w:rPr>
        <w:t>可</w:t>
      </w:r>
      <w:r>
        <w:rPr>
          <w:spacing w:val="-2"/>
          <w:w w:val="95"/>
          <w:sz w:val="20"/>
          <w:vertAlign w:val="baseline"/>
        </w:rPr>
        <w:t>出现心</w:t>
      </w:r>
      <w:r>
        <w:rPr>
          <w:spacing w:val="-2"/>
          <w:w w:val="95"/>
          <w:sz w:val="20"/>
          <w:vertAlign w:val="baseline"/>
        </w:rPr>
        <w:t>衰</w:t>
      </w:r>
      <w:r>
        <w:rPr>
          <w:spacing w:val="-2"/>
          <w:w w:val="95"/>
          <w:sz w:val="20"/>
          <w:vertAlign w:val="baseline"/>
        </w:rPr>
        <w:t>症</w:t>
      </w:r>
      <w:r>
        <w:rPr>
          <w:spacing w:val="-2"/>
          <w:w w:val="95"/>
          <w:sz w:val="20"/>
          <w:vertAlign w:val="baseline"/>
        </w:rPr>
        <w:t>状</w:t>
      </w:r>
      <w:r>
        <w:rPr>
          <w:spacing w:val="-2"/>
          <w:w w:val="95"/>
          <w:sz w:val="20"/>
          <w:vertAlign w:val="baseline"/>
        </w:rPr>
        <w:t>。</w:t>
      </w:r>
      <w:r>
        <w:rPr>
          <w:spacing w:val="80"/>
          <w:sz w:val="20"/>
          <w:vertAlign w:val="baseline"/>
        </w:rPr>
        <w:t>  </w:t>
      </w:r>
      <w:r>
        <w:rPr>
          <w:spacing w:val="-2"/>
          <w:sz w:val="20"/>
          <w:vertAlign w:val="baseline"/>
        </w:rPr>
        <w:t>Ⅲ</w:t>
      </w:r>
      <w:r>
        <w:rPr>
          <w:spacing w:val="-2"/>
          <w:sz w:val="20"/>
          <w:vertAlign w:val="baseline"/>
        </w:rPr>
        <w:t>级</w:t>
      </w:r>
      <w:r>
        <w:rPr>
          <w:spacing w:val="-2"/>
          <w:sz w:val="20"/>
          <w:vertAlign w:val="baseline"/>
        </w:rPr>
        <w:t>：心</w:t>
      </w:r>
      <w:r>
        <w:rPr>
          <w:spacing w:val="-2"/>
          <w:sz w:val="20"/>
          <w:vertAlign w:val="baseline"/>
        </w:rPr>
        <w:t>脏</w:t>
      </w:r>
      <w:r>
        <w:rPr>
          <w:spacing w:val="-2"/>
          <w:sz w:val="20"/>
          <w:vertAlign w:val="baseline"/>
        </w:rPr>
        <w:t>病</w:t>
      </w:r>
      <w:r>
        <w:rPr>
          <w:spacing w:val="-2"/>
          <w:sz w:val="20"/>
          <w:vertAlign w:val="baseline"/>
        </w:rPr>
        <w:t>病</w:t>
      </w:r>
      <w:r>
        <w:rPr>
          <w:spacing w:val="-2"/>
          <w:sz w:val="20"/>
          <w:vertAlign w:val="baseline"/>
        </w:rPr>
        <w:t>人</w:t>
      </w:r>
      <w:r>
        <w:rPr>
          <w:spacing w:val="-2"/>
          <w:sz w:val="20"/>
          <w:vertAlign w:val="baseline"/>
        </w:rPr>
        <w:t>体</w:t>
      </w:r>
      <w:r>
        <w:rPr>
          <w:spacing w:val="-2"/>
          <w:sz w:val="20"/>
          <w:vertAlign w:val="baseline"/>
        </w:rPr>
        <w:t>力活动</w:t>
      </w:r>
      <w:r>
        <w:rPr>
          <w:spacing w:val="-2"/>
          <w:sz w:val="20"/>
          <w:vertAlign w:val="baseline"/>
        </w:rPr>
        <w:t>明</w:t>
      </w:r>
      <w:r>
        <w:rPr>
          <w:spacing w:val="-2"/>
          <w:sz w:val="20"/>
          <w:vertAlign w:val="baseline"/>
        </w:rPr>
        <w:t>显</w:t>
      </w:r>
      <w:r>
        <w:rPr>
          <w:spacing w:val="-2"/>
          <w:sz w:val="20"/>
          <w:vertAlign w:val="baseline"/>
        </w:rPr>
        <w:t>受</w:t>
      </w:r>
      <w:r>
        <w:rPr>
          <w:spacing w:val="-2"/>
          <w:sz w:val="20"/>
          <w:vertAlign w:val="baseline"/>
        </w:rPr>
        <w:t>限，</w:t>
      </w:r>
      <w:r>
        <w:rPr>
          <w:spacing w:val="-2"/>
          <w:sz w:val="20"/>
          <w:vertAlign w:val="baseline"/>
        </w:rPr>
        <w:t>低</w:t>
      </w:r>
      <w:r>
        <w:rPr>
          <w:spacing w:val="-2"/>
          <w:sz w:val="20"/>
          <w:vertAlign w:val="baseline"/>
        </w:rPr>
        <w:t>于</w:t>
      </w:r>
      <w:r>
        <w:rPr>
          <w:spacing w:val="-2"/>
          <w:sz w:val="20"/>
          <w:vertAlign w:val="baseline"/>
        </w:rPr>
        <w:t>平</w:t>
      </w:r>
      <w:r>
        <w:rPr>
          <w:spacing w:val="-2"/>
          <w:sz w:val="20"/>
          <w:vertAlign w:val="baseline"/>
        </w:rPr>
        <w:t>时</w:t>
      </w:r>
      <w:r>
        <w:rPr>
          <w:spacing w:val="-2"/>
          <w:sz w:val="20"/>
          <w:vertAlign w:val="baseline"/>
        </w:rPr>
        <w:t>一般活</w:t>
      </w:r>
      <w:r>
        <w:rPr>
          <w:spacing w:val="-2"/>
          <w:sz w:val="20"/>
          <w:vertAlign w:val="baseline"/>
        </w:rPr>
        <w:t>动</w:t>
      </w:r>
      <w:r>
        <w:rPr>
          <w:spacing w:val="-2"/>
          <w:sz w:val="20"/>
          <w:vertAlign w:val="baseline"/>
        </w:rPr>
        <w:t>即</w:t>
      </w:r>
      <w:r>
        <w:rPr>
          <w:spacing w:val="-2"/>
          <w:sz w:val="20"/>
          <w:vertAlign w:val="baseline"/>
        </w:rPr>
        <w:t>引</w:t>
      </w:r>
      <w:r>
        <w:rPr>
          <w:spacing w:val="-2"/>
          <w:sz w:val="20"/>
          <w:vertAlign w:val="baseline"/>
        </w:rPr>
        <w:t>起</w:t>
      </w:r>
      <w:r>
        <w:rPr>
          <w:spacing w:val="-2"/>
          <w:sz w:val="20"/>
          <w:vertAlign w:val="baseline"/>
        </w:rPr>
        <w:t>心</w:t>
      </w:r>
      <w:r>
        <w:rPr>
          <w:spacing w:val="-2"/>
          <w:sz w:val="20"/>
          <w:vertAlign w:val="baseline"/>
        </w:rPr>
        <w:t>衰</w:t>
      </w:r>
      <w:r>
        <w:rPr>
          <w:spacing w:val="-2"/>
          <w:sz w:val="20"/>
          <w:vertAlign w:val="baseline"/>
        </w:rPr>
        <w:t>症</w:t>
      </w:r>
      <w:r>
        <w:rPr>
          <w:spacing w:val="-2"/>
          <w:sz w:val="20"/>
          <w:vertAlign w:val="baseline"/>
        </w:rPr>
        <w:t>状</w:t>
      </w:r>
      <w:r>
        <w:rPr>
          <w:spacing w:val="-2"/>
          <w:sz w:val="20"/>
          <w:vertAlign w:val="baseline"/>
        </w:rPr>
        <w:t>。</w:t>
      </w:r>
    </w:p>
    <w:p>
      <w:pPr>
        <w:spacing w:before="4"/>
        <w:ind w:left="374" w:right="0" w:firstLine="0"/>
        <w:jc w:val="left"/>
        <w:rPr>
          <w:sz w:val="20"/>
        </w:rPr>
      </w:pPr>
      <w:r>
        <w:rPr>
          <w:w w:val="95"/>
          <w:sz w:val="20"/>
        </w:rPr>
        <w:t>Ⅳ</w:t>
      </w:r>
      <w:r>
        <w:rPr>
          <w:w w:val="95"/>
          <w:sz w:val="20"/>
        </w:rPr>
        <w:t>级</w:t>
      </w:r>
      <w:r>
        <w:rPr>
          <w:w w:val="95"/>
          <w:sz w:val="20"/>
        </w:rPr>
        <w:t>：心</w:t>
      </w:r>
      <w:r>
        <w:rPr>
          <w:w w:val="95"/>
          <w:sz w:val="20"/>
        </w:rPr>
        <w:t>脏</w:t>
      </w:r>
      <w:r>
        <w:rPr>
          <w:w w:val="95"/>
          <w:sz w:val="20"/>
        </w:rPr>
        <w:t>病</w:t>
      </w:r>
      <w:r>
        <w:rPr>
          <w:w w:val="95"/>
          <w:sz w:val="20"/>
        </w:rPr>
        <w:t>病</w:t>
      </w:r>
      <w:r>
        <w:rPr>
          <w:w w:val="95"/>
          <w:sz w:val="20"/>
        </w:rPr>
        <w:t>人</w:t>
      </w:r>
      <w:r>
        <w:rPr>
          <w:w w:val="95"/>
          <w:sz w:val="20"/>
        </w:rPr>
        <w:t>不</w:t>
      </w:r>
      <w:r>
        <w:rPr>
          <w:w w:val="95"/>
          <w:sz w:val="20"/>
        </w:rPr>
        <w:t>能从事</w:t>
      </w:r>
      <w:r>
        <w:rPr>
          <w:w w:val="95"/>
          <w:sz w:val="20"/>
        </w:rPr>
        <w:t>任</w:t>
      </w:r>
      <w:r>
        <w:rPr>
          <w:w w:val="95"/>
          <w:sz w:val="20"/>
        </w:rPr>
        <w:t>何</w:t>
      </w:r>
      <w:r>
        <w:rPr>
          <w:w w:val="95"/>
          <w:sz w:val="20"/>
        </w:rPr>
        <w:t>体</w:t>
      </w:r>
      <w:r>
        <w:rPr>
          <w:w w:val="95"/>
          <w:sz w:val="20"/>
        </w:rPr>
        <w:t>力</w:t>
      </w:r>
      <w:r>
        <w:rPr>
          <w:w w:val="95"/>
          <w:sz w:val="20"/>
        </w:rPr>
        <w:t>活</w:t>
      </w:r>
      <w:r>
        <w:rPr>
          <w:w w:val="95"/>
          <w:sz w:val="20"/>
        </w:rPr>
        <w:t>动</w:t>
      </w:r>
      <w:r>
        <w:rPr>
          <w:w w:val="95"/>
          <w:sz w:val="20"/>
        </w:rPr>
        <w:t>，</w:t>
      </w:r>
      <w:r>
        <w:rPr>
          <w:w w:val="95"/>
          <w:sz w:val="20"/>
        </w:rPr>
        <w:t>休</w:t>
      </w:r>
      <w:r>
        <w:rPr>
          <w:w w:val="95"/>
          <w:sz w:val="20"/>
        </w:rPr>
        <w:t>息</w:t>
      </w:r>
      <w:r>
        <w:rPr>
          <w:w w:val="95"/>
          <w:sz w:val="20"/>
        </w:rPr>
        <w:t>状态下</w:t>
      </w:r>
      <w:r>
        <w:rPr>
          <w:w w:val="95"/>
          <w:sz w:val="20"/>
        </w:rPr>
        <w:t>也</w:t>
      </w:r>
      <w:r>
        <w:rPr>
          <w:w w:val="95"/>
          <w:sz w:val="20"/>
        </w:rPr>
        <w:t>存</w:t>
      </w:r>
      <w:r>
        <w:rPr>
          <w:w w:val="95"/>
          <w:sz w:val="20"/>
        </w:rPr>
        <w:t>在</w:t>
      </w:r>
      <w:r>
        <w:rPr>
          <w:w w:val="95"/>
          <w:sz w:val="20"/>
        </w:rPr>
        <w:t>心</w:t>
      </w:r>
      <w:r>
        <w:rPr>
          <w:w w:val="95"/>
          <w:sz w:val="20"/>
        </w:rPr>
        <w:t>衰</w:t>
      </w:r>
      <w:r>
        <w:rPr>
          <w:w w:val="95"/>
          <w:sz w:val="20"/>
        </w:rPr>
        <w:t>症</w:t>
      </w:r>
      <w:r>
        <w:rPr>
          <w:w w:val="95"/>
          <w:sz w:val="20"/>
        </w:rPr>
        <w:t>状，</w:t>
      </w:r>
      <w:r>
        <w:rPr>
          <w:w w:val="95"/>
          <w:sz w:val="20"/>
        </w:rPr>
        <w:t>活</w:t>
      </w:r>
      <w:r>
        <w:rPr>
          <w:w w:val="95"/>
          <w:sz w:val="20"/>
        </w:rPr>
        <w:t>动后加</w:t>
      </w:r>
      <w:r>
        <w:rPr>
          <w:w w:val="95"/>
          <w:sz w:val="20"/>
        </w:rPr>
        <w:t>重</w:t>
      </w:r>
      <w:r>
        <w:rPr>
          <w:spacing w:val="-10"/>
          <w:w w:val="95"/>
          <w:sz w:val="20"/>
        </w:rPr>
        <w:t>。</w:t>
      </w:r>
    </w:p>
    <w:p>
      <w:pPr>
        <w:spacing w:after="0"/>
        <w:jc w:val="left"/>
        <w:rPr>
          <w:sz w:val="20"/>
        </w:rPr>
        <w:sectPr>
          <w:pgSz w:w="11910" w:h="16840"/>
          <w:pgMar w:header="566" w:footer="664" w:top="1340" w:bottom="860" w:left="900" w:right="720"/>
        </w:sectPr>
      </w:pPr>
    </w:p>
    <w:p>
      <w:pPr>
        <w:pStyle w:val="BodyText"/>
        <w:spacing w:before="85"/>
        <w:ind w:left="3037"/>
      </w:pPr>
      <w:r>
        <w:rPr>
          <w:spacing w:val="-2"/>
          <w:position w:val="1"/>
        </w:rPr>
        <w:t>（3）在静息状态、呼吸空气条件下，动脉血氧分压（PaO</w:t>
      </w:r>
      <w:r>
        <w:rPr>
          <w:spacing w:val="-2"/>
          <w:sz w:val="11"/>
        </w:rPr>
        <w:t>2</w:t>
      </w:r>
      <w:r>
        <w:rPr>
          <w:spacing w:val="-2"/>
          <w:position w:val="1"/>
        </w:rPr>
        <w:t>）＜50mmHg</w:t>
      </w:r>
      <w:r>
        <w:rPr>
          <w:spacing w:val="-10"/>
          <w:position w:val="1"/>
        </w:rPr>
        <w:t>。</w:t>
      </w:r>
    </w:p>
    <w:p>
      <w:pPr>
        <w:pStyle w:val="ListParagraph"/>
        <w:numPr>
          <w:ilvl w:val="2"/>
          <w:numId w:val="38"/>
        </w:numPr>
        <w:tabs>
          <w:tab w:pos="1191" w:val="left" w:leader="none"/>
        </w:tabs>
        <w:spacing w:line="256" w:lineRule="auto" w:before="147" w:after="0"/>
        <w:ind w:left="3037" w:right="406" w:hanging="2805"/>
        <w:jc w:val="both"/>
        <w:rPr>
          <w:sz w:val="21"/>
        </w:rPr>
      </w:pPr>
      <w:r>
        <w:rPr>
          <w:rFonts w:ascii="微软雅黑" w:eastAsia="微软雅黑"/>
          <w:b/>
          <w:spacing w:val="60"/>
          <w:sz w:val="21"/>
        </w:rPr>
        <w:t>严重克罗恩病 </w:t>
      </w:r>
      <w:r>
        <w:rPr>
          <w:sz w:val="21"/>
        </w:rPr>
        <w:t>指一种慢性肉芽肿性肠炎，具有特征性的克罗恩病（Crohn</w:t>
      </w:r>
      <w:r>
        <w:rPr>
          <w:spacing w:val="-14"/>
          <w:sz w:val="21"/>
        </w:rPr>
        <w:t> 病</w:t>
      </w:r>
      <w:r>
        <w:rPr>
          <w:sz w:val="21"/>
        </w:rPr>
        <w:t>）病理组织学</w:t>
      </w:r>
      <w:r>
        <w:rPr>
          <w:spacing w:val="-13"/>
          <w:sz w:val="21"/>
        </w:rPr>
        <w:t>变化，须根据组织病理学特点诊断，且已经造成瘘管形成并伴有肠梗阻或肠</w:t>
      </w:r>
      <w:r>
        <w:rPr>
          <w:spacing w:val="-4"/>
          <w:sz w:val="21"/>
        </w:rPr>
        <w:t>穿孔。</w:t>
      </w:r>
    </w:p>
    <w:p>
      <w:pPr>
        <w:pStyle w:val="BodyText"/>
        <w:spacing w:before="7"/>
        <w:rPr>
          <w:sz w:val="8"/>
        </w:rPr>
      </w:pPr>
    </w:p>
    <w:p>
      <w:pPr>
        <w:spacing w:after="0"/>
        <w:rPr>
          <w:sz w:val="8"/>
        </w:rPr>
        <w:sectPr>
          <w:pgSz w:w="11910" w:h="16840"/>
          <w:pgMar w:header="566" w:footer="664" w:top="1340" w:bottom="860" w:left="900" w:right="720"/>
        </w:sectPr>
      </w:pPr>
    </w:p>
    <w:p>
      <w:pPr>
        <w:pStyle w:val="ListParagraph"/>
        <w:numPr>
          <w:ilvl w:val="2"/>
          <w:numId w:val="38"/>
        </w:numPr>
        <w:tabs>
          <w:tab w:pos="1190" w:val="left" w:leader="none"/>
          <w:tab w:pos="1191" w:val="left" w:leader="none"/>
        </w:tabs>
        <w:spacing w:line="350" w:lineRule="exact" w:before="4" w:after="0"/>
        <w:ind w:left="1190" w:right="0" w:hanging="959"/>
        <w:jc w:val="left"/>
        <w:rPr>
          <w:rFonts w:ascii="微软雅黑" w:eastAsia="微软雅黑"/>
          <w:b/>
          <w:sz w:val="21"/>
        </w:rPr>
      </w:pPr>
      <w:r>
        <w:rPr>
          <w:rFonts w:ascii="微软雅黑" w:eastAsia="微软雅黑"/>
          <w:b/>
          <w:spacing w:val="-2"/>
          <w:sz w:val="21"/>
        </w:rPr>
        <w:t>严重溃疡性结肠</w:t>
      </w:r>
    </w:p>
    <w:p>
      <w:pPr>
        <w:spacing w:line="350" w:lineRule="exact" w:before="0"/>
        <w:ind w:left="1190" w:right="0" w:firstLine="0"/>
        <w:jc w:val="left"/>
        <w:rPr>
          <w:rFonts w:ascii="微软雅黑" w:eastAsia="微软雅黑"/>
          <w:b/>
          <w:sz w:val="21"/>
        </w:rPr>
      </w:pPr>
      <w:r>
        <w:rPr>
          <w:rFonts w:ascii="微软雅黑" w:eastAsia="微软雅黑"/>
          <w:b/>
          <w:w w:val="100"/>
          <w:sz w:val="21"/>
        </w:rPr>
        <w:t>炎</w:t>
      </w:r>
    </w:p>
    <w:p>
      <w:pPr>
        <w:pStyle w:val="BodyText"/>
        <w:spacing w:line="278" w:lineRule="auto" w:before="71"/>
        <w:ind w:left="232" w:right="406"/>
      </w:pPr>
      <w:r>
        <w:rPr/>
        <w:br w:type="column"/>
      </w:r>
      <w:r>
        <w:rPr>
          <w:spacing w:val="-2"/>
        </w:rPr>
        <w:t>指伴有致命性电解质紊乱的急性暴发性溃疡性结肠炎，病变已经累及全结</w:t>
      </w:r>
      <w:r>
        <w:rPr>
          <w:spacing w:val="-4"/>
        </w:rPr>
        <w:t>肠，表现为严重的血便和系统性症状体征，须根据组织病理学特点诊断，且</w:t>
      </w:r>
      <w:r>
        <w:rPr>
          <w:spacing w:val="-2"/>
        </w:rPr>
        <w:t>已经实施了结肠切除或回肠造瘘术。</w:t>
      </w:r>
    </w:p>
    <w:p>
      <w:pPr>
        <w:spacing w:after="0" w:line="278" w:lineRule="auto"/>
        <w:sectPr>
          <w:type w:val="continuous"/>
          <w:pgSz w:w="11910" w:h="16840"/>
          <w:pgMar w:header="566" w:footer="664" w:top="1340" w:bottom="860" w:left="900" w:right="720"/>
          <w:cols w:num="2" w:equalWidth="0">
            <w:col w:w="2710" w:space="94"/>
            <w:col w:w="7486"/>
          </w:cols>
        </w:sectPr>
      </w:pPr>
    </w:p>
    <w:p>
      <w:pPr>
        <w:pStyle w:val="ListParagraph"/>
        <w:numPr>
          <w:ilvl w:val="2"/>
          <w:numId w:val="38"/>
        </w:numPr>
        <w:tabs>
          <w:tab w:pos="1190" w:val="left" w:leader="none"/>
          <w:tab w:pos="1191" w:val="left" w:leader="none"/>
        </w:tabs>
        <w:spacing w:line="350" w:lineRule="exact" w:before="103" w:after="0"/>
        <w:ind w:left="1190" w:right="0" w:hanging="959"/>
        <w:jc w:val="left"/>
        <w:rPr>
          <w:rFonts w:ascii="微软雅黑" w:eastAsia="微软雅黑"/>
          <w:b/>
          <w:sz w:val="21"/>
        </w:rPr>
      </w:pPr>
      <w:r>
        <w:rPr>
          <w:rFonts w:ascii="微软雅黑" w:eastAsia="微软雅黑"/>
          <w:b/>
          <w:spacing w:val="-2"/>
          <w:sz w:val="21"/>
        </w:rPr>
        <w:t>严重多发性硬化</w:t>
      </w:r>
    </w:p>
    <w:p>
      <w:pPr>
        <w:spacing w:line="350" w:lineRule="exact" w:before="0"/>
        <w:ind w:left="1190" w:right="0" w:firstLine="0"/>
        <w:jc w:val="left"/>
        <w:rPr>
          <w:rFonts w:ascii="微软雅黑" w:eastAsia="微软雅黑"/>
          <w:b/>
          <w:sz w:val="21"/>
        </w:rPr>
      </w:pPr>
      <w:r>
        <w:rPr>
          <w:rFonts w:ascii="微软雅黑" w:eastAsia="微软雅黑"/>
          <w:b/>
          <w:w w:val="100"/>
          <w:sz w:val="21"/>
        </w:rPr>
        <w:t>症</w:t>
      </w:r>
    </w:p>
    <w:p>
      <w:pPr>
        <w:pStyle w:val="BodyText"/>
        <w:spacing w:line="278" w:lineRule="auto" w:before="170"/>
        <w:ind w:left="232" w:right="406"/>
        <w:jc w:val="both"/>
      </w:pPr>
      <w:r>
        <w:rPr/>
        <w:br w:type="column"/>
      </w:r>
      <w:r>
        <w:rPr>
          <w:spacing w:val="-6"/>
        </w:rPr>
        <w:t>指因中枢神经系统脱髓鞘所致的不可逆的神经系统功能障碍，须由计算机断</w:t>
      </w:r>
      <w:r>
        <w:rPr>
          <w:spacing w:val="-4"/>
        </w:rPr>
        <w:t>层扫描</w:t>
      </w:r>
      <w:r>
        <w:rPr>
          <w:spacing w:val="22"/>
        </w:rPr>
        <w:t>（</w:t>
      </w:r>
      <w:r>
        <w:rPr>
          <w:spacing w:val="23"/>
        </w:rPr>
        <w:t>C</w:t>
      </w:r>
      <w:r>
        <w:rPr>
          <w:spacing w:val="20"/>
        </w:rPr>
        <w:t>T</w:t>
      </w:r>
      <w:r>
        <w:rPr>
          <w:spacing w:val="-83"/>
        </w:rPr>
        <w:t>）</w:t>
      </w:r>
      <w:r>
        <w:rPr>
          <w:spacing w:val="-4"/>
        </w:rPr>
        <w:t>、核磁共振检查（MRI）或正电子发射断层扫描（PET）等影像</w:t>
      </w:r>
      <w:r>
        <w:rPr>
          <w:spacing w:val="-5"/>
        </w:rPr>
        <w:t>学检查证实，且已经造成自主生活能力完全丧失，无法独立完成六项基本日</w:t>
      </w:r>
      <w:r>
        <w:rPr>
          <w:spacing w:val="-2"/>
        </w:rPr>
        <w:t>常生活活动中的三项或三项以上，持续至少 </w:t>
      </w:r>
      <w:r>
        <w:rPr/>
        <w:t>180</w:t>
      </w:r>
      <w:r>
        <w:rPr>
          <w:spacing w:val="-8"/>
        </w:rPr>
        <w:t> 日。</w:t>
      </w:r>
    </w:p>
    <w:p>
      <w:pPr>
        <w:spacing w:after="0" w:line="278" w:lineRule="auto"/>
        <w:jc w:val="both"/>
        <w:sectPr>
          <w:type w:val="continuous"/>
          <w:pgSz w:w="11910" w:h="16840"/>
          <w:pgMar w:header="566" w:footer="664" w:top="1340" w:bottom="860" w:left="900" w:right="720"/>
          <w:cols w:num="2" w:equalWidth="0">
            <w:col w:w="2710" w:space="94"/>
            <w:col w:w="7486"/>
          </w:cols>
        </w:sectPr>
      </w:pPr>
    </w:p>
    <w:p>
      <w:pPr>
        <w:pStyle w:val="ListParagraph"/>
        <w:numPr>
          <w:ilvl w:val="2"/>
          <w:numId w:val="38"/>
        </w:numPr>
        <w:tabs>
          <w:tab w:pos="1190" w:val="left" w:leader="none"/>
          <w:tab w:pos="1191" w:val="left" w:leader="none"/>
        </w:tabs>
        <w:spacing w:line="350" w:lineRule="exact" w:before="104" w:after="0"/>
        <w:ind w:left="1190" w:right="0" w:hanging="959"/>
        <w:jc w:val="left"/>
        <w:rPr>
          <w:rFonts w:ascii="微软雅黑" w:eastAsia="微软雅黑"/>
          <w:b/>
          <w:sz w:val="21"/>
        </w:rPr>
      </w:pPr>
      <w:r>
        <w:rPr>
          <w:rFonts w:ascii="微软雅黑" w:eastAsia="微软雅黑"/>
          <w:b/>
          <w:spacing w:val="-2"/>
          <w:sz w:val="21"/>
        </w:rPr>
        <w:t>严重原发性心肌</w:t>
      </w:r>
    </w:p>
    <w:p>
      <w:pPr>
        <w:spacing w:line="350" w:lineRule="exact" w:before="0"/>
        <w:ind w:left="1190" w:right="0" w:firstLine="0"/>
        <w:jc w:val="left"/>
        <w:rPr>
          <w:rFonts w:ascii="微软雅黑" w:eastAsia="微软雅黑"/>
          <w:b/>
          <w:sz w:val="21"/>
        </w:rPr>
      </w:pPr>
      <w:r>
        <w:rPr>
          <w:rFonts w:ascii="微软雅黑" w:eastAsia="微软雅黑"/>
          <w:b/>
          <w:w w:val="100"/>
          <w:sz w:val="21"/>
        </w:rPr>
        <w:t>病</w:t>
      </w:r>
    </w:p>
    <w:p>
      <w:pPr>
        <w:pStyle w:val="BodyText"/>
        <w:spacing w:line="278" w:lineRule="auto" w:before="171"/>
        <w:ind w:left="232" w:right="406"/>
        <w:jc w:val="both"/>
      </w:pPr>
      <w:r>
        <w:rPr/>
        <w:br w:type="column"/>
      </w:r>
      <w:r>
        <w:rPr>
          <w:spacing w:val="-4"/>
        </w:rPr>
        <w:t>指一组不明原因所致的心肌病变，包括原发性扩张型心肌病、原发性肥厚型</w:t>
      </w:r>
      <w:r>
        <w:rPr>
          <w:spacing w:val="-8"/>
        </w:rPr>
        <w:t>心肌病及原发性限制型心肌病三种，已经造成永久不可逆性的体力活动能力</w:t>
      </w:r>
      <w:r>
        <w:rPr>
          <w:spacing w:val="-2"/>
        </w:rPr>
        <w:t>受限，达到美国纽约心脏病学会心功能状态分级IV级，且持续至少90日。</w:t>
      </w:r>
    </w:p>
    <w:p>
      <w:pPr>
        <w:pStyle w:val="Heading1"/>
        <w:spacing w:line="327" w:lineRule="exact"/>
        <w:ind w:left="232"/>
      </w:pPr>
      <w:r>
        <w:rPr>
          <w:color w:val="000000"/>
          <w:spacing w:val="-1"/>
          <w:shd w:fill="D9D9D9" w:color="auto" w:val="clear"/>
        </w:rPr>
        <w:t>继发性的心肌病变不在保障范围内。</w:t>
      </w:r>
    </w:p>
    <w:p>
      <w:pPr>
        <w:spacing w:after="0" w:line="327" w:lineRule="exact"/>
        <w:sectPr>
          <w:type w:val="continuous"/>
          <w:pgSz w:w="11910" w:h="16840"/>
          <w:pgMar w:header="566" w:footer="664" w:top="1340" w:bottom="860" w:left="900" w:right="720"/>
          <w:cols w:num="2" w:equalWidth="0">
            <w:col w:w="2710" w:space="94"/>
            <w:col w:w="7486"/>
          </w:cols>
        </w:sectPr>
      </w:pPr>
    </w:p>
    <w:p>
      <w:pPr>
        <w:pStyle w:val="ListParagraph"/>
        <w:numPr>
          <w:ilvl w:val="2"/>
          <w:numId w:val="38"/>
        </w:numPr>
        <w:tabs>
          <w:tab w:pos="1190" w:val="left" w:leader="none"/>
          <w:tab w:pos="1191" w:val="left" w:leader="none"/>
          <w:tab w:pos="3036" w:val="left" w:leader="none"/>
        </w:tabs>
        <w:spacing w:line="235" w:lineRule="auto" w:before="93" w:after="0"/>
        <w:ind w:left="3037" w:right="406" w:hanging="2805"/>
        <w:jc w:val="left"/>
        <w:rPr>
          <w:sz w:val="21"/>
        </w:rPr>
      </w:pPr>
      <w:r>
        <w:rPr>
          <w:rFonts w:ascii="微软雅黑" w:eastAsia="微软雅黑"/>
          <w:b/>
          <w:spacing w:val="-2"/>
          <w:sz w:val="21"/>
        </w:rPr>
        <w:t>严</w:t>
      </w:r>
      <w:r>
        <w:rPr>
          <w:rFonts w:ascii="微软雅黑" w:eastAsia="微软雅黑"/>
          <w:b/>
          <w:spacing w:val="-2"/>
          <w:sz w:val="21"/>
        </w:rPr>
        <w:t>重</w:t>
      </w:r>
      <w:r>
        <w:rPr>
          <w:rFonts w:ascii="微软雅黑" w:eastAsia="微软雅黑"/>
          <w:b/>
          <w:spacing w:val="-2"/>
          <w:sz w:val="21"/>
        </w:rPr>
        <w:t>冠</w:t>
      </w:r>
      <w:r>
        <w:rPr>
          <w:rFonts w:ascii="微软雅黑" w:eastAsia="微软雅黑"/>
          <w:b/>
          <w:spacing w:val="-2"/>
          <w:sz w:val="21"/>
        </w:rPr>
        <w:t>心</w:t>
      </w:r>
      <w:r>
        <w:rPr>
          <w:rFonts w:ascii="微软雅黑" w:eastAsia="微软雅黑"/>
          <w:b/>
          <w:spacing w:val="-2"/>
          <w:sz w:val="21"/>
        </w:rPr>
        <w:t>病</w:t>
      </w:r>
      <w:r>
        <w:rPr>
          <w:rFonts w:ascii="微软雅黑" w:eastAsia="微软雅黑"/>
          <w:b/>
          <w:sz w:val="21"/>
        </w:rPr>
        <w:tab/>
      </w:r>
      <w:r>
        <w:rPr>
          <w:spacing w:val="-2"/>
          <w:sz w:val="21"/>
        </w:rPr>
        <w:t>指</w:t>
      </w:r>
      <w:r>
        <w:rPr>
          <w:spacing w:val="-2"/>
          <w:sz w:val="21"/>
        </w:rPr>
        <w:t>经</w:t>
      </w:r>
      <w:r>
        <w:rPr>
          <w:spacing w:val="-2"/>
          <w:sz w:val="21"/>
        </w:rPr>
        <w:t>冠状动脉造影检查明</w:t>
      </w:r>
      <w:r>
        <w:rPr>
          <w:spacing w:val="-2"/>
          <w:sz w:val="21"/>
        </w:rPr>
        <w:t>确</w:t>
      </w:r>
      <w:r>
        <w:rPr>
          <w:spacing w:val="-2"/>
          <w:sz w:val="21"/>
        </w:rPr>
        <w:t>诊</w:t>
      </w:r>
      <w:r>
        <w:rPr>
          <w:spacing w:val="-2"/>
          <w:sz w:val="21"/>
        </w:rPr>
        <w:t>断为主要血管严重狭</w:t>
      </w:r>
      <w:r>
        <w:rPr>
          <w:spacing w:val="-2"/>
          <w:sz w:val="21"/>
        </w:rPr>
        <w:t>窄</w:t>
      </w:r>
      <w:r>
        <w:rPr>
          <w:spacing w:val="-2"/>
          <w:sz w:val="21"/>
        </w:rPr>
        <w:t>性</w:t>
      </w:r>
      <w:r>
        <w:rPr>
          <w:spacing w:val="-2"/>
          <w:sz w:val="21"/>
        </w:rPr>
        <w:t>病变</w:t>
      </w:r>
      <w:r>
        <w:rPr>
          <w:spacing w:val="-94"/>
          <w:sz w:val="21"/>
        </w:rPr>
        <w:t>，</w:t>
      </w:r>
      <w:r>
        <w:rPr>
          <w:spacing w:val="-2"/>
          <w:sz w:val="21"/>
        </w:rPr>
        <w:t>须满足下列至</w:t>
      </w:r>
      <w:r>
        <w:rPr>
          <w:spacing w:val="-2"/>
          <w:sz w:val="21"/>
        </w:rPr>
        <w:t>少</w:t>
      </w:r>
      <w:r>
        <w:rPr>
          <w:spacing w:val="-2"/>
          <w:sz w:val="21"/>
        </w:rPr>
        <w:t>一</w:t>
      </w:r>
      <w:r>
        <w:rPr>
          <w:spacing w:val="-2"/>
          <w:sz w:val="21"/>
        </w:rPr>
        <w:t>项条件：</w:t>
      </w:r>
    </w:p>
    <w:p>
      <w:pPr>
        <w:pStyle w:val="ListParagraph"/>
        <w:numPr>
          <w:ilvl w:val="3"/>
          <w:numId w:val="38"/>
        </w:numPr>
        <w:tabs>
          <w:tab w:pos="3566" w:val="left" w:leader="none"/>
        </w:tabs>
        <w:spacing w:line="278" w:lineRule="auto" w:before="43" w:after="0"/>
        <w:ind w:left="3037" w:right="471" w:firstLine="0"/>
        <w:jc w:val="left"/>
        <w:rPr>
          <w:sz w:val="21"/>
        </w:rPr>
      </w:pPr>
      <w:r>
        <w:rPr>
          <w:spacing w:val="-4"/>
          <w:sz w:val="21"/>
        </w:rPr>
        <w:t>左冠状动脉主干和右冠状动脉中，一支血管管腔堵塞 </w:t>
      </w:r>
      <w:r>
        <w:rPr>
          <w:spacing w:val="-2"/>
          <w:sz w:val="21"/>
        </w:rPr>
        <w:t>75%以上，另一</w:t>
      </w:r>
      <w:r>
        <w:rPr>
          <w:spacing w:val="-6"/>
          <w:sz w:val="21"/>
        </w:rPr>
        <w:t>支血管管腔堵塞 </w:t>
      </w:r>
      <w:r>
        <w:rPr>
          <w:sz w:val="21"/>
        </w:rPr>
        <w:t>60%以上；</w:t>
      </w:r>
    </w:p>
    <w:p>
      <w:pPr>
        <w:pStyle w:val="ListParagraph"/>
        <w:numPr>
          <w:ilvl w:val="3"/>
          <w:numId w:val="38"/>
        </w:numPr>
        <w:tabs>
          <w:tab w:pos="3566" w:val="left" w:leader="none"/>
        </w:tabs>
        <w:spacing w:line="278" w:lineRule="auto" w:before="0" w:after="0"/>
        <w:ind w:left="3037" w:right="300" w:firstLine="0"/>
        <w:jc w:val="left"/>
        <w:rPr>
          <w:sz w:val="21"/>
        </w:rPr>
      </w:pPr>
      <w:r>
        <w:rPr>
          <w:spacing w:val="-4"/>
          <w:sz w:val="21"/>
        </w:rPr>
        <w:t>左前降支、左旋支和右冠状动脉中，至少一支血管管腔堵塞 </w:t>
      </w:r>
      <w:r>
        <w:rPr>
          <w:spacing w:val="-2"/>
          <w:sz w:val="21"/>
        </w:rPr>
        <w:t>75%以上，</w:t>
      </w:r>
      <w:r>
        <w:rPr>
          <w:spacing w:val="-4"/>
          <w:sz w:val="21"/>
        </w:rPr>
        <w:t>其他两支血管管腔堵塞 </w:t>
      </w:r>
      <w:r>
        <w:rPr>
          <w:sz w:val="21"/>
        </w:rPr>
        <w:t>60%以上。</w:t>
      </w:r>
    </w:p>
    <w:p>
      <w:pPr>
        <w:pStyle w:val="Heading1"/>
        <w:spacing w:line="184" w:lineRule="auto"/>
        <w:ind w:left="3037" w:right="412"/>
      </w:pPr>
      <w:r>
        <w:rPr>
          <w:color w:val="000000"/>
          <w:spacing w:val="-2"/>
          <w:shd w:fill="D9D9D9" w:color="auto" w:val="clear"/>
        </w:rPr>
        <w:t>左前降支的分支血管、左旋支的分支血管及右冠状动脉的分支血管的狭</w:t>
      </w:r>
      <w:r>
        <w:rPr>
          <w:color w:val="000000"/>
          <w:spacing w:val="80"/>
          <w:w w:val="150"/>
          <w:shd w:fill="D9D9D9" w:color="auto" w:val="clear"/>
        </w:rPr>
        <w:t>                                                 </w:t>
      </w:r>
      <w:r>
        <w:rPr>
          <w:color w:val="000000"/>
          <w:spacing w:val="-2"/>
          <w:shd w:fill="D9D9D9" w:color="auto" w:val="clear"/>
        </w:rPr>
        <w:t>窄不作为保障的衡量指标。</w:t>
      </w:r>
    </w:p>
    <w:p>
      <w:pPr>
        <w:pStyle w:val="ListParagraph"/>
        <w:numPr>
          <w:ilvl w:val="2"/>
          <w:numId w:val="38"/>
        </w:numPr>
        <w:tabs>
          <w:tab w:pos="1191" w:val="left" w:leader="none"/>
          <w:tab w:pos="3036" w:val="left" w:leader="none"/>
        </w:tabs>
        <w:spacing w:line="312" w:lineRule="exact" w:before="130" w:after="0"/>
        <w:ind w:left="3037" w:right="406" w:hanging="2805"/>
        <w:jc w:val="both"/>
        <w:rPr>
          <w:sz w:val="21"/>
        </w:rPr>
      </w:pPr>
      <w:r>
        <w:rPr>
          <w:rFonts w:ascii="微软雅黑" w:eastAsia="微软雅黑"/>
          <w:b/>
          <w:spacing w:val="-2"/>
          <w:sz w:val="21"/>
        </w:rPr>
        <w:t>植</w:t>
      </w:r>
      <w:r>
        <w:rPr>
          <w:rFonts w:ascii="微软雅黑" w:eastAsia="微软雅黑"/>
          <w:b/>
          <w:spacing w:val="-2"/>
          <w:sz w:val="21"/>
        </w:rPr>
        <w:t>物</w:t>
      </w:r>
      <w:r>
        <w:rPr>
          <w:rFonts w:ascii="微软雅黑" w:eastAsia="微软雅黑"/>
          <w:b/>
          <w:spacing w:val="-2"/>
          <w:sz w:val="21"/>
        </w:rPr>
        <w:t>人</w:t>
      </w:r>
      <w:r>
        <w:rPr>
          <w:rFonts w:ascii="微软雅黑" w:eastAsia="微软雅黑"/>
          <w:b/>
          <w:spacing w:val="-2"/>
          <w:sz w:val="21"/>
        </w:rPr>
        <w:t>状</w:t>
      </w:r>
      <w:r>
        <w:rPr>
          <w:rFonts w:ascii="微软雅黑" w:eastAsia="微软雅黑"/>
          <w:b/>
          <w:spacing w:val="-2"/>
          <w:sz w:val="21"/>
        </w:rPr>
        <w:t>态</w:t>
      </w:r>
      <w:r>
        <w:rPr>
          <w:rFonts w:ascii="微软雅黑" w:eastAsia="微软雅黑"/>
          <w:b/>
          <w:sz w:val="21"/>
        </w:rPr>
        <w:tab/>
      </w:r>
      <w:r>
        <w:rPr>
          <w:spacing w:val="-2"/>
          <w:sz w:val="21"/>
        </w:rPr>
        <w:t>指</w:t>
      </w:r>
      <w:r>
        <w:rPr>
          <w:spacing w:val="-2"/>
          <w:sz w:val="21"/>
        </w:rPr>
        <w:t>因</w:t>
      </w:r>
      <w:r>
        <w:rPr>
          <w:spacing w:val="-2"/>
          <w:sz w:val="21"/>
        </w:rPr>
        <w:t>脑皮质广泛性坏死导</w:t>
      </w:r>
      <w:r>
        <w:rPr>
          <w:spacing w:val="-2"/>
          <w:sz w:val="21"/>
        </w:rPr>
        <w:t>致</w:t>
      </w:r>
      <w:r>
        <w:rPr>
          <w:spacing w:val="-2"/>
          <w:sz w:val="21"/>
        </w:rPr>
        <w:t>对</w:t>
      </w:r>
      <w:r>
        <w:rPr>
          <w:spacing w:val="-2"/>
          <w:sz w:val="21"/>
        </w:rPr>
        <w:t>自身及周边的认知能</w:t>
      </w:r>
      <w:r>
        <w:rPr>
          <w:spacing w:val="-2"/>
          <w:sz w:val="21"/>
        </w:rPr>
        <w:t>力</w:t>
      </w:r>
      <w:r>
        <w:rPr>
          <w:spacing w:val="-2"/>
          <w:sz w:val="21"/>
        </w:rPr>
        <w:t>完</w:t>
      </w:r>
      <w:r>
        <w:rPr>
          <w:spacing w:val="-2"/>
          <w:sz w:val="21"/>
        </w:rPr>
        <w:t>全丧失</w:t>
      </w:r>
      <w:r>
        <w:rPr>
          <w:spacing w:val="-97"/>
          <w:sz w:val="21"/>
        </w:rPr>
        <w:t>，</w:t>
      </w:r>
      <w:r>
        <w:rPr>
          <w:spacing w:val="-2"/>
          <w:sz w:val="21"/>
        </w:rPr>
        <w:t>但脑干功能</w:t>
      </w:r>
      <w:r>
        <w:rPr>
          <w:spacing w:val="-4"/>
          <w:sz w:val="21"/>
        </w:rPr>
        <w:t>依</w:t>
      </w:r>
      <w:r>
        <w:rPr>
          <w:spacing w:val="-4"/>
          <w:sz w:val="21"/>
        </w:rPr>
        <w:t>然</w:t>
      </w:r>
      <w:r>
        <w:rPr>
          <w:spacing w:val="-4"/>
          <w:sz w:val="21"/>
        </w:rPr>
        <w:t>存在，须由专科医生</w:t>
      </w:r>
      <w:r>
        <w:rPr>
          <w:spacing w:val="-4"/>
          <w:sz w:val="21"/>
        </w:rPr>
        <w:t>明</w:t>
      </w:r>
      <w:r>
        <w:rPr>
          <w:spacing w:val="-4"/>
          <w:sz w:val="21"/>
        </w:rPr>
        <w:t>确</w:t>
      </w:r>
      <w:r>
        <w:rPr>
          <w:spacing w:val="-4"/>
          <w:sz w:val="21"/>
        </w:rPr>
        <w:t>诊断，且由头颅断层</w:t>
      </w:r>
      <w:r>
        <w:rPr>
          <w:spacing w:val="-4"/>
          <w:sz w:val="21"/>
        </w:rPr>
        <w:t>扫</w:t>
      </w:r>
      <w:r>
        <w:rPr>
          <w:spacing w:val="-4"/>
          <w:sz w:val="21"/>
        </w:rPr>
        <w:t>描</w:t>
      </w:r>
      <w:r>
        <w:rPr>
          <w:spacing w:val="15"/>
          <w:sz w:val="21"/>
        </w:rPr>
        <w:t>（</w:t>
      </w:r>
      <w:r>
        <w:rPr>
          <w:spacing w:val="18"/>
          <w:sz w:val="21"/>
        </w:rPr>
        <w:t>CT</w:t>
      </w:r>
      <w:r>
        <w:rPr>
          <w:spacing w:val="-90"/>
          <w:sz w:val="21"/>
        </w:rPr>
        <w:t>）</w:t>
      </w:r>
      <w:r>
        <w:rPr>
          <w:spacing w:val="18"/>
          <w:sz w:val="21"/>
        </w:rPr>
        <w:t>，</w:t>
      </w:r>
      <w:r>
        <w:rPr>
          <w:spacing w:val="-4"/>
          <w:sz w:val="21"/>
        </w:rPr>
        <w:t>核磁共</w:t>
      </w:r>
      <w:r>
        <w:rPr>
          <w:spacing w:val="-4"/>
          <w:sz w:val="21"/>
        </w:rPr>
        <w:t>振</w:t>
      </w:r>
      <w:r>
        <w:rPr>
          <w:spacing w:val="-4"/>
          <w:sz w:val="21"/>
        </w:rPr>
        <w:t>检</w:t>
      </w:r>
      <w:r>
        <w:rPr>
          <w:spacing w:val="-4"/>
          <w:sz w:val="21"/>
        </w:rPr>
        <w:t>查（MRI）或正电子发射断</w:t>
      </w:r>
      <w:r>
        <w:rPr>
          <w:spacing w:val="-4"/>
          <w:sz w:val="21"/>
        </w:rPr>
        <w:t>层</w:t>
      </w:r>
      <w:r>
        <w:rPr>
          <w:spacing w:val="-4"/>
          <w:sz w:val="21"/>
        </w:rPr>
        <w:t>扫</w:t>
      </w:r>
      <w:r>
        <w:rPr>
          <w:spacing w:val="-4"/>
          <w:sz w:val="21"/>
        </w:rPr>
        <w:t>描（PET）等影像学检</w:t>
      </w:r>
      <w:r>
        <w:rPr>
          <w:spacing w:val="-4"/>
          <w:sz w:val="21"/>
        </w:rPr>
        <w:t>查</w:t>
      </w:r>
      <w:r>
        <w:rPr>
          <w:spacing w:val="-4"/>
          <w:sz w:val="21"/>
        </w:rPr>
        <w:t>证</w:t>
      </w:r>
      <w:r>
        <w:rPr>
          <w:spacing w:val="-4"/>
          <w:sz w:val="21"/>
        </w:rPr>
        <w:t>实，这种状态持续</w:t>
      </w:r>
      <w:r>
        <w:rPr>
          <w:sz w:val="21"/>
        </w:rPr>
        <w:t>至少</w:t>
      </w:r>
      <w:r>
        <w:rPr>
          <w:spacing w:val="-22"/>
          <w:sz w:val="21"/>
        </w:rPr>
        <w:t> </w:t>
      </w:r>
      <w:r>
        <w:rPr>
          <w:sz w:val="21"/>
        </w:rPr>
        <w:t>30</w:t>
      </w:r>
      <w:r>
        <w:rPr>
          <w:spacing w:val="-22"/>
          <w:sz w:val="21"/>
        </w:rPr>
        <w:t> </w:t>
      </w:r>
      <w:r>
        <w:rPr>
          <w:sz w:val="21"/>
        </w:rPr>
        <w:t>日</w:t>
      </w:r>
      <w:r>
        <w:rPr>
          <w:sz w:val="21"/>
        </w:rPr>
        <w:t>。</w:t>
      </w:r>
    </w:p>
    <w:p>
      <w:pPr>
        <w:pStyle w:val="Heading1"/>
        <w:spacing w:line="367" w:lineRule="exact"/>
        <w:ind w:left="3037"/>
      </w:pPr>
      <w:r>
        <w:rPr>
          <w:color w:val="000000"/>
          <w:spacing w:val="-1"/>
          <w:shd w:fill="D9D9D9" w:color="auto" w:val="clear"/>
        </w:rPr>
        <w:t>因酗酒或滥用药物所致的植物人状态不在保障范围内。</w:t>
      </w:r>
    </w:p>
    <w:p>
      <w:pPr>
        <w:spacing w:after="0" w:line="367" w:lineRule="exact"/>
        <w:sectPr>
          <w:type w:val="continuous"/>
          <w:pgSz w:w="11910" w:h="16840"/>
          <w:pgMar w:header="566" w:footer="664" w:top="1340" w:bottom="860" w:left="900" w:right="720"/>
        </w:sectPr>
      </w:pPr>
    </w:p>
    <w:p>
      <w:pPr>
        <w:pStyle w:val="ListParagraph"/>
        <w:numPr>
          <w:ilvl w:val="2"/>
          <w:numId w:val="38"/>
        </w:numPr>
        <w:tabs>
          <w:tab w:pos="1190" w:val="left" w:leader="none"/>
          <w:tab w:pos="1191" w:val="left" w:leader="none"/>
        </w:tabs>
        <w:spacing w:line="194" w:lineRule="auto" w:before="140" w:after="0"/>
        <w:ind w:left="1190" w:right="38" w:hanging="958"/>
        <w:jc w:val="left"/>
        <w:rPr>
          <w:rFonts w:ascii="微软雅黑" w:eastAsia="微软雅黑"/>
          <w:b/>
          <w:sz w:val="21"/>
        </w:rPr>
      </w:pPr>
      <w:r>
        <w:rPr>
          <w:rFonts w:ascii="微软雅黑" w:eastAsia="微软雅黑"/>
          <w:b/>
          <w:spacing w:val="-2"/>
          <w:sz w:val="21"/>
        </w:rPr>
        <w:t>系统性红斑狼疮</w:t>
      </w:r>
      <w:r>
        <w:rPr>
          <w:rFonts w:ascii="微软雅黑" w:eastAsia="微软雅黑"/>
          <w:b/>
          <w:spacing w:val="-4"/>
          <w:sz w:val="21"/>
        </w:rPr>
        <w:t>性肾炎</w:t>
      </w:r>
    </w:p>
    <w:p>
      <w:pPr>
        <w:pStyle w:val="BodyText"/>
        <w:spacing w:line="278" w:lineRule="auto" w:before="155"/>
        <w:ind w:left="232" w:right="406"/>
        <w:jc w:val="both"/>
      </w:pPr>
      <w:r>
        <w:rPr/>
        <w:br w:type="column"/>
      </w:r>
      <w:r>
        <w:rPr>
          <w:spacing w:val="-5"/>
        </w:rPr>
        <w:t>指系统性红斑狼疮累及肾脏导致的功能损害，经肾脏活检，病理结果符合世</w:t>
      </w:r>
      <w:r>
        <w:rPr>
          <w:spacing w:val="-2"/>
        </w:rPr>
        <w:t>界卫生组织（WHO）诊断标准定义中的Ⅲ型至Ⅵ型的狼疮性肾炎，血肌酐清</w:t>
      </w:r>
      <w:r>
        <w:rPr>
          <w:spacing w:val="-6"/>
        </w:rPr>
        <w:t>除率持续每分钟 </w:t>
      </w:r>
      <w:r>
        <w:rPr/>
        <w:t>30ml。</w:t>
      </w:r>
    </w:p>
    <w:p>
      <w:pPr>
        <w:pStyle w:val="BodyText"/>
        <w:spacing w:line="278" w:lineRule="auto"/>
        <w:ind w:left="232" w:right="3570"/>
      </w:pPr>
      <w:r>
        <w:rPr>
          <w:spacing w:val="-2"/>
        </w:rPr>
        <w:t>世界卫生组织（WHO）狼疮性肾炎分型： Ⅰ型：微小病变型</w:t>
      </w:r>
    </w:p>
    <w:p>
      <w:pPr>
        <w:pStyle w:val="BodyText"/>
        <w:spacing w:line="278" w:lineRule="auto"/>
        <w:ind w:left="232" w:right="4093"/>
      </w:pPr>
      <w:r>
        <w:rPr>
          <w:spacing w:val="-2"/>
        </w:rPr>
        <w:t>Ⅱ型：系膜增殖性狼疮性肾炎</w:t>
      </w:r>
      <w:r>
        <w:rPr>
          <w:spacing w:val="40"/>
        </w:rPr>
        <w:t>  </w:t>
      </w:r>
      <w:r>
        <w:rPr>
          <w:spacing w:val="-2"/>
        </w:rPr>
        <w:t>Ⅲ型：局灶节段增殖性狼疮性肾炎 Ⅳ型：弥漫增殖性狼疮性肾炎</w:t>
      </w:r>
      <w:r>
        <w:rPr>
          <w:spacing w:val="40"/>
        </w:rPr>
        <w:t>  </w:t>
      </w:r>
      <w:r>
        <w:rPr>
          <w:spacing w:val="-2"/>
        </w:rPr>
        <w:t>Ⅴ型：膜性狼疮性肾炎</w:t>
      </w:r>
    </w:p>
    <w:p>
      <w:pPr>
        <w:pStyle w:val="BodyText"/>
        <w:spacing w:line="269" w:lineRule="exact"/>
        <w:ind w:left="232"/>
      </w:pPr>
      <w:r>
        <w:rPr>
          <w:spacing w:val="-3"/>
        </w:rPr>
        <w:t>Ⅵ型：肾小球硬化性狼疮性肾炎</w:t>
      </w:r>
    </w:p>
    <w:p>
      <w:pPr>
        <w:spacing w:after="0" w:line="269" w:lineRule="exact"/>
        <w:sectPr>
          <w:type w:val="continuous"/>
          <w:pgSz w:w="11910" w:h="16840"/>
          <w:pgMar w:header="566" w:footer="664" w:top="1340" w:bottom="860" w:left="900" w:right="720"/>
          <w:cols w:num="2" w:equalWidth="0">
            <w:col w:w="2710" w:space="94"/>
            <w:col w:w="7486"/>
          </w:cols>
        </w:sectPr>
      </w:pPr>
    </w:p>
    <w:p>
      <w:pPr>
        <w:pStyle w:val="BodyText"/>
        <w:spacing w:before="11"/>
        <w:rPr>
          <w:sz w:val="10"/>
        </w:rPr>
      </w:pPr>
    </w:p>
    <w:p>
      <w:pPr>
        <w:spacing w:after="0"/>
        <w:rPr>
          <w:sz w:val="10"/>
        </w:rPr>
        <w:sectPr>
          <w:type w:val="continuous"/>
          <w:pgSz w:w="11910" w:h="16840"/>
          <w:pgMar w:header="566" w:footer="664" w:top="1340" w:bottom="860" w:left="900" w:right="720"/>
        </w:sectPr>
      </w:pPr>
    </w:p>
    <w:p>
      <w:pPr>
        <w:pStyle w:val="ListParagraph"/>
        <w:numPr>
          <w:ilvl w:val="2"/>
          <w:numId w:val="38"/>
        </w:numPr>
        <w:tabs>
          <w:tab w:pos="1190" w:val="left" w:leader="none"/>
          <w:tab w:pos="1191" w:val="left" w:leader="none"/>
        </w:tabs>
        <w:spacing w:line="194" w:lineRule="auto" w:before="57" w:after="0"/>
        <w:ind w:left="1190" w:right="38" w:hanging="958"/>
        <w:jc w:val="left"/>
        <w:rPr>
          <w:rFonts w:ascii="微软雅黑" w:eastAsia="微软雅黑"/>
          <w:b/>
          <w:sz w:val="21"/>
        </w:rPr>
      </w:pPr>
      <w:r>
        <w:rPr>
          <w:rFonts w:ascii="微软雅黑" w:eastAsia="微软雅黑"/>
          <w:b/>
          <w:spacing w:val="-2"/>
          <w:sz w:val="21"/>
        </w:rPr>
        <w:t>严重类风湿性关</w:t>
      </w:r>
      <w:r>
        <w:rPr>
          <w:rFonts w:ascii="微软雅黑" w:eastAsia="微软雅黑"/>
          <w:b/>
          <w:spacing w:val="-6"/>
          <w:sz w:val="21"/>
        </w:rPr>
        <w:t>节炎</w:t>
      </w:r>
    </w:p>
    <w:p>
      <w:pPr>
        <w:pStyle w:val="BodyText"/>
        <w:spacing w:line="278" w:lineRule="auto" w:before="72"/>
        <w:ind w:left="232" w:right="406"/>
      </w:pPr>
      <w:r>
        <w:rPr/>
        <w:br w:type="column"/>
      </w:r>
      <w:r>
        <w:rPr>
          <w:spacing w:val="-4"/>
        </w:rPr>
        <w:t>指一种慢性自身免疫性疾病，主要表现为慢性、进行性多关节病变。本病须</w:t>
      </w:r>
      <w:r>
        <w:rPr>
          <w:spacing w:val="-2"/>
        </w:rPr>
        <w:t>由专科医生明确诊断，须满足下列全部条件：</w:t>
      </w:r>
    </w:p>
    <w:p>
      <w:pPr>
        <w:pStyle w:val="ListParagraph"/>
        <w:numPr>
          <w:ilvl w:val="0"/>
          <w:numId w:val="39"/>
        </w:numPr>
        <w:tabs>
          <w:tab w:pos="762" w:val="left" w:leader="none"/>
        </w:tabs>
        <w:spacing w:line="269" w:lineRule="exact" w:before="0" w:after="0"/>
        <w:ind w:left="761" w:right="0" w:hanging="530"/>
        <w:jc w:val="left"/>
        <w:rPr>
          <w:sz w:val="21"/>
        </w:rPr>
      </w:pPr>
      <w:r>
        <w:rPr>
          <w:spacing w:val="-3"/>
          <w:sz w:val="21"/>
        </w:rPr>
        <w:t>至少包括下列关节中的三组或以上有广泛受损和畸形改变：双手指关</w:t>
      </w:r>
    </w:p>
    <w:p>
      <w:pPr>
        <w:spacing w:after="0" w:line="269" w:lineRule="exact"/>
        <w:jc w:val="left"/>
        <w:rPr>
          <w:sz w:val="21"/>
        </w:rPr>
        <w:sectPr>
          <w:type w:val="continuous"/>
          <w:pgSz w:w="11910" w:h="16840"/>
          <w:pgMar w:header="566" w:footer="664" w:top="1340" w:bottom="860" w:left="900" w:right="720"/>
          <w:cols w:num="2" w:equalWidth="0">
            <w:col w:w="2710" w:space="94"/>
            <w:col w:w="7486"/>
          </w:cols>
        </w:sectPr>
      </w:pPr>
    </w:p>
    <w:p>
      <w:pPr>
        <w:pStyle w:val="BodyText"/>
        <w:spacing w:line="278" w:lineRule="auto" w:before="85"/>
        <w:ind w:left="3037" w:right="407"/>
      </w:pPr>
      <w:r>
        <w:rPr>
          <w:spacing w:val="-4"/>
        </w:rPr>
        <w:t>节、双腕关节、双肘关节、双膝关节、双髋关节、双踝关节、脊椎或双脚趾</w:t>
      </w:r>
      <w:r>
        <w:rPr>
          <w:spacing w:val="-4"/>
        </w:rPr>
        <w:t>关节；</w:t>
      </w:r>
    </w:p>
    <w:p>
      <w:pPr>
        <w:pStyle w:val="BodyText"/>
        <w:ind w:left="3037"/>
      </w:pPr>
      <w:r>
        <w:rPr>
          <w:spacing w:val="-2"/>
        </w:rPr>
        <w:t>（2）X</w:t>
      </w:r>
      <w:r>
        <w:rPr>
          <w:spacing w:val="-10"/>
        </w:rPr>
        <w:t> 线检查可见类风湿性关节炎的典型变化；</w:t>
      </w:r>
    </w:p>
    <w:p>
      <w:pPr>
        <w:pStyle w:val="ListParagraph"/>
        <w:numPr>
          <w:ilvl w:val="1"/>
          <w:numId w:val="39"/>
        </w:numPr>
        <w:tabs>
          <w:tab w:pos="3566" w:val="left" w:leader="none"/>
        </w:tabs>
        <w:spacing w:line="240" w:lineRule="auto" w:before="43" w:after="0"/>
        <w:ind w:left="3566" w:right="0" w:hanging="529"/>
        <w:jc w:val="left"/>
        <w:rPr>
          <w:sz w:val="21"/>
        </w:rPr>
      </w:pPr>
      <w:r>
        <w:rPr>
          <w:spacing w:val="-7"/>
          <w:sz w:val="21"/>
        </w:rPr>
        <w:t>关节的畸形改变至少持续 </w:t>
      </w:r>
      <w:r>
        <w:rPr>
          <w:spacing w:val="-2"/>
          <w:sz w:val="21"/>
        </w:rPr>
        <w:t>180</w:t>
      </w:r>
      <w:r>
        <w:rPr>
          <w:spacing w:val="-20"/>
          <w:sz w:val="21"/>
        </w:rPr>
        <w:t> 天；</w:t>
      </w:r>
    </w:p>
    <w:p>
      <w:pPr>
        <w:pStyle w:val="ListParagraph"/>
        <w:numPr>
          <w:ilvl w:val="1"/>
          <w:numId w:val="39"/>
        </w:numPr>
        <w:tabs>
          <w:tab w:pos="3562" w:val="left" w:leader="none"/>
        </w:tabs>
        <w:spacing w:line="278" w:lineRule="auto" w:before="43" w:after="0"/>
        <w:ind w:left="3020" w:right="425" w:firstLine="12"/>
        <w:jc w:val="left"/>
        <w:rPr>
          <w:sz w:val="21"/>
        </w:rPr>
      </w:pPr>
      <w:r>
        <w:rPr>
          <w:spacing w:val="-2"/>
          <w:sz w:val="21"/>
        </w:rPr>
        <w:t>自主生活能力完全丧失，无法独立完成六项基本日常生活活动中的三</w:t>
      </w:r>
      <w:r>
        <w:rPr>
          <w:spacing w:val="-3"/>
          <w:sz w:val="21"/>
        </w:rPr>
        <w:t>项或三项以上，至少持续 </w:t>
      </w:r>
      <w:r>
        <w:rPr>
          <w:sz w:val="21"/>
        </w:rPr>
        <w:t>180</w:t>
      </w:r>
      <w:r>
        <w:rPr>
          <w:spacing w:val="-8"/>
          <w:sz w:val="21"/>
        </w:rPr>
        <w:t> 天。</w:t>
      </w:r>
    </w:p>
    <w:p>
      <w:pPr>
        <w:spacing w:after="0" w:line="278" w:lineRule="auto"/>
        <w:jc w:val="left"/>
        <w:rPr>
          <w:sz w:val="21"/>
        </w:rPr>
        <w:sectPr>
          <w:pgSz w:w="11910" w:h="16840"/>
          <w:pgMar w:header="566" w:footer="664" w:top="1340" w:bottom="860" w:left="900" w:right="720"/>
        </w:sectPr>
      </w:pPr>
    </w:p>
    <w:p>
      <w:pPr>
        <w:pStyle w:val="ListParagraph"/>
        <w:numPr>
          <w:ilvl w:val="2"/>
          <w:numId w:val="38"/>
        </w:numPr>
        <w:tabs>
          <w:tab w:pos="1190" w:val="left" w:leader="none"/>
          <w:tab w:pos="1191" w:val="left" w:leader="none"/>
        </w:tabs>
        <w:spacing w:line="194" w:lineRule="auto" w:before="156" w:after="0"/>
        <w:ind w:left="1190" w:right="38" w:hanging="958"/>
        <w:jc w:val="left"/>
        <w:rPr>
          <w:rFonts w:ascii="微软雅黑" w:eastAsia="微软雅黑"/>
          <w:b/>
          <w:sz w:val="21"/>
        </w:rPr>
      </w:pPr>
      <w:r>
        <w:rPr>
          <w:rFonts w:ascii="微软雅黑" w:eastAsia="微软雅黑"/>
          <w:b/>
          <w:spacing w:val="-2"/>
          <w:sz w:val="21"/>
        </w:rPr>
        <w:t>重症急性坏死性</w:t>
      </w:r>
      <w:r>
        <w:rPr>
          <w:rFonts w:ascii="微软雅黑" w:eastAsia="微软雅黑"/>
          <w:b/>
          <w:spacing w:val="-4"/>
          <w:sz w:val="21"/>
        </w:rPr>
        <w:t>筋膜炎</w:t>
      </w:r>
    </w:p>
    <w:p>
      <w:pPr>
        <w:pStyle w:val="BodyText"/>
        <w:spacing w:line="278" w:lineRule="auto" w:before="170"/>
        <w:ind w:left="232" w:right="406" w:firstLine="2"/>
        <w:jc w:val="both"/>
      </w:pPr>
      <w:r>
        <w:rPr/>
        <w:br w:type="column"/>
      </w:r>
      <w:r>
        <w:rPr>
          <w:spacing w:val="-6"/>
        </w:rPr>
        <w:t>指一种由细菌侵入皮下组织和筋膜引起的急性坏死性软组织感染，可伴有毒</w:t>
      </w:r>
      <w:r>
        <w:rPr>
          <w:spacing w:val="-4"/>
        </w:rPr>
        <w:t>血症、败血症、中毒性休克、弥漫性血管内凝血及多器官衰竭。必须满足下</w:t>
      </w:r>
      <w:r>
        <w:rPr>
          <w:spacing w:val="-2"/>
        </w:rPr>
        <w:t>列全部条件：</w:t>
      </w:r>
    </w:p>
    <w:p>
      <w:pPr>
        <w:pStyle w:val="ListParagraph"/>
        <w:numPr>
          <w:ilvl w:val="0"/>
          <w:numId w:val="40"/>
        </w:numPr>
        <w:tabs>
          <w:tab w:pos="765" w:val="left" w:leader="none"/>
        </w:tabs>
        <w:spacing w:line="269" w:lineRule="exact" w:before="0" w:after="0"/>
        <w:ind w:left="764" w:right="0" w:hanging="530"/>
        <w:jc w:val="left"/>
        <w:rPr>
          <w:sz w:val="21"/>
        </w:rPr>
      </w:pPr>
      <w:r>
        <w:rPr>
          <w:spacing w:val="-3"/>
          <w:sz w:val="21"/>
        </w:rPr>
        <w:t>细菌培养和临床表现符合坏死性筋膜炎诊断标准；</w:t>
      </w:r>
    </w:p>
    <w:p>
      <w:pPr>
        <w:pStyle w:val="ListParagraph"/>
        <w:numPr>
          <w:ilvl w:val="0"/>
          <w:numId w:val="40"/>
        </w:numPr>
        <w:tabs>
          <w:tab w:pos="765" w:val="left" w:leader="none"/>
        </w:tabs>
        <w:spacing w:line="240" w:lineRule="auto" w:before="43" w:after="0"/>
        <w:ind w:left="764" w:right="0" w:hanging="530"/>
        <w:jc w:val="left"/>
        <w:rPr>
          <w:sz w:val="21"/>
        </w:rPr>
      </w:pPr>
      <w:r>
        <w:rPr>
          <w:spacing w:val="-3"/>
          <w:sz w:val="21"/>
        </w:rPr>
        <w:t>病情迅速恶化，有脓毒血症表现；</w:t>
      </w:r>
    </w:p>
    <w:p>
      <w:pPr>
        <w:pStyle w:val="ListParagraph"/>
        <w:numPr>
          <w:ilvl w:val="0"/>
          <w:numId w:val="40"/>
        </w:numPr>
        <w:tabs>
          <w:tab w:pos="765" w:val="left" w:leader="none"/>
        </w:tabs>
        <w:spacing w:line="240" w:lineRule="auto" w:before="43" w:after="0"/>
        <w:ind w:left="764" w:right="0" w:hanging="530"/>
        <w:jc w:val="left"/>
        <w:rPr>
          <w:sz w:val="21"/>
        </w:rPr>
      </w:pPr>
      <w:r>
        <w:rPr>
          <w:spacing w:val="-2"/>
          <w:sz w:val="21"/>
        </w:rPr>
        <w:t>自腕关节或踝关节近端（靠近躯干端）</w:t>
      </w:r>
      <w:r>
        <w:rPr>
          <w:spacing w:val="-3"/>
          <w:sz w:val="21"/>
        </w:rPr>
        <w:t>以上受感染肢体被截肢。</w:t>
      </w:r>
    </w:p>
    <w:p>
      <w:pPr>
        <w:spacing w:after="0" w:line="240" w:lineRule="auto"/>
        <w:jc w:val="left"/>
        <w:rPr>
          <w:sz w:val="21"/>
        </w:rPr>
        <w:sectPr>
          <w:type w:val="continuous"/>
          <w:pgSz w:w="11910" w:h="16840"/>
          <w:pgMar w:header="566" w:footer="664" w:top="1340" w:bottom="860" w:left="900" w:right="720"/>
          <w:cols w:num="2" w:equalWidth="0">
            <w:col w:w="2710" w:space="92"/>
            <w:col w:w="7488"/>
          </w:cols>
        </w:sectPr>
      </w:pPr>
    </w:p>
    <w:p>
      <w:pPr>
        <w:pStyle w:val="BodyText"/>
        <w:spacing w:before="12"/>
        <w:rPr>
          <w:sz w:val="10"/>
        </w:rPr>
      </w:pPr>
    </w:p>
    <w:p>
      <w:pPr>
        <w:pStyle w:val="ListParagraph"/>
        <w:numPr>
          <w:ilvl w:val="2"/>
          <w:numId w:val="38"/>
        </w:numPr>
        <w:tabs>
          <w:tab w:pos="1191" w:val="left" w:leader="none"/>
        </w:tabs>
        <w:spacing w:line="256" w:lineRule="auto" w:before="4" w:after="0"/>
        <w:ind w:left="3034" w:right="406" w:hanging="2802"/>
        <w:jc w:val="both"/>
        <w:rPr>
          <w:sz w:val="21"/>
        </w:rPr>
      </w:pPr>
      <w:r>
        <w:rPr>
          <w:rFonts w:ascii="微软雅黑" w:eastAsia="微软雅黑"/>
          <w:b/>
          <w:spacing w:val="35"/>
          <w:sz w:val="21"/>
        </w:rPr>
        <w:t>严重重症肌无力 </w:t>
      </w:r>
      <w:r>
        <w:rPr>
          <w:spacing w:val="-4"/>
          <w:sz w:val="21"/>
        </w:rPr>
        <w:t>指一种神经与肌肉接头部位传递障碍的自身免疫性疾病，临床特征是局部或</w:t>
      </w:r>
      <w:r>
        <w:rPr>
          <w:spacing w:val="-4"/>
          <w:sz w:val="21"/>
        </w:rPr>
        <w:t>全身肌肉于活动时易于疲劳无力，须由专科医生明确诊断，并满足下列全部</w:t>
      </w:r>
      <w:r>
        <w:rPr>
          <w:spacing w:val="-4"/>
          <w:sz w:val="21"/>
        </w:rPr>
        <w:t>条件：</w:t>
      </w:r>
    </w:p>
    <w:p>
      <w:pPr>
        <w:pStyle w:val="ListParagraph"/>
        <w:numPr>
          <w:ilvl w:val="0"/>
          <w:numId w:val="41"/>
        </w:numPr>
        <w:tabs>
          <w:tab w:pos="3566" w:val="left" w:leader="none"/>
        </w:tabs>
        <w:spacing w:line="278" w:lineRule="auto" w:before="14" w:after="0"/>
        <w:ind w:left="3034" w:right="418" w:firstLine="2"/>
        <w:jc w:val="left"/>
        <w:rPr>
          <w:sz w:val="21"/>
        </w:rPr>
      </w:pPr>
      <w:r>
        <w:rPr>
          <w:spacing w:val="-2"/>
          <w:sz w:val="21"/>
        </w:rPr>
        <w:t>经药物治疗或胸腺手术治疗一年以上无法控制病情，症状缓解、复发</w:t>
      </w:r>
      <w:r>
        <w:rPr>
          <w:spacing w:val="-2"/>
          <w:sz w:val="21"/>
        </w:rPr>
        <w:t>及恶化交替出现；</w:t>
      </w:r>
    </w:p>
    <w:p>
      <w:pPr>
        <w:pStyle w:val="ListParagraph"/>
        <w:numPr>
          <w:ilvl w:val="0"/>
          <w:numId w:val="41"/>
        </w:numPr>
        <w:tabs>
          <w:tab w:pos="3566" w:val="left" w:leader="none"/>
        </w:tabs>
        <w:spacing w:line="278" w:lineRule="auto" w:before="0" w:after="0"/>
        <w:ind w:left="3034" w:right="418" w:firstLine="2"/>
        <w:jc w:val="left"/>
        <w:rPr>
          <w:sz w:val="21"/>
        </w:rPr>
      </w:pPr>
      <w:r>
        <w:rPr>
          <w:spacing w:val="-2"/>
          <w:sz w:val="21"/>
        </w:rPr>
        <w:t>自主生活能力完全丧失，无法独立完成六项基本日常生活活动中的三</w:t>
      </w:r>
      <w:r>
        <w:rPr>
          <w:spacing w:val="-2"/>
          <w:sz w:val="21"/>
        </w:rPr>
        <w:t>项或三项以上。</w:t>
      </w:r>
    </w:p>
    <w:p>
      <w:pPr>
        <w:spacing w:after="0" w:line="278" w:lineRule="auto"/>
        <w:jc w:val="left"/>
        <w:rPr>
          <w:sz w:val="21"/>
        </w:rPr>
        <w:sectPr>
          <w:type w:val="continuous"/>
          <w:pgSz w:w="11910" w:h="16840"/>
          <w:pgMar w:header="566" w:footer="664" w:top="1340" w:bottom="860" w:left="900" w:right="720"/>
        </w:sectPr>
      </w:pPr>
    </w:p>
    <w:p>
      <w:pPr>
        <w:pStyle w:val="ListParagraph"/>
        <w:numPr>
          <w:ilvl w:val="2"/>
          <w:numId w:val="38"/>
        </w:numPr>
        <w:tabs>
          <w:tab w:pos="1190" w:val="left" w:leader="none"/>
          <w:tab w:pos="1191" w:val="left" w:leader="none"/>
        </w:tabs>
        <w:spacing w:line="350" w:lineRule="exact" w:before="102" w:after="0"/>
        <w:ind w:left="1190" w:right="0" w:hanging="959"/>
        <w:jc w:val="left"/>
        <w:rPr>
          <w:rFonts w:ascii="微软雅黑" w:eastAsia="微软雅黑"/>
          <w:b/>
          <w:sz w:val="21"/>
        </w:rPr>
      </w:pPr>
      <w:r>
        <w:rPr>
          <w:rFonts w:ascii="微软雅黑" w:eastAsia="微软雅黑"/>
          <w:b/>
          <w:spacing w:val="-2"/>
          <w:sz w:val="21"/>
        </w:rPr>
        <w:t>经输血导致的艾</w:t>
      </w:r>
    </w:p>
    <w:p>
      <w:pPr>
        <w:spacing w:line="194" w:lineRule="auto" w:before="15"/>
        <w:ind w:left="1190" w:right="38" w:firstLine="0"/>
        <w:jc w:val="left"/>
        <w:rPr>
          <w:rFonts w:ascii="微软雅黑" w:eastAsia="微软雅黑"/>
          <w:b/>
          <w:sz w:val="21"/>
        </w:rPr>
      </w:pPr>
      <w:r>
        <w:rPr>
          <w:rFonts w:ascii="微软雅黑" w:eastAsia="微软雅黑"/>
          <w:b/>
          <w:spacing w:val="-2"/>
          <w:sz w:val="21"/>
        </w:rPr>
        <w:t>滋病病毒感染或</w:t>
      </w:r>
      <w:r>
        <w:rPr>
          <w:rFonts w:ascii="微软雅黑" w:eastAsia="微软雅黑"/>
          <w:b/>
          <w:spacing w:val="-4"/>
          <w:sz w:val="21"/>
        </w:rPr>
        <w:t>患艾滋病</w:t>
      </w:r>
    </w:p>
    <w:p>
      <w:pPr>
        <w:pStyle w:val="BodyText"/>
        <w:spacing w:before="169"/>
        <w:ind w:left="235"/>
      </w:pPr>
      <w:r>
        <w:rPr/>
        <w:br w:type="column"/>
      </w:r>
      <w:r>
        <w:rPr>
          <w:spacing w:val="-2"/>
        </w:rPr>
        <w:t>指被保险人感染上人类免疫缺陷病毒（HIV）</w:t>
      </w:r>
      <w:r>
        <w:rPr>
          <w:spacing w:val="-3"/>
        </w:rPr>
        <w:t>并且满足下列全部条件：</w:t>
      </w:r>
    </w:p>
    <w:p>
      <w:pPr>
        <w:pStyle w:val="ListParagraph"/>
        <w:numPr>
          <w:ilvl w:val="0"/>
          <w:numId w:val="42"/>
        </w:numPr>
        <w:tabs>
          <w:tab w:pos="765" w:val="left" w:leader="none"/>
        </w:tabs>
        <w:spacing w:line="240" w:lineRule="auto" w:before="43" w:after="0"/>
        <w:ind w:left="764" w:right="0" w:hanging="530"/>
        <w:jc w:val="left"/>
        <w:rPr>
          <w:sz w:val="21"/>
        </w:rPr>
      </w:pPr>
      <w:r>
        <w:rPr>
          <w:spacing w:val="-7"/>
          <w:sz w:val="21"/>
        </w:rPr>
        <w:t>被保险人因输血而感染 </w:t>
      </w:r>
      <w:r>
        <w:rPr>
          <w:spacing w:val="-4"/>
          <w:sz w:val="21"/>
        </w:rPr>
        <w:t>HIV；</w:t>
      </w:r>
    </w:p>
    <w:p>
      <w:pPr>
        <w:pStyle w:val="ListParagraph"/>
        <w:numPr>
          <w:ilvl w:val="0"/>
          <w:numId w:val="42"/>
        </w:numPr>
        <w:tabs>
          <w:tab w:pos="765" w:val="left" w:leader="none"/>
        </w:tabs>
        <w:spacing w:line="278" w:lineRule="auto" w:before="43" w:after="0"/>
        <w:ind w:left="232" w:right="418" w:firstLine="2"/>
        <w:jc w:val="left"/>
        <w:rPr>
          <w:sz w:val="21"/>
        </w:rPr>
      </w:pPr>
      <w:r>
        <w:rPr>
          <w:spacing w:val="-2"/>
          <w:sz w:val="21"/>
        </w:rPr>
        <w:t>提供输血治疗的输血中心或医院出具该项输血感染属医疗责任事故的</w:t>
      </w:r>
      <w:r>
        <w:rPr>
          <w:spacing w:val="-2"/>
          <w:sz w:val="21"/>
        </w:rPr>
        <w:t>报告，或者法院终审裁定为医疗责任并且不准上诉；</w:t>
      </w:r>
    </w:p>
    <w:p>
      <w:pPr>
        <w:pStyle w:val="ListParagraph"/>
        <w:numPr>
          <w:ilvl w:val="0"/>
          <w:numId w:val="42"/>
        </w:numPr>
        <w:tabs>
          <w:tab w:pos="765" w:val="left" w:leader="none"/>
        </w:tabs>
        <w:spacing w:line="240" w:lineRule="auto" w:before="1" w:after="0"/>
        <w:ind w:left="764" w:right="0" w:hanging="530"/>
        <w:jc w:val="left"/>
        <w:rPr>
          <w:sz w:val="21"/>
        </w:rPr>
      </w:pPr>
      <w:r>
        <w:rPr>
          <w:spacing w:val="-3"/>
          <w:sz w:val="21"/>
        </w:rPr>
        <w:t>受感染的被保险人不是血友病患者。</w:t>
      </w:r>
    </w:p>
    <w:p>
      <w:pPr>
        <w:spacing w:after="0" w:line="240" w:lineRule="auto"/>
        <w:jc w:val="left"/>
        <w:rPr>
          <w:sz w:val="21"/>
        </w:rPr>
        <w:sectPr>
          <w:type w:val="continuous"/>
          <w:pgSz w:w="11910" w:h="16840"/>
          <w:pgMar w:header="566" w:footer="664" w:top="1340" w:bottom="860" w:left="900" w:right="720"/>
          <w:cols w:num="2" w:equalWidth="0">
            <w:col w:w="2710" w:space="92"/>
            <w:col w:w="7488"/>
          </w:cols>
        </w:sectPr>
      </w:pPr>
    </w:p>
    <w:p>
      <w:pPr>
        <w:pStyle w:val="BodyText"/>
        <w:spacing w:before="6"/>
        <w:rPr>
          <w:sz w:val="2"/>
        </w:rPr>
      </w:pPr>
    </w:p>
    <w:p>
      <w:pPr>
        <w:pStyle w:val="BodyText"/>
        <w:ind w:left="3037"/>
        <w:rPr>
          <w:sz w:val="20"/>
        </w:rPr>
      </w:pPr>
      <w:r>
        <w:rPr>
          <w:sz w:val="20"/>
        </w:rPr>
        <w:pict>
          <v:shape style="width:341.85pt;height:14.4pt;mso-position-horizontal-relative:char;mso-position-vertical-relative:line" type="#_x0000_t202" id="docshape46"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w w:val="95"/>
                      <w:sz w:val="22"/>
                    </w:rPr>
                    <w:t>任何因其他传播方式（包括：性传播或静脉注射毒品）导致的</w:t>
                  </w:r>
                  <w:r>
                    <w:rPr>
                      <w:rFonts w:ascii="微软雅黑" w:eastAsia="微软雅黑"/>
                      <w:b/>
                      <w:color w:val="000000"/>
                      <w:spacing w:val="79"/>
                      <w:w w:val="150"/>
                      <w:sz w:val="22"/>
                    </w:rPr>
                    <w:t> </w:t>
                  </w:r>
                  <w:r>
                    <w:rPr>
                      <w:rFonts w:ascii="微软雅黑" w:eastAsia="微软雅黑"/>
                      <w:b/>
                      <w:color w:val="000000"/>
                      <w:w w:val="95"/>
                      <w:sz w:val="22"/>
                    </w:rPr>
                    <w:t>HIV</w:t>
                  </w:r>
                  <w:r>
                    <w:rPr>
                      <w:rFonts w:ascii="微软雅黑" w:eastAsia="微软雅黑"/>
                      <w:b/>
                      <w:color w:val="000000"/>
                      <w:spacing w:val="72"/>
                      <w:w w:val="150"/>
                      <w:sz w:val="22"/>
                    </w:rPr>
                    <w:t> </w:t>
                  </w:r>
                  <w:r>
                    <w:rPr>
                      <w:rFonts w:ascii="微软雅黑" w:eastAsia="微软雅黑"/>
                      <w:b/>
                      <w:color w:val="000000"/>
                      <w:spacing w:val="-5"/>
                      <w:w w:val="95"/>
                      <w:sz w:val="22"/>
                    </w:rPr>
                    <w:t>感染</w:t>
                  </w:r>
                </w:p>
              </w:txbxContent>
            </v:textbox>
            <v:fill type="solid"/>
          </v:shape>
        </w:pict>
      </w:r>
      <w:r>
        <w:rPr>
          <w:sz w:val="20"/>
        </w:rPr>
      </w:r>
    </w:p>
    <w:p>
      <w:pPr>
        <w:pStyle w:val="BodyText"/>
        <w:spacing w:line="276" w:lineRule="auto" w:before="10"/>
        <w:ind w:left="3037" w:right="435" w:firstLine="1768"/>
      </w:pPr>
      <w:r>
        <w:rPr/>
        <w:pict>
          <v:shape style="position:absolute;margin-left:196.850006pt;margin-top:-.159989pt;width:88.45pt;height:14.4pt;mso-position-horizontal-relative:page;mso-position-vertical-relative:paragraph;z-index:-19109376" type="#_x0000_t202" id="docshape47" filled="true" fillcolor="#d9d9d9"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2"/>
                      <w:sz w:val="22"/>
                    </w:rPr>
                    <w:t>不在保障范围内。</w:t>
                  </w:r>
                </w:p>
              </w:txbxContent>
            </v:textbox>
            <v:fill type="solid"/>
            <w10:wrap type="none"/>
          </v:shape>
        </w:pict>
      </w:r>
      <w:r>
        <w:rPr>
          <w:spacing w:val="-2"/>
        </w:rPr>
        <w:t>我们必须拥有获得使用被保险人的所有血液样本的权利</w:t>
      </w:r>
      <w:r>
        <w:rPr>
          <w:spacing w:val="-2"/>
        </w:rPr>
        <w:t>和能够对这些样本进行独立检验的权利。</w:t>
      </w:r>
    </w:p>
    <w:p>
      <w:pPr>
        <w:pStyle w:val="BodyText"/>
        <w:ind w:left="3037"/>
        <w:rPr>
          <w:sz w:val="20"/>
        </w:rPr>
      </w:pPr>
      <w:r>
        <w:rPr>
          <w:sz w:val="20"/>
        </w:rPr>
        <w:pict>
          <v:shape style="width:337.05pt;height:14.4pt;mso-position-horizontal-relative:char;mso-position-vertical-relative:line" type="#_x0000_t202" id="docshape48"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w w:val="95"/>
                      <w:sz w:val="22"/>
                    </w:rPr>
                    <w:t>在任何治愈艾滋病（AIDS）或阻止人类免疫缺陷病毒（HIV）</w:t>
                  </w:r>
                  <w:r>
                    <w:rPr>
                      <w:rFonts w:ascii="微软雅黑" w:eastAsia="微软雅黑"/>
                      <w:b/>
                      <w:color w:val="000000"/>
                      <w:spacing w:val="-3"/>
                      <w:w w:val="95"/>
                      <w:sz w:val="22"/>
                    </w:rPr>
                    <w:t>作用的疗</w:t>
                  </w:r>
                </w:p>
              </w:txbxContent>
            </v:textbox>
            <v:fill type="solid"/>
          </v:shape>
        </w:pict>
      </w:r>
      <w:r>
        <w:rPr>
          <w:sz w:val="20"/>
        </w:rPr>
      </w:r>
    </w:p>
    <w:p>
      <w:pPr>
        <w:pStyle w:val="BodyText"/>
        <w:ind w:left="3037"/>
        <w:rPr>
          <w:sz w:val="20"/>
        </w:rPr>
      </w:pPr>
      <w:r>
        <w:rPr>
          <w:sz w:val="20"/>
        </w:rPr>
        <w:pict>
          <v:shape style="width:341.85pt;height:14.4pt;mso-position-horizontal-relative:char;mso-position-vertical-relative:line" type="#_x0000_t202" id="docshape49"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w w:val="95"/>
                      <w:sz w:val="22"/>
                    </w:rPr>
                    <w:t>法被发现以后，或能防止艾滋病（AIDS）</w:t>
                  </w:r>
                  <w:r>
                    <w:rPr>
                      <w:rFonts w:ascii="微软雅黑" w:eastAsia="微软雅黑"/>
                      <w:b/>
                      <w:color w:val="000000"/>
                      <w:spacing w:val="-1"/>
                      <w:w w:val="95"/>
                      <w:sz w:val="22"/>
                    </w:rPr>
                    <w:t>发生的医疗方法被研究出来以</w:t>
                  </w:r>
                </w:p>
              </w:txbxContent>
            </v:textbox>
            <v:fill type="solid"/>
          </v:shape>
        </w:pict>
      </w:r>
      <w:r>
        <w:rPr>
          <w:sz w:val="20"/>
        </w:rPr>
      </w:r>
    </w:p>
    <w:p>
      <w:pPr>
        <w:pStyle w:val="BodyText"/>
        <w:ind w:left="3037"/>
        <w:rPr>
          <w:sz w:val="20"/>
        </w:rPr>
      </w:pPr>
      <w:r>
        <w:rPr>
          <w:sz w:val="20"/>
        </w:rPr>
        <w:pict>
          <v:shape style="width:143.550pt;height:14.4pt;mso-position-horizontal-relative:char;mso-position-vertical-relative:line" type="#_x0000_t202" id="docshape50"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3"/>
                      <w:sz w:val="22"/>
                    </w:rPr>
                    <w:t>后，本保障将不再予以赔付。</w:t>
                  </w:r>
                </w:p>
              </w:txbxContent>
            </v:textbox>
            <v:fill type="solid"/>
          </v:shape>
        </w:pict>
      </w:r>
      <w:r>
        <w:rPr>
          <w:sz w:val="20"/>
        </w:rPr>
      </w:r>
    </w:p>
    <w:p>
      <w:pPr>
        <w:pStyle w:val="BodyText"/>
        <w:spacing w:before="3"/>
        <w:rPr>
          <w:sz w:val="7"/>
        </w:rPr>
      </w:pPr>
    </w:p>
    <w:p>
      <w:pPr>
        <w:spacing w:after="0"/>
        <w:rPr>
          <w:sz w:val="7"/>
        </w:rPr>
        <w:sectPr>
          <w:type w:val="continuous"/>
          <w:pgSz w:w="11910" w:h="16840"/>
          <w:pgMar w:header="566" w:footer="664" w:top="1340" w:bottom="860" w:left="900" w:right="720"/>
        </w:sectPr>
      </w:pPr>
    </w:p>
    <w:p>
      <w:pPr>
        <w:pStyle w:val="ListParagraph"/>
        <w:numPr>
          <w:ilvl w:val="2"/>
          <w:numId w:val="38"/>
        </w:numPr>
        <w:tabs>
          <w:tab w:pos="1190" w:val="left" w:leader="none"/>
          <w:tab w:pos="1191" w:val="left" w:leader="none"/>
        </w:tabs>
        <w:spacing w:line="350" w:lineRule="exact" w:before="5" w:after="0"/>
        <w:ind w:left="1190" w:right="0" w:hanging="959"/>
        <w:jc w:val="left"/>
        <w:rPr>
          <w:rFonts w:ascii="微软雅黑" w:eastAsia="微软雅黑"/>
          <w:b/>
          <w:sz w:val="21"/>
        </w:rPr>
      </w:pPr>
      <w:r>
        <w:rPr>
          <w:rFonts w:ascii="微软雅黑" w:eastAsia="微软雅黑"/>
          <w:b/>
          <w:spacing w:val="-2"/>
          <w:sz w:val="21"/>
        </w:rPr>
        <w:t>因器官移植导致</w:t>
      </w:r>
    </w:p>
    <w:p>
      <w:pPr>
        <w:spacing w:line="194" w:lineRule="auto" w:before="15"/>
        <w:ind w:left="1190" w:right="38" w:firstLine="0"/>
        <w:jc w:val="left"/>
        <w:rPr>
          <w:rFonts w:ascii="微软雅黑" w:eastAsia="微软雅黑"/>
          <w:b/>
          <w:sz w:val="21"/>
        </w:rPr>
      </w:pPr>
      <w:r>
        <w:rPr>
          <w:rFonts w:ascii="微软雅黑" w:eastAsia="微软雅黑"/>
          <w:b/>
          <w:spacing w:val="-2"/>
          <w:sz w:val="21"/>
        </w:rPr>
        <w:t>的艾滋病病毒感</w:t>
      </w:r>
      <w:r>
        <w:rPr>
          <w:rFonts w:ascii="微软雅黑" w:eastAsia="微软雅黑"/>
          <w:b/>
          <w:spacing w:val="-2"/>
          <w:sz w:val="21"/>
        </w:rPr>
        <w:t>染或患艾滋病</w:t>
      </w:r>
    </w:p>
    <w:p>
      <w:pPr>
        <w:pStyle w:val="BodyText"/>
        <w:spacing w:line="278" w:lineRule="auto" w:before="72"/>
        <w:ind w:left="232" w:right="418"/>
      </w:pPr>
      <w:r>
        <w:rPr/>
        <w:br w:type="column"/>
      </w:r>
      <w:r>
        <w:rPr>
          <w:spacing w:val="-2"/>
        </w:rPr>
        <w:t>指因进行器官移植而感染上人类免疫缺陷病毒（HIV）或患艾滋病，且须满</w:t>
      </w:r>
      <w:r>
        <w:rPr>
          <w:spacing w:val="-2"/>
        </w:rPr>
        <w:t>足下列全部条件：</w:t>
      </w:r>
    </w:p>
    <w:p>
      <w:pPr>
        <w:pStyle w:val="ListParagraph"/>
        <w:numPr>
          <w:ilvl w:val="0"/>
          <w:numId w:val="43"/>
        </w:numPr>
        <w:tabs>
          <w:tab w:pos="762" w:val="left" w:leader="none"/>
        </w:tabs>
        <w:spacing w:line="278" w:lineRule="auto" w:before="0" w:after="0"/>
        <w:ind w:left="232" w:right="418" w:firstLine="0"/>
        <w:jc w:val="left"/>
        <w:rPr>
          <w:sz w:val="21"/>
        </w:rPr>
      </w:pPr>
      <w:r>
        <w:rPr>
          <w:spacing w:val="-2"/>
          <w:sz w:val="21"/>
        </w:rPr>
        <w:t>被保险人因治疗必需而实施器官移植，并且因器官移植而感染人类免</w:t>
      </w:r>
      <w:r>
        <w:rPr>
          <w:spacing w:val="-2"/>
          <w:sz w:val="21"/>
        </w:rPr>
        <w:t>疫缺陷病毒或患艾滋病；</w:t>
      </w:r>
    </w:p>
    <w:p>
      <w:pPr>
        <w:pStyle w:val="ListParagraph"/>
        <w:numPr>
          <w:ilvl w:val="0"/>
          <w:numId w:val="43"/>
        </w:numPr>
        <w:tabs>
          <w:tab w:pos="762" w:val="left" w:leader="none"/>
        </w:tabs>
        <w:spacing w:line="278" w:lineRule="auto" w:before="0" w:after="0"/>
        <w:ind w:left="232" w:right="406" w:firstLine="0"/>
        <w:jc w:val="both"/>
        <w:rPr>
          <w:sz w:val="21"/>
        </w:rPr>
      </w:pPr>
      <w:r>
        <w:rPr>
          <w:spacing w:val="-2"/>
          <w:sz w:val="21"/>
        </w:rPr>
        <w:t>提供器官移植治疗的器官移植中心或医院出具的此次因器官移植感染</w:t>
      </w:r>
      <w:r>
        <w:rPr>
          <w:spacing w:val="-6"/>
          <w:sz w:val="21"/>
        </w:rPr>
        <w:t>人类免疫缺陷病毒或患艾滋病，属于医疗事故的报告，或者法院终审裁定为</w:t>
      </w:r>
      <w:r>
        <w:rPr>
          <w:spacing w:val="-2"/>
          <w:sz w:val="21"/>
        </w:rPr>
        <w:t>医疗事故并且不准上诉；</w:t>
      </w:r>
    </w:p>
    <w:p>
      <w:pPr>
        <w:pStyle w:val="ListParagraph"/>
        <w:numPr>
          <w:ilvl w:val="0"/>
          <w:numId w:val="43"/>
        </w:numPr>
        <w:tabs>
          <w:tab w:pos="762" w:val="left" w:leader="none"/>
        </w:tabs>
        <w:spacing w:line="240" w:lineRule="auto" w:before="0" w:after="0"/>
        <w:ind w:left="761" w:right="0" w:hanging="530"/>
        <w:jc w:val="left"/>
        <w:rPr>
          <w:sz w:val="21"/>
        </w:rPr>
      </w:pPr>
      <w:r>
        <w:rPr>
          <w:spacing w:val="-3"/>
          <w:sz w:val="21"/>
        </w:rPr>
        <w:t>提供器官移植治疗的器官移植中心或医院必须拥有合法经营执照。</w:t>
      </w:r>
    </w:p>
    <w:p>
      <w:pPr>
        <w:spacing w:after="0" w:line="240" w:lineRule="auto"/>
        <w:jc w:val="left"/>
        <w:rPr>
          <w:sz w:val="21"/>
        </w:rPr>
        <w:sectPr>
          <w:type w:val="continuous"/>
          <w:pgSz w:w="11910" w:h="16840"/>
          <w:pgMar w:header="566" w:footer="664" w:top="1340" w:bottom="860" w:left="900" w:right="720"/>
          <w:cols w:num="2" w:equalWidth="0">
            <w:col w:w="2710" w:space="94"/>
            <w:col w:w="7486"/>
          </w:cols>
        </w:sectPr>
      </w:pPr>
    </w:p>
    <w:p>
      <w:pPr>
        <w:pStyle w:val="BodyText"/>
        <w:spacing w:before="6"/>
        <w:rPr>
          <w:sz w:val="2"/>
        </w:rPr>
      </w:pP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71"/>
        <w:gridCol w:w="3870"/>
        <w:gridCol w:w="97"/>
      </w:tblGrid>
      <w:tr>
        <w:trPr>
          <w:trHeight w:val="284" w:hRule="atLeast"/>
        </w:trPr>
        <w:tc>
          <w:tcPr>
            <w:tcW w:w="6838" w:type="dxa"/>
            <w:gridSpan w:val="3"/>
            <w:tcBorders>
              <w:bottom w:val="single" w:sz="12" w:space="0" w:color="FFFFFF"/>
            </w:tcBorders>
            <w:shd w:val="clear" w:color="auto" w:fill="D9D9D9"/>
          </w:tcPr>
          <w:p>
            <w:pPr>
              <w:pStyle w:val="TableParagraph"/>
              <w:spacing w:line="265" w:lineRule="exact"/>
              <w:ind w:right="-15"/>
              <w:rPr>
                <w:rFonts w:ascii="微软雅黑" w:eastAsia="微软雅黑"/>
                <w:b/>
                <w:sz w:val="22"/>
              </w:rPr>
            </w:pPr>
            <w:r>
              <w:rPr>
                <w:rFonts w:ascii="微软雅黑" w:eastAsia="微软雅黑"/>
                <w:b/>
                <w:w w:val="95"/>
                <w:sz w:val="22"/>
              </w:rPr>
              <w:t>任</w:t>
            </w:r>
            <w:r>
              <w:rPr>
                <w:rFonts w:ascii="微软雅黑" w:eastAsia="微软雅黑"/>
                <w:b/>
                <w:w w:val="95"/>
                <w:sz w:val="22"/>
              </w:rPr>
              <w:t>何</w:t>
            </w:r>
            <w:r>
              <w:rPr>
                <w:rFonts w:ascii="微软雅黑" w:eastAsia="微软雅黑"/>
                <w:b/>
                <w:w w:val="95"/>
                <w:sz w:val="22"/>
              </w:rPr>
              <w:t>因</w:t>
            </w:r>
            <w:r>
              <w:rPr>
                <w:rFonts w:ascii="微软雅黑" w:eastAsia="微软雅黑"/>
                <w:b/>
                <w:w w:val="95"/>
                <w:sz w:val="22"/>
              </w:rPr>
              <w:t>其</w:t>
            </w:r>
            <w:r>
              <w:rPr>
                <w:rFonts w:ascii="微软雅黑" w:eastAsia="微软雅黑"/>
                <w:b/>
                <w:w w:val="95"/>
                <w:sz w:val="22"/>
              </w:rPr>
              <w:t>他</w:t>
            </w:r>
            <w:r>
              <w:rPr>
                <w:rFonts w:ascii="微软雅黑" w:eastAsia="微软雅黑"/>
                <w:b/>
                <w:w w:val="95"/>
                <w:sz w:val="22"/>
              </w:rPr>
              <w:t>传</w:t>
            </w:r>
            <w:r>
              <w:rPr>
                <w:rFonts w:ascii="微软雅黑" w:eastAsia="微软雅黑"/>
                <w:b/>
                <w:w w:val="95"/>
                <w:sz w:val="22"/>
              </w:rPr>
              <w:t>播</w:t>
            </w:r>
            <w:r>
              <w:rPr>
                <w:rFonts w:ascii="微软雅黑" w:eastAsia="微软雅黑"/>
                <w:b/>
                <w:w w:val="95"/>
                <w:sz w:val="22"/>
              </w:rPr>
              <w:t>方</w:t>
            </w:r>
            <w:r>
              <w:rPr>
                <w:rFonts w:ascii="微软雅黑" w:eastAsia="微软雅黑"/>
                <w:b/>
                <w:w w:val="95"/>
                <w:sz w:val="22"/>
              </w:rPr>
              <w:t>式（</w:t>
            </w:r>
            <w:r>
              <w:rPr>
                <w:rFonts w:ascii="微软雅黑" w:eastAsia="微软雅黑"/>
                <w:b/>
                <w:w w:val="95"/>
                <w:sz w:val="22"/>
              </w:rPr>
              <w:t>包</w:t>
            </w:r>
            <w:r>
              <w:rPr>
                <w:rFonts w:ascii="微软雅黑" w:eastAsia="微软雅黑"/>
                <w:b/>
                <w:w w:val="95"/>
                <w:sz w:val="22"/>
              </w:rPr>
              <w:t>括</w:t>
            </w:r>
            <w:r>
              <w:rPr>
                <w:rFonts w:ascii="微软雅黑" w:eastAsia="微软雅黑"/>
                <w:b/>
                <w:w w:val="95"/>
                <w:sz w:val="22"/>
              </w:rPr>
              <w:t>：性传</w:t>
            </w:r>
            <w:r>
              <w:rPr>
                <w:rFonts w:ascii="微软雅黑" w:eastAsia="微软雅黑"/>
                <w:b/>
                <w:w w:val="95"/>
                <w:sz w:val="22"/>
              </w:rPr>
              <w:t>播</w:t>
            </w:r>
            <w:r>
              <w:rPr>
                <w:rFonts w:ascii="微软雅黑" w:eastAsia="微软雅黑"/>
                <w:b/>
                <w:w w:val="95"/>
                <w:sz w:val="22"/>
              </w:rPr>
              <w:t>或</w:t>
            </w:r>
            <w:r>
              <w:rPr>
                <w:rFonts w:ascii="微软雅黑" w:eastAsia="微软雅黑"/>
                <w:b/>
                <w:w w:val="95"/>
                <w:sz w:val="22"/>
              </w:rPr>
              <w:t>静</w:t>
            </w:r>
            <w:r>
              <w:rPr>
                <w:rFonts w:ascii="微软雅黑" w:eastAsia="微软雅黑"/>
                <w:b/>
                <w:w w:val="95"/>
                <w:sz w:val="22"/>
              </w:rPr>
              <w:t>脉</w:t>
            </w:r>
            <w:r>
              <w:rPr>
                <w:rFonts w:ascii="微软雅黑" w:eastAsia="微软雅黑"/>
                <w:b/>
                <w:w w:val="95"/>
                <w:sz w:val="22"/>
              </w:rPr>
              <w:t>注</w:t>
            </w:r>
            <w:r>
              <w:rPr>
                <w:rFonts w:ascii="微软雅黑" w:eastAsia="微软雅黑"/>
                <w:b/>
                <w:w w:val="95"/>
                <w:sz w:val="22"/>
              </w:rPr>
              <w:t>射</w:t>
            </w:r>
            <w:r>
              <w:rPr>
                <w:rFonts w:ascii="微软雅黑" w:eastAsia="微软雅黑"/>
                <w:b/>
                <w:w w:val="95"/>
                <w:sz w:val="22"/>
              </w:rPr>
              <w:t>毒</w:t>
            </w:r>
            <w:r>
              <w:rPr>
                <w:rFonts w:ascii="微软雅黑" w:eastAsia="微软雅黑"/>
                <w:b/>
                <w:w w:val="95"/>
                <w:sz w:val="22"/>
              </w:rPr>
              <w:t>品</w:t>
            </w:r>
            <w:r>
              <w:rPr>
                <w:rFonts w:ascii="微软雅黑" w:eastAsia="微软雅黑"/>
                <w:b/>
                <w:w w:val="95"/>
                <w:sz w:val="22"/>
              </w:rPr>
              <w:t>）导致的</w:t>
            </w:r>
            <w:r>
              <w:rPr>
                <w:rFonts w:ascii="微软雅黑" w:eastAsia="微软雅黑"/>
                <w:b/>
                <w:spacing w:val="79"/>
                <w:w w:val="150"/>
                <w:sz w:val="22"/>
              </w:rPr>
              <w:t> </w:t>
            </w:r>
            <w:r>
              <w:rPr>
                <w:rFonts w:ascii="微软雅黑" w:eastAsia="微软雅黑"/>
                <w:b/>
                <w:w w:val="95"/>
                <w:sz w:val="22"/>
              </w:rPr>
              <w:t>HIV</w:t>
            </w:r>
            <w:r>
              <w:rPr>
                <w:rFonts w:ascii="微软雅黑" w:eastAsia="微软雅黑"/>
                <w:b/>
                <w:spacing w:val="72"/>
                <w:w w:val="150"/>
                <w:sz w:val="22"/>
              </w:rPr>
              <w:t> </w:t>
            </w:r>
            <w:r>
              <w:rPr>
                <w:rFonts w:ascii="微软雅黑" w:eastAsia="微软雅黑"/>
                <w:b/>
                <w:w w:val="95"/>
                <w:sz w:val="22"/>
              </w:rPr>
              <w:t>感</w:t>
            </w:r>
            <w:r>
              <w:rPr>
                <w:rFonts w:ascii="微软雅黑" w:eastAsia="微软雅黑"/>
                <w:b/>
                <w:spacing w:val="-10"/>
                <w:w w:val="95"/>
                <w:sz w:val="22"/>
              </w:rPr>
              <w:t>染</w:t>
            </w:r>
          </w:p>
        </w:tc>
      </w:tr>
      <w:tr>
        <w:trPr>
          <w:trHeight w:val="281" w:hRule="atLeast"/>
        </w:trPr>
        <w:tc>
          <w:tcPr>
            <w:tcW w:w="2871" w:type="dxa"/>
            <w:tcBorders>
              <w:top w:val="single" w:sz="12" w:space="0" w:color="FFFFFF"/>
              <w:bottom w:val="single" w:sz="12" w:space="0" w:color="FFFFFF"/>
            </w:tcBorders>
            <w:shd w:val="clear" w:color="auto" w:fill="D9D9D9"/>
          </w:tcPr>
          <w:p>
            <w:pPr>
              <w:pStyle w:val="TableParagraph"/>
              <w:spacing w:line="262" w:lineRule="exact"/>
              <w:jc w:val="center"/>
              <w:rPr>
                <w:rFonts w:ascii="微软雅黑" w:eastAsia="微软雅黑"/>
                <w:b/>
                <w:sz w:val="22"/>
              </w:rPr>
            </w:pPr>
            <w:r>
              <w:rPr>
                <w:rFonts w:ascii="微软雅黑" w:eastAsia="微软雅黑"/>
                <w:b/>
                <w:spacing w:val="-1"/>
                <w:sz w:val="22"/>
              </w:rPr>
              <w:t>或患艾滋病不在保障范围内。</w:t>
            </w:r>
          </w:p>
        </w:tc>
        <w:tc>
          <w:tcPr>
            <w:tcW w:w="3967" w:type="dxa"/>
            <w:gridSpan w:val="2"/>
            <w:tcBorders>
              <w:top w:val="single" w:sz="12" w:space="0" w:color="FFFFFF"/>
              <w:bottom w:val="single" w:sz="12" w:space="0" w:color="FFFFFF"/>
            </w:tcBorders>
          </w:tcPr>
          <w:p>
            <w:pPr>
              <w:pStyle w:val="TableParagraph"/>
              <w:rPr>
                <w:rFonts w:ascii="Times New Roman"/>
                <w:sz w:val="20"/>
              </w:rPr>
            </w:pPr>
          </w:p>
        </w:tc>
      </w:tr>
      <w:tr>
        <w:trPr>
          <w:trHeight w:val="281" w:hRule="atLeast"/>
        </w:trPr>
        <w:tc>
          <w:tcPr>
            <w:tcW w:w="6741" w:type="dxa"/>
            <w:gridSpan w:val="2"/>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w w:val="95"/>
                <w:sz w:val="22"/>
              </w:rPr>
              <w:t>在</w:t>
            </w:r>
            <w:r>
              <w:rPr>
                <w:rFonts w:ascii="微软雅黑" w:eastAsia="微软雅黑"/>
                <w:b/>
                <w:w w:val="95"/>
                <w:sz w:val="22"/>
              </w:rPr>
              <w:t>任</w:t>
            </w:r>
            <w:r>
              <w:rPr>
                <w:rFonts w:ascii="微软雅黑" w:eastAsia="微软雅黑"/>
                <w:b/>
                <w:w w:val="95"/>
                <w:sz w:val="22"/>
              </w:rPr>
              <w:t>何</w:t>
            </w:r>
            <w:r>
              <w:rPr>
                <w:rFonts w:ascii="微软雅黑" w:eastAsia="微软雅黑"/>
                <w:b/>
                <w:w w:val="95"/>
                <w:sz w:val="22"/>
              </w:rPr>
              <w:t>治</w:t>
            </w:r>
            <w:r>
              <w:rPr>
                <w:rFonts w:ascii="微软雅黑" w:eastAsia="微软雅黑"/>
                <w:b/>
                <w:w w:val="95"/>
                <w:sz w:val="22"/>
              </w:rPr>
              <w:t>愈</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（AIDS）</w:t>
            </w:r>
            <w:r>
              <w:rPr>
                <w:rFonts w:ascii="微软雅黑" w:eastAsia="微软雅黑"/>
                <w:b/>
                <w:w w:val="95"/>
                <w:sz w:val="22"/>
              </w:rPr>
              <w:t>或</w:t>
            </w:r>
            <w:r>
              <w:rPr>
                <w:rFonts w:ascii="微软雅黑" w:eastAsia="微软雅黑"/>
                <w:b/>
                <w:w w:val="95"/>
                <w:sz w:val="22"/>
              </w:rPr>
              <w:t>阻</w:t>
            </w:r>
            <w:r>
              <w:rPr>
                <w:rFonts w:ascii="微软雅黑" w:eastAsia="微软雅黑"/>
                <w:b/>
                <w:w w:val="95"/>
                <w:sz w:val="22"/>
              </w:rPr>
              <w:t>止</w:t>
            </w:r>
            <w:r>
              <w:rPr>
                <w:rFonts w:ascii="微软雅黑" w:eastAsia="微软雅黑"/>
                <w:b/>
                <w:w w:val="95"/>
                <w:sz w:val="22"/>
              </w:rPr>
              <w:t>人</w:t>
            </w:r>
            <w:r>
              <w:rPr>
                <w:rFonts w:ascii="微软雅黑" w:eastAsia="微软雅黑"/>
                <w:b/>
                <w:w w:val="95"/>
                <w:sz w:val="22"/>
              </w:rPr>
              <w:t>类</w:t>
            </w:r>
            <w:r>
              <w:rPr>
                <w:rFonts w:ascii="微软雅黑" w:eastAsia="微软雅黑"/>
                <w:b/>
                <w:w w:val="95"/>
                <w:sz w:val="22"/>
              </w:rPr>
              <w:t>免</w:t>
            </w:r>
            <w:r>
              <w:rPr>
                <w:rFonts w:ascii="微软雅黑" w:eastAsia="微软雅黑"/>
                <w:b/>
                <w:w w:val="95"/>
                <w:sz w:val="22"/>
              </w:rPr>
              <w:t>疫</w:t>
            </w:r>
            <w:r>
              <w:rPr>
                <w:rFonts w:ascii="微软雅黑" w:eastAsia="微软雅黑"/>
                <w:b/>
                <w:w w:val="95"/>
                <w:sz w:val="22"/>
              </w:rPr>
              <w:t>缺</w:t>
            </w:r>
            <w:r>
              <w:rPr>
                <w:rFonts w:ascii="微软雅黑" w:eastAsia="微软雅黑"/>
                <w:b/>
                <w:w w:val="95"/>
                <w:sz w:val="22"/>
              </w:rPr>
              <w:t>陷</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（HIV）</w:t>
            </w:r>
            <w:r>
              <w:rPr>
                <w:rFonts w:ascii="微软雅黑" w:eastAsia="微软雅黑"/>
                <w:b/>
                <w:w w:val="95"/>
                <w:sz w:val="22"/>
              </w:rPr>
              <w:t>作</w:t>
            </w:r>
            <w:r>
              <w:rPr>
                <w:rFonts w:ascii="微软雅黑" w:eastAsia="微软雅黑"/>
                <w:b/>
                <w:w w:val="95"/>
                <w:sz w:val="22"/>
              </w:rPr>
              <w:t>用</w:t>
            </w:r>
            <w:r>
              <w:rPr>
                <w:rFonts w:ascii="微软雅黑" w:eastAsia="微软雅黑"/>
                <w:b/>
                <w:w w:val="95"/>
                <w:sz w:val="22"/>
              </w:rPr>
              <w:t>的</w:t>
            </w:r>
            <w:r>
              <w:rPr>
                <w:rFonts w:ascii="微软雅黑" w:eastAsia="微软雅黑"/>
                <w:b/>
                <w:spacing w:val="-10"/>
                <w:w w:val="95"/>
                <w:sz w:val="22"/>
              </w:rPr>
              <w:t>疗</w:t>
            </w:r>
          </w:p>
        </w:tc>
        <w:tc>
          <w:tcPr>
            <w:tcW w:w="97" w:type="dxa"/>
            <w:tcBorders>
              <w:top w:val="single" w:sz="12" w:space="0" w:color="FFFFFF"/>
              <w:bottom w:val="single" w:sz="12" w:space="0" w:color="FFFFFF"/>
            </w:tcBorders>
            <w:shd w:val="clear" w:color="auto" w:fill="D9D9D9"/>
          </w:tcPr>
          <w:p>
            <w:pPr>
              <w:pStyle w:val="TableParagraph"/>
              <w:rPr>
                <w:rFonts w:ascii="Times New Roman"/>
                <w:sz w:val="20"/>
              </w:rPr>
            </w:pPr>
          </w:p>
        </w:tc>
      </w:tr>
      <w:tr>
        <w:trPr>
          <w:trHeight w:val="281" w:hRule="atLeast"/>
        </w:trPr>
        <w:tc>
          <w:tcPr>
            <w:tcW w:w="6838" w:type="dxa"/>
            <w:gridSpan w:val="3"/>
            <w:tcBorders>
              <w:top w:val="single" w:sz="12" w:space="0" w:color="FFFFFF"/>
              <w:bottom w:val="single" w:sz="12" w:space="0" w:color="FFFFFF"/>
            </w:tcBorders>
            <w:shd w:val="clear" w:color="auto" w:fill="D9D9D9"/>
          </w:tcPr>
          <w:p>
            <w:pPr>
              <w:pStyle w:val="TableParagraph"/>
              <w:spacing w:line="262" w:lineRule="exact"/>
              <w:ind w:right="-15"/>
              <w:rPr>
                <w:rFonts w:ascii="微软雅黑" w:eastAsia="微软雅黑"/>
                <w:b/>
                <w:sz w:val="22"/>
              </w:rPr>
            </w:pPr>
            <w:r>
              <w:rPr>
                <w:rFonts w:ascii="微软雅黑" w:eastAsia="微软雅黑"/>
                <w:b/>
                <w:w w:val="95"/>
                <w:sz w:val="22"/>
              </w:rPr>
              <w:t>法</w:t>
            </w:r>
            <w:r>
              <w:rPr>
                <w:rFonts w:ascii="微软雅黑" w:eastAsia="微软雅黑"/>
                <w:b/>
                <w:w w:val="95"/>
                <w:sz w:val="22"/>
              </w:rPr>
              <w:t>被</w:t>
            </w:r>
            <w:r>
              <w:rPr>
                <w:rFonts w:ascii="微软雅黑" w:eastAsia="微软雅黑"/>
                <w:b/>
                <w:w w:val="95"/>
                <w:sz w:val="22"/>
              </w:rPr>
              <w:t>发</w:t>
            </w:r>
            <w:r>
              <w:rPr>
                <w:rFonts w:ascii="微软雅黑" w:eastAsia="微软雅黑"/>
                <w:b/>
                <w:w w:val="95"/>
                <w:sz w:val="22"/>
              </w:rPr>
              <w:t>现</w:t>
            </w:r>
            <w:r>
              <w:rPr>
                <w:rFonts w:ascii="微软雅黑" w:eastAsia="微软雅黑"/>
                <w:b/>
                <w:w w:val="95"/>
                <w:sz w:val="22"/>
              </w:rPr>
              <w:t>以</w:t>
            </w:r>
            <w:r>
              <w:rPr>
                <w:rFonts w:ascii="微软雅黑" w:eastAsia="微软雅黑"/>
                <w:b/>
                <w:w w:val="95"/>
                <w:sz w:val="22"/>
              </w:rPr>
              <w:t>后，</w:t>
            </w:r>
            <w:r>
              <w:rPr>
                <w:rFonts w:ascii="微软雅黑" w:eastAsia="微软雅黑"/>
                <w:b/>
                <w:w w:val="95"/>
                <w:sz w:val="22"/>
              </w:rPr>
              <w:t>或</w:t>
            </w:r>
            <w:r>
              <w:rPr>
                <w:rFonts w:ascii="微软雅黑" w:eastAsia="微软雅黑"/>
                <w:b/>
                <w:w w:val="95"/>
                <w:sz w:val="22"/>
              </w:rPr>
              <w:t>能</w:t>
            </w:r>
            <w:r>
              <w:rPr>
                <w:rFonts w:ascii="微软雅黑" w:eastAsia="微软雅黑"/>
                <w:b/>
                <w:w w:val="95"/>
                <w:sz w:val="22"/>
              </w:rPr>
              <w:t>防</w:t>
            </w:r>
            <w:r>
              <w:rPr>
                <w:rFonts w:ascii="微软雅黑" w:eastAsia="微软雅黑"/>
                <w:b/>
                <w:w w:val="95"/>
                <w:sz w:val="22"/>
              </w:rPr>
              <w:t>止</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病（AIDS）</w:t>
            </w:r>
            <w:r>
              <w:rPr>
                <w:rFonts w:ascii="微软雅黑" w:eastAsia="微软雅黑"/>
                <w:b/>
                <w:w w:val="95"/>
                <w:sz w:val="22"/>
              </w:rPr>
              <w:t>发</w:t>
            </w:r>
            <w:r>
              <w:rPr>
                <w:rFonts w:ascii="微软雅黑" w:eastAsia="微软雅黑"/>
                <w:b/>
                <w:w w:val="95"/>
                <w:sz w:val="22"/>
              </w:rPr>
              <w:t>生</w:t>
            </w:r>
            <w:r>
              <w:rPr>
                <w:rFonts w:ascii="微软雅黑" w:eastAsia="微软雅黑"/>
                <w:b/>
                <w:w w:val="95"/>
                <w:sz w:val="22"/>
              </w:rPr>
              <w:t>的</w:t>
            </w:r>
            <w:r>
              <w:rPr>
                <w:rFonts w:ascii="微软雅黑" w:eastAsia="微软雅黑"/>
                <w:b/>
                <w:w w:val="95"/>
                <w:sz w:val="22"/>
              </w:rPr>
              <w:t>医</w:t>
            </w:r>
            <w:r>
              <w:rPr>
                <w:rFonts w:ascii="微软雅黑" w:eastAsia="微软雅黑"/>
                <w:b/>
                <w:w w:val="95"/>
                <w:sz w:val="22"/>
              </w:rPr>
              <w:t>疗</w:t>
            </w:r>
            <w:r>
              <w:rPr>
                <w:rFonts w:ascii="微软雅黑" w:eastAsia="微软雅黑"/>
                <w:b/>
                <w:w w:val="95"/>
                <w:sz w:val="22"/>
              </w:rPr>
              <w:t>方</w:t>
            </w:r>
            <w:r>
              <w:rPr>
                <w:rFonts w:ascii="微软雅黑" w:eastAsia="微软雅黑"/>
                <w:b/>
                <w:w w:val="95"/>
                <w:sz w:val="22"/>
              </w:rPr>
              <w:t>法</w:t>
            </w:r>
            <w:r>
              <w:rPr>
                <w:rFonts w:ascii="微软雅黑" w:eastAsia="微软雅黑"/>
                <w:b/>
                <w:w w:val="95"/>
                <w:sz w:val="22"/>
              </w:rPr>
              <w:t>被</w:t>
            </w:r>
            <w:r>
              <w:rPr>
                <w:rFonts w:ascii="微软雅黑" w:eastAsia="微软雅黑"/>
                <w:b/>
                <w:w w:val="95"/>
                <w:sz w:val="22"/>
              </w:rPr>
              <w:t>研</w:t>
            </w:r>
            <w:r>
              <w:rPr>
                <w:rFonts w:ascii="微软雅黑" w:eastAsia="微软雅黑"/>
                <w:b/>
                <w:w w:val="95"/>
                <w:sz w:val="22"/>
              </w:rPr>
              <w:t>究</w:t>
            </w:r>
            <w:r>
              <w:rPr>
                <w:rFonts w:ascii="微软雅黑" w:eastAsia="微软雅黑"/>
                <w:b/>
                <w:w w:val="95"/>
                <w:sz w:val="22"/>
              </w:rPr>
              <w:t>出</w:t>
            </w:r>
            <w:r>
              <w:rPr>
                <w:rFonts w:ascii="微软雅黑" w:eastAsia="微软雅黑"/>
                <w:b/>
                <w:w w:val="95"/>
                <w:sz w:val="22"/>
              </w:rPr>
              <w:t>来</w:t>
            </w:r>
            <w:r>
              <w:rPr>
                <w:rFonts w:ascii="微软雅黑" w:eastAsia="微软雅黑"/>
                <w:b/>
                <w:spacing w:val="-10"/>
                <w:w w:val="95"/>
                <w:sz w:val="22"/>
              </w:rPr>
              <w:t>以</w:t>
            </w:r>
          </w:p>
        </w:tc>
      </w:tr>
      <w:tr>
        <w:trPr>
          <w:trHeight w:val="285" w:hRule="atLeast"/>
        </w:trPr>
        <w:tc>
          <w:tcPr>
            <w:tcW w:w="2871" w:type="dxa"/>
            <w:tcBorders>
              <w:top w:val="single" w:sz="12" w:space="0" w:color="FFFFFF"/>
            </w:tcBorders>
            <w:shd w:val="clear" w:color="auto" w:fill="D9D9D9"/>
          </w:tcPr>
          <w:p>
            <w:pPr>
              <w:pStyle w:val="TableParagraph"/>
              <w:spacing w:line="265" w:lineRule="exact"/>
              <w:jc w:val="center"/>
              <w:rPr>
                <w:rFonts w:ascii="微软雅黑" w:eastAsia="微软雅黑"/>
                <w:b/>
                <w:sz w:val="22"/>
              </w:rPr>
            </w:pPr>
            <w:r>
              <w:rPr>
                <w:rFonts w:ascii="微软雅黑" w:eastAsia="微软雅黑"/>
                <w:b/>
                <w:spacing w:val="-1"/>
                <w:sz w:val="22"/>
              </w:rPr>
              <w:t>后，本保障将不再予以赔付。</w:t>
            </w:r>
          </w:p>
        </w:tc>
        <w:tc>
          <w:tcPr>
            <w:tcW w:w="3967" w:type="dxa"/>
            <w:gridSpan w:val="2"/>
            <w:tcBorders>
              <w:top w:val="single" w:sz="12" w:space="0" w:color="FFFFFF"/>
            </w:tcBorders>
          </w:tcPr>
          <w:p>
            <w:pPr>
              <w:pStyle w:val="TableParagraph"/>
              <w:rPr>
                <w:rFonts w:ascii="Times New Roman"/>
                <w:sz w:val="20"/>
              </w:rPr>
            </w:pPr>
          </w:p>
        </w:tc>
      </w:tr>
    </w:tbl>
    <w:p>
      <w:pPr>
        <w:spacing w:after="0"/>
        <w:rPr>
          <w:rFonts w:ascii="Times New Roman"/>
          <w:sz w:val="20"/>
        </w:rPr>
        <w:sectPr>
          <w:type w:val="continuous"/>
          <w:pgSz w:w="11910" w:h="16840"/>
          <w:pgMar w:header="566" w:footer="664" w:top="1340" w:bottom="860" w:left="900" w:right="720"/>
        </w:sectPr>
      </w:pPr>
    </w:p>
    <w:p>
      <w:pPr>
        <w:pStyle w:val="BodyText"/>
        <w:spacing w:before="5"/>
        <w:rPr>
          <w:sz w:val="14"/>
        </w:rPr>
      </w:pPr>
    </w:p>
    <w:p>
      <w:pPr>
        <w:spacing w:after="0"/>
        <w:rPr>
          <w:sz w:val="14"/>
        </w:rPr>
        <w:sectPr>
          <w:pgSz w:w="11910" w:h="16840"/>
          <w:pgMar w:header="566" w:footer="664" w:top="1340" w:bottom="860" w:left="900" w:right="720"/>
        </w:sectPr>
      </w:pPr>
    </w:p>
    <w:p>
      <w:pPr>
        <w:pStyle w:val="ListParagraph"/>
        <w:numPr>
          <w:ilvl w:val="2"/>
          <w:numId w:val="38"/>
        </w:numPr>
        <w:tabs>
          <w:tab w:pos="1190" w:val="left" w:leader="none"/>
          <w:tab w:pos="1191" w:val="left" w:leader="none"/>
        </w:tabs>
        <w:spacing w:line="350" w:lineRule="exact" w:before="4" w:after="0"/>
        <w:ind w:left="1190" w:right="0" w:hanging="959"/>
        <w:jc w:val="left"/>
        <w:rPr>
          <w:rFonts w:ascii="微软雅黑" w:eastAsia="微软雅黑"/>
          <w:b/>
          <w:sz w:val="21"/>
        </w:rPr>
      </w:pPr>
      <w:r>
        <w:rPr>
          <w:rFonts w:ascii="微软雅黑" w:eastAsia="微软雅黑"/>
          <w:b/>
          <w:spacing w:val="-2"/>
          <w:sz w:val="21"/>
        </w:rPr>
        <w:t>因职业关系导致</w:t>
      </w:r>
    </w:p>
    <w:p>
      <w:pPr>
        <w:spacing w:line="194" w:lineRule="auto" w:before="15"/>
        <w:ind w:left="1190" w:right="38" w:firstLine="0"/>
        <w:jc w:val="left"/>
        <w:rPr>
          <w:rFonts w:ascii="微软雅黑" w:eastAsia="微软雅黑"/>
          <w:b/>
          <w:sz w:val="21"/>
        </w:rPr>
      </w:pPr>
      <w:r>
        <w:rPr>
          <w:rFonts w:ascii="微软雅黑" w:eastAsia="微软雅黑"/>
          <w:b/>
          <w:spacing w:val="-2"/>
          <w:sz w:val="21"/>
        </w:rPr>
        <w:t>的艾滋病病毒感</w:t>
      </w:r>
      <w:r>
        <w:rPr>
          <w:rFonts w:ascii="微软雅黑" w:eastAsia="微软雅黑"/>
          <w:b/>
          <w:spacing w:val="-2"/>
          <w:sz w:val="21"/>
        </w:rPr>
        <w:t>染或患艾滋病</w:t>
      </w:r>
    </w:p>
    <w:p>
      <w:pPr>
        <w:pStyle w:val="BodyText"/>
        <w:spacing w:line="278" w:lineRule="auto" w:before="71"/>
        <w:ind w:left="232" w:right="406"/>
      </w:pPr>
      <w:r>
        <w:rPr/>
        <w:br w:type="column"/>
      </w:r>
      <w:r>
        <w:rPr>
          <w:spacing w:val="-7"/>
        </w:rPr>
        <w:t>指被保险人在其常规职业工作过程中遭遇外伤，或者职业需要处理血液或者</w:t>
      </w:r>
      <w:r>
        <w:rPr>
          <w:spacing w:val="-2"/>
        </w:rPr>
        <w:t>其他体液时感染上人类免疫缺陷病毒（HIV）。</w:t>
      </w:r>
    </w:p>
    <w:p>
      <w:pPr>
        <w:pStyle w:val="BodyText"/>
        <w:spacing w:line="269" w:lineRule="exact"/>
        <w:ind w:left="232"/>
      </w:pPr>
      <w:r>
        <w:rPr>
          <w:spacing w:val="-3"/>
        </w:rPr>
        <w:t>理赔必须符合下列全部条件：</w:t>
      </w:r>
    </w:p>
    <w:p>
      <w:pPr>
        <w:pStyle w:val="BodyText"/>
        <w:spacing w:line="278" w:lineRule="auto" w:before="43"/>
        <w:ind w:left="232" w:right="418"/>
      </w:pPr>
      <w:r>
        <w:rPr/>
        <w:pict>
          <v:shape style="position:absolute;margin-left:54.139999pt;margin-top:131.375015pt;width:484.6pt;height:458.5pt;mso-position-horizontal-relative:page;mso-position-vertical-relative:paragraph;z-index:15759872" type="#_x0000_t202" id="docshape5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7"/>
                    <w:gridCol w:w="2007"/>
                    <w:gridCol w:w="6837"/>
                  </w:tblGrid>
                  <w:tr>
                    <w:trPr>
                      <w:trHeight w:val="886" w:hRule="atLeast"/>
                    </w:trPr>
                    <w:tc>
                      <w:tcPr>
                        <w:tcW w:w="2854" w:type="dxa"/>
                        <w:gridSpan w:val="2"/>
                        <w:vMerge w:val="restart"/>
                      </w:tcPr>
                      <w:p>
                        <w:pPr>
                          <w:pStyle w:val="TableParagraph"/>
                          <w:rPr>
                            <w:rFonts w:ascii="Times New Roman"/>
                            <w:sz w:val="20"/>
                          </w:rPr>
                        </w:pPr>
                      </w:p>
                    </w:tc>
                    <w:tc>
                      <w:tcPr>
                        <w:tcW w:w="6837" w:type="dxa"/>
                      </w:tcPr>
                      <w:p>
                        <w:pPr>
                          <w:pStyle w:val="TableParagraph"/>
                          <w:numPr>
                            <w:ilvl w:val="0"/>
                            <w:numId w:val="44"/>
                          </w:numPr>
                          <w:tabs>
                            <w:tab w:pos="530" w:val="left" w:leader="none"/>
                          </w:tabs>
                          <w:spacing w:line="241" w:lineRule="exact" w:before="0" w:after="0"/>
                          <w:ind w:left="529" w:right="0" w:hanging="530"/>
                          <w:jc w:val="left"/>
                          <w:rPr>
                            <w:sz w:val="21"/>
                          </w:rPr>
                        </w:pPr>
                        <w:r>
                          <w:rPr>
                            <w:spacing w:val="-5"/>
                            <w:sz w:val="21"/>
                          </w:rPr>
                          <w:t>必须提供被保险人在所报事故发生后的 </w:t>
                        </w:r>
                        <w:r>
                          <w:rPr>
                            <w:spacing w:val="-2"/>
                            <w:sz w:val="21"/>
                          </w:rPr>
                          <w:t>5</w:t>
                        </w:r>
                        <w:r>
                          <w:rPr>
                            <w:spacing w:val="-10"/>
                            <w:sz w:val="21"/>
                          </w:rPr>
                          <w:t> 天以内进行的检查报告，该</w:t>
                        </w:r>
                      </w:p>
                      <w:p>
                        <w:pPr>
                          <w:pStyle w:val="TableParagraph"/>
                          <w:spacing w:before="43"/>
                          <w:rPr>
                            <w:sz w:val="21"/>
                          </w:rPr>
                        </w:pPr>
                        <w:r>
                          <w:rPr>
                            <w:spacing w:val="-6"/>
                            <w:sz w:val="21"/>
                          </w:rPr>
                          <w:t>报告必须显示被保险人血液 </w:t>
                        </w:r>
                        <w:r>
                          <w:rPr>
                            <w:spacing w:val="-2"/>
                            <w:sz w:val="21"/>
                          </w:rPr>
                          <w:t>HIV</w:t>
                        </w:r>
                        <w:r>
                          <w:rPr>
                            <w:spacing w:val="-17"/>
                            <w:sz w:val="21"/>
                          </w:rPr>
                          <w:t> 病毒阴性或 </w:t>
                        </w:r>
                        <w:r>
                          <w:rPr>
                            <w:spacing w:val="-2"/>
                            <w:sz w:val="21"/>
                          </w:rPr>
                          <w:t>HIV</w:t>
                        </w:r>
                        <w:r>
                          <w:rPr>
                            <w:spacing w:val="-12"/>
                            <w:sz w:val="21"/>
                          </w:rPr>
                          <w:t> 抗体阴性；</w:t>
                        </w:r>
                      </w:p>
                      <w:p>
                        <w:pPr>
                          <w:pStyle w:val="TableParagraph"/>
                          <w:numPr>
                            <w:ilvl w:val="0"/>
                            <w:numId w:val="44"/>
                          </w:numPr>
                          <w:tabs>
                            <w:tab w:pos="530" w:val="left" w:leader="none"/>
                          </w:tabs>
                          <w:spacing w:line="240" w:lineRule="auto" w:before="43" w:after="0"/>
                          <w:ind w:left="529" w:right="-15" w:hanging="530"/>
                          <w:jc w:val="left"/>
                          <w:rPr>
                            <w:sz w:val="21"/>
                          </w:rPr>
                        </w:pPr>
                        <w:r>
                          <w:rPr>
                            <w:spacing w:val="-4"/>
                            <w:sz w:val="21"/>
                          </w:rPr>
                          <w:t>必须在事故发生后的 </w:t>
                        </w:r>
                        <w:r>
                          <w:rPr>
                            <w:sz w:val="21"/>
                          </w:rPr>
                          <w:t>6</w:t>
                        </w:r>
                        <w:r>
                          <w:rPr>
                            <w:spacing w:val="-3"/>
                            <w:sz w:val="21"/>
                          </w:rPr>
                          <w:t> 个月内证实被保险人体内存在</w:t>
                        </w:r>
                        <w:r>
                          <w:rPr>
                            <w:sz w:val="21"/>
                          </w:rPr>
                          <w:t>HIV</w:t>
                        </w:r>
                        <w:r>
                          <w:rPr>
                            <w:spacing w:val="-8"/>
                            <w:sz w:val="21"/>
                          </w:rPr>
                          <w:t> 病毒或者</w:t>
                        </w:r>
                        <w:r>
                          <w:rPr>
                            <w:sz w:val="21"/>
                          </w:rPr>
                          <w:t> </w:t>
                        </w:r>
                        <w:r>
                          <w:rPr>
                            <w:spacing w:val="-4"/>
                            <w:sz w:val="21"/>
                          </w:rPr>
                          <w:t>HIV</w:t>
                        </w:r>
                      </w:p>
                    </w:tc>
                  </w:tr>
                  <w:tr>
                    <w:trPr>
                      <w:trHeight w:val="323" w:hRule="atLeast"/>
                    </w:trPr>
                    <w:tc>
                      <w:tcPr>
                        <w:tcW w:w="2854" w:type="dxa"/>
                        <w:gridSpan w:val="2"/>
                        <w:vMerge/>
                        <w:tcBorders>
                          <w:top w:val="nil"/>
                        </w:tcBorders>
                      </w:tcPr>
                      <w:p>
                        <w:pPr>
                          <w:rPr>
                            <w:sz w:val="2"/>
                            <w:szCs w:val="2"/>
                          </w:rPr>
                        </w:pPr>
                      </w:p>
                    </w:tc>
                    <w:tc>
                      <w:tcPr>
                        <w:tcW w:w="6837" w:type="dxa"/>
                      </w:tcPr>
                      <w:p>
                        <w:pPr>
                          <w:pStyle w:val="TableParagraph"/>
                          <w:spacing w:before="22"/>
                          <w:rPr>
                            <w:sz w:val="21"/>
                          </w:rPr>
                        </w:pPr>
                        <w:r>
                          <w:rPr>
                            <w:spacing w:val="-9"/>
                            <w:sz w:val="21"/>
                          </w:rPr>
                          <w:t>抗体，即血液 </w:t>
                        </w:r>
                        <w:r>
                          <w:rPr>
                            <w:spacing w:val="-2"/>
                            <w:sz w:val="21"/>
                          </w:rPr>
                          <w:t>HIV</w:t>
                        </w:r>
                        <w:r>
                          <w:rPr>
                            <w:spacing w:val="-17"/>
                            <w:sz w:val="21"/>
                          </w:rPr>
                          <w:t> 病毒阳性或 </w:t>
                        </w:r>
                        <w:r>
                          <w:rPr>
                            <w:spacing w:val="-2"/>
                            <w:sz w:val="21"/>
                          </w:rPr>
                          <w:t>HIV</w:t>
                        </w:r>
                        <w:r>
                          <w:rPr>
                            <w:spacing w:val="-12"/>
                            <w:sz w:val="21"/>
                          </w:rPr>
                          <w:t> 抗体阳性。</w:t>
                        </w:r>
                      </w:p>
                    </w:tc>
                  </w:tr>
                  <w:tr>
                    <w:trPr>
                      <w:trHeight w:val="285" w:hRule="atLeast"/>
                    </w:trPr>
                    <w:tc>
                      <w:tcPr>
                        <w:tcW w:w="2854" w:type="dxa"/>
                        <w:gridSpan w:val="2"/>
                        <w:vMerge/>
                        <w:tcBorders>
                          <w:top w:val="nil"/>
                        </w:tcBorders>
                      </w:tcPr>
                      <w:p>
                        <w:pPr>
                          <w:rPr>
                            <w:sz w:val="2"/>
                            <w:szCs w:val="2"/>
                          </w:rPr>
                        </w:pPr>
                      </w:p>
                    </w:tc>
                    <w:tc>
                      <w:tcPr>
                        <w:tcW w:w="6837" w:type="dxa"/>
                        <w:tcBorders>
                          <w:bottom w:val="single" w:sz="12" w:space="0" w:color="FFFFFF"/>
                        </w:tcBorders>
                        <w:shd w:val="clear" w:color="auto" w:fill="D9D9D9"/>
                      </w:tcPr>
                      <w:p>
                        <w:pPr>
                          <w:pStyle w:val="TableParagraph"/>
                          <w:spacing w:line="265" w:lineRule="exact"/>
                          <w:rPr>
                            <w:rFonts w:ascii="微软雅黑" w:eastAsia="微软雅黑"/>
                            <w:b/>
                            <w:sz w:val="22"/>
                          </w:rPr>
                        </w:pPr>
                        <w:r>
                          <w:rPr>
                            <w:rFonts w:ascii="微软雅黑" w:eastAsia="微软雅黑"/>
                            <w:b/>
                            <w:w w:val="95"/>
                            <w:sz w:val="22"/>
                          </w:rPr>
                          <w:t>在</w:t>
                        </w:r>
                        <w:r>
                          <w:rPr>
                            <w:rFonts w:ascii="微软雅黑" w:eastAsia="微软雅黑"/>
                            <w:b/>
                            <w:w w:val="95"/>
                            <w:sz w:val="22"/>
                          </w:rPr>
                          <w:t>任</w:t>
                        </w:r>
                        <w:r>
                          <w:rPr>
                            <w:rFonts w:ascii="微软雅黑" w:eastAsia="微软雅黑"/>
                            <w:b/>
                            <w:w w:val="95"/>
                            <w:sz w:val="22"/>
                          </w:rPr>
                          <w:t>何</w:t>
                        </w:r>
                        <w:r>
                          <w:rPr>
                            <w:rFonts w:ascii="微软雅黑" w:eastAsia="微软雅黑"/>
                            <w:b/>
                            <w:w w:val="95"/>
                            <w:sz w:val="22"/>
                          </w:rPr>
                          <w:t>治</w:t>
                        </w:r>
                        <w:r>
                          <w:rPr>
                            <w:rFonts w:ascii="微软雅黑" w:eastAsia="微软雅黑"/>
                            <w:b/>
                            <w:w w:val="95"/>
                            <w:sz w:val="22"/>
                          </w:rPr>
                          <w:t>愈</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（AIDS）</w:t>
                        </w:r>
                        <w:r>
                          <w:rPr>
                            <w:rFonts w:ascii="微软雅黑" w:eastAsia="微软雅黑"/>
                            <w:b/>
                            <w:w w:val="95"/>
                            <w:sz w:val="22"/>
                          </w:rPr>
                          <w:t>或</w:t>
                        </w:r>
                        <w:r>
                          <w:rPr>
                            <w:rFonts w:ascii="微软雅黑" w:eastAsia="微软雅黑"/>
                            <w:b/>
                            <w:w w:val="95"/>
                            <w:sz w:val="22"/>
                          </w:rPr>
                          <w:t>阻</w:t>
                        </w:r>
                        <w:r>
                          <w:rPr>
                            <w:rFonts w:ascii="微软雅黑" w:eastAsia="微软雅黑"/>
                            <w:b/>
                            <w:w w:val="95"/>
                            <w:sz w:val="22"/>
                          </w:rPr>
                          <w:t>止</w:t>
                        </w:r>
                        <w:r>
                          <w:rPr>
                            <w:rFonts w:ascii="微软雅黑" w:eastAsia="微软雅黑"/>
                            <w:b/>
                            <w:w w:val="95"/>
                            <w:sz w:val="22"/>
                          </w:rPr>
                          <w:t>人</w:t>
                        </w:r>
                        <w:r>
                          <w:rPr>
                            <w:rFonts w:ascii="微软雅黑" w:eastAsia="微软雅黑"/>
                            <w:b/>
                            <w:w w:val="95"/>
                            <w:sz w:val="22"/>
                          </w:rPr>
                          <w:t>类</w:t>
                        </w:r>
                        <w:r>
                          <w:rPr>
                            <w:rFonts w:ascii="微软雅黑" w:eastAsia="微软雅黑"/>
                            <w:b/>
                            <w:w w:val="95"/>
                            <w:sz w:val="22"/>
                          </w:rPr>
                          <w:t>免</w:t>
                        </w:r>
                        <w:r>
                          <w:rPr>
                            <w:rFonts w:ascii="微软雅黑" w:eastAsia="微软雅黑"/>
                            <w:b/>
                            <w:w w:val="95"/>
                            <w:sz w:val="22"/>
                          </w:rPr>
                          <w:t>疫</w:t>
                        </w:r>
                        <w:r>
                          <w:rPr>
                            <w:rFonts w:ascii="微软雅黑" w:eastAsia="微软雅黑"/>
                            <w:b/>
                            <w:w w:val="95"/>
                            <w:sz w:val="22"/>
                          </w:rPr>
                          <w:t>缺</w:t>
                        </w:r>
                        <w:r>
                          <w:rPr>
                            <w:rFonts w:ascii="微软雅黑" w:eastAsia="微软雅黑"/>
                            <w:b/>
                            <w:w w:val="95"/>
                            <w:sz w:val="22"/>
                          </w:rPr>
                          <w:t>陷</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（HIV）</w:t>
                        </w:r>
                        <w:r>
                          <w:rPr>
                            <w:rFonts w:ascii="微软雅黑" w:eastAsia="微软雅黑"/>
                            <w:b/>
                            <w:w w:val="95"/>
                            <w:sz w:val="22"/>
                          </w:rPr>
                          <w:t>作</w:t>
                        </w:r>
                        <w:r>
                          <w:rPr>
                            <w:rFonts w:ascii="微软雅黑" w:eastAsia="微软雅黑"/>
                            <w:b/>
                            <w:w w:val="95"/>
                            <w:sz w:val="22"/>
                          </w:rPr>
                          <w:t>用</w:t>
                        </w:r>
                        <w:r>
                          <w:rPr>
                            <w:rFonts w:ascii="微软雅黑" w:eastAsia="微软雅黑"/>
                            <w:b/>
                            <w:w w:val="95"/>
                            <w:sz w:val="22"/>
                          </w:rPr>
                          <w:t>的</w:t>
                        </w:r>
                        <w:r>
                          <w:rPr>
                            <w:rFonts w:ascii="微软雅黑" w:eastAsia="微软雅黑"/>
                            <w:b/>
                            <w:spacing w:val="-10"/>
                            <w:w w:val="95"/>
                            <w:sz w:val="22"/>
                          </w:rPr>
                          <w:t>疗</w:t>
                        </w:r>
                      </w:p>
                    </w:tc>
                  </w:tr>
                  <w:tr>
                    <w:trPr>
                      <w:trHeight w:val="293" w:hRule="atLeast"/>
                    </w:trPr>
                    <w:tc>
                      <w:tcPr>
                        <w:tcW w:w="2854" w:type="dxa"/>
                        <w:gridSpan w:val="2"/>
                        <w:vMerge/>
                        <w:tcBorders>
                          <w:top w:val="nil"/>
                        </w:tcBorders>
                      </w:tcPr>
                      <w:p>
                        <w:pPr>
                          <w:rPr>
                            <w:sz w:val="2"/>
                            <w:szCs w:val="2"/>
                          </w:rPr>
                        </w:pPr>
                      </w:p>
                    </w:tc>
                    <w:tc>
                      <w:tcPr>
                        <w:tcW w:w="6837" w:type="dxa"/>
                        <w:tcBorders>
                          <w:top w:val="single" w:sz="12" w:space="0" w:color="FFFFFF"/>
                          <w:bottom w:val="single" w:sz="12" w:space="0" w:color="FFFFFF"/>
                        </w:tcBorders>
                        <w:shd w:val="clear" w:color="auto" w:fill="D9D9D9"/>
                      </w:tcPr>
                      <w:p>
                        <w:pPr>
                          <w:pStyle w:val="TableParagraph"/>
                          <w:spacing w:line="262" w:lineRule="exact"/>
                          <w:ind w:right="-15"/>
                          <w:rPr>
                            <w:rFonts w:ascii="微软雅黑" w:eastAsia="微软雅黑"/>
                            <w:b/>
                            <w:sz w:val="22"/>
                          </w:rPr>
                        </w:pPr>
                        <w:r>
                          <w:rPr>
                            <w:rFonts w:ascii="微软雅黑" w:eastAsia="微软雅黑"/>
                            <w:b/>
                            <w:w w:val="95"/>
                            <w:sz w:val="22"/>
                          </w:rPr>
                          <w:t>法</w:t>
                        </w:r>
                        <w:r>
                          <w:rPr>
                            <w:rFonts w:ascii="微软雅黑" w:eastAsia="微软雅黑"/>
                            <w:b/>
                            <w:w w:val="95"/>
                            <w:sz w:val="22"/>
                          </w:rPr>
                          <w:t>被</w:t>
                        </w:r>
                        <w:r>
                          <w:rPr>
                            <w:rFonts w:ascii="微软雅黑" w:eastAsia="微软雅黑"/>
                            <w:b/>
                            <w:w w:val="95"/>
                            <w:sz w:val="22"/>
                          </w:rPr>
                          <w:t>发</w:t>
                        </w:r>
                        <w:r>
                          <w:rPr>
                            <w:rFonts w:ascii="微软雅黑" w:eastAsia="微软雅黑"/>
                            <w:b/>
                            <w:w w:val="95"/>
                            <w:sz w:val="22"/>
                          </w:rPr>
                          <w:t>现</w:t>
                        </w:r>
                        <w:r>
                          <w:rPr>
                            <w:rFonts w:ascii="微软雅黑" w:eastAsia="微软雅黑"/>
                            <w:b/>
                            <w:w w:val="95"/>
                            <w:sz w:val="22"/>
                          </w:rPr>
                          <w:t>以</w:t>
                        </w:r>
                        <w:r>
                          <w:rPr>
                            <w:rFonts w:ascii="微软雅黑" w:eastAsia="微软雅黑"/>
                            <w:b/>
                            <w:w w:val="95"/>
                            <w:sz w:val="22"/>
                          </w:rPr>
                          <w:t>后，</w:t>
                        </w:r>
                        <w:r>
                          <w:rPr>
                            <w:rFonts w:ascii="微软雅黑" w:eastAsia="微软雅黑"/>
                            <w:b/>
                            <w:w w:val="95"/>
                            <w:sz w:val="22"/>
                          </w:rPr>
                          <w:t>或</w:t>
                        </w:r>
                        <w:r>
                          <w:rPr>
                            <w:rFonts w:ascii="微软雅黑" w:eastAsia="微软雅黑"/>
                            <w:b/>
                            <w:w w:val="95"/>
                            <w:sz w:val="22"/>
                          </w:rPr>
                          <w:t>能</w:t>
                        </w:r>
                        <w:r>
                          <w:rPr>
                            <w:rFonts w:ascii="微软雅黑" w:eastAsia="微软雅黑"/>
                            <w:b/>
                            <w:w w:val="95"/>
                            <w:sz w:val="22"/>
                          </w:rPr>
                          <w:t>防</w:t>
                        </w:r>
                        <w:r>
                          <w:rPr>
                            <w:rFonts w:ascii="微软雅黑" w:eastAsia="微软雅黑"/>
                            <w:b/>
                            <w:w w:val="95"/>
                            <w:sz w:val="22"/>
                          </w:rPr>
                          <w:t>止</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病（AIDS）</w:t>
                        </w:r>
                        <w:r>
                          <w:rPr>
                            <w:rFonts w:ascii="微软雅黑" w:eastAsia="微软雅黑"/>
                            <w:b/>
                            <w:w w:val="95"/>
                            <w:sz w:val="22"/>
                          </w:rPr>
                          <w:t>发</w:t>
                        </w:r>
                        <w:r>
                          <w:rPr>
                            <w:rFonts w:ascii="微软雅黑" w:eastAsia="微软雅黑"/>
                            <w:b/>
                            <w:w w:val="95"/>
                            <w:sz w:val="22"/>
                          </w:rPr>
                          <w:t>生</w:t>
                        </w:r>
                        <w:r>
                          <w:rPr>
                            <w:rFonts w:ascii="微软雅黑" w:eastAsia="微软雅黑"/>
                            <w:b/>
                            <w:w w:val="95"/>
                            <w:sz w:val="22"/>
                          </w:rPr>
                          <w:t>的</w:t>
                        </w:r>
                        <w:r>
                          <w:rPr>
                            <w:rFonts w:ascii="微软雅黑" w:eastAsia="微软雅黑"/>
                            <w:b/>
                            <w:w w:val="95"/>
                            <w:sz w:val="22"/>
                          </w:rPr>
                          <w:t>医</w:t>
                        </w:r>
                        <w:r>
                          <w:rPr>
                            <w:rFonts w:ascii="微软雅黑" w:eastAsia="微软雅黑"/>
                            <w:b/>
                            <w:w w:val="95"/>
                            <w:sz w:val="22"/>
                          </w:rPr>
                          <w:t>疗</w:t>
                        </w:r>
                        <w:r>
                          <w:rPr>
                            <w:rFonts w:ascii="微软雅黑" w:eastAsia="微软雅黑"/>
                            <w:b/>
                            <w:w w:val="95"/>
                            <w:sz w:val="22"/>
                          </w:rPr>
                          <w:t>方</w:t>
                        </w:r>
                        <w:r>
                          <w:rPr>
                            <w:rFonts w:ascii="微软雅黑" w:eastAsia="微软雅黑"/>
                            <w:b/>
                            <w:w w:val="95"/>
                            <w:sz w:val="22"/>
                          </w:rPr>
                          <w:t>法</w:t>
                        </w:r>
                        <w:r>
                          <w:rPr>
                            <w:rFonts w:ascii="微软雅黑" w:eastAsia="微软雅黑"/>
                            <w:b/>
                            <w:w w:val="95"/>
                            <w:sz w:val="22"/>
                          </w:rPr>
                          <w:t>被</w:t>
                        </w:r>
                        <w:r>
                          <w:rPr>
                            <w:rFonts w:ascii="微软雅黑" w:eastAsia="微软雅黑"/>
                            <w:b/>
                            <w:w w:val="95"/>
                            <w:sz w:val="22"/>
                          </w:rPr>
                          <w:t>研</w:t>
                        </w:r>
                        <w:r>
                          <w:rPr>
                            <w:rFonts w:ascii="微软雅黑" w:eastAsia="微软雅黑"/>
                            <w:b/>
                            <w:w w:val="95"/>
                            <w:sz w:val="22"/>
                          </w:rPr>
                          <w:t>究</w:t>
                        </w:r>
                        <w:r>
                          <w:rPr>
                            <w:rFonts w:ascii="微软雅黑" w:eastAsia="微软雅黑"/>
                            <w:b/>
                            <w:w w:val="95"/>
                            <w:sz w:val="22"/>
                          </w:rPr>
                          <w:t>出</w:t>
                        </w:r>
                        <w:r>
                          <w:rPr>
                            <w:rFonts w:ascii="微软雅黑" w:eastAsia="微软雅黑"/>
                            <w:b/>
                            <w:w w:val="95"/>
                            <w:sz w:val="22"/>
                          </w:rPr>
                          <w:t>来</w:t>
                        </w:r>
                        <w:r>
                          <w:rPr>
                            <w:rFonts w:ascii="微软雅黑" w:eastAsia="微软雅黑"/>
                            <w:b/>
                            <w:spacing w:val="-10"/>
                            <w:w w:val="95"/>
                            <w:sz w:val="22"/>
                          </w:rPr>
                          <w:t>以</w:t>
                        </w:r>
                      </w:p>
                    </w:tc>
                  </w:tr>
                  <w:tr>
                    <w:trPr>
                      <w:trHeight w:val="272" w:hRule="atLeast"/>
                    </w:trPr>
                    <w:tc>
                      <w:tcPr>
                        <w:tcW w:w="2854" w:type="dxa"/>
                        <w:gridSpan w:val="2"/>
                        <w:vMerge/>
                        <w:tcBorders>
                          <w:top w:val="nil"/>
                        </w:tcBorders>
                      </w:tcPr>
                      <w:p>
                        <w:pPr>
                          <w:rPr>
                            <w:sz w:val="2"/>
                            <w:szCs w:val="2"/>
                          </w:rPr>
                        </w:pPr>
                      </w:p>
                    </w:tc>
                    <w:tc>
                      <w:tcPr>
                        <w:tcW w:w="6837" w:type="dxa"/>
                        <w:tcBorders>
                          <w:top w:val="single" w:sz="12" w:space="0" w:color="FFFFFF"/>
                        </w:tcBorders>
                      </w:tcPr>
                      <w:p>
                        <w:pPr>
                          <w:pStyle w:val="TableParagraph"/>
                          <w:spacing w:line="265" w:lineRule="exact"/>
                          <w:rPr>
                            <w:rFonts w:ascii="微软雅黑" w:eastAsia="微软雅黑"/>
                            <w:b/>
                            <w:sz w:val="22"/>
                          </w:rPr>
                        </w:pPr>
                        <w:r>
                          <w:rPr>
                            <w:rFonts w:ascii="微软雅黑" w:eastAsia="微软雅黑"/>
                            <w:b/>
                            <w:spacing w:val="-1"/>
                            <w:sz w:val="22"/>
                          </w:rPr>
                          <w:t>后，本保障将不再予以赔付。</w:t>
                        </w:r>
                      </w:p>
                    </w:tc>
                  </w:tr>
                  <w:tr>
                    <w:trPr>
                      <w:trHeight w:val="492" w:hRule="atLeast"/>
                    </w:trPr>
                    <w:tc>
                      <w:tcPr>
                        <w:tcW w:w="847" w:type="dxa"/>
                      </w:tcPr>
                      <w:p>
                        <w:pPr>
                          <w:pStyle w:val="TableParagraph"/>
                          <w:spacing w:line="337" w:lineRule="exact" w:before="135"/>
                          <w:ind w:left="50"/>
                          <w:rPr>
                            <w:rFonts w:ascii="微软雅黑"/>
                            <w:b/>
                            <w:sz w:val="21"/>
                          </w:rPr>
                        </w:pPr>
                        <w:r>
                          <w:rPr>
                            <w:rFonts w:ascii="微软雅黑"/>
                            <w:b/>
                            <w:spacing w:val="-2"/>
                            <w:sz w:val="21"/>
                          </w:rPr>
                          <w:t>8.1.40</w:t>
                        </w:r>
                      </w:p>
                    </w:tc>
                    <w:tc>
                      <w:tcPr>
                        <w:tcW w:w="2007" w:type="dxa"/>
                      </w:tcPr>
                      <w:p>
                        <w:pPr>
                          <w:pStyle w:val="TableParagraph"/>
                          <w:spacing w:line="337" w:lineRule="exact" w:before="135"/>
                          <w:ind w:left="160"/>
                          <w:rPr>
                            <w:rFonts w:ascii="微软雅黑" w:eastAsia="微软雅黑"/>
                            <w:b/>
                            <w:sz w:val="21"/>
                          </w:rPr>
                        </w:pPr>
                        <w:r>
                          <w:rPr>
                            <w:rFonts w:ascii="微软雅黑" w:eastAsia="微软雅黑"/>
                            <w:b/>
                            <w:spacing w:val="-2"/>
                            <w:sz w:val="21"/>
                          </w:rPr>
                          <w:t>严重肌营养不良</w:t>
                        </w:r>
                      </w:p>
                    </w:tc>
                    <w:tc>
                      <w:tcPr>
                        <w:tcW w:w="6837" w:type="dxa"/>
                      </w:tcPr>
                      <w:p>
                        <w:pPr>
                          <w:pStyle w:val="TableParagraph"/>
                          <w:spacing w:before="10"/>
                          <w:rPr>
                            <w:sz w:val="15"/>
                          </w:rPr>
                        </w:pPr>
                      </w:p>
                      <w:p>
                        <w:pPr>
                          <w:pStyle w:val="TableParagraph"/>
                          <w:ind w:right="-15"/>
                          <w:rPr>
                            <w:sz w:val="21"/>
                          </w:rPr>
                        </w:pPr>
                        <w:r>
                          <w:rPr>
                            <w:spacing w:val="-10"/>
                            <w:sz w:val="21"/>
                          </w:rPr>
                          <w:t>指一组原发于肌肉的疾病，临床表现为与神经系统无关的肌肉无力和肌肉萎</w:t>
                        </w:r>
                      </w:p>
                    </w:tc>
                  </w:tr>
                  <w:tr>
                    <w:trPr>
                      <w:trHeight w:val="311" w:hRule="atLeast"/>
                    </w:trPr>
                    <w:tc>
                      <w:tcPr>
                        <w:tcW w:w="847" w:type="dxa"/>
                      </w:tcPr>
                      <w:p>
                        <w:pPr>
                          <w:pStyle w:val="TableParagraph"/>
                          <w:rPr>
                            <w:rFonts w:ascii="Times New Roman"/>
                            <w:sz w:val="20"/>
                          </w:rPr>
                        </w:pPr>
                      </w:p>
                    </w:tc>
                    <w:tc>
                      <w:tcPr>
                        <w:tcW w:w="2007" w:type="dxa"/>
                      </w:tcPr>
                      <w:p>
                        <w:pPr>
                          <w:pStyle w:val="TableParagraph"/>
                          <w:spacing w:line="292" w:lineRule="exact"/>
                          <w:ind w:left="160"/>
                          <w:rPr>
                            <w:rFonts w:ascii="微软雅黑" w:eastAsia="微软雅黑"/>
                            <w:b/>
                            <w:sz w:val="21"/>
                          </w:rPr>
                        </w:pPr>
                        <w:r>
                          <w:rPr>
                            <w:rFonts w:ascii="微软雅黑" w:eastAsia="微软雅黑"/>
                            <w:b/>
                            <w:w w:val="100"/>
                            <w:sz w:val="21"/>
                          </w:rPr>
                          <w:t>症</w:t>
                        </w:r>
                      </w:p>
                    </w:tc>
                    <w:tc>
                      <w:tcPr>
                        <w:tcW w:w="6837" w:type="dxa"/>
                      </w:tcPr>
                      <w:p>
                        <w:pPr>
                          <w:pStyle w:val="TableParagraph"/>
                          <w:spacing w:before="22"/>
                          <w:rPr>
                            <w:sz w:val="21"/>
                          </w:rPr>
                        </w:pPr>
                        <w:r>
                          <w:rPr>
                            <w:spacing w:val="-3"/>
                            <w:sz w:val="21"/>
                          </w:rPr>
                          <w:t>缩。须满足下列全部条件：</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2"/>
                            <w:sz w:val="21"/>
                          </w:rPr>
                          <w:t>（1）</w:t>
                        </w:r>
                        <w:r>
                          <w:rPr>
                            <w:spacing w:val="-3"/>
                            <w:sz w:val="21"/>
                          </w:rPr>
                          <w:t>肌肉组织活检结果满足肌营养不良症的肌肉细胞变性、坏死等阳性改</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5"/>
                            <w:sz w:val="21"/>
                          </w:rPr>
                          <w:t>变；</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2"/>
                            <w:sz w:val="21"/>
                          </w:rPr>
                          <w:t>（2）</w:t>
                        </w:r>
                        <w:r>
                          <w:rPr>
                            <w:spacing w:val="-3"/>
                            <w:sz w:val="21"/>
                          </w:rPr>
                          <w:t>自主生活能力完全丧失，无法独立完成六项基本日常生活活动中的三</w:t>
                        </w:r>
                      </w:p>
                    </w:tc>
                  </w:tr>
                  <w:tr>
                    <w:trPr>
                      <w:trHeight w:val="397"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4"/>
                            <w:sz w:val="21"/>
                          </w:rPr>
                          <w:t>项或三项以上。</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8.1.41</w:t>
                        </w:r>
                      </w:p>
                    </w:tc>
                    <w:tc>
                      <w:tcPr>
                        <w:tcW w:w="2007" w:type="dxa"/>
                      </w:tcPr>
                      <w:p>
                        <w:pPr>
                          <w:pStyle w:val="TableParagraph"/>
                          <w:spacing w:line="337" w:lineRule="exact" w:before="40"/>
                          <w:ind w:left="160"/>
                          <w:rPr>
                            <w:rFonts w:ascii="微软雅黑" w:eastAsia="微软雅黑"/>
                            <w:b/>
                            <w:sz w:val="21"/>
                          </w:rPr>
                        </w:pPr>
                        <w:r>
                          <w:rPr>
                            <w:rFonts w:ascii="微软雅黑" w:eastAsia="微软雅黑"/>
                            <w:b/>
                            <w:spacing w:val="-2"/>
                            <w:sz w:val="21"/>
                          </w:rPr>
                          <w:t>严重脊髓灰质炎</w:t>
                        </w:r>
                      </w:p>
                    </w:tc>
                    <w:tc>
                      <w:tcPr>
                        <w:tcW w:w="6837" w:type="dxa"/>
                      </w:tcPr>
                      <w:p>
                        <w:pPr>
                          <w:pStyle w:val="TableParagraph"/>
                          <w:spacing w:before="107"/>
                          <w:rPr>
                            <w:sz w:val="21"/>
                          </w:rPr>
                        </w:pPr>
                        <w:r>
                          <w:rPr>
                            <w:spacing w:val="-3"/>
                            <w:sz w:val="21"/>
                          </w:rPr>
                          <w:t>指由脊髓灰质炎病毒感染所导致的运动功能障碍或呼吸功能减弱持续三个</w:t>
                        </w:r>
                      </w:p>
                    </w:tc>
                  </w:tr>
                  <w:tr>
                    <w:trPr>
                      <w:trHeight w:val="311"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ind w:right="-15"/>
                          <w:rPr>
                            <w:sz w:val="21"/>
                          </w:rPr>
                        </w:pPr>
                        <w:r>
                          <w:rPr>
                            <w:spacing w:val="-7"/>
                            <w:sz w:val="21"/>
                          </w:rPr>
                          <w:t>月以上，须导致一肢或一肢以上肢体机能永久完全丧失。肢体机能永久完全</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ind w:right="-15"/>
                          <w:rPr>
                            <w:sz w:val="21"/>
                          </w:rPr>
                        </w:pPr>
                        <w:r>
                          <w:rPr>
                            <w:spacing w:val="-8"/>
                            <w:sz w:val="21"/>
                          </w:rPr>
                          <w:t>丧失，指疾病确诊 </w:t>
                        </w:r>
                        <w:r>
                          <w:rPr>
                            <w:spacing w:val="-6"/>
                            <w:sz w:val="21"/>
                          </w:rPr>
                          <w:t>180</w:t>
                        </w:r>
                        <w:r>
                          <w:rPr>
                            <w:spacing w:val="-10"/>
                            <w:sz w:val="21"/>
                          </w:rPr>
                          <w:t> 天后，每肢三大关节中的两大关节仍然完全僵硬，或</w:t>
                        </w:r>
                      </w:p>
                    </w:tc>
                  </w:tr>
                  <w:tr>
                    <w:trPr>
                      <w:trHeight w:val="397"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4"/>
                            <w:sz w:val="21"/>
                          </w:rPr>
                          <w:t>不能随意识活动。</w:t>
                        </w:r>
                      </w:p>
                    </w:tc>
                  </w:tr>
                  <w:tr>
                    <w:trPr>
                      <w:trHeight w:val="808" w:hRule="atLeast"/>
                    </w:trPr>
                    <w:tc>
                      <w:tcPr>
                        <w:tcW w:w="847" w:type="dxa"/>
                      </w:tcPr>
                      <w:p>
                        <w:pPr>
                          <w:pStyle w:val="TableParagraph"/>
                          <w:spacing w:before="40"/>
                          <w:ind w:left="50"/>
                          <w:rPr>
                            <w:rFonts w:ascii="微软雅黑"/>
                            <w:b/>
                            <w:sz w:val="21"/>
                          </w:rPr>
                        </w:pPr>
                        <w:r>
                          <w:rPr>
                            <w:rFonts w:ascii="微软雅黑"/>
                            <w:b/>
                            <w:spacing w:val="-2"/>
                            <w:sz w:val="21"/>
                          </w:rPr>
                          <w:t>8.1.42</w:t>
                        </w:r>
                      </w:p>
                    </w:tc>
                    <w:tc>
                      <w:tcPr>
                        <w:tcW w:w="2007" w:type="dxa"/>
                      </w:tcPr>
                      <w:p>
                        <w:pPr>
                          <w:pStyle w:val="TableParagraph"/>
                          <w:spacing w:line="194" w:lineRule="auto" w:before="92"/>
                          <w:ind w:left="160" w:right="365"/>
                          <w:rPr>
                            <w:rFonts w:ascii="微软雅黑" w:eastAsia="微软雅黑"/>
                            <w:b/>
                            <w:sz w:val="21"/>
                          </w:rPr>
                        </w:pPr>
                        <w:r>
                          <w:rPr>
                            <w:rFonts w:ascii="微软雅黑" w:eastAsia="微软雅黑"/>
                            <w:b/>
                            <w:spacing w:val="-2"/>
                            <w:sz w:val="21"/>
                          </w:rPr>
                          <w:t>心脏粘液瘤手术</w:t>
                        </w:r>
                        <w:r>
                          <w:rPr>
                            <w:rFonts w:ascii="微软雅黑" w:eastAsia="微软雅黑"/>
                            <w:b/>
                            <w:spacing w:val="-6"/>
                            <w:sz w:val="21"/>
                          </w:rPr>
                          <w:t>切除</w:t>
                        </w:r>
                      </w:p>
                    </w:tc>
                    <w:tc>
                      <w:tcPr>
                        <w:tcW w:w="6837" w:type="dxa"/>
                      </w:tcPr>
                      <w:p>
                        <w:pPr>
                          <w:pStyle w:val="TableParagraph"/>
                          <w:spacing w:line="252" w:lineRule="exact" w:before="126"/>
                          <w:rPr>
                            <w:sz w:val="21"/>
                          </w:rPr>
                        </w:pPr>
                        <w:r>
                          <w:rPr>
                            <w:spacing w:val="-3"/>
                            <w:sz w:val="21"/>
                          </w:rPr>
                          <w:t>指为了治疗心脏粘液瘤，实际实施了开胸开心心脏粘液瘤切除手术。</w:t>
                        </w:r>
                      </w:p>
                      <w:p>
                        <w:pPr>
                          <w:pStyle w:val="TableParagraph"/>
                          <w:spacing w:line="388" w:lineRule="exact"/>
                          <w:rPr>
                            <w:rFonts w:ascii="微软雅黑" w:eastAsia="微软雅黑"/>
                            <w:b/>
                            <w:sz w:val="22"/>
                          </w:rPr>
                        </w:pPr>
                        <w:r>
                          <w:rPr>
                            <w:rFonts w:ascii="微软雅黑" w:eastAsia="微软雅黑"/>
                            <w:b/>
                            <w:color w:val="000000"/>
                            <w:spacing w:val="-1"/>
                            <w:sz w:val="22"/>
                            <w:shd w:fill="D9D9D9" w:color="auto" w:val="clear"/>
                          </w:rPr>
                          <w:t>经导管介入手术治疗不在保障范围内。</w:t>
                        </w:r>
                      </w:p>
                    </w:tc>
                  </w:tr>
                  <w:tr>
                    <w:trPr>
                      <w:trHeight w:val="388" w:hRule="atLeast"/>
                    </w:trPr>
                    <w:tc>
                      <w:tcPr>
                        <w:tcW w:w="847" w:type="dxa"/>
                      </w:tcPr>
                      <w:p>
                        <w:pPr>
                          <w:pStyle w:val="TableParagraph"/>
                          <w:spacing w:line="337" w:lineRule="exact" w:before="31"/>
                          <w:ind w:left="50"/>
                          <w:rPr>
                            <w:rFonts w:ascii="微软雅黑"/>
                            <w:b/>
                            <w:sz w:val="21"/>
                          </w:rPr>
                        </w:pPr>
                        <w:r>
                          <w:rPr>
                            <w:rFonts w:ascii="微软雅黑"/>
                            <w:b/>
                            <w:spacing w:val="-2"/>
                            <w:sz w:val="21"/>
                          </w:rPr>
                          <w:t>8.1.43</w:t>
                        </w:r>
                      </w:p>
                    </w:tc>
                    <w:tc>
                      <w:tcPr>
                        <w:tcW w:w="2007" w:type="dxa"/>
                      </w:tcPr>
                      <w:p>
                        <w:pPr>
                          <w:pStyle w:val="TableParagraph"/>
                          <w:spacing w:line="337" w:lineRule="exact" w:before="31"/>
                          <w:ind w:left="160"/>
                          <w:rPr>
                            <w:rFonts w:ascii="微软雅黑" w:eastAsia="微软雅黑"/>
                            <w:b/>
                            <w:sz w:val="21"/>
                          </w:rPr>
                        </w:pPr>
                        <w:r>
                          <w:rPr>
                            <w:rFonts w:ascii="微软雅黑" w:eastAsia="微软雅黑"/>
                            <w:b/>
                            <w:spacing w:val="-2"/>
                            <w:sz w:val="21"/>
                          </w:rPr>
                          <w:t>急性坏死性胰腺</w:t>
                        </w:r>
                      </w:p>
                    </w:tc>
                    <w:tc>
                      <w:tcPr>
                        <w:tcW w:w="6837" w:type="dxa"/>
                      </w:tcPr>
                      <w:p>
                        <w:pPr>
                          <w:pStyle w:val="TableParagraph"/>
                          <w:spacing w:before="98"/>
                          <w:ind w:right="-15"/>
                          <w:rPr>
                            <w:sz w:val="21"/>
                          </w:rPr>
                        </w:pPr>
                        <w:r>
                          <w:rPr>
                            <w:spacing w:val="-8"/>
                            <w:sz w:val="21"/>
                          </w:rPr>
                          <w:t>指被保险人被确诊为重症急性出血坏死性胰腺炎，并实际接受了外科剖腹直</w:t>
                        </w:r>
                      </w:p>
                    </w:tc>
                  </w:tr>
                  <w:tr>
                    <w:trPr>
                      <w:trHeight w:val="309" w:hRule="atLeast"/>
                    </w:trPr>
                    <w:tc>
                      <w:tcPr>
                        <w:tcW w:w="847" w:type="dxa"/>
                      </w:tcPr>
                      <w:p>
                        <w:pPr>
                          <w:pStyle w:val="TableParagraph"/>
                          <w:rPr>
                            <w:rFonts w:ascii="Times New Roman"/>
                            <w:sz w:val="20"/>
                          </w:rPr>
                        </w:pPr>
                      </w:p>
                    </w:tc>
                    <w:tc>
                      <w:tcPr>
                        <w:tcW w:w="2007" w:type="dxa"/>
                      </w:tcPr>
                      <w:p>
                        <w:pPr>
                          <w:pStyle w:val="TableParagraph"/>
                          <w:spacing w:line="289" w:lineRule="exact"/>
                          <w:ind w:left="160"/>
                          <w:rPr>
                            <w:rFonts w:ascii="微软雅黑" w:eastAsia="微软雅黑"/>
                            <w:b/>
                            <w:sz w:val="21"/>
                          </w:rPr>
                        </w:pPr>
                        <w:r>
                          <w:rPr>
                            <w:rFonts w:ascii="微软雅黑" w:eastAsia="微软雅黑"/>
                            <w:b/>
                            <w:spacing w:val="-2"/>
                            <w:sz w:val="21"/>
                          </w:rPr>
                          <w:t>炎开腹手术</w:t>
                        </w:r>
                      </w:p>
                    </w:tc>
                    <w:tc>
                      <w:tcPr>
                        <w:tcW w:w="6837" w:type="dxa"/>
                      </w:tcPr>
                      <w:p>
                        <w:pPr>
                          <w:pStyle w:val="TableParagraph"/>
                          <w:spacing w:line="267" w:lineRule="exact" w:before="22"/>
                          <w:rPr>
                            <w:sz w:val="21"/>
                          </w:rPr>
                        </w:pPr>
                        <w:r>
                          <w:rPr>
                            <w:spacing w:val="-3"/>
                            <w:sz w:val="21"/>
                          </w:rPr>
                          <w:t>视手术治疗，进行坏死组织清除、坏死病灶切除或胰腺切除。</w:t>
                        </w:r>
                      </w:p>
                    </w:tc>
                  </w:tr>
                  <w:tr>
                    <w:trPr>
                      <w:trHeight w:val="313"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line="294" w:lineRule="exact"/>
                          <w:rPr>
                            <w:rFonts w:ascii="微软雅黑" w:eastAsia="微软雅黑"/>
                            <w:b/>
                            <w:sz w:val="22"/>
                          </w:rPr>
                        </w:pPr>
                        <w:r>
                          <w:rPr>
                            <w:rFonts w:ascii="微软雅黑" w:eastAsia="微软雅黑"/>
                            <w:b/>
                            <w:color w:val="000000"/>
                            <w:spacing w:val="-1"/>
                            <w:sz w:val="22"/>
                            <w:shd w:fill="D9D9D9" w:color="auto" w:val="clear"/>
                          </w:rPr>
                          <w:t>腹腔镜手术治疗不在保障范围内。</w:t>
                        </w:r>
                      </w:p>
                    </w:tc>
                  </w:tr>
                  <w:tr>
                    <w:trPr>
                      <w:trHeight w:val="400"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line="351" w:lineRule="exact"/>
                          <w:rPr>
                            <w:rFonts w:ascii="微软雅黑" w:eastAsia="微软雅黑"/>
                            <w:b/>
                            <w:sz w:val="22"/>
                          </w:rPr>
                        </w:pPr>
                        <w:r>
                          <w:rPr>
                            <w:rFonts w:ascii="微软雅黑" w:eastAsia="微软雅黑"/>
                            <w:b/>
                            <w:color w:val="000000"/>
                            <w:spacing w:val="-1"/>
                            <w:sz w:val="22"/>
                            <w:shd w:fill="D9D9D9" w:color="auto" w:val="clear"/>
                          </w:rPr>
                          <w:t>因酗酒或饮酒过量所致的急性坏死性胰腺炎不在保障范围内。</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8.1.44</w:t>
                        </w:r>
                      </w:p>
                    </w:tc>
                    <w:tc>
                      <w:tcPr>
                        <w:tcW w:w="2007" w:type="dxa"/>
                      </w:tcPr>
                      <w:p>
                        <w:pPr>
                          <w:pStyle w:val="TableParagraph"/>
                          <w:spacing w:line="337" w:lineRule="exact" w:before="38"/>
                          <w:ind w:left="160"/>
                          <w:rPr>
                            <w:rFonts w:ascii="微软雅黑" w:eastAsia="微软雅黑"/>
                            <w:b/>
                            <w:sz w:val="21"/>
                          </w:rPr>
                        </w:pPr>
                        <w:r>
                          <w:rPr>
                            <w:rFonts w:ascii="微软雅黑" w:eastAsia="微软雅黑"/>
                            <w:b/>
                            <w:spacing w:val="-2"/>
                            <w:sz w:val="21"/>
                          </w:rPr>
                          <w:t>特发性慢性肾上</w:t>
                        </w:r>
                      </w:p>
                    </w:tc>
                    <w:tc>
                      <w:tcPr>
                        <w:tcW w:w="6837" w:type="dxa"/>
                      </w:tcPr>
                      <w:p>
                        <w:pPr>
                          <w:pStyle w:val="TableParagraph"/>
                          <w:spacing w:before="105"/>
                          <w:ind w:right="-15"/>
                          <w:rPr>
                            <w:sz w:val="21"/>
                          </w:rPr>
                        </w:pPr>
                        <w:r>
                          <w:rPr>
                            <w:spacing w:val="-6"/>
                            <w:sz w:val="21"/>
                          </w:rPr>
                          <w:t>指自身免疫性肾上腺炎（既往称：特发性肾上腺皮质萎缩）</w:t>
                        </w:r>
                        <w:r>
                          <w:rPr>
                            <w:spacing w:val="-7"/>
                            <w:sz w:val="21"/>
                          </w:rPr>
                          <w:t>导致肾上腺萎缩</w:t>
                        </w:r>
                      </w:p>
                    </w:tc>
                  </w:tr>
                  <w:tr>
                    <w:trPr>
                      <w:trHeight w:val="312" w:hRule="atLeast"/>
                    </w:trPr>
                    <w:tc>
                      <w:tcPr>
                        <w:tcW w:w="847" w:type="dxa"/>
                      </w:tcPr>
                      <w:p>
                        <w:pPr>
                          <w:pStyle w:val="TableParagraph"/>
                          <w:rPr>
                            <w:rFonts w:ascii="Times New Roman"/>
                            <w:sz w:val="20"/>
                          </w:rPr>
                        </w:pPr>
                      </w:p>
                    </w:tc>
                    <w:tc>
                      <w:tcPr>
                        <w:tcW w:w="2007" w:type="dxa"/>
                      </w:tcPr>
                      <w:p>
                        <w:pPr>
                          <w:pStyle w:val="TableParagraph"/>
                          <w:spacing w:line="292" w:lineRule="exact"/>
                          <w:ind w:left="160"/>
                          <w:rPr>
                            <w:rFonts w:ascii="微软雅黑" w:eastAsia="微软雅黑"/>
                            <w:b/>
                            <w:sz w:val="21"/>
                          </w:rPr>
                        </w:pPr>
                        <w:r>
                          <w:rPr>
                            <w:rFonts w:ascii="微软雅黑" w:eastAsia="微软雅黑"/>
                            <w:b/>
                            <w:spacing w:val="-2"/>
                            <w:sz w:val="21"/>
                          </w:rPr>
                          <w:t>腺皮质功能减退</w:t>
                        </w:r>
                      </w:p>
                    </w:tc>
                    <w:tc>
                      <w:tcPr>
                        <w:tcW w:w="6837" w:type="dxa"/>
                      </w:tcPr>
                      <w:p>
                        <w:pPr>
                          <w:pStyle w:val="TableParagraph"/>
                          <w:spacing w:before="22"/>
                          <w:ind w:right="-15"/>
                          <w:rPr>
                            <w:sz w:val="21"/>
                          </w:rPr>
                        </w:pPr>
                        <w:r>
                          <w:rPr>
                            <w:spacing w:val="-7"/>
                            <w:sz w:val="21"/>
                          </w:rPr>
                          <w:t>和慢性肾上腺皮质功能减退。该病须由内分泌科专科医生确诊，并且必须满</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4"/>
                            <w:sz w:val="21"/>
                          </w:rPr>
                          <w:t>足下列全部条件：</w:t>
                        </w:r>
                      </w:p>
                    </w:tc>
                  </w:tr>
                  <w:tr>
                    <w:trPr>
                      <w:trHeight w:val="261" w:hRule="atLeast"/>
                    </w:trPr>
                    <w:tc>
                      <w:tcPr>
                        <w:tcW w:w="847" w:type="dxa"/>
                      </w:tcPr>
                      <w:p>
                        <w:pPr>
                          <w:pStyle w:val="TableParagraph"/>
                          <w:rPr>
                            <w:rFonts w:ascii="Times New Roman"/>
                            <w:sz w:val="18"/>
                          </w:rPr>
                        </w:pPr>
                      </w:p>
                    </w:tc>
                    <w:tc>
                      <w:tcPr>
                        <w:tcW w:w="2007" w:type="dxa"/>
                      </w:tcPr>
                      <w:p>
                        <w:pPr>
                          <w:pStyle w:val="TableParagraph"/>
                          <w:rPr>
                            <w:rFonts w:ascii="Times New Roman"/>
                            <w:sz w:val="18"/>
                          </w:rPr>
                        </w:pPr>
                      </w:p>
                    </w:tc>
                    <w:tc>
                      <w:tcPr>
                        <w:tcW w:w="6837" w:type="dxa"/>
                      </w:tcPr>
                      <w:p>
                        <w:pPr>
                          <w:pStyle w:val="TableParagraph"/>
                          <w:spacing w:line="220" w:lineRule="exact" w:before="22"/>
                          <w:rPr>
                            <w:sz w:val="21"/>
                          </w:rPr>
                        </w:pPr>
                        <w:r>
                          <w:rPr>
                            <w:spacing w:val="-2"/>
                            <w:sz w:val="21"/>
                          </w:rPr>
                          <w:t>（1）</w:t>
                        </w:r>
                        <w:r>
                          <w:rPr>
                            <w:spacing w:val="-3"/>
                            <w:sz w:val="21"/>
                          </w:rPr>
                          <w:t>明确诊断，符合所有以下诊断标准：</w:t>
                        </w:r>
                      </w:p>
                    </w:tc>
                  </w:tr>
                </w:tbl>
                <w:p>
                  <w:pPr>
                    <w:pStyle w:val="BodyText"/>
                  </w:pPr>
                </w:p>
              </w:txbxContent>
            </v:textbox>
            <w10:wrap type="none"/>
          </v:shape>
        </w:pict>
      </w:r>
      <w:r>
        <w:rPr>
          <w:spacing w:val="-2"/>
        </w:rPr>
        <w:t>（1）感染必须是在被保险人正在从事其职业工作中发生，该职业必须属于</w:t>
      </w:r>
      <w:r>
        <w:rPr>
          <w:spacing w:val="-2"/>
        </w:rPr>
        <w:t>以下列表内的职业：</w:t>
      </w:r>
    </w:p>
    <w:p>
      <w:pPr>
        <w:pStyle w:val="BodyText"/>
        <w:spacing w:before="5"/>
        <w:rPr>
          <w:sz w:val="10"/>
        </w:rPr>
      </w:pPr>
    </w:p>
    <w:tbl>
      <w:tblPr>
        <w:tblW w:w="0" w:type="auto"/>
        <w:jc w:val="left"/>
        <w:tblInd w:w="6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31"/>
        <w:gridCol w:w="2439"/>
      </w:tblGrid>
      <w:tr>
        <w:trPr>
          <w:trHeight w:val="311" w:hRule="atLeast"/>
        </w:trPr>
        <w:tc>
          <w:tcPr>
            <w:tcW w:w="2631" w:type="dxa"/>
          </w:tcPr>
          <w:p>
            <w:pPr>
              <w:pStyle w:val="TableParagraph"/>
              <w:spacing w:before="22"/>
              <w:ind w:left="107"/>
              <w:rPr>
                <w:sz w:val="21"/>
              </w:rPr>
            </w:pPr>
            <w:r>
              <w:rPr>
                <w:spacing w:val="-4"/>
                <w:sz w:val="21"/>
              </w:rPr>
              <w:t>医生和牙科医生</w:t>
            </w:r>
          </w:p>
        </w:tc>
        <w:tc>
          <w:tcPr>
            <w:tcW w:w="2439" w:type="dxa"/>
          </w:tcPr>
          <w:p>
            <w:pPr>
              <w:pStyle w:val="TableParagraph"/>
              <w:spacing w:before="22"/>
              <w:ind w:left="107"/>
              <w:rPr>
                <w:sz w:val="21"/>
              </w:rPr>
            </w:pPr>
            <w:r>
              <w:rPr>
                <w:spacing w:val="-5"/>
                <w:sz w:val="21"/>
              </w:rPr>
              <w:t>护士</w:t>
            </w:r>
          </w:p>
        </w:tc>
      </w:tr>
      <w:tr>
        <w:trPr>
          <w:trHeight w:val="311" w:hRule="atLeast"/>
        </w:trPr>
        <w:tc>
          <w:tcPr>
            <w:tcW w:w="2631" w:type="dxa"/>
          </w:tcPr>
          <w:p>
            <w:pPr>
              <w:pStyle w:val="TableParagraph"/>
              <w:spacing w:before="22"/>
              <w:ind w:left="107"/>
              <w:rPr>
                <w:sz w:val="21"/>
              </w:rPr>
            </w:pPr>
            <w:r>
              <w:rPr>
                <w:spacing w:val="-4"/>
                <w:sz w:val="21"/>
              </w:rPr>
              <w:t>实验室工作人员</w:t>
            </w:r>
          </w:p>
        </w:tc>
        <w:tc>
          <w:tcPr>
            <w:tcW w:w="2439" w:type="dxa"/>
          </w:tcPr>
          <w:p>
            <w:pPr>
              <w:pStyle w:val="TableParagraph"/>
              <w:spacing w:before="22"/>
              <w:ind w:left="107"/>
              <w:rPr>
                <w:sz w:val="21"/>
              </w:rPr>
            </w:pPr>
            <w:r>
              <w:rPr>
                <w:spacing w:val="-4"/>
                <w:sz w:val="21"/>
              </w:rPr>
              <w:t>医院护工</w:t>
            </w:r>
          </w:p>
        </w:tc>
      </w:tr>
      <w:tr>
        <w:trPr>
          <w:trHeight w:val="311" w:hRule="atLeast"/>
        </w:trPr>
        <w:tc>
          <w:tcPr>
            <w:tcW w:w="2631" w:type="dxa"/>
          </w:tcPr>
          <w:p>
            <w:pPr>
              <w:pStyle w:val="TableParagraph"/>
              <w:spacing w:before="22"/>
              <w:ind w:left="107"/>
              <w:rPr>
                <w:sz w:val="21"/>
              </w:rPr>
            </w:pPr>
            <w:r>
              <w:rPr>
                <w:spacing w:val="-3"/>
                <w:sz w:val="21"/>
              </w:rPr>
              <w:t>医生助理和牙医助理</w:t>
            </w:r>
          </w:p>
        </w:tc>
        <w:tc>
          <w:tcPr>
            <w:tcW w:w="2439" w:type="dxa"/>
          </w:tcPr>
          <w:p>
            <w:pPr>
              <w:pStyle w:val="TableParagraph"/>
              <w:spacing w:before="22"/>
              <w:ind w:left="107"/>
              <w:rPr>
                <w:sz w:val="21"/>
              </w:rPr>
            </w:pPr>
            <w:r>
              <w:rPr>
                <w:spacing w:val="-4"/>
                <w:sz w:val="21"/>
              </w:rPr>
              <w:t>救护车工作人员</w:t>
            </w:r>
          </w:p>
        </w:tc>
      </w:tr>
      <w:tr>
        <w:trPr>
          <w:trHeight w:val="311" w:hRule="atLeast"/>
        </w:trPr>
        <w:tc>
          <w:tcPr>
            <w:tcW w:w="2631" w:type="dxa"/>
          </w:tcPr>
          <w:p>
            <w:pPr>
              <w:pStyle w:val="TableParagraph"/>
              <w:spacing w:before="22"/>
              <w:ind w:left="107"/>
              <w:rPr>
                <w:sz w:val="21"/>
              </w:rPr>
            </w:pPr>
            <w:r>
              <w:rPr>
                <w:spacing w:val="-4"/>
                <w:sz w:val="21"/>
              </w:rPr>
              <w:t>助产士</w:t>
            </w:r>
          </w:p>
        </w:tc>
        <w:tc>
          <w:tcPr>
            <w:tcW w:w="2439" w:type="dxa"/>
          </w:tcPr>
          <w:p>
            <w:pPr>
              <w:pStyle w:val="TableParagraph"/>
              <w:spacing w:before="22"/>
              <w:ind w:left="107"/>
              <w:rPr>
                <w:sz w:val="21"/>
              </w:rPr>
            </w:pPr>
            <w:r>
              <w:rPr>
                <w:spacing w:val="-4"/>
                <w:sz w:val="21"/>
              </w:rPr>
              <w:t>消防队员</w:t>
            </w:r>
          </w:p>
        </w:tc>
      </w:tr>
      <w:tr>
        <w:trPr>
          <w:trHeight w:val="313" w:hRule="atLeast"/>
        </w:trPr>
        <w:tc>
          <w:tcPr>
            <w:tcW w:w="2631" w:type="dxa"/>
          </w:tcPr>
          <w:p>
            <w:pPr>
              <w:pStyle w:val="TableParagraph"/>
              <w:spacing w:before="22"/>
              <w:ind w:left="107"/>
              <w:rPr>
                <w:sz w:val="21"/>
              </w:rPr>
            </w:pPr>
            <w:r>
              <w:rPr>
                <w:spacing w:val="-5"/>
                <w:sz w:val="21"/>
              </w:rPr>
              <w:t>警察</w:t>
            </w:r>
          </w:p>
        </w:tc>
        <w:tc>
          <w:tcPr>
            <w:tcW w:w="2439" w:type="dxa"/>
          </w:tcPr>
          <w:p>
            <w:pPr>
              <w:pStyle w:val="TableParagraph"/>
              <w:spacing w:before="22"/>
              <w:ind w:left="107"/>
              <w:rPr>
                <w:sz w:val="21"/>
              </w:rPr>
            </w:pPr>
            <w:r>
              <w:rPr>
                <w:spacing w:val="-5"/>
                <w:sz w:val="21"/>
              </w:rPr>
              <w:t>狱警</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8"/>
        </w:rPr>
      </w:pPr>
      <w:r>
        <w:rPr/>
        <w:drawing>
          <wp:anchor distT="0" distB="0" distL="0" distR="0" allowOverlap="1" layoutInCell="1" locked="0" behindDoc="0" simplePos="0" relativeHeight="59">
            <wp:simplePos x="0" y="0"/>
            <wp:positionH relativeFrom="page">
              <wp:posOffset>2499995</wp:posOffset>
            </wp:positionH>
            <wp:positionV relativeFrom="paragraph">
              <wp:posOffset>250571</wp:posOffset>
            </wp:positionV>
            <wp:extent cx="4259964" cy="182022"/>
            <wp:effectExtent l="0" t="0" r="0" b="0"/>
            <wp:wrapTopAndBottom/>
            <wp:docPr id="59" name="image15.png"/>
            <wp:cNvGraphicFramePr>
              <a:graphicFrameLocks noChangeAspect="1"/>
            </wp:cNvGraphicFramePr>
            <a:graphic>
              <a:graphicData uri="http://schemas.openxmlformats.org/drawingml/2006/picture">
                <pic:pic>
                  <pic:nvPicPr>
                    <pic:cNvPr id="60" name="image15.png"/>
                    <pic:cNvPicPr/>
                  </pic:nvPicPr>
                  <pic:blipFill>
                    <a:blip r:embed="rId26" cstate="print"/>
                    <a:stretch>
                      <a:fillRect/>
                    </a:stretch>
                  </pic:blipFill>
                  <pic:spPr>
                    <a:xfrm>
                      <a:off x="0" y="0"/>
                      <a:ext cx="4259964" cy="182022"/>
                    </a:xfrm>
                    <a:prstGeom prst="rect">
                      <a:avLst/>
                    </a:prstGeom>
                  </pic:spPr>
                </pic:pic>
              </a:graphicData>
            </a:graphic>
          </wp:anchor>
        </w:drawing>
      </w:r>
      <w:r>
        <w:rPr/>
        <w:drawing>
          <wp:anchor distT="0" distB="0" distL="0" distR="0" allowOverlap="1" layoutInCell="1" locked="0" behindDoc="0" simplePos="0" relativeHeight="60">
            <wp:simplePos x="0" y="0"/>
            <wp:positionH relativeFrom="page">
              <wp:posOffset>2499995</wp:posOffset>
            </wp:positionH>
            <wp:positionV relativeFrom="paragraph">
              <wp:posOffset>646811</wp:posOffset>
            </wp:positionV>
            <wp:extent cx="1840048" cy="184594"/>
            <wp:effectExtent l="0" t="0" r="0" b="0"/>
            <wp:wrapTopAndBottom/>
            <wp:docPr id="61" name="image16.png"/>
            <wp:cNvGraphicFramePr>
              <a:graphicFrameLocks noChangeAspect="1"/>
            </wp:cNvGraphicFramePr>
            <a:graphic>
              <a:graphicData uri="http://schemas.openxmlformats.org/drawingml/2006/picture">
                <pic:pic>
                  <pic:nvPicPr>
                    <pic:cNvPr id="62" name="image16.png"/>
                    <pic:cNvPicPr/>
                  </pic:nvPicPr>
                  <pic:blipFill>
                    <a:blip r:embed="rId27" cstate="print"/>
                    <a:stretch>
                      <a:fillRect/>
                    </a:stretch>
                  </pic:blipFill>
                  <pic:spPr>
                    <a:xfrm>
                      <a:off x="0" y="0"/>
                      <a:ext cx="1840048" cy="184594"/>
                    </a:xfrm>
                    <a:prstGeom prst="rect">
                      <a:avLst/>
                    </a:prstGeom>
                  </pic:spPr>
                </pic:pic>
              </a:graphicData>
            </a:graphic>
          </wp:anchor>
        </w:drawing>
      </w:r>
    </w:p>
    <w:p>
      <w:pPr>
        <w:pStyle w:val="BodyText"/>
        <w:spacing w:before="5"/>
        <w:rPr>
          <w:sz w:val="24"/>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6"/>
        </w:rPr>
      </w:pPr>
    </w:p>
    <w:p>
      <w:pPr>
        <w:pStyle w:val="BodyText"/>
        <w:ind w:left="405"/>
      </w:pPr>
      <w:r>
        <w:rPr>
          <w:spacing w:val="-2"/>
        </w:rPr>
        <w:t>① 血浆促肾上腺皮质激素（ACTH）</w:t>
      </w:r>
      <w:r>
        <w:rPr>
          <w:spacing w:val="-9"/>
        </w:rPr>
        <w:t>水平测定大于 </w:t>
      </w:r>
      <w:r>
        <w:rPr>
          <w:spacing w:val="-2"/>
        </w:rPr>
        <w:t>100pg/ml；</w:t>
      </w:r>
    </w:p>
    <w:p>
      <w:pPr>
        <w:pStyle w:val="BodyText"/>
        <w:spacing w:line="278" w:lineRule="auto" w:before="43"/>
        <w:ind w:left="405" w:right="454"/>
      </w:pPr>
      <w:r>
        <w:rPr>
          <w:spacing w:val="-4"/>
        </w:rPr>
        <w:t>② 血浆和尿游离皮质醇及尿 </w:t>
      </w:r>
      <w:r>
        <w:rPr/>
        <w:t>17</w:t>
      </w:r>
      <w:r>
        <w:rPr>
          <w:spacing w:val="-8"/>
        </w:rPr>
        <w:t> 羟皮质类固醇、</w:t>
      </w:r>
      <w:r>
        <w:rPr/>
        <w:t>17</w:t>
      </w:r>
      <w:r>
        <w:rPr>
          <w:spacing w:val="-8"/>
        </w:rPr>
        <w:t> 酮皮质类固醇测定、</w:t>
      </w:r>
      <w:r>
        <w:rPr>
          <w:spacing w:val="-5"/>
        </w:rPr>
        <w:t>血浆肾素活性、血管紧张素 </w:t>
      </w:r>
      <w:r>
        <w:rPr/>
        <w:t>II</w:t>
      </w:r>
      <w:r>
        <w:rPr>
          <w:spacing w:val="-8"/>
        </w:rPr>
        <w:t> 和醛固酮测定，显示为原发性肾上腺皮质</w:t>
      </w:r>
    </w:p>
    <w:p>
      <w:pPr>
        <w:spacing w:after="0" w:line="278" w:lineRule="auto"/>
        <w:sectPr>
          <w:type w:val="continuous"/>
          <w:pgSz w:w="11910" w:h="16840"/>
          <w:pgMar w:header="566" w:footer="664" w:top="1340" w:bottom="860" w:left="900" w:right="720"/>
          <w:cols w:num="2" w:equalWidth="0">
            <w:col w:w="2710" w:space="94"/>
            <w:col w:w="7486"/>
          </w:cols>
        </w:sectPr>
      </w:pPr>
    </w:p>
    <w:p>
      <w:pPr>
        <w:pStyle w:val="BodyText"/>
        <w:spacing w:before="85"/>
        <w:ind w:left="3209"/>
      </w:pPr>
      <w:r>
        <w:rPr>
          <w:spacing w:val="-4"/>
        </w:rPr>
        <w:t>功能减退症；</w:t>
      </w:r>
    </w:p>
    <w:p>
      <w:pPr>
        <w:pStyle w:val="BodyText"/>
        <w:spacing w:line="278" w:lineRule="auto" w:before="43"/>
        <w:ind w:left="3209" w:right="454"/>
      </w:pPr>
      <w:r>
        <w:rPr>
          <w:spacing w:val="-6"/>
        </w:rPr>
        <w:t>③ 促肾上腺皮质激素</w:t>
      </w:r>
      <w:r>
        <w:rPr/>
        <w:t>（ACTH）刺激试验显示为原发性肾上腺皮质功能减</w:t>
      </w:r>
      <w:r>
        <w:rPr>
          <w:spacing w:val="-4"/>
        </w:rPr>
        <w:t>退症。</w:t>
      </w:r>
    </w:p>
    <w:p>
      <w:pPr>
        <w:pStyle w:val="BodyText"/>
        <w:spacing w:line="269" w:lineRule="exact" w:after="33"/>
        <w:ind w:left="3037"/>
      </w:pPr>
      <w:r>
        <w:rPr>
          <w:spacing w:val="-2"/>
        </w:rPr>
        <w:t>（2）</w:t>
      </w:r>
      <w:r>
        <w:rPr>
          <w:spacing w:val="-6"/>
        </w:rPr>
        <w:t>已经采用皮质类固醇替代治疗 </w:t>
      </w:r>
      <w:r>
        <w:rPr>
          <w:spacing w:val="-2"/>
        </w:rPr>
        <w:t>180</w:t>
      </w:r>
      <w:r>
        <w:rPr>
          <w:spacing w:val="-14"/>
        </w:rPr>
        <w:t> 天以上。</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46"/>
        <w:gridCol w:w="5080"/>
        <w:gridCol w:w="212"/>
      </w:tblGrid>
      <w:tr>
        <w:trPr>
          <w:trHeight w:val="285" w:hRule="atLeast"/>
        </w:trPr>
        <w:tc>
          <w:tcPr>
            <w:tcW w:w="6838" w:type="dxa"/>
            <w:gridSpan w:val="3"/>
            <w:tcBorders>
              <w:bottom w:val="single" w:sz="12" w:space="0" w:color="FFFFFF"/>
            </w:tcBorders>
            <w:shd w:val="clear" w:color="auto" w:fill="D9D9D9"/>
          </w:tcPr>
          <w:p>
            <w:pPr>
              <w:pStyle w:val="TableParagraph"/>
              <w:spacing w:line="265" w:lineRule="exact"/>
              <w:rPr>
                <w:rFonts w:ascii="微软雅黑" w:eastAsia="微软雅黑"/>
                <w:b/>
                <w:sz w:val="22"/>
              </w:rPr>
            </w:pPr>
            <w:r>
              <w:rPr>
                <w:rFonts w:ascii="微软雅黑" w:eastAsia="微软雅黑"/>
                <w:b/>
                <w:spacing w:val="-3"/>
                <w:sz w:val="22"/>
              </w:rPr>
              <w:t>本保障仅包括由自身免疫功能紊乱所导致的慢性肾上腺功能减退，其他</w:t>
            </w:r>
          </w:p>
        </w:tc>
      </w:tr>
      <w:tr>
        <w:trPr>
          <w:trHeight w:val="282" w:hRule="atLeast"/>
        </w:trPr>
        <w:tc>
          <w:tcPr>
            <w:tcW w:w="6838" w:type="dxa"/>
            <w:gridSpan w:val="3"/>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w w:val="95"/>
                <w:sz w:val="22"/>
              </w:rPr>
              <w:t>成</w:t>
            </w:r>
            <w:r>
              <w:rPr>
                <w:rFonts w:ascii="微软雅黑" w:eastAsia="微软雅黑"/>
                <w:b/>
                <w:w w:val="95"/>
                <w:sz w:val="22"/>
              </w:rPr>
              <w:t>因</w:t>
            </w:r>
            <w:r>
              <w:rPr>
                <w:rFonts w:ascii="微软雅黑" w:eastAsia="微软雅黑"/>
                <w:b/>
                <w:w w:val="95"/>
                <w:sz w:val="22"/>
              </w:rPr>
              <w:t>（</w:t>
            </w:r>
            <w:r>
              <w:rPr>
                <w:rFonts w:ascii="微软雅黑" w:eastAsia="微软雅黑"/>
                <w:b/>
                <w:w w:val="95"/>
                <w:sz w:val="22"/>
              </w:rPr>
              <w:t>包</w:t>
            </w:r>
            <w:r>
              <w:rPr>
                <w:rFonts w:ascii="微软雅黑" w:eastAsia="微软雅黑"/>
                <w:b/>
                <w:w w:val="95"/>
                <w:sz w:val="22"/>
              </w:rPr>
              <w:t>括</w:t>
            </w:r>
            <w:r>
              <w:rPr>
                <w:rFonts w:ascii="微软雅黑" w:eastAsia="微软雅黑"/>
                <w:b/>
                <w:w w:val="95"/>
                <w:sz w:val="22"/>
              </w:rPr>
              <w:t>但</w:t>
            </w:r>
            <w:r>
              <w:rPr>
                <w:rFonts w:ascii="微软雅黑" w:eastAsia="微软雅黑"/>
                <w:b/>
                <w:w w:val="95"/>
                <w:sz w:val="22"/>
              </w:rPr>
              <w:t>不</w:t>
            </w:r>
            <w:r>
              <w:rPr>
                <w:rFonts w:ascii="微软雅黑" w:eastAsia="微软雅黑"/>
                <w:b/>
                <w:w w:val="95"/>
                <w:sz w:val="22"/>
              </w:rPr>
              <w:t>限</w:t>
            </w:r>
            <w:r>
              <w:rPr>
                <w:rFonts w:ascii="微软雅黑" w:eastAsia="微软雅黑"/>
                <w:b/>
                <w:w w:val="95"/>
                <w:sz w:val="22"/>
              </w:rPr>
              <w:t>于</w:t>
            </w:r>
            <w:r>
              <w:rPr>
                <w:rFonts w:ascii="微软雅黑" w:eastAsia="微软雅黑"/>
                <w:b/>
                <w:w w:val="95"/>
                <w:sz w:val="22"/>
              </w:rPr>
              <w:t>：</w:t>
            </w:r>
            <w:r>
              <w:rPr>
                <w:rFonts w:ascii="微软雅黑" w:eastAsia="微软雅黑"/>
                <w:b/>
                <w:w w:val="95"/>
                <w:sz w:val="22"/>
              </w:rPr>
              <w:t>肾</w:t>
            </w:r>
            <w:r>
              <w:rPr>
                <w:rFonts w:ascii="微软雅黑" w:eastAsia="微软雅黑"/>
                <w:b/>
                <w:w w:val="95"/>
                <w:sz w:val="22"/>
              </w:rPr>
              <w:t>上</w:t>
            </w:r>
            <w:r>
              <w:rPr>
                <w:rFonts w:ascii="微软雅黑" w:eastAsia="微软雅黑"/>
                <w:b/>
                <w:w w:val="95"/>
                <w:sz w:val="22"/>
              </w:rPr>
              <w:t>腺</w:t>
            </w:r>
            <w:r>
              <w:rPr>
                <w:rFonts w:ascii="微软雅黑" w:eastAsia="微软雅黑"/>
                <w:b/>
                <w:w w:val="95"/>
                <w:sz w:val="22"/>
              </w:rPr>
              <w:t>结</w:t>
            </w:r>
            <w:r>
              <w:rPr>
                <w:rFonts w:ascii="微软雅黑" w:eastAsia="微软雅黑"/>
                <w:b/>
                <w:w w:val="95"/>
                <w:sz w:val="22"/>
              </w:rPr>
              <w:t>核</w:t>
            </w:r>
            <w:r>
              <w:rPr>
                <w:rFonts w:ascii="微软雅黑" w:eastAsia="微软雅黑"/>
                <w:b/>
                <w:w w:val="95"/>
                <w:sz w:val="22"/>
              </w:rPr>
              <w:t>、</w:t>
            </w:r>
            <w:r>
              <w:rPr>
                <w:rFonts w:ascii="微软雅黑" w:eastAsia="微软雅黑"/>
                <w:b/>
                <w:w w:val="95"/>
                <w:sz w:val="22"/>
              </w:rPr>
              <w:t>HIV</w:t>
            </w:r>
            <w:r>
              <w:rPr>
                <w:rFonts w:ascii="微软雅黑" w:eastAsia="微软雅黑"/>
                <w:b/>
                <w:spacing w:val="53"/>
                <w:w w:val="150"/>
                <w:sz w:val="22"/>
              </w:rPr>
              <w:t>  </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或</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r>
        <w:trPr>
          <w:trHeight w:val="282" w:hRule="atLeast"/>
        </w:trPr>
        <w:tc>
          <w:tcPr>
            <w:tcW w:w="6626" w:type="dxa"/>
            <w:gridSpan w:val="2"/>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spacing w:val="-1"/>
                <w:sz w:val="22"/>
              </w:rPr>
              <w:t>所致的原发性肾上腺皮质功能减退和继发性肾上腺皮质功能减退均不</w:t>
            </w:r>
          </w:p>
        </w:tc>
        <w:tc>
          <w:tcPr>
            <w:tcW w:w="212"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1546" w:type="dxa"/>
            <w:tcBorders>
              <w:top w:val="single" w:sz="12" w:space="0" w:color="FFFFFF"/>
            </w:tcBorders>
            <w:shd w:val="clear" w:color="auto" w:fill="D9D9D9"/>
          </w:tcPr>
          <w:p>
            <w:pPr>
              <w:pStyle w:val="TableParagraph"/>
              <w:spacing w:line="265" w:lineRule="exact"/>
              <w:rPr>
                <w:rFonts w:ascii="微软雅黑" w:eastAsia="微软雅黑"/>
                <w:b/>
                <w:sz w:val="22"/>
              </w:rPr>
            </w:pPr>
            <w:r>
              <w:rPr>
                <w:rFonts w:ascii="微软雅黑" w:eastAsia="微软雅黑"/>
                <w:b/>
                <w:spacing w:val="-2"/>
                <w:sz w:val="22"/>
              </w:rPr>
              <w:t>在保障范围内。</w:t>
            </w:r>
          </w:p>
        </w:tc>
        <w:tc>
          <w:tcPr>
            <w:tcW w:w="5292" w:type="dxa"/>
            <w:gridSpan w:val="2"/>
            <w:tcBorders>
              <w:top w:val="single" w:sz="12" w:space="0" w:color="FFFFFF"/>
            </w:tcBorders>
          </w:tcPr>
          <w:p>
            <w:pPr>
              <w:pStyle w:val="TableParagraph"/>
              <w:rPr>
                <w:rFonts w:ascii="Times New Roman"/>
                <w:sz w:val="20"/>
              </w:rPr>
            </w:pPr>
          </w:p>
        </w:tc>
      </w:tr>
    </w:tbl>
    <w:p>
      <w:pPr>
        <w:pStyle w:val="ListParagraph"/>
        <w:numPr>
          <w:ilvl w:val="2"/>
          <w:numId w:val="45"/>
        </w:numPr>
        <w:tabs>
          <w:tab w:pos="1191" w:val="left" w:leader="none"/>
          <w:tab w:pos="3036" w:val="left" w:leader="none"/>
        </w:tabs>
        <w:spacing w:line="312" w:lineRule="exact" w:before="165" w:after="0"/>
        <w:ind w:left="3037" w:right="406" w:hanging="2805"/>
        <w:jc w:val="both"/>
        <w:rPr>
          <w:sz w:val="21"/>
        </w:rPr>
      </w:pPr>
      <w:r>
        <w:rPr>
          <w:rFonts w:ascii="微软雅黑" w:eastAsia="微软雅黑"/>
          <w:b/>
          <w:spacing w:val="-2"/>
          <w:sz w:val="21"/>
        </w:rPr>
        <w:t>主</w:t>
      </w:r>
      <w:r>
        <w:rPr>
          <w:rFonts w:ascii="微软雅黑" w:eastAsia="微软雅黑"/>
          <w:b/>
          <w:spacing w:val="-2"/>
          <w:sz w:val="21"/>
        </w:rPr>
        <w:t>动</w:t>
      </w:r>
      <w:r>
        <w:rPr>
          <w:rFonts w:ascii="微软雅黑" w:eastAsia="微软雅黑"/>
          <w:b/>
          <w:spacing w:val="-2"/>
          <w:sz w:val="21"/>
        </w:rPr>
        <w:t>脉</w:t>
      </w:r>
      <w:r>
        <w:rPr>
          <w:rFonts w:ascii="微软雅黑" w:eastAsia="微软雅黑"/>
          <w:b/>
          <w:spacing w:val="-2"/>
          <w:sz w:val="21"/>
        </w:rPr>
        <w:t>夹</w:t>
      </w:r>
      <w:r>
        <w:rPr>
          <w:rFonts w:ascii="微软雅黑" w:eastAsia="微软雅黑"/>
          <w:b/>
          <w:spacing w:val="-2"/>
          <w:sz w:val="21"/>
        </w:rPr>
        <w:t>层</w:t>
      </w:r>
      <w:r>
        <w:rPr>
          <w:rFonts w:ascii="微软雅黑" w:eastAsia="微软雅黑"/>
          <w:b/>
          <w:sz w:val="21"/>
        </w:rPr>
        <w:tab/>
      </w:r>
      <w:r>
        <w:rPr>
          <w:spacing w:val="-4"/>
          <w:sz w:val="21"/>
        </w:rPr>
        <w:t>指</w:t>
      </w:r>
      <w:r>
        <w:rPr>
          <w:spacing w:val="-4"/>
          <w:sz w:val="21"/>
        </w:rPr>
        <w:t>主</w:t>
      </w:r>
      <w:r>
        <w:rPr>
          <w:spacing w:val="-4"/>
          <w:sz w:val="21"/>
        </w:rPr>
        <w:t>动脉壁在受到某些病</w:t>
      </w:r>
      <w:r>
        <w:rPr>
          <w:spacing w:val="-4"/>
          <w:sz w:val="21"/>
        </w:rPr>
        <w:t>理</w:t>
      </w:r>
      <w:r>
        <w:rPr>
          <w:spacing w:val="-4"/>
          <w:sz w:val="21"/>
        </w:rPr>
        <w:t>因</w:t>
      </w:r>
      <w:r>
        <w:rPr>
          <w:spacing w:val="-4"/>
          <w:sz w:val="21"/>
        </w:rPr>
        <w:t>素的破坏后，高速、高</w:t>
      </w:r>
      <w:r>
        <w:rPr>
          <w:spacing w:val="-4"/>
          <w:sz w:val="21"/>
        </w:rPr>
        <w:t>压</w:t>
      </w:r>
      <w:r>
        <w:rPr>
          <w:spacing w:val="-4"/>
          <w:sz w:val="21"/>
        </w:rPr>
        <w:t>的</w:t>
      </w:r>
      <w:r>
        <w:rPr>
          <w:spacing w:val="-4"/>
          <w:sz w:val="21"/>
        </w:rPr>
        <w:t>主动脉血流将其内</w:t>
      </w:r>
      <w:r>
        <w:rPr>
          <w:spacing w:val="-2"/>
          <w:sz w:val="21"/>
        </w:rPr>
        <w:t>膜</w:t>
      </w:r>
      <w:r>
        <w:rPr>
          <w:spacing w:val="-2"/>
          <w:sz w:val="21"/>
        </w:rPr>
        <w:t>撕</w:t>
      </w:r>
      <w:r>
        <w:rPr>
          <w:spacing w:val="-2"/>
          <w:sz w:val="21"/>
        </w:rPr>
        <w:t>裂</w:t>
      </w:r>
      <w:r>
        <w:rPr>
          <w:spacing w:val="-97"/>
          <w:sz w:val="21"/>
        </w:rPr>
        <w:t>，</w:t>
      </w:r>
      <w:r>
        <w:rPr>
          <w:spacing w:val="-2"/>
          <w:sz w:val="21"/>
        </w:rPr>
        <w:t>以致主动脉腔内的</w:t>
      </w:r>
      <w:r>
        <w:rPr>
          <w:spacing w:val="-2"/>
          <w:sz w:val="21"/>
        </w:rPr>
        <w:t>血</w:t>
      </w:r>
      <w:r>
        <w:rPr>
          <w:spacing w:val="-2"/>
          <w:sz w:val="21"/>
        </w:rPr>
        <w:t>流</w:t>
      </w:r>
      <w:r>
        <w:rPr>
          <w:spacing w:val="-2"/>
          <w:sz w:val="21"/>
        </w:rPr>
        <w:t>通过主动脉内膜的破</w:t>
      </w:r>
      <w:r>
        <w:rPr>
          <w:spacing w:val="-2"/>
          <w:sz w:val="21"/>
        </w:rPr>
        <w:t>裂</w:t>
      </w:r>
      <w:r>
        <w:rPr>
          <w:spacing w:val="-2"/>
          <w:sz w:val="21"/>
        </w:rPr>
        <w:t>口</w:t>
      </w:r>
      <w:r>
        <w:rPr>
          <w:spacing w:val="-2"/>
          <w:sz w:val="21"/>
        </w:rPr>
        <w:t>进入主动脉内壁而</w:t>
      </w:r>
      <w:r>
        <w:rPr>
          <w:spacing w:val="-2"/>
          <w:sz w:val="21"/>
        </w:rPr>
        <w:t>形</w:t>
      </w:r>
      <w:r>
        <w:rPr>
          <w:spacing w:val="-2"/>
          <w:sz w:val="21"/>
        </w:rPr>
        <w:t>成</w:t>
      </w:r>
      <w:r>
        <w:rPr>
          <w:spacing w:val="-2"/>
          <w:sz w:val="21"/>
        </w:rPr>
        <w:t>血肿。被保险人需通过</w:t>
      </w:r>
      <w:r>
        <w:rPr>
          <w:spacing w:val="-25"/>
          <w:sz w:val="21"/>
        </w:rPr>
        <w:t> </w:t>
      </w:r>
      <w:r>
        <w:rPr>
          <w:spacing w:val="-2"/>
          <w:sz w:val="21"/>
        </w:rPr>
        <w:t>X</w:t>
      </w:r>
      <w:r>
        <w:rPr>
          <w:spacing w:val="-24"/>
          <w:sz w:val="21"/>
        </w:rPr>
        <w:t> </w:t>
      </w:r>
      <w:r>
        <w:rPr>
          <w:spacing w:val="-2"/>
          <w:sz w:val="21"/>
        </w:rPr>
        <w:t>线断层扫描（CT）、</w:t>
      </w:r>
      <w:r>
        <w:rPr>
          <w:spacing w:val="-2"/>
          <w:sz w:val="21"/>
        </w:rPr>
        <w:t>核</w:t>
      </w:r>
      <w:r>
        <w:rPr>
          <w:spacing w:val="-2"/>
          <w:sz w:val="21"/>
        </w:rPr>
        <w:t>磁</w:t>
      </w:r>
      <w:r>
        <w:rPr>
          <w:spacing w:val="-2"/>
          <w:sz w:val="21"/>
        </w:rPr>
        <w:t>共振检查（MRI）</w:t>
      </w:r>
      <w:r>
        <w:rPr>
          <w:spacing w:val="-2"/>
          <w:sz w:val="21"/>
        </w:rPr>
        <w:t>、</w:t>
      </w:r>
      <w:r>
        <w:rPr>
          <w:spacing w:val="-2"/>
          <w:sz w:val="21"/>
        </w:rPr>
        <w:t>磁</w:t>
      </w:r>
      <w:r>
        <w:rPr>
          <w:spacing w:val="-2"/>
          <w:sz w:val="21"/>
        </w:rPr>
        <w:t>共</w:t>
      </w:r>
      <w:r>
        <w:rPr>
          <w:spacing w:val="-2"/>
          <w:sz w:val="21"/>
        </w:rPr>
        <w:t>振血管检验法（MRA）</w:t>
      </w:r>
      <w:r>
        <w:rPr>
          <w:spacing w:val="-2"/>
          <w:sz w:val="21"/>
        </w:rPr>
        <w:t>或</w:t>
      </w:r>
      <w:r>
        <w:rPr>
          <w:spacing w:val="-2"/>
          <w:sz w:val="21"/>
        </w:rPr>
        <w:t>血</w:t>
      </w:r>
      <w:r>
        <w:rPr>
          <w:spacing w:val="-2"/>
          <w:sz w:val="21"/>
        </w:rPr>
        <w:t>管扫描等检查，并且</w:t>
      </w:r>
      <w:r>
        <w:rPr>
          <w:spacing w:val="-2"/>
          <w:sz w:val="21"/>
        </w:rPr>
        <w:t>经</w:t>
      </w:r>
      <w:r>
        <w:rPr>
          <w:spacing w:val="-2"/>
          <w:sz w:val="21"/>
        </w:rPr>
        <w:t>专</w:t>
      </w:r>
      <w:r>
        <w:rPr>
          <w:spacing w:val="-2"/>
          <w:sz w:val="21"/>
        </w:rPr>
        <w:t>科医生认可有必要</w:t>
      </w:r>
    </w:p>
    <w:p>
      <w:pPr>
        <w:pStyle w:val="BodyText"/>
        <w:spacing w:before="40"/>
        <w:ind w:left="3037"/>
      </w:pPr>
      <w:r>
        <w:rPr>
          <w:spacing w:val="-3"/>
        </w:rPr>
        <w:t>进行紧急修补手术。</w:t>
      </w:r>
    </w:p>
    <w:p>
      <w:pPr>
        <w:pStyle w:val="ListParagraph"/>
        <w:numPr>
          <w:ilvl w:val="2"/>
          <w:numId w:val="45"/>
        </w:numPr>
        <w:tabs>
          <w:tab w:pos="1191" w:val="left" w:leader="none"/>
          <w:tab w:pos="3036" w:val="left" w:leader="none"/>
        </w:tabs>
        <w:spacing w:line="256" w:lineRule="auto" w:before="144" w:after="0"/>
        <w:ind w:left="3037" w:right="406" w:hanging="2805"/>
        <w:jc w:val="both"/>
        <w:rPr>
          <w:sz w:val="21"/>
        </w:rPr>
      </w:pPr>
      <w:r>
        <w:rPr>
          <w:rFonts w:ascii="微软雅黑" w:eastAsia="微软雅黑"/>
          <w:b/>
          <w:spacing w:val="-2"/>
          <w:sz w:val="21"/>
        </w:rPr>
        <w:t>嗜</w:t>
      </w:r>
      <w:r>
        <w:rPr>
          <w:rFonts w:ascii="微软雅黑" w:eastAsia="微软雅黑"/>
          <w:b/>
          <w:spacing w:val="-2"/>
          <w:sz w:val="21"/>
        </w:rPr>
        <w:t>铬</w:t>
      </w:r>
      <w:r>
        <w:rPr>
          <w:rFonts w:ascii="微软雅黑" w:eastAsia="微软雅黑"/>
          <w:b/>
          <w:spacing w:val="-2"/>
          <w:sz w:val="21"/>
        </w:rPr>
        <w:t>细</w:t>
      </w:r>
      <w:r>
        <w:rPr>
          <w:rFonts w:ascii="微软雅黑" w:eastAsia="微软雅黑"/>
          <w:b/>
          <w:spacing w:val="-2"/>
          <w:sz w:val="21"/>
        </w:rPr>
        <w:t>胞</w:t>
      </w:r>
      <w:r>
        <w:rPr>
          <w:rFonts w:ascii="微软雅黑" w:eastAsia="微软雅黑"/>
          <w:b/>
          <w:spacing w:val="-2"/>
          <w:sz w:val="21"/>
        </w:rPr>
        <w:t>瘤</w:t>
      </w:r>
      <w:r>
        <w:rPr>
          <w:rFonts w:ascii="微软雅黑" w:eastAsia="微软雅黑"/>
          <w:b/>
          <w:sz w:val="21"/>
        </w:rPr>
        <w:tab/>
      </w:r>
      <w:r>
        <w:rPr>
          <w:sz w:val="21"/>
        </w:rPr>
        <w:t>指肾上腺或嗜铬外组织出</w:t>
      </w:r>
      <w:r>
        <w:rPr>
          <w:sz w:val="21"/>
        </w:rPr>
        <w:t>现神经内分泌肿瘤</w:t>
      </w:r>
      <w:r>
        <w:rPr>
          <w:spacing w:val="-94"/>
          <w:sz w:val="21"/>
        </w:rPr>
        <w:t>，</w:t>
      </w:r>
      <w:r>
        <w:rPr>
          <w:sz w:val="21"/>
        </w:rPr>
        <w:t>并分 </w:t>
      </w:r>
      <w:r>
        <w:rPr>
          <w:sz w:val="21"/>
        </w:rPr>
        <w:t>过多的儿茶酚胺类的疾</w:t>
      </w:r>
      <w:r>
        <w:rPr>
          <w:spacing w:val="-4"/>
          <w:sz w:val="21"/>
        </w:rPr>
        <w:t>病。嗜铬细胞</w:t>
      </w:r>
      <w:r>
        <w:rPr>
          <w:spacing w:val="-4"/>
          <w:sz w:val="21"/>
        </w:rPr>
        <w:t>瘤</w:t>
      </w:r>
      <w:r>
        <w:rPr>
          <w:spacing w:val="-4"/>
          <w:sz w:val="21"/>
        </w:rPr>
        <w:t>须</w:t>
      </w:r>
      <w:r>
        <w:rPr>
          <w:spacing w:val="-4"/>
          <w:sz w:val="21"/>
        </w:rPr>
        <w:t>由专科</w:t>
      </w:r>
      <w:r>
        <w:rPr>
          <w:spacing w:val="-4"/>
          <w:sz w:val="21"/>
        </w:rPr>
        <w:t>医</w:t>
      </w:r>
      <w:r>
        <w:rPr>
          <w:spacing w:val="-4"/>
          <w:sz w:val="21"/>
        </w:rPr>
        <w:t>生</w:t>
      </w:r>
      <w:r>
        <w:rPr>
          <w:spacing w:val="-4"/>
          <w:sz w:val="21"/>
        </w:rPr>
        <w:t>确诊，并</w:t>
      </w:r>
      <w:r>
        <w:rPr>
          <w:spacing w:val="-4"/>
          <w:sz w:val="21"/>
        </w:rPr>
        <w:t>已</w:t>
      </w:r>
      <w:r>
        <w:rPr>
          <w:spacing w:val="-4"/>
          <w:sz w:val="21"/>
        </w:rPr>
        <w:t>经</w:t>
      </w:r>
      <w:r>
        <w:rPr>
          <w:spacing w:val="-4"/>
          <w:sz w:val="21"/>
        </w:rPr>
        <w:t>由组织</w:t>
      </w:r>
      <w:r>
        <w:rPr>
          <w:spacing w:val="-4"/>
          <w:sz w:val="21"/>
        </w:rPr>
        <w:t>病</w:t>
      </w:r>
      <w:r>
        <w:rPr>
          <w:spacing w:val="-4"/>
          <w:sz w:val="21"/>
        </w:rPr>
        <w:t>理</w:t>
      </w:r>
      <w:r>
        <w:rPr>
          <w:spacing w:val="-4"/>
          <w:sz w:val="21"/>
        </w:rPr>
        <w:t>检查证实，且已经进</w:t>
      </w:r>
      <w:r>
        <w:rPr>
          <w:spacing w:val="-2"/>
          <w:sz w:val="21"/>
        </w:rPr>
        <w:t>行</w:t>
      </w:r>
      <w:r>
        <w:rPr>
          <w:spacing w:val="-2"/>
          <w:sz w:val="21"/>
        </w:rPr>
        <w:t>了</w:t>
      </w:r>
      <w:r>
        <w:rPr>
          <w:spacing w:val="-2"/>
          <w:sz w:val="21"/>
        </w:rPr>
        <w:t>切除嗜铬细胞肿瘤的</w:t>
      </w:r>
      <w:r>
        <w:rPr>
          <w:spacing w:val="-2"/>
          <w:sz w:val="21"/>
        </w:rPr>
        <w:t>手</w:t>
      </w:r>
      <w:r>
        <w:rPr>
          <w:spacing w:val="-2"/>
          <w:sz w:val="21"/>
        </w:rPr>
        <w:t>术</w:t>
      </w:r>
      <w:r>
        <w:rPr>
          <w:spacing w:val="-2"/>
          <w:sz w:val="21"/>
        </w:rPr>
        <w:t>治</w:t>
      </w:r>
      <w:r>
        <w:rPr>
          <w:spacing w:val="-2"/>
          <w:sz w:val="21"/>
        </w:rPr>
        <w:t>疗</w:t>
      </w:r>
      <w:r>
        <w:rPr>
          <w:spacing w:val="-2"/>
          <w:sz w:val="21"/>
        </w:rPr>
        <w:t>。</w:t>
      </w:r>
    </w:p>
    <w:p>
      <w:pPr>
        <w:pStyle w:val="BodyText"/>
        <w:spacing w:before="10"/>
        <w:rPr>
          <w:sz w:val="8"/>
        </w:rPr>
      </w:pPr>
    </w:p>
    <w:p>
      <w:pPr>
        <w:spacing w:after="0"/>
        <w:rPr>
          <w:sz w:val="8"/>
        </w:rPr>
        <w:sectPr>
          <w:headerReference w:type="default" r:id="rId28"/>
          <w:footerReference w:type="default" r:id="rId29"/>
          <w:pgSz w:w="11910" w:h="16840"/>
          <w:pgMar w:header="566" w:footer="664" w:top="1340" w:bottom="860" w:left="900" w:right="720"/>
        </w:sectPr>
      </w:pPr>
    </w:p>
    <w:p>
      <w:pPr>
        <w:pStyle w:val="ListParagraph"/>
        <w:numPr>
          <w:ilvl w:val="2"/>
          <w:numId w:val="45"/>
        </w:numPr>
        <w:tabs>
          <w:tab w:pos="1190" w:val="left" w:leader="none"/>
          <w:tab w:pos="1191" w:val="left" w:leader="none"/>
        </w:tabs>
        <w:spacing w:line="350" w:lineRule="exact" w:before="4" w:after="0"/>
        <w:ind w:left="1190" w:right="0" w:hanging="959"/>
        <w:jc w:val="left"/>
        <w:rPr>
          <w:rFonts w:ascii="微软雅黑" w:eastAsia="微软雅黑"/>
          <w:b/>
          <w:sz w:val="21"/>
        </w:rPr>
      </w:pPr>
      <w:r>
        <w:rPr>
          <w:rFonts w:ascii="微软雅黑" w:eastAsia="微软雅黑"/>
          <w:b/>
          <w:spacing w:val="-2"/>
          <w:sz w:val="21"/>
        </w:rPr>
        <w:t>非阿尔茨海默病</w:t>
      </w:r>
    </w:p>
    <w:p>
      <w:pPr>
        <w:spacing w:line="350" w:lineRule="exact" w:before="0"/>
        <w:ind w:left="1190" w:right="0" w:firstLine="0"/>
        <w:jc w:val="left"/>
        <w:rPr>
          <w:rFonts w:ascii="微软雅黑" w:eastAsia="微软雅黑"/>
          <w:b/>
          <w:sz w:val="21"/>
        </w:rPr>
      </w:pPr>
      <w:r>
        <w:rPr>
          <w:rFonts w:ascii="微软雅黑" w:eastAsia="微软雅黑"/>
          <w:b/>
          <w:spacing w:val="-2"/>
          <w:sz w:val="21"/>
        </w:rPr>
        <w:t>所致严重痴呆</w:t>
      </w:r>
    </w:p>
    <w:p>
      <w:pPr>
        <w:pStyle w:val="BodyText"/>
        <w:spacing w:line="278" w:lineRule="auto" w:before="71"/>
        <w:ind w:left="232" w:right="406"/>
      </w:pPr>
      <w:r>
        <w:rPr/>
        <w:br w:type="column"/>
      </w:r>
      <w:r>
        <w:rPr>
          <w:spacing w:val="-2"/>
        </w:rPr>
        <w:t>指因阿尔茨海默病以外的脑的器质性疾病造成脑功能衰竭导致永久不可逆</w:t>
      </w:r>
      <w:r>
        <w:rPr>
          <w:spacing w:val="-11"/>
        </w:rPr>
        <w:t>性的严重痴呆，临床表现为明显的认知能力障碍、精神行为异常和社交能力</w:t>
      </w:r>
      <w:r>
        <w:rPr>
          <w:spacing w:val="-13"/>
        </w:rPr>
        <w:t>减退。被保险人自主生活能力完全丧失，无法独立完成六项基本日常生活活</w:t>
      </w:r>
      <w:r>
        <w:rPr>
          <w:spacing w:val="-9"/>
        </w:rPr>
        <w:t>动中的三项或三项以上。导致痴呆的疾病须由专科医生明确诊断，并且由完</w:t>
      </w:r>
      <w:r>
        <w:rPr>
          <w:spacing w:val="-2"/>
        </w:rPr>
        <w:t>整的临床、实验室和影像学检查结果证实。</w:t>
      </w:r>
    </w:p>
    <w:p>
      <w:pPr>
        <w:pStyle w:val="Heading1"/>
        <w:spacing w:line="327" w:lineRule="exact"/>
        <w:ind w:left="232"/>
      </w:pPr>
      <w:r>
        <w:rPr>
          <w:color w:val="000000"/>
          <w:spacing w:val="-1"/>
          <w:shd w:fill="D9D9D9" w:color="auto" w:val="clear"/>
        </w:rPr>
        <w:t>神经官能症、精神疾病及酒精中毒所致脑损害不在保障范围内。</w:t>
      </w:r>
    </w:p>
    <w:p>
      <w:pPr>
        <w:spacing w:after="0" w:line="327" w:lineRule="exact"/>
        <w:sectPr>
          <w:type w:val="continuous"/>
          <w:pgSz w:w="11910" w:h="16840"/>
          <w:pgMar w:header="566" w:footer="664" w:top="1340" w:bottom="860" w:left="900" w:right="720"/>
          <w:cols w:num="2" w:equalWidth="0">
            <w:col w:w="2710" w:space="94"/>
            <w:col w:w="7486"/>
          </w:cols>
        </w:sectPr>
      </w:pPr>
    </w:p>
    <w:p>
      <w:pPr>
        <w:pStyle w:val="ListParagraph"/>
        <w:numPr>
          <w:ilvl w:val="2"/>
          <w:numId w:val="45"/>
        </w:numPr>
        <w:tabs>
          <w:tab w:pos="1190" w:val="left" w:leader="none"/>
          <w:tab w:pos="1191" w:val="left" w:leader="none"/>
          <w:tab w:pos="3036" w:val="left" w:leader="none"/>
        </w:tabs>
        <w:spacing w:line="383" w:lineRule="exact" w:before="88" w:after="0"/>
        <w:ind w:left="1190" w:right="0" w:hanging="959"/>
        <w:jc w:val="left"/>
        <w:rPr>
          <w:sz w:val="21"/>
        </w:rPr>
      </w:pPr>
      <w:r>
        <w:rPr>
          <w:rFonts w:ascii="微软雅黑" w:eastAsia="微软雅黑"/>
          <w:b/>
          <w:sz w:val="21"/>
        </w:rPr>
        <w:t>肾髓质囊性</w:t>
      </w:r>
      <w:r>
        <w:rPr>
          <w:rFonts w:ascii="微软雅黑" w:eastAsia="微软雅黑"/>
          <w:b/>
          <w:spacing w:val="-10"/>
          <w:sz w:val="21"/>
        </w:rPr>
        <w:t>病</w:t>
      </w:r>
      <w:r>
        <w:rPr>
          <w:rFonts w:ascii="微软雅黑" w:eastAsia="微软雅黑"/>
          <w:b/>
          <w:sz w:val="21"/>
        </w:rPr>
        <w:tab/>
      </w:r>
      <w:r>
        <w:rPr>
          <w:spacing w:val="-2"/>
          <w:sz w:val="21"/>
        </w:rPr>
        <w:t>肾</w:t>
      </w:r>
      <w:r>
        <w:rPr>
          <w:spacing w:val="-2"/>
          <w:sz w:val="21"/>
        </w:rPr>
        <w:t>髓</w:t>
      </w:r>
      <w:r>
        <w:rPr>
          <w:spacing w:val="-2"/>
          <w:sz w:val="21"/>
        </w:rPr>
        <w:t>质囊性病须由专科医</w:t>
      </w:r>
      <w:r>
        <w:rPr>
          <w:spacing w:val="-2"/>
          <w:sz w:val="21"/>
        </w:rPr>
        <w:t>生</w:t>
      </w:r>
      <w:r>
        <w:rPr>
          <w:spacing w:val="-2"/>
          <w:sz w:val="21"/>
        </w:rPr>
        <w:t>确</w:t>
      </w:r>
      <w:r>
        <w:rPr>
          <w:spacing w:val="-2"/>
          <w:sz w:val="21"/>
        </w:rPr>
        <w:t>诊，并且必须符合下</w:t>
      </w:r>
      <w:r>
        <w:rPr>
          <w:spacing w:val="-2"/>
          <w:sz w:val="21"/>
        </w:rPr>
        <w:t>列</w:t>
      </w:r>
      <w:r>
        <w:rPr>
          <w:spacing w:val="-2"/>
          <w:sz w:val="21"/>
        </w:rPr>
        <w:t>全</w:t>
      </w:r>
      <w:r>
        <w:rPr>
          <w:spacing w:val="-2"/>
          <w:sz w:val="21"/>
        </w:rPr>
        <w:t>部要求</w:t>
      </w:r>
      <w:r>
        <w:rPr>
          <w:spacing w:val="-10"/>
          <w:sz w:val="21"/>
        </w:rPr>
        <w:t>：</w:t>
      </w:r>
    </w:p>
    <w:p>
      <w:pPr>
        <w:pStyle w:val="ListParagraph"/>
        <w:numPr>
          <w:ilvl w:val="3"/>
          <w:numId w:val="45"/>
        </w:numPr>
        <w:tabs>
          <w:tab w:pos="3566" w:val="left" w:leader="none"/>
        </w:tabs>
        <w:spacing w:line="265" w:lineRule="exact" w:before="0" w:after="0"/>
        <w:ind w:left="3566" w:right="0" w:hanging="529"/>
        <w:jc w:val="left"/>
        <w:rPr>
          <w:sz w:val="21"/>
        </w:rPr>
      </w:pPr>
      <w:r>
        <w:rPr>
          <w:spacing w:val="-3"/>
          <w:sz w:val="21"/>
        </w:rPr>
        <w:t>肾髓质有囊肿、肾小管萎缩及间质纤维化等病理改变；</w:t>
      </w:r>
    </w:p>
    <w:p>
      <w:pPr>
        <w:pStyle w:val="ListParagraph"/>
        <w:numPr>
          <w:ilvl w:val="3"/>
          <w:numId w:val="45"/>
        </w:numPr>
        <w:tabs>
          <w:tab w:pos="3566" w:val="left" w:leader="none"/>
        </w:tabs>
        <w:spacing w:line="240" w:lineRule="auto" w:before="43" w:after="0"/>
        <w:ind w:left="3566" w:right="0" w:hanging="529"/>
        <w:jc w:val="left"/>
        <w:rPr>
          <w:sz w:val="21"/>
        </w:rPr>
      </w:pPr>
      <w:r>
        <w:rPr>
          <w:spacing w:val="-4"/>
          <w:sz w:val="21"/>
        </w:rPr>
        <w:t>肾功能衰竭；</w:t>
      </w:r>
    </w:p>
    <w:p>
      <w:pPr>
        <w:pStyle w:val="ListParagraph"/>
        <w:numPr>
          <w:ilvl w:val="3"/>
          <w:numId w:val="45"/>
        </w:numPr>
        <w:tabs>
          <w:tab w:pos="3566" w:val="left" w:leader="none"/>
        </w:tabs>
        <w:spacing w:line="252" w:lineRule="exact" w:before="43" w:after="0"/>
        <w:ind w:left="3566" w:right="0" w:hanging="529"/>
        <w:jc w:val="left"/>
        <w:rPr>
          <w:sz w:val="21"/>
        </w:rPr>
      </w:pPr>
      <w:r>
        <w:rPr>
          <w:spacing w:val="-3"/>
          <w:sz w:val="21"/>
        </w:rPr>
        <w:t>诊断须由肾组织活检确定，并且有临床及影像学证据支持。</w:t>
      </w:r>
    </w:p>
    <w:p>
      <w:pPr>
        <w:pStyle w:val="Heading1"/>
        <w:spacing w:line="388" w:lineRule="exact"/>
        <w:ind w:left="3037"/>
      </w:pPr>
      <w:r>
        <w:rPr>
          <w:color w:val="000000"/>
          <w:spacing w:val="-1"/>
          <w:shd w:fill="D9D9D9" w:color="auto" w:val="clear"/>
        </w:rPr>
        <w:t>其他的肾脏囊性病变不在保障范围内。</w:t>
      </w:r>
    </w:p>
    <w:p>
      <w:pPr>
        <w:spacing w:after="0" w:line="388" w:lineRule="exact"/>
        <w:sectPr>
          <w:type w:val="continuous"/>
          <w:pgSz w:w="11910" w:h="16840"/>
          <w:pgMar w:header="566" w:footer="664" w:top="1340" w:bottom="860" w:left="900" w:right="720"/>
        </w:sectPr>
      </w:pPr>
    </w:p>
    <w:p>
      <w:pPr>
        <w:pStyle w:val="ListParagraph"/>
        <w:numPr>
          <w:ilvl w:val="2"/>
          <w:numId w:val="45"/>
        </w:numPr>
        <w:tabs>
          <w:tab w:pos="1190" w:val="left" w:leader="none"/>
          <w:tab w:pos="1191" w:val="left" w:leader="none"/>
        </w:tabs>
        <w:spacing w:line="194" w:lineRule="auto" w:before="140" w:after="0"/>
        <w:ind w:left="1190" w:right="38" w:hanging="958"/>
        <w:jc w:val="left"/>
        <w:rPr>
          <w:rFonts w:ascii="微软雅黑" w:eastAsia="微软雅黑"/>
          <w:b/>
          <w:sz w:val="21"/>
        </w:rPr>
      </w:pPr>
      <w:r>
        <w:rPr>
          <w:rFonts w:ascii="微软雅黑" w:eastAsia="微软雅黑"/>
          <w:b/>
          <w:spacing w:val="-2"/>
          <w:sz w:val="21"/>
        </w:rPr>
        <w:t>严重进行性核上</w:t>
      </w:r>
      <w:r>
        <w:rPr>
          <w:rFonts w:ascii="微软雅黑" w:eastAsia="微软雅黑"/>
          <w:b/>
          <w:spacing w:val="-4"/>
          <w:sz w:val="21"/>
        </w:rPr>
        <w:t>性麻痹</w:t>
      </w:r>
    </w:p>
    <w:p>
      <w:pPr>
        <w:pStyle w:val="BodyText"/>
        <w:spacing w:line="278" w:lineRule="auto" w:before="155"/>
        <w:ind w:left="232" w:right="406"/>
        <w:jc w:val="both"/>
      </w:pPr>
      <w:r>
        <w:rPr/>
        <w:br w:type="column"/>
      </w:r>
      <w:r>
        <w:rPr>
          <w:spacing w:val="-4"/>
        </w:rPr>
        <w:t>进行性核上性麻痹（PSP）</w:t>
      </w:r>
      <w:r>
        <w:rPr>
          <w:spacing w:val="-9"/>
        </w:rPr>
        <w:t>又称 </w:t>
      </w:r>
      <w:r>
        <w:rPr>
          <w:spacing w:val="-4"/>
        </w:rPr>
        <w:t>Steele-Rchardson-Olszewski</w:t>
      </w:r>
      <w:r>
        <w:rPr>
          <w:spacing w:val="-9"/>
        </w:rPr>
        <w:t> 综合征，是一</w:t>
      </w:r>
      <w:r>
        <w:rPr>
          <w:spacing w:val="-4"/>
        </w:rPr>
        <w:t>种少见的神经系统变性疾病，以假球麻痹、垂直性核上性眼肌麻痹、锥体外</w:t>
      </w:r>
      <w:r>
        <w:rPr>
          <w:spacing w:val="-2"/>
        </w:rPr>
        <w:t>系肌僵直、步态共济失调和轻度痴呆为主要临床特征。PSP</w:t>
      </w:r>
      <w:r>
        <w:rPr>
          <w:spacing w:val="-7"/>
        </w:rPr>
        <w:t> 必须由三级甲等</w:t>
      </w:r>
      <w:r>
        <w:rPr>
          <w:spacing w:val="-8"/>
        </w:rPr>
        <w:t>医院的神经内科专科医生确诊，并且被保险人自主生活能力完全丧失，无法</w:t>
      </w:r>
      <w:r>
        <w:rPr>
          <w:spacing w:val="-2"/>
        </w:rPr>
        <w:t>独立完成六项基本日常生活活动中的三项或三项以上。</w:t>
      </w:r>
    </w:p>
    <w:p>
      <w:pPr>
        <w:spacing w:after="0" w:line="278" w:lineRule="auto"/>
        <w:jc w:val="both"/>
        <w:sectPr>
          <w:type w:val="continuous"/>
          <w:pgSz w:w="11910" w:h="16840"/>
          <w:pgMar w:header="566" w:footer="664" w:top="1340" w:bottom="860" w:left="900" w:right="720"/>
          <w:cols w:num="2" w:equalWidth="0">
            <w:col w:w="2710" w:space="94"/>
            <w:col w:w="7486"/>
          </w:cols>
        </w:sectPr>
      </w:pPr>
    </w:p>
    <w:p>
      <w:pPr>
        <w:pStyle w:val="ListParagraph"/>
        <w:numPr>
          <w:ilvl w:val="2"/>
          <w:numId w:val="45"/>
        </w:numPr>
        <w:tabs>
          <w:tab w:pos="1190" w:val="left" w:leader="none"/>
          <w:tab w:pos="1191" w:val="left" w:leader="none"/>
          <w:tab w:pos="3036" w:val="left" w:leader="none"/>
        </w:tabs>
        <w:spacing w:line="235" w:lineRule="auto" w:before="108" w:after="0"/>
        <w:ind w:left="3037" w:right="406" w:hanging="2805"/>
        <w:jc w:val="left"/>
        <w:rPr>
          <w:sz w:val="21"/>
        </w:rPr>
      </w:pPr>
      <w:r>
        <w:rPr>
          <w:rFonts w:ascii="微软雅黑" w:eastAsia="微软雅黑"/>
          <w:b/>
          <w:spacing w:val="-4"/>
          <w:sz w:val="21"/>
        </w:rPr>
        <w:t>胰</w:t>
      </w:r>
      <w:r>
        <w:rPr>
          <w:rFonts w:ascii="微软雅黑" w:eastAsia="微软雅黑"/>
          <w:b/>
          <w:spacing w:val="-4"/>
          <w:sz w:val="21"/>
        </w:rPr>
        <w:t>腺</w:t>
      </w:r>
      <w:r>
        <w:rPr>
          <w:rFonts w:ascii="微软雅黑" w:eastAsia="微软雅黑"/>
          <w:b/>
          <w:spacing w:val="-4"/>
          <w:sz w:val="21"/>
        </w:rPr>
        <w:t>移</w:t>
      </w:r>
      <w:r>
        <w:rPr>
          <w:rFonts w:ascii="微软雅黑" w:eastAsia="微软雅黑"/>
          <w:b/>
          <w:spacing w:val="-4"/>
          <w:sz w:val="21"/>
        </w:rPr>
        <w:t>植</w:t>
      </w:r>
      <w:r>
        <w:rPr>
          <w:rFonts w:ascii="微软雅黑" w:eastAsia="微软雅黑"/>
          <w:b/>
          <w:sz w:val="21"/>
        </w:rPr>
        <w:tab/>
      </w:r>
      <w:r>
        <w:rPr>
          <w:spacing w:val="-2"/>
          <w:sz w:val="21"/>
        </w:rPr>
        <w:t>指</w:t>
      </w:r>
      <w:r>
        <w:rPr>
          <w:spacing w:val="-2"/>
          <w:sz w:val="21"/>
        </w:rPr>
        <w:t>因</w:t>
      </w:r>
      <w:r>
        <w:rPr>
          <w:spacing w:val="-2"/>
          <w:sz w:val="21"/>
        </w:rPr>
        <w:t>胰腺功能衰竭</w:t>
      </w:r>
      <w:r>
        <w:rPr>
          <w:spacing w:val="-94"/>
          <w:sz w:val="21"/>
        </w:rPr>
        <w:t>，</w:t>
      </w:r>
      <w:r>
        <w:rPr>
          <w:spacing w:val="-2"/>
          <w:sz w:val="21"/>
        </w:rPr>
        <w:t>已经实</w:t>
      </w:r>
      <w:r>
        <w:rPr>
          <w:spacing w:val="-2"/>
          <w:sz w:val="21"/>
        </w:rPr>
        <w:t>施</w:t>
      </w:r>
      <w:r>
        <w:rPr>
          <w:spacing w:val="-2"/>
          <w:sz w:val="21"/>
        </w:rPr>
        <w:t>了</w:t>
      </w:r>
      <w:r>
        <w:rPr>
          <w:spacing w:val="-2"/>
          <w:sz w:val="21"/>
        </w:rPr>
        <w:t>在全身麻醉下进行的</w:t>
      </w:r>
      <w:r>
        <w:rPr>
          <w:spacing w:val="-2"/>
          <w:sz w:val="21"/>
        </w:rPr>
        <w:t>胰</w:t>
      </w:r>
      <w:r>
        <w:rPr>
          <w:spacing w:val="-2"/>
          <w:sz w:val="21"/>
        </w:rPr>
        <w:t>腺</w:t>
      </w:r>
      <w:r>
        <w:rPr>
          <w:spacing w:val="-2"/>
          <w:sz w:val="21"/>
        </w:rPr>
        <w:t>的异体器官移植手</w:t>
      </w:r>
      <w:r>
        <w:rPr>
          <w:spacing w:val="-6"/>
          <w:sz w:val="21"/>
        </w:rPr>
        <w:t>术</w:t>
      </w:r>
      <w:r>
        <w:rPr>
          <w:spacing w:val="-6"/>
          <w:sz w:val="21"/>
        </w:rPr>
        <w:t>。</w:t>
      </w:r>
    </w:p>
    <w:p>
      <w:pPr>
        <w:pStyle w:val="Heading1"/>
        <w:spacing w:line="371" w:lineRule="exact"/>
        <w:ind w:left="3037"/>
      </w:pPr>
      <w:r>
        <w:rPr>
          <w:color w:val="000000"/>
          <w:spacing w:val="-1"/>
          <w:shd w:fill="D9D9D9" w:color="auto" w:val="clear"/>
        </w:rPr>
        <w:t>单纯胰岛移植、部分胰腺组织或细胞的移植不在保障范围内。</w:t>
      </w:r>
    </w:p>
    <w:p>
      <w:pPr>
        <w:spacing w:after="0" w:line="371" w:lineRule="exact"/>
        <w:sectPr>
          <w:type w:val="continuous"/>
          <w:pgSz w:w="11910" w:h="16840"/>
          <w:pgMar w:header="566" w:footer="664" w:top="1340" w:bottom="860" w:left="900" w:right="720"/>
        </w:sectPr>
      </w:pPr>
    </w:p>
    <w:p>
      <w:pPr>
        <w:pStyle w:val="ListParagraph"/>
        <w:numPr>
          <w:ilvl w:val="2"/>
          <w:numId w:val="45"/>
        </w:numPr>
        <w:tabs>
          <w:tab w:pos="1190" w:val="left" w:leader="none"/>
          <w:tab w:pos="1191" w:val="left" w:leader="none"/>
        </w:tabs>
        <w:spacing w:line="194" w:lineRule="auto" w:before="140" w:after="0"/>
        <w:ind w:left="1190" w:right="38" w:hanging="958"/>
        <w:jc w:val="left"/>
        <w:rPr>
          <w:rFonts w:ascii="微软雅黑" w:eastAsia="微软雅黑"/>
          <w:b/>
          <w:sz w:val="21"/>
        </w:rPr>
      </w:pPr>
      <w:r>
        <w:rPr>
          <w:rFonts w:ascii="微软雅黑" w:eastAsia="微软雅黑"/>
          <w:b/>
          <w:spacing w:val="-2"/>
          <w:sz w:val="21"/>
        </w:rPr>
        <w:t>破裂脑动脉瘤夹</w:t>
      </w:r>
      <w:r>
        <w:rPr>
          <w:rFonts w:ascii="微软雅黑" w:eastAsia="微软雅黑"/>
          <w:b/>
          <w:spacing w:val="-4"/>
          <w:sz w:val="21"/>
        </w:rPr>
        <w:t>闭手术</w:t>
      </w:r>
    </w:p>
    <w:p>
      <w:pPr>
        <w:pStyle w:val="BodyText"/>
        <w:spacing w:line="278" w:lineRule="auto" w:before="155"/>
        <w:ind w:left="232" w:right="406"/>
      </w:pPr>
      <w:r>
        <w:rPr/>
        <w:br w:type="column"/>
      </w:r>
      <w:r>
        <w:rPr>
          <w:spacing w:val="-8"/>
        </w:rPr>
        <w:t>指因脑动脉瘤破裂造成蛛网膜下腔出血，被保险人实际接受了在全身麻醉下</w:t>
      </w:r>
      <w:r>
        <w:rPr>
          <w:spacing w:val="-2"/>
        </w:rPr>
        <w:t>进行的开颅动脉瘤夹闭手术。</w:t>
      </w:r>
    </w:p>
    <w:p>
      <w:pPr>
        <w:pStyle w:val="Heading1"/>
        <w:spacing w:line="184" w:lineRule="auto"/>
        <w:ind w:left="232" w:right="410"/>
      </w:pPr>
      <w:r>
        <w:rPr>
          <w:color w:val="000000"/>
          <w:spacing w:val="-2"/>
          <w:shd w:fill="D9D9D9" w:color="auto" w:val="clear"/>
        </w:rPr>
        <w:t>脑动脉瘤（未破裂）预防性手术、颅骨打孔手术、动脉瘤栓塞手术、血</w:t>
      </w:r>
      <w:r>
        <w:rPr>
          <w:color w:val="000000"/>
          <w:spacing w:val="-2"/>
          <w:shd w:fill="D9D9D9" w:color="auto" w:val="clear"/>
        </w:rPr>
        <w:t>管内手术及其他颅脑手术不在保障范围内。</w:t>
      </w:r>
    </w:p>
    <w:p>
      <w:pPr>
        <w:spacing w:after="0" w:line="184" w:lineRule="auto"/>
        <w:sectPr>
          <w:type w:val="continuous"/>
          <w:pgSz w:w="11910" w:h="16840"/>
          <w:pgMar w:header="566" w:footer="664" w:top="1340" w:bottom="860" w:left="900" w:right="720"/>
          <w:cols w:num="2" w:equalWidth="0">
            <w:col w:w="2710" w:space="94"/>
            <w:col w:w="7486"/>
          </w:cols>
        </w:sectPr>
      </w:pPr>
    </w:p>
    <w:p>
      <w:pPr>
        <w:pStyle w:val="ListParagraph"/>
        <w:numPr>
          <w:ilvl w:val="2"/>
          <w:numId w:val="45"/>
        </w:numPr>
        <w:tabs>
          <w:tab w:pos="1190" w:val="left" w:leader="none"/>
          <w:tab w:pos="1191" w:val="left" w:leader="none"/>
          <w:tab w:pos="3036" w:val="left" w:leader="none"/>
        </w:tabs>
        <w:spacing w:line="235" w:lineRule="auto" w:before="105" w:after="0"/>
        <w:ind w:left="3037" w:right="406" w:hanging="2805"/>
        <w:jc w:val="left"/>
        <w:rPr>
          <w:sz w:val="21"/>
        </w:rPr>
      </w:pPr>
      <w:r>
        <w:rPr>
          <w:rFonts w:ascii="微软雅黑" w:hAnsi="微软雅黑" w:eastAsia="微软雅黑"/>
          <w:b/>
          <w:spacing w:val="-4"/>
          <w:sz w:val="21"/>
        </w:rPr>
        <w:t>象</w:t>
      </w:r>
      <w:r>
        <w:rPr>
          <w:rFonts w:ascii="微软雅黑" w:hAnsi="微软雅黑" w:eastAsia="微软雅黑"/>
          <w:b/>
          <w:spacing w:val="-4"/>
          <w:sz w:val="21"/>
        </w:rPr>
        <w:t>皮</w:t>
      </w:r>
      <w:r>
        <w:rPr>
          <w:rFonts w:ascii="微软雅黑" w:hAnsi="微软雅黑" w:eastAsia="微软雅黑"/>
          <w:b/>
          <w:spacing w:val="-4"/>
          <w:sz w:val="21"/>
        </w:rPr>
        <w:t>病</w:t>
      </w:r>
      <w:r>
        <w:rPr>
          <w:rFonts w:ascii="微软雅黑" w:hAnsi="微软雅黑" w:eastAsia="微软雅黑"/>
          <w:b/>
          <w:sz w:val="21"/>
        </w:rPr>
        <w:tab/>
      </w:r>
      <w:r>
        <w:rPr>
          <w:spacing w:val="-2"/>
          <w:sz w:val="21"/>
        </w:rPr>
        <w:t>指</w:t>
      </w:r>
      <w:r>
        <w:rPr>
          <w:spacing w:val="-2"/>
          <w:sz w:val="21"/>
        </w:rPr>
        <w:t>因</w:t>
      </w:r>
      <w:r>
        <w:rPr>
          <w:spacing w:val="-2"/>
          <w:sz w:val="21"/>
        </w:rPr>
        <w:t>丝虫感染导致淋巴管</w:t>
      </w:r>
      <w:r>
        <w:rPr>
          <w:spacing w:val="-2"/>
          <w:sz w:val="21"/>
        </w:rPr>
        <w:t>阻</w:t>
      </w:r>
      <w:r>
        <w:rPr>
          <w:spacing w:val="-2"/>
          <w:sz w:val="21"/>
        </w:rPr>
        <w:t>塞</w:t>
      </w:r>
      <w:r>
        <w:rPr>
          <w:spacing w:val="-2"/>
          <w:sz w:val="21"/>
        </w:rPr>
        <w:t>而造成身体组织出现</w:t>
      </w:r>
      <w:r>
        <w:rPr>
          <w:spacing w:val="-2"/>
          <w:sz w:val="21"/>
        </w:rPr>
        <w:t>严</w:t>
      </w:r>
      <w:r>
        <w:rPr>
          <w:spacing w:val="-2"/>
          <w:sz w:val="21"/>
        </w:rPr>
        <w:t>重</w:t>
      </w:r>
      <w:r>
        <w:rPr>
          <w:spacing w:val="-2"/>
          <w:sz w:val="21"/>
        </w:rPr>
        <w:t>淋巴水肿</w:t>
      </w:r>
      <w:r>
        <w:rPr>
          <w:spacing w:val="-94"/>
          <w:sz w:val="21"/>
        </w:rPr>
        <w:t>，</w:t>
      </w:r>
      <w:r>
        <w:rPr>
          <w:spacing w:val="-2"/>
          <w:sz w:val="21"/>
        </w:rPr>
        <w:t>达到国际</w:t>
      </w:r>
      <w:r>
        <w:rPr>
          <w:spacing w:val="-2"/>
          <w:sz w:val="21"/>
        </w:rPr>
        <w:t>淋</w:t>
      </w:r>
      <w:r>
        <w:rPr>
          <w:spacing w:val="-2"/>
          <w:sz w:val="21"/>
        </w:rPr>
        <w:t>巴</w:t>
      </w:r>
      <w:r>
        <w:rPr>
          <w:spacing w:val="-2"/>
          <w:sz w:val="21"/>
        </w:rPr>
        <w:t>学会淋巴水肿分期第Ⅲ</w:t>
      </w:r>
      <w:r>
        <w:rPr>
          <w:spacing w:val="-2"/>
          <w:sz w:val="21"/>
        </w:rPr>
        <w:t>期</w:t>
      </w:r>
      <w:r>
        <w:rPr>
          <w:spacing w:val="-2"/>
          <w:sz w:val="21"/>
        </w:rPr>
        <w:t>，其临床表现为肢体</w:t>
      </w:r>
      <w:r>
        <w:rPr>
          <w:spacing w:val="-2"/>
          <w:sz w:val="21"/>
        </w:rPr>
        <w:t>非</w:t>
      </w:r>
      <w:r>
        <w:rPr>
          <w:spacing w:val="-2"/>
          <w:sz w:val="21"/>
        </w:rPr>
        <w:t>凹</w:t>
      </w:r>
      <w:r>
        <w:rPr>
          <w:spacing w:val="-2"/>
          <w:sz w:val="21"/>
        </w:rPr>
        <w:t>陷性水肿伴畸形增</w:t>
      </w:r>
    </w:p>
    <w:p>
      <w:pPr>
        <w:spacing w:after="0" w:line="235" w:lineRule="auto"/>
        <w:jc w:val="left"/>
        <w:rPr>
          <w:sz w:val="21"/>
        </w:rPr>
        <w:sectPr>
          <w:type w:val="continuous"/>
          <w:pgSz w:w="11910" w:h="16840"/>
          <w:pgMar w:header="566" w:footer="664" w:top="1340" w:bottom="860" w:left="900" w:right="720"/>
        </w:sectPr>
      </w:pPr>
    </w:p>
    <w:p>
      <w:pPr>
        <w:pStyle w:val="BodyText"/>
        <w:spacing w:before="11"/>
        <w:rPr>
          <w:sz w:val="8"/>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7"/>
        <w:gridCol w:w="1824"/>
        <w:gridCol w:w="7181"/>
      </w:tblGrid>
      <w:tr>
        <w:trPr>
          <w:trHeight w:val="571" w:hRule="atLeast"/>
        </w:trPr>
        <w:tc>
          <w:tcPr>
            <w:tcW w:w="2671" w:type="dxa"/>
            <w:gridSpan w:val="2"/>
            <w:vMerge w:val="restart"/>
          </w:tcPr>
          <w:p>
            <w:pPr>
              <w:pStyle w:val="TableParagraph"/>
              <w:rPr>
                <w:rFonts w:ascii="Times New Roman"/>
                <w:sz w:val="20"/>
              </w:rPr>
            </w:pPr>
          </w:p>
        </w:tc>
        <w:tc>
          <w:tcPr>
            <w:tcW w:w="7181" w:type="dxa"/>
          </w:tcPr>
          <w:p>
            <w:pPr>
              <w:pStyle w:val="TableParagraph"/>
              <w:spacing w:line="241" w:lineRule="exact"/>
              <w:ind w:left="183"/>
              <w:rPr>
                <w:sz w:val="21"/>
              </w:rPr>
            </w:pPr>
            <w:r>
              <w:rPr>
                <w:spacing w:val="-7"/>
                <w:sz w:val="21"/>
              </w:rPr>
              <w:t>大，硬皮症及疣状增生。此病症须由专科医生根据临床表现和微丝蚴的化验</w:t>
            </w:r>
          </w:p>
          <w:p>
            <w:pPr>
              <w:pStyle w:val="TableParagraph"/>
              <w:spacing w:line="267" w:lineRule="exact" w:before="43"/>
              <w:ind w:left="183"/>
              <w:rPr>
                <w:sz w:val="21"/>
              </w:rPr>
            </w:pPr>
            <w:r>
              <w:rPr>
                <w:spacing w:val="-4"/>
                <w:sz w:val="21"/>
              </w:rPr>
              <w:t>结果确诊。</w:t>
            </w:r>
          </w:p>
        </w:tc>
      </w:tr>
      <w:tr>
        <w:trPr>
          <w:trHeight w:val="401" w:hRule="atLeast"/>
        </w:trPr>
        <w:tc>
          <w:tcPr>
            <w:tcW w:w="2671" w:type="dxa"/>
            <w:gridSpan w:val="2"/>
            <w:vMerge/>
            <w:tcBorders>
              <w:top w:val="nil"/>
            </w:tcBorders>
          </w:tcPr>
          <w:p>
            <w:pPr>
              <w:rPr>
                <w:sz w:val="2"/>
                <w:szCs w:val="2"/>
              </w:rPr>
            </w:pPr>
          </w:p>
        </w:tc>
        <w:tc>
          <w:tcPr>
            <w:tcW w:w="7181" w:type="dxa"/>
          </w:tcPr>
          <w:p>
            <w:pPr>
              <w:pStyle w:val="TableParagraph"/>
              <w:spacing w:line="352" w:lineRule="exact"/>
              <w:ind w:left="183"/>
              <w:rPr>
                <w:rFonts w:ascii="微软雅黑" w:eastAsia="微软雅黑"/>
                <w:b/>
                <w:sz w:val="22"/>
              </w:rPr>
            </w:pPr>
            <w:r>
              <w:rPr>
                <w:rFonts w:ascii="微软雅黑" w:eastAsia="微软雅黑"/>
                <w:b/>
                <w:color w:val="000000"/>
                <w:spacing w:val="-1"/>
                <w:sz w:val="22"/>
                <w:shd w:fill="D9D9D9" w:color="auto" w:val="clear"/>
              </w:rPr>
              <w:t>急性淋巴管炎或其他原因引起的淋巴水肿并不在保障范围內。</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8.1.53</w:t>
            </w:r>
          </w:p>
        </w:tc>
        <w:tc>
          <w:tcPr>
            <w:tcW w:w="1824" w:type="dxa"/>
          </w:tcPr>
          <w:p>
            <w:pPr>
              <w:pStyle w:val="TableParagraph"/>
              <w:spacing w:line="337" w:lineRule="exact" w:before="38"/>
              <w:ind w:left="160"/>
              <w:rPr>
                <w:rFonts w:ascii="微软雅黑" w:eastAsia="微软雅黑"/>
                <w:b/>
                <w:sz w:val="21"/>
              </w:rPr>
            </w:pPr>
            <w:r>
              <w:rPr>
                <w:rFonts w:ascii="微软雅黑" w:eastAsia="微软雅黑"/>
                <w:b/>
                <w:spacing w:val="-2"/>
                <w:sz w:val="21"/>
              </w:rPr>
              <w:t>严重面部烧伤</w:t>
            </w:r>
          </w:p>
        </w:tc>
        <w:tc>
          <w:tcPr>
            <w:tcW w:w="7181" w:type="dxa"/>
          </w:tcPr>
          <w:p>
            <w:pPr>
              <w:pStyle w:val="TableParagraph"/>
              <w:spacing w:before="105"/>
              <w:ind w:left="183"/>
              <w:rPr>
                <w:sz w:val="21"/>
              </w:rPr>
            </w:pPr>
            <w:r>
              <w:rPr>
                <w:spacing w:val="-4"/>
                <w:sz w:val="21"/>
              </w:rPr>
              <w:t>指面部烧伤程度为Ⅲ度，且Ⅲ度烧伤的面积达到面部表面积的 </w:t>
            </w:r>
            <w:r>
              <w:rPr>
                <w:spacing w:val="-2"/>
                <w:sz w:val="21"/>
              </w:rPr>
              <w:t>80</w:t>
            </w:r>
            <w:r>
              <w:rPr>
                <w:spacing w:val="-15"/>
                <w:sz w:val="21"/>
              </w:rPr>
              <w:t>%或 </w:t>
            </w:r>
            <w:r>
              <w:rPr>
                <w:spacing w:val="-2"/>
                <w:sz w:val="21"/>
              </w:rPr>
              <w:t>80</w:t>
            </w:r>
            <w:r>
              <w:rPr>
                <w:spacing w:val="-6"/>
                <w:sz w:val="21"/>
              </w:rPr>
              <w:t>%以</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18"/>
                <w:sz w:val="21"/>
              </w:rPr>
              <w:t>上。面部的范围指上至发际、下至下颌下缘、两侧至下颌支后缘之间的区域，</w:t>
            </w:r>
          </w:p>
        </w:tc>
      </w:tr>
      <w:tr>
        <w:trPr>
          <w:trHeight w:val="395"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3"/>
                <w:sz w:val="21"/>
              </w:rPr>
              <w:t>包括额部、眼部、眶部、鼻部、口唇部、颏部、颧部、颊部和腮腺咬肌部。</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8.1.54</w:t>
            </w:r>
          </w:p>
        </w:tc>
        <w:tc>
          <w:tcPr>
            <w:tcW w:w="1824" w:type="dxa"/>
          </w:tcPr>
          <w:p>
            <w:pPr>
              <w:pStyle w:val="TableParagraph"/>
              <w:spacing w:line="337" w:lineRule="exact" w:before="38"/>
              <w:ind w:left="160"/>
              <w:rPr>
                <w:rFonts w:ascii="微软雅黑" w:eastAsia="微软雅黑"/>
                <w:b/>
                <w:sz w:val="21"/>
              </w:rPr>
            </w:pPr>
            <w:r>
              <w:rPr>
                <w:rFonts w:ascii="微软雅黑" w:eastAsia="微软雅黑"/>
                <w:b/>
                <w:spacing w:val="-2"/>
                <w:sz w:val="21"/>
              </w:rPr>
              <w:t>系统性硬皮病</w:t>
            </w:r>
          </w:p>
        </w:tc>
        <w:tc>
          <w:tcPr>
            <w:tcW w:w="7181" w:type="dxa"/>
          </w:tcPr>
          <w:p>
            <w:pPr>
              <w:pStyle w:val="TableParagraph"/>
              <w:spacing w:before="106"/>
              <w:ind w:left="183"/>
              <w:rPr>
                <w:sz w:val="21"/>
              </w:rPr>
            </w:pPr>
            <w:r>
              <w:rPr>
                <w:spacing w:val="-7"/>
                <w:sz w:val="21"/>
              </w:rPr>
              <w:t>指一种以局限性或弥漫性皮肤增厚和皮肤、血管、内脏器官异常纤维化为特</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17"/>
                <w:sz w:val="21"/>
              </w:rPr>
              <w:t>征的结缔组织病。本病须由专科医生明确诊断，并须满足下列至少一项条件：</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2"/>
                <w:sz w:val="21"/>
              </w:rPr>
              <w:t>（1）</w:t>
            </w:r>
            <w:r>
              <w:rPr>
                <w:spacing w:val="-3"/>
                <w:sz w:val="21"/>
              </w:rPr>
              <w:t>肺脏：肺部病变进而发展为肺间质纤维化和肺动脉高压；</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2"/>
                <w:sz w:val="21"/>
              </w:rPr>
              <w:t>（2）</w:t>
            </w:r>
            <w:r>
              <w:rPr>
                <w:spacing w:val="-4"/>
                <w:sz w:val="21"/>
              </w:rPr>
              <w:t>心脏：心功能受损达到美国纽约心脏病学会心功能状态分级 </w:t>
            </w:r>
            <w:r>
              <w:rPr>
                <w:spacing w:val="-2"/>
                <w:sz w:val="21"/>
              </w:rPr>
              <w:t>IV</w:t>
            </w:r>
            <w:r>
              <w:rPr>
                <w:spacing w:val="-19"/>
                <w:sz w:val="21"/>
              </w:rPr>
              <w:t> 级；</w:t>
            </w:r>
          </w:p>
        </w:tc>
      </w:tr>
      <w:tr>
        <w:trPr>
          <w:trHeight w:val="1647"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line="252" w:lineRule="exact" w:before="22"/>
              <w:ind w:left="183"/>
              <w:rPr>
                <w:sz w:val="21"/>
              </w:rPr>
            </w:pPr>
            <w:r>
              <w:rPr>
                <w:spacing w:val="-2"/>
                <w:sz w:val="21"/>
              </w:rPr>
              <w:t>（3）</w:t>
            </w:r>
            <w:r>
              <w:rPr>
                <w:spacing w:val="-3"/>
                <w:sz w:val="21"/>
              </w:rPr>
              <w:t>肾脏：肾脏受损导致双肾功能慢性不可逆衰竭，达到尿毒症期。</w:t>
            </w:r>
          </w:p>
          <w:p>
            <w:pPr>
              <w:pStyle w:val="TableParagraph"/>
              <w:spacing w:line="342" w:lineRule="exact"/>
              <w:ind w:left="183"/>
              <w:rPr>
                <w:rFonts w:ascii="微软雅黑" w:eastAsia="微软雅黑"/>
                <w:b/>
                <w:sz w:val="22"/>
              </w:rPr>
            </w:pPr>
            <w:r>
              <w:rPr>
                <w:rFonts w:ascii="微软雅黑" w:eastAsia="微软雅黑"/>
                <w:b/>
                <w:color w:val="000000"/>
                <w:spacing w:val="-1"/>
                <w:sz w:val="22"/>
                <w:shd w:fill="D9D9D9" w:color="auto" w:val="clear"/>
              </w:rPr>
              <w:t>下列疾病不在保障范围内：</w:t>
            </w:r>
          </w:p>
          <w:p>
            <w:pPr>
              <w:pStyle w:val="TableParagraph"/>
              <w:numPr>
                <w:ilvl w:val="0"/>
                <w:numId w:val="46"/>
              </w:numPr>
              <w:tabs>
                <w:tab w:pos="737" w:val="left" w:leader="none"/>
              </w:tabs>
              <w:spacing w:line="312" w:lineRule="exact" w:before="0" w:after="0"/>
              <w:ind w:left="736" w:right="0" w:hanging="554"/>
              <w:jc w:val="left"/>
              <w:rPr>
                <w:rFonts w:ascii="微软雅黑" w:eastAsia="微软雅黑"/>
                <w:b/>
                <w:sz w:val="22"/>
              </w:rPr>
            </w:pPr>
            <w:r>
              <w:rPr>
                <w:rFonts w:ascii="微软雅黑" w:eastAsia="微软雅黑"/>
                <w:b/>
                <w:color w:val="000000"/>
                <w:spacing w:val="-2"/>
                <w:sz w:val="22"/>
                <w:shd w:fill="D9D9D9" w:color="auto" w:val="clear"/>
              </w:rPr>
              <w:t>局部硬皮病；</w:t>
            </w:r>
          </w:p>
          <w:p>
            <w:pPr>
              <w:pStyle w:val="TableParagraph"/>
              <w:numPr>
                <w:ilvl w:val="0"/>
                <w:numId w:val="46"/>
              </w:numPr>
              <w:tabs>
                <w:tab w:pos="737" w:val="left" w:leader="none"/>
              </w:tabs>
              <w:spacing w:line="312" w:lineRule="exact" w:before="0" w:after="0"/>
              <w:ind w:left="736" w:right="0" w:hanging="554"/>
              <w:jc w:val="left"/>
              <w:rPr>
                <w:rFonts w:ascii="微软雅黑" w:eastAsia="微软雅黑"/>
                <w:b/>
                <w:sz w:val="22"/>
              </w:rPr>
            </w:pPr>
            <w:r>
              <w:rPr>
                <w:rFonts w:ascii="微软雅黑" w:eastAsia="微软雅黑"/>
                <w:b/>
                <w:color w:val="000000"/>
                <w:spacing w:val="-2"/>
                <w:sz w:val="22"/>
                <w:shd w:fill="D9D9D9" w:color="auto" w:val="clear"/>
              </w:rPr>
              <w:t>嗜酸细胞筋膜炎；</w:t>
            </w:r>
          </w:p>
          <w:p>
            <w:pPr>
              <w:pStyle w:val="TableParagraph"/>
              <w:numPr>
                <w:ilvl w:val="0"/>
                <w:numId w:val="46"/>
              </w:numPr>
              <w:tabs>
                <w:tab w:pos="737" w:val="left" w:leader="none"/>
              </w:tabs>
              <w:spacing w:line="359" w:lineRule="exact" w:before="0" w:after="0"/>
              <w:ind w:left="736" w:right="0" w:hanging="554"/>
              <w:jc w:val="left"/>
              <w:rPr>
                <w:rFonts w:ascii="微软雅黑" w:eastAsia="微软雅黑"/>
                <w:b/>
                <w:sz w:val="22"/>
              </w:rPr>
            </w:pPr>
            <w:r>
              <w:rPr>
                <w:rFonts w:ascii="微软雅黑" w:eastAsia="微软雅黑"/>
                <w:b/>
                <w:color w:val="000000"/>
                <w:w w:val="85"/>
                <w:sz w:val="22"/>
                <w:shd w:fill="D9D9D9" w:color="auto" w:val="clear"/>
              </w:rPr>
              <w:t>CREST</w:t>
            </w:r>
            <w:r>
              <w:rPr>
                <w:rFonts w:ascii="微软雅黑" w:eastAsia="微软雅黑"/>
                <w:b/>
                <w:color w:val="000000"/>
                <w:spacing w:val="46"/>
                <w:sz w:val="22"/>
                <w:shd w:fill="D9D9D9" w:color="auto" w:val="clear"/>
              </w:rPr>
              <w:t> </w:t>
            </w:r>
            <w:r>
              <w:rPr>
                <w:rFonts w:ascii="微软雅黑" w:eastAsia="微软雅黑"/>
                <w:b/>
                <w:color w:val="000000"/>
                <w:w w:val="85"/>
                <w:sz w:val="22"/>
                <w:shd w:fill="D9D9D9" w:color="auto" w:val="clear"/>
              </w:rPr>
              <w:t>综</w:t>
            </w:r>
            <w:r>
              <w:rPr>
                <w:rFonts w:ascii="微软雅黑" w:eastAsia="微软雅黑"/>
                <w:b/>
                <w:color w:val="000000"/>
                <w:w w:val="85"/>
                <w:sz w:val="22"/>
                <w:shd w:fill="D9D9D9" w:color="auto" w:val="clear"/>
              </w:rPr>
              <w:t>合</w:t>
            </w:r>
            <w:r>
              <w:rPr>
                <w:rFonts w:ascii="微软雅黑" w:eastAsia="微软雅黑"/>
                <w:b/>
                <w:color w:val="000000"/>
                <w:w w:val="85"/>
                <w:sz w:val="22"/>
                <w:shd w:fill="D9D9D9" w:color="auto" w:val="clear"/>
              </w:rPr>
              <w:t>征</w:t>
            </w:r>
            <w:r>
              <w:rPr>
                <w:rFonts w:ascii="微软雅黑" w:eastAsia="微软雅黑"/>
                <w:b/>
                <w:color w:val="000000"/>
                <w:spacing w:val="-10"/>
                <w:w w:val="85"/>
                <w:sz w:val="22"/>
                <w:shd w:fill="D9D9D9" w:color="auto" w:val="clear"/>
              </w:rPr>
              <w:t>。</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8.1.55</w:t>
            </w:r>
          </w:p>
        </w:tc>
        <w:tc>
          <w:tcPr>
            <w:tcW w:w="1824" w:type="dxa"/>
          </w:tcPr>
          <w:p>
            <w:pPr>
              <w:pStyle w:val="TableParagraph"/>
              <w:spacing w:line="337" w:lineRule="exact" w:before="38"/>
              <w:ind w:left="160"/>
              <w:rPr>
                <w:rFonts w:ascii="微软雅黑" w:eastAsia="微软雅黑"/>
                <w:b/>
                <w:sz w:val="21"/>
              </w:rPr>
            </w:pPr>
            <w:r>
              <w:rPr>
                <w:rFonts w:ascii="微软雅黑" w:eastAsia="微软雅黑"/>
                <w:b/>
                <w:spacing w:val="-2"/>
                <w:sz w:val="21"/>
              </w:rPr>
              <w:t>原发性硬化性胆</w:t>
            </w:r>
          </w:p>
        </w:tc>
        <w:tc>
          <w:tcPr>
            <w:tcW w:w="7181" w:type="dxa"/>
          </w:tcPr>
          <w:p>
            <w:pPr>
              <w:pStyle w:val="TableParagraph"/>
              <w:spacing w:before="105"/>
              <w:ind w:left="183"/>
              <w:rPr>
                <w:sz w:val="21"/>
              </w:rPr>
            </w:pPr>
            <w:r>
              <w:rPr>
                <w:spacing w:val="-16"/>
                <w:sz w:val="21"/>
              </w:rPr>
              <w:t>指一种胆汁淤积综合症，其特征是肝内、肝外胆道因纤维化性炎症逐渐狭窄，</w:t>
            </w:r>
          </w:p>
        </w:tc>
      </w:tr>
      <w:tr>
        <w:trPr>
          <w:trHeight w:val="312" w:hRule="atLeast"/>
        </w:trPr>
        <w:tc>
          <w:tcPr>
            <w:tcW w:w="847" w:type="dxa"/>
          </w:tcPr>
          <w:p>
            <w:pPr>
              <w:pStyle w:val="TableParagraph"/>
              <w:rPr>
                <w:rFonts w:ascii="Times New Roman"/>
                <w:sz w:val="20"/>
              </w:rPr>
            </w:pPr>
          </w:p>
        </w:tc>
        <w:tc>
          <w:tcPr>
            <w:tcW w:w="1824" w:type="dxa"/>
          </w:tcPr>
          <w:p>
            <w:pPr>
              <w:pStyle w:val="TableParagraph"/>
              <w:spacing w:line="292" w:lineRule="exact"/>
              <w:ind w:left="160"/>
              <w:rPr>
                <w:rFonts w:ascii="微软雅黑" w:eastAsia="微软雅黑"/>
                <w:b/>
                <w:sz w:val="21"/>
              </w:rPr>
            </w:pPr>
            <w:r>
              <w:rPr>
                <w:rFonts w:ascii="微软雅黑" w:eastAsia="微软雅黑"/>
                <w:b/>
                <w:spacing w:val="-5"/>
                <w:sz w:val="21"/>
              </w:rPr>
              <w:t>管炎</w:t>
            </w:r>
          </w:p>
        </w:tc>
        <w:tc>
          <w:tcPr>
            <w:tcW w:w="7181" w:type="dxa"/>
          </w:tcPr>
          <w:p>
            <w:pPr>
              <w:pStyle w:val="TableParagraph"/>
              <w:spacing w:before="22"/>
              <w:ind w:left="183"/>
              <w:rPr>
                <w:sz w:val="21"/>
              </w:rPr>
            </w:pPr>
            <w:r>
              <w:rPr>
                <w:spacing w:val="-9"/>
                <w:sz w:val="21"/>
              </w:rPr>
              <w:t>并最终导致完全阻塞而发展为肝硬化。本病须由内镜逆行胰胆管造影等影像</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3"/>
                <w:sz w:val="21"/>
              </w:rPr>
              <w:t>学检查证实，且必须由专科医生确诊，同时并须满足下列全部条件：</w:t>
            </w:r>
          </w:p>
        </w:tc>
      </w:tr>
      <w:tr>
        <w:trPr>
          <w:trHeight w:val="311"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z w:val="21"/>
              </w:rPr>
              <w:t>（1）</w:t>
            </w:r>
            <w:r>
              <w:rPr>
                <w:spacing w:val="1"/>
                <w:sz w:val="21"/>
              </w:rPr>
              <w:t>总胆红素和直接胆红素同时升高，血清</w:t>
            </w:r>
            <w:r>
              <w:rPr>
                <w:spacing w:val="-2"/>
                <w:sz w:val="21"/>
              </w:rPr>
              <w:t>ALP＞200U/L；</w:t>
            </w:r>
          </w:p>
        </w:tc>
      </w:tr>
      <w:tr>
        <w:trPr>
          <w:trHeight w:val="311"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2"/>
                <w:sz w:val="21"/>
              </w:rPr>
              <w:t>（2）</w:t>
            </w:r>
            <w:r>
              <w:rPr>
                <w:spacing w:val="-4"/>
                <w:sz w:val="21"/>
              </w:rPr>
              <w:t>持续性黄疸病史；</w:t>
            </w:r>
          </w:p>
        </w:tc>
      </w:tr>
      <w:tr>
        <w:trPr>
          <w:trHeight w:val="711"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line="252" w:lineRule="exact" w:before="22"/>
              <w:ind w:left="183"/>
              <w:rPr>
                <w:sz w:val="21"/>
              </w:rPr>
            </w:pPr>
            <w:r>
              <w:rPr>
                <w:spacing w:val="-2"/>
                <w:sz w:val="21"/>
              </w:rPr>
              <w:t>（3）</w:t>
            </w:r>
            <w:r>
              <w:rPr>
                <w:spacing w:val="-3"/>
                <w:sz w:val="21"/>
              </w:rPr>
              <w:t>出现胆汁性肝硬化或门脉高压。</w:t>
            </w:r>
          </w:p>
          <w:p>
            <w:pPr>
              <w:pStyle w:val="TableParagraph"/>
              <w:spacing w:line="388" w:lineRule="exact"/>
              <w:ind w:left="183"/>
              <w:rPr>
                <w:rFonts w:ascii="微软雅黑" w:eastAsia="微软雅黑"/>
                <w:b/>
                <w:sz w:val="22"/>
              </w:rPr>
            </w:pPr>
            <w:r>
              <w:rPr>
                <w:rFonts w:ascii="微软雅黑" w:eastAsia="微软雅黑"/>
                <w:b/>
                <w:color w:val="000000"/>
                <w:spacing w:val="-1"/>
                <w:sz w:val="22"/>
                <w:shd w:fill="D9D9D9" w:color="auto" w:val="clear"/>
              </w:rPr>
              <w:t>因肿瘤或胆管损伤等继发性的硬化性胆管炎不在保障范围内。</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8.1.56</w:t>
            </w:r>
          </w:p>
        </w:tc>
        <w:tc>
          <w:tcPr>
            <w:tcW w:w="1824" w:type="dxa"/>
          </w:tcPr>
          <w:p>
            <w:pPr>
              <w:pStyle w:val="TableParagraph"/>
              <w:spacing w:line="337" w:lineRule="exact" w:before="38"/>
              <w:ind w:left="160"/>
              <w:rPr>
                <w:rFonts w:ascii="微软雅黑" w:eastAsia="微软雅黑"/>
                <w:b/>
                <w:sz w:val="21"/>
              </w:rPr>
            </w:pPr>
            <w:r>
              <w:rPr>
                <w:rFonts w:ascii="微软雅黑" w:eastAsia="微软雅黑"/>
                <w:b/>
                <w:spacing w:val="-2"/>
                <w:sz w:val="21"/>
              </w:rPr>
              <w:t>严重克雅氏病</w:t>
            </w:r>
          </w:p>
        </w:tc>
        <w:tc>
          <w:tcPr>
            <w:tcW w:w="7181" w:type="dxa"/>
          </w:tcPr>
          <w:p>
            <w:pPr>
              <w:pStyle w:val="TableParagraph"/>
              <w:spacing w:before="105"/>
              <w:ind w:left="183"/>
              <w:rPr>
                <w:sz w:val="21"/>
              </w:rPr>
            </w:pPr>
            <w:r>
              <w:rPr>
                <w:spacing w:val="-7"/>
                <w:sz w:val="21"/>
              </w:rPr>
              <w:t>是一种传染性海绵状脑病，临床表现为快速进行性痴呆、肌阵挛和特征性脑</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11"/>
                <w:sz w:val="21"/>
              </w:rPr>
              <w:t>电图变化。本病须经三级医院的专科医生根据 </w:t>
            </w:r>
            <w:r>
              <w:rPr>
                <w:spacing w:val="-2"/>
                <w:sz w:val="21"/>
              </w:rPr>
              <w:t>WHO</w:t>
            </w:r>
            <w:r>
              <w:rPr>
                <w:spacing w:val="-12"/>
                <w:sz w:val="21"/>
              </w:rPr>
              <w:t> 诊断标准明确诊断，并且</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10"/>
                <w:sz w:val="21"/>
              </w:rPr>
              <w:t>被保险人自主生活能力完全丧失，无法独立完成六项基本日常生活活动中的</w:t>
            </w:r>
          </w:p>
        </w:tc>
      </w:tr>
      <w:tr>
        <w:trPr>
          <w:trHeight w:val="708"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line="252" w:lineRule="exact" w:before="22"/>
              <w:ind w:left="183"/>
              <w:rPr>
                <w:sz w:val="21"/>
              </w:rPr>
            </w:pPr>
            <w:r>
              <w:rPr>
                <w:spacing w:val="-4"/>
                <w:sz w:val="21"/>
              </w:rPr>
              <w:t>三项或三项以上。</w:t>
            </w:r>
          </w:p>
          <w:p>
            <w:pPr>
              <w:pStyle w:val="TableParagraph"/>
              <w:spacing w:line="388" w:lineRule="exact"/>
              <w:ind w:left="183"/>
              <w:rPr>
                <w:rFonts w:ascii="微软雅黑" w:eastAsia="微软雅黑"/>
                <w:b/>
                <w:sz w:val="22"/>
              </w:rPr>
            </w:pPr>
            <w:r>
              <w:rPr>
                <w:rFonts w:ascii="微软雅黑" w:eastAsia="微软雅黑"/>
                <w:b/>
                <w:color w:val="000000"/>
                <w:spacing w:val="-1"/>
                <w:sz w:val="22"/>
                <w:shd w:fill="D9D9D9" w:color="auto" w:val="clear"/>
              </w:rPr>
              <w:t>疑似病例不在本保障范围内。</w:t>
            </w:r>
          </w:p>
        </w:tc>
      </w:tr>
      <w:tr>
        <w:trPr>
          <w:trHeight w:val="712" w:hRule="atLeast"/>
        </w:trPr>
        <w:tc>
          <w:tcPr>
            <w:tcW w:w="847" w:type="dxa"/>
          </w:tcPr>
          <w:p>
            <w:pPr>
              <w:pStyle w:val="TableParagraph"/>
              <w:spacing w:before="41"/>
              <w:ind w:left="50"/>
              <w:rPr>
                <w:rFonts w:ascii="微软雅黑"/>
                <w:b/>
                <w:sz w:val="21"/>
              </w:rPr>
            </w:pPr>
            <w:r>
              <w:rPr>
                <w:rFonts w:ascii="微软雅黑"/>
                <w:b/>
                <w:spacing w:val="-2"/>
                <w:sz w:val="21"/>
              </w:rPr>
              <w:t>8.1.57</w:t>
            </w:r>
          </w:p>
        </w:tc>
        <w:tc>
          <w:tcPr>
            <w:tcW w:w="1824" w:type="dxa"/>
          </w:tcPr>
          <w:p>
            <w:pPr>
              <w:pStyle w:val="TableParagraph"/>
              <w:spacing w:before="41"/>
              <w:ind w:left="160"/>
              <w:rPr>
                <w:rFonts w:ascii="微软雅黑" w:eastAsia="微软雅黑"/>
                <w:b/>
                <w:sz w:val="21"/>
              </w:rPr>
            </w:pPr>
            <w:r>
              <w:rPr>
                <w:rFonts w:ascii="微软雅黑" w:eastAsia="微软雅黑"/>
                <w:b/>
                <w:spacing w:val="-3"/>
                <w:sz w:val="21"/>
              </w:rPr>
              <w:t>开颅手术</w:t>
            </w:r>
          </w:p>
        </w:tc>
        <w:tc>
          <w:tcPr>
            <w:tcW w:w="7181" w:type="dxa"/>
          </w:tcPr>
          <w:p>
            <w:pPr>
              <w:pStyle w:val="TableParagraph"/>
              <w:spacing w:line="359" w:lineRule="exact" w:before="30"/>
              <w:ind w:left="183"/>
              <w:rPr>
                <w:rFonts w:ascii="微软雅黑" w:eastAsia="微软雅黑"/>
                <w:b/>
                <w:sz w:val="22"/>
              </w:rPr>
            </w:pPr>
            <w:r>
              <w:rPr>
                <w:spacing w:val="-2"/>
                <w:sz w:val="21"/>
              </w:rPr>
              <w:t>指被保险人因疾病或意外伤害已实施全身麻醉下的开颅手术</w:t>
            </w:r>
            <w:r>
              <w:rPr>
                <w:rFonts w:ascii="微软雅黑" w:eastAsia="微软雅黑"/>
                <w:b/>
                <w:color w:val="000000"/>
                <w:spacing w:val="-2"/>
                <w:sz w:val="22"/>
                <w:shd w:fill="D9D9D9" w:color="auto" w:val="clear"/>
              </w:rPr>
              <w:t>（</w:t>
            </w:r>
            <w:r>
              <w:rPr>
                <w:rFonts w:ascii="微软雅黑" w:eastAsia="微软雅黑"/>
                <w:b/>
                <w:color w:val="000000"/>
                <w:spacing w:val="-4"/>
                <w:sz w:val="22"/>
                <w:shd w:fill="D9D9D9" w:color="auto" w:val="clear"/>
              </w:rPr>
              <w:t>不包括颅骨</w:t>
            </w:r>
          </w:p>
          <w:p>
            <w:pPr>
              <w:pStyle w:val="TableParagraph"/>
              <w:spacing w:line="303" w:lineRule="exact"/>
              <w:ind w:left="183"/>
              <w:rPr>
                <w:sz w:val="21"/>
              </w:rPr>
            </w:pPr>
            <w:r>
              <w:rPr>
                <w:rFonts w:ascii="微软雅黑" w:eastAsia="微软雅黑"/>
                <w:b/>
                <w:color w:val="000000"/>
                <w:sz w:val="22"/>
                <w:shd w:fill="D9D9D9" w:color="auto" w:val="clear"/>
              </w:rPr>
              <w:t>钻孔手术和经鼻蝶窦入颅手术）</w:t>
            </w:r>
            <w:r>
              <w:rPr>
                <w:color w:val="000000"/>
                <w:spacing w:val="-10"/>
                <w:sz w:val="21"/>
              </w:rPr>
              <w:t>。</w:t>
            </w:r>
          </w:p>
        </w:tc>
      </w:tr>
      <w:tr>
        <w:trPr>
          <w:trHeight w:val="1021"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line="252" w:lineRule="exact" w:before="20"/>
              <w:ind w:left="183"/>
              <w:rPr>
                <w:sz w:val="21"/>
              </w:rPr>
            </w:pPr>
            <w:r>
              <w:rPr>
                <w:spacing w:val="-3"/>
                <w:sz w:val="21"/>
              </w:rPr>
              <w:t>理赔时必须提供由专科医生出具的诊断书及手术证明。</w:t>
            </w:r>
          </w:p>
          <w:p>
            <w:pPr>
              <w:pStyle w:val="TableParagraph"/>
              <w:spacing w:line="184" w:lineRule="auto" w:before="49"/>
              <w:ind w:left="183" w:right="160"/>
              <w:rPr>
                <w:rFonts w:ascii="微软雅黑" w:eastAsia="微软雅黑"/>
                <w:b/>
                <w:sz w:val="22"/>
              </w:rPr>
            </w:pPr>
            <w:r>
              <w:rPr>
                <w:rFonts w:ascii="微软雅黑" w:eastAsia="微软雅黑"/>
                <w:b/>
                <w:color w:val="000000"/>
                <w:spacing w:val="-2"/>
                <w:sz w:val="22"/>
                <w:shd w:fill="D9D9D9" w:color="auto" w:val="clear"/>
              </w:rPr>
              <w:t>因脑垂体瘤、脑囊肿、脑动脉瘤及脑血管瘤而进行的开颅手术不在保障</w:t>
            </w:r>
            <w:r>
              <w:rPr>
                <w:rFonts w:ascii="微软雅黑" w:eastAsia="微软雅黑"/>
                <w:b/>
                <w:color w:val="000000"/>
                <w:spacing w:val="-4"/>
                <w:sz w:val="22"/>
                <w:shd w:fill="D9D9D9" w:color="auto" w:val="clear"/>
              </w:rPr>
              <w:t>范围内。</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8.1.58</w:t>
            </w:r>
          </w:p>
        </w:tc>
        <w:tc>
          <w:tcPr>
            <w:tcW w:w="1824" w:type="dxa"/>
          </w:tcPr>
          <w:p>
            <w:pPr>
              <w:pStyle w:val="TableParagraph"/>
              <w:spacing w:line="337" w:lineRule="exact" w:before="38"/>
              <w:ind w:left="160"/>
              <w:rPr>
                <w:rFonts w:ascii="微软雅黑" w:eastAsia="微软雅黑"/>
                <w:b/>
                <w:sz w:val="21"/>
              </w:rPr>
            </w:pPr>
            <w:r>
              <w:rPr>
                <w:rFonts w:ascii="微软雅黑" w:eastAsia="微软雅黑"/>
                <w:b/>
                <w:spacing w:val="-2"/>
                <w:sz w:val="21"/>
              </w:rPr>
              <w:t>丧失一眼及一肢</w:t>
            </w:r>
          </w:p>
        </w:tc>
        <w:tc>
          <w:tcPr>
            <w:tcW w:w="7181" w:type="dxa"/>
          </w:tcPr>
          <w:p>
            <w:pPr>
              <w:pStyle w:val="TableParagraph"/>
              <w:spacing w:before="105"/>
              <w:ind w:left="183"/>
              <w:rPr>
                <w:sz w:val="21"/>
              </w:rPr>
            </w:pPr>
            <w:r>
              <w:rPr>
                <w:spacing w:val="-3"/>
                <w:sz w:val="21"/>
              </w:rPr>
              <w:t>指因疾病或意外伤害导致单眼视力丧失及任何一肢自腕关节或踝关节近端</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2"/>
                <w:sz w:val="21"/>
              </w:rPr>
              <w:t>（靠近躯干端）</w:t>
            </w:r>
            <w:r>
              <w:rPr>
                <w:spacing w:val="-4"/>
                <w:sz w:val="21"/>
              </w:rPr>
              <w:t>以上完全性断离。</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3"/>
                <w:sz w:val="21"/>
              </w:rPr>
              <w:t>单眼视力丧失指单眼视力永久不可逆性丧失，患眼须满足下列至少一项条</w:t>
            </w:r>
          </w:p>
        </w:tc>
      </w:tr>
      <w:tr>
        <w:trPr>
          <w:trHeight w:val="311"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5"/>
                <w:sz w:val="21"/>
              </w:rPr>
              <w:t>件：</w:t>
            </w:r>
          </w:p>
        </w:tc>
      </w:tr>
      <w:tr>
        <w:trPr>
          <w:trHeight w:val="312"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2"/>
                <w:sz w:val="21"/>
              </w:rPr>
              <w:t>（1）</w:t>
            </w:r>
            <w:r>
              <w:rPr>
                <w:spacing w:val="-4"/>
                <w:sz w:val="21"/>
              </w:rPr>
              <w:t>眼球缺失或摘除；</w:t>
            </w:r>
          </w:p>
        </w:tc>
      </w:tr>
      <w:tr>
        <w:trPr>
          <w:trHeight w:val="311"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4"/>
                <w:sz w:val="21"/>
              </w:rPr>
              <w:t>（2）</w:t>
            </w:r>
            <w:r>
              <w:rPr>
                <w:spacing w:val="-9"/>
                <w:sz w:val="21"/>
              </w:rPr>
              <w:t>被保险人年满 </w:t>
            </w:r>
            <w:r>
              <w:rPr>
                <w:spacing w:val="-4"/>
                <w:sz w:val="21"/>
              </w:rPr>
              <w:t>3</w:t>
            </w:r>
            <w:r>
              <w:rPr>
                <w:spacing w:val="-13"/>
                <w:sz w:val="21"/>
              </w:rPr>
              <w:t> 周岁且矫正视力低于 </w:t>
            </w:r>
            <w:r>
              <w:rPr>
                <w:spacing w:val="-4"/>
                <w:sz w:val="21"/>
              </w:rPr>
              <w:t>0.02（</w:t>
            </w:r>
            <w:r>
              <w:rPr>
                <w:spacing w:val="-5"/>
                <w:sz w:val="21"/>
              </w:rPr>
              <w:t>采用国际标准视力表，如</w:t>
            </w:r>
          </w:p>
        </w:tc>
      </w:tr>
      <w:tr>
        <w:trPr>
          <w:trHeight w:val="311"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before="22"/>
              <w:ind w:left="183"/>
              <w:rPr>
                <w:sz w:val="21"/>
              </w:rPr>
            </w:pPr>
            <w:r>
              <w:rPr>
                <w:spacing w:val="-2"/>
                <w:sz w:val="21"/>
              </w:rPr>
              <w:t>果使用其他视力表应进行换算</w:t>
            </w:r>
            <w:r>
              <w:rPr>
                <w:spacing w:val="-5"/>
                <w:sz w:val="21"/>
              </w:rPr>
              <w:t>）；</w:t>
            </w:r>
          </w:p>
        </w:tc>
      </w:tr>
      <w:tr>
        <w:trPr>
          <w:trHeight w:val="577" w:hRule="atLeast"/>
        </w:trPr>
        <w:tc>
          <w:tcPr>
            <w:tcW w:w="847" w:type="dxa"/>
          </w:tcPr>
          <w:p>
            <w:pPr>
              <w:pStyle w:val="TableParagraph"/>
              <w:rPr>
                <w:rFonts w:ascii="Times New Roman"/>
                <w:sz w:val="20"/>
              </w:rPr>
            </w:pPr>
          </w:p>
        </w:tc>
        <w:tc>
          <w:tcPr>
            <w:tcW w:w="1824" w:type="dxa"/>
          </w:tcPr>
          <w:p>
            <w:pPr>
              <w:pStyle w:val="TableParagraph"/>
              <w:rPr>
                <w:rFonts w:ascii="Times New Roman"/>
                <w:sz w:val="20"/>
              </w:rPr>
            </w:pPr>
          </w:p>
        </w:tc>
        <w:tc>
          <w:tcPr>
            <w:tcW w:w="7181" w:type="dxa"/>
          </w:tcPr>
          <w:p>
            <w:pPr>
              <w:pStyle w:val="TableParagraph"/>
              <w:spacing w:line="252" w:lineRule="exact" w:before="22"/>
              <w:ind w:left="183"/>
              <w:rPr>
                <w:sz w:val="21"/>
              </w:rPr>
            </w:pPr>
            <w:r>
              <w:rPr>
                <w:spacing w:val="-2"/>
                <w:sz w:val="21"/>
              </w:rPr>
              <w:t>（3）</w:t>
            </w:r>
            <w:r>
              <w:rPr>
                <w:spacing w:val="-10"/>
                <w:sz w:val="21"/>
              </w:rPr>
              <w:t>被保险人年满 </w:t>
            </w:r>
            <w:r>
              <w:rPr>
                <w:spacing w:val="-2"/>
                <w:sz w:val="21"/>
              </w:rPr>
              <w:t>3</w:t>
            </w:r>
            <w:r>
              <w:rPr>
                <w:spacing w:val="-13"/>
                <w:sz w:val="21"/>
              </w:rPr>
              <w:t> 周岁且视野半径小于 </w:t>
            </w:r>
            <w:r>
              <w:rPr>
                <w:spacing w:val="-2"/>
                <w:sz w:val="21"/>
              </w:rPr>
              <w:t>5</w:t>
            </w:r>
            <w:r>
              <w:rPr>
                <w:spacing w:val="-21"/>
                <w:sz w:val="21"/>
              </w:rPr>
              <w:t> 度。</w:t>
            </w:r>
          </w:p>
          <w:p>
            <w:pPr>
              <w:pStyle w:val="TableParagraph"/>
              <w:spacing w:line="284" w:lineRule="exact"/>
              <w:ind w:left="183"/>
              <w:rPr>
                <w:rFonts w:ascii="微软雅黑" w:eastAsia="微软雅黑"/>
                <w:b/>
                <w:sz w:val="22"/>
              </w:rPr>
            </w:pPr>
            <w:r>
              <w:rPr>
                <w:rFonts w:ascii="微软雅黑" w:eastAsia="微软雅黑"/>
                <w:b/>
                <w:color w:val="000000"/>
                <w:spacing w:val="-1"/>
                <w:sz w:val="22"/>
                <w:shd w:fill="D9D9D9" w:color="auto" w:val="clear"/>
              </w:rPr>
              <w:t>投保时已有单眼缺失或有一肢缺失的不在保障范围内。</w:t>
            </w:r>
          </w:p>
        </w:tc>
      </w:tr>
    </w:tbl>
    <w:p>
      <w:pPr>
        <w:spacing w:after="0" w:line="284" w:lineRule="exact"/>
        <w:rPr>
          <w:rFonts w:ascii="微软雅黑" w:eastAsia="微软雅黑"/>
          <w:sz w:val="22"/>
        </w:rPr>
        <w:sectPr>
          <w:headerReference w:type="default" r:id="rId30"/>
          <w:footerReference w:type="default" r:id="rId31"/>
          <w:pgSz w:w="11910" w:h="16840"/>
          <w:pgMar w:header="566" w:footer="664" w:top="1340" w:bottom="860" w:left="900" w:right="720"/>
          <w:pgNumType w:start="1"/>
        </w:sectPr>
      </w:pPr>
    </w:p>
    <w:p>
      <w:pPr>
        <w:pStyle w:val="BodyText"/>
        <w:spacing w:before="11"/>
        <w:rPr>
          <w:sz w:val="8"/>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7"/>
        <w:gridCol w:w="1900"/>
        <w:gridCol w:w="7002"/>
      </w:tblGrid>
      <w:tr>
        <w:trPr>
          <w:trHeight w:val="973" w:hRule="atLeast"/>
        </w:trPr>
        <w:tc>
          <w:tcPr>
            <w:tcW w:w="847" w:type="dxa"/>
          </w:tcPr>
          <w:p>
            <w:pPr>
              <w:pStyle w:val="TableParagraph"/>
              <w:spacing w:line="291" w:lineRule="exact"/>
              <w:ind w:left="50"/>
              <w:rPr>
                <w:rFonts w:ascii="微软雅黑"/>
                <w:b/>
                <w:sz w:val="21"/>
              </w:rPr>
            </w:pPr>
            <w:r>
              <w:rPr>
                <w:rFonts w:ascii="微软雅黑"/>
                <w:b/>
                <w:spacing w:val="-2"/>
                <w:sz w:val="21"/>
              </w:rPr>
              <w:t>8.1.59</w:t>
            </w:r>
          </w:p>
        </w:tc>
        <w:tc>
          <w:tcPr>
            <w:tcW w:w="1900" w:type="dxa"/>
          </w:tcPr>
          <w:p>
            <w:pPr>
              <w:pStyle w:val="TableParagraph"/>
              <w:spacing w:line="254" w:lineRule="exact"/>
              <w:ind w:left="160"/>
              <w:rPr>
                <w:rFonts w:ascii="微软雅黑" w:eastAsia="微软雅黑"/>
                <w:b/>
                <w:sz w:val="21"/>
              </w:rPr>
            </w:pPr>
            <w:r>
              <w:rPr>
                <w:rFonts w:ascii="微软雅黑" w:eastAsia="微软雅黑"/>
                <w:b/>
                <w:spacing w:val="-2"/>
                <w:sz w:val="21"/>
              </w:rPr>
              <w:t>糖尿病导致的双</w:t>
            </w:r>
          </w:p>
          <w:p>
            <w:pPr>
              <w:pStyle w:val="TableParagraph"/>
              <w:spacing w:line="350" w:lineRule="exact"/>
              <w:ind w:left="160"/>
              <w:rPr>
                <w:rFonts w:ascii="微软雅黑" w:eastAsia="微软雅黑"/>
                <w:b/>
                <w:sz w:val="21"/>
              </w:rPr>
            </w:pPr>
            <w:r>
              <w:rPr>
                <w:rFonts w:ascii="微软雅黑" w:eastAsia="微软雅黑"/>
                <w:b/>
                <w:spacing w:val="-4"/>
                <w:sz w:val="21"/>
              </w:rPr>
              <w:t>脚截肢</w:t>
            </w:r>
          </w:p>
        </w:tc>
        <w:tc>
          <w:tcPr>
            <w:tcW w:w="7002" w:type="dxa"/>
          </w:tcPr>
          <w:p>
            <w:pPr>
              <w:pStyle w:val="TableParagraph"/>
              <w:spacing w:line="241" w:lineRule="exact"/>
              <w:ind w:left="107"/>
              <w:rPr>
                <w:sz w:val="21"/>
              </w:rPr>
            </w:pPr>
            <w:r>
              <w:rPr>
                <w:spacing w:val="-9"/>
                <w:sz w:val="21"/>
              </w:rPr>
              <w:t>指因糖尿病引起的神经及血管病变，须由专科医生确认，由踝关节或踝关节</w:t>
            </w:r>
          </w:p>
          <w:p>
            <w:pPr>
              <w:pStyle w:val="TableParagraph"/>
              <w:spacing w:line="252" w:lineRule="exact" w:before="43"/>
              <w:ind w:left="107"/>
              <w:rPr>
                <w:sz w:val="21"/>
              </w:rPr>
            </w:pPr>
            <w:r>
              <w:rPr>
                <w:spacing w:val="-2"/>
                <w:sz w:val="21"/>
              </w:rPr>
              <w:t>近端（靠近躯干端）</w:t>
            </w:r>
            <w:r>
              <w:rPr>
                <w:spacing w:val="-3"/>
                <w:sz w:val="21"/>
              </w:rPr>
              <w:t>以上位置截除双脚是维持生命的唯一方法。</w:t>
            </w:r>
          </w:p>
          <w:p>
            <w:pPr>
              <w:pStyle w:val="TableParagraph"/>
              <w:spacing w:line="388" w:lineRule="exact"/>
              <w:ind w:left="107"/>
              <w:rPr>
                <w:rFonts w:ascii="微软雅黑" w:eastAsia="微软雅黑"/>
                <w:b/>
                <w:sz w:val="22"/>
              </w:rPr>
            </w:pPr>
            <w:r>
              <w:rPr>
                <w:rFonts w:ascii="微软雅黑" w:eastAsia="微软雅黑"/>
                <w:b/>
                <w:color w:val="000000"/>
                <w:spacing w:val="-1"/>
                <w:sz w:val="22"/>
                <w:shd w:fill="D9D9D9" w:color="auto" w:val="clear"/>
              </w:rPr>
              <w:t>切除一只或多只脚趾或因任何其他原因引起的截肢术不在保障范围内。</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8.1.60</w:t>
            </w:r>
          </w:p>
        </w:tc>
        <w:tc>
          <w:tcPr>
            <w:tcW w:w="1900" w:type="dxa"/>
          </w:tcPr>
          <w:p>
            <w:pPr>
              <w:pStyle w:val="TableParagraph"/>
              <w:spacing w:line="337" w:lineRule="exact" w:before="38"/>
              <w:ind w:left="160"/>
              <w:rPr>
                <w:rFonts w:ascii="微软雅黑" w:eastAsia="微软雅黑"/>
                <w:b/>
                <w:sz w:val="21"/>
              </w:rPr>
            </w:pPr>
            <w:r>
              <w:rPr>
                <w:rFonts w:ascii="微软雅黑" w:eastAsia="微软雅黑"/>
                <w:b/>
                <w:spacing w:val="-3"/>
                <w:sz w:val="21"/>
              </w:rPr>
              <w:t>脑囊虫病</w:t>
            </w:r>
          </w:p>
        </w:tc>
        <w:tc>
          <w:tcPr>
            <w:tcW w:w="7002" w:type="dxa"/>
          </w:tcPr>
          <w:p>
            <w:pPr>
              <w:pStyle w:val="TableParagraph"/>
              <w:spacing w:before="105"/>
              <w:ind w:left="107"/>
              <w:rPr>
                <w:sz w:val="21"/>
              </w:rPr>
            </w:pPr>
            <w:r>
              <w:rPr>
                <w:spacing w:val="-10"/>
                <w:sz w:val="21"/>
              </w:rPr>
              <w:t>指因误食猪绦虫卵，囊尾蚴进入脑内形成数个到数百个囊泡，引起神经系统</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7"/>
                <w:sz w:val="21"/>
              </w:rPr>
              <w:t>功能损害，表现为癫痫、颅内压升高或脑膜脑炎。被保险人被明确诊断为脑</w:t>
            </w:r>
          </w:p>
        </w:tc>
      </w:tr>
      <w:tr>
        <w:trPr>
          <w:trHeight w:val="395"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3"/>
                <w:sz w:val="21"/>
              </w:rPr>
              <w:t>囊虫病，并且由于颅内压升高实际接受了去骨瓣减压术治疗。</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8.1.61</w:t>
            </w:r>
          </w:p>
        </w:tc>
        <w:tc>
          <w:tcPr>
            <w:tcW w:w="1900" w:type="dxa"/>
          </w:tcPr>
          <w:p>
            <w:pPr>
              <w:pStyle w:val="TableParagraph"/>
              <w:spacing w:line="337" w:lineRule="exact" w:before="38"/>
              <w:ind w:left="160"/>
              <w:rPr>
                <w:rFonts w:ascii="微软雅黑" w:eastAsia="微软雅黑"/>
                <w:b/>
                <w:sz w:val="21"/>
              </w:rPr>
            </w:pPr>
            <w:r>
              <w:rPr>
                <w:rFonts w:ascii="微软雅黑" w:eastAsia="微软雅黑"/>
                <w:b/>
                <w:spacing w:val="-2"/>
                <w:sz w:val="21"/>
              </w:rPr>
              <w:t>肺泡蛋白质沉积</w:t>
            </w:r>
          </w:p>
        </w:tc>
        <w:tc>
          <w:tcPr>
            <w:tcW w:w="7002" w:type="dxa"/>
          </w:tcPr>
          <w:p>
            <w:pPr>
              <w:pStyle w:val="TableParagraph"/>
              <w:spacing w:before="106"/>
              <w:ind w:left="107"/>
              <w:rPr>
                <w:sz w:val="21"/>
              </w:rPr>
            </w:pPr>
            <w:r>
              <w:rPr>
                <w:spacing w:val="-3"/>
                <w:sz w:val="21"/>
              </w:rPr>
              <w:t>指因获得性或继发性原因或导致双肺肺泡和细支气管腔内充满不可溶性富</w:t>
            </w:r>
          </w:p>
        </w:tc>
      </w:tr>
      <w:tr>
        <w:trPr>
          <w:trHeight w:val="312" w:hRule="atLeast"/>
        </w:trPr>
        <w:tc>
          <w:tcPr>
            <w:tcW w:w="847" w:type="dxa"/>
          </w:tcPr>
          <w:p>
            <w:pPr>
              <w:pStyle w:val="TableParagraph"/>
              <w:rPr>
                <w:rFonts w:ascii="Times New Roman"/>
                <w:sz w:val="20"/>
              </w:rPr>
            </w:pPr>
          </w:p>
        </w:tc>
        <w:tc>
          <w:tcPr>
            <w:tcW w:w="1900" w:type="dxa"/>
          </w:tcPr>
          <w:p>
            <w:pPr>
              <w:pStyle w:val="TableParagraph"/>
              <w:spacing w:line="292" w:lineRule="exact"/>
              <w:ind w:left="160"/>
              <w:rPr>
                <w:rFonts w:ascii="微软雅黑" w:eastAsia="微软雅黑"/>
                <w:b/>
                <w:sz w:val="21"/>
              </w:rPr>
            </w:pPr>
            <w:r>
              <w:rPr>
                <w:rFonts w:ascii="微软雅黑" w:eastAsia="微软雅黑"/>
                <w:b/>
                <w:w w:val="100"/>
                <w:sz w:val="21"/>
              </w:rPr>
              <w:t>症</w:t>
            </w:r>
          </w:p>
        </w:tc>
        <w:tc>
          <w:tcPr>
            <w:tcW w:w="7002" w:type="dxa"/>
          </w:tcPr>
          <w:p>
            <w:pPr>
              <w:pStyle w:val="TableParagraph"/>
              <w:spacing w:before="22"/>
              <w:ind w:left="107"/>
              <w:rPr>
                <w:sz w:val="21"/>
              </w:rPr>
            </w:pPr>
            <w:r>
              <w:rPr>
                <w:spacing w:val="-3"/>
                <w:sz w:val="21"/>
              </w:rPr>
              <w:t>磷脂蛋白的疾病。理赔时须满足下列全部条件：</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（1）</w:t>
            </w:r>
            <w:r>
              <w:rPr>
                <w:spacing w:val="-3"/>
                <w:sz w:val="21"/>
              </w:rPr>
              <w:t>支气管镜活检或开胸肺活检病理检查证实肺泡内充满有过碘酸雪夫</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（PAS）</w:t>
            </w:r>
            <w:r>
              <w:rPr>
                <w:spacing w:val="-3"/>
                <w:sz w:val="21"/>
              </w:rPr>
              <w:t>染色阳性的蛋白样物质；</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（2）</w:t>
            </w:r>
            <w:r>
              <w:rPr>
                <w:spacing w:val="-3"/>
                <w:sz w:val="21"/>
              </w:rPr>
              <w:t>被保险人因中重度呼吸困难或低氧血症而实际已行全身麻醉下的全肺</w:t>
            </w:r>
          </w:p>
        </w:tc>
      </w:tr>
      <w:tr>
        <w:trPr>
          <w:trHeight w:val="397"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4"/>
                <w:sz w:val="21"/>
              </w:rPr>
              <w:t>灌洗治疗。</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8.1.62</w:t>
            </w:r>
          </w:p>
        </w:tc>
        <w:tc>
          <w:tcPr>
            <w:tcW w:w="1900" w:type="dxa"/>
          </w:tcPr>
          <w:p>
            <w:pPr>
              <w:pStyle w:val="TableParagraph"/>
              <w:spacing w:line="337" w:lineRule="exact" w:before="40"/>
              <w:ind w:left="160"/>
              <w:rPr>
                <w:rFonts w:ascii="微软雅黑" w:eastAsia="微软雅黑"/>
                <w:b/>
                <w:sz w:val="21"/>
              </w:rPr>
            </w:pPr>
            <w:r>
              <w:rPr>
                <w:rFonts w:ascii="微软雅黑" w:eastAsia="微软雅黑"/>
                <w:b/>
                <w:spacing w:val="-2"/>
                <w:sz w:val="21"/>
              </w:rPr>
              <w:t>肺淋巴管肌瘤病</w:t>
            </w:r>
          </w:p>
        </w:tc>
        <w:tc>
          <w:tcPr>
            <w:tcW w:w="7002" w:type="dxa"/>
          </w:tcPr>
          <w:p>
            <w:pPr>
              <w:pStyle w:val="TableParagraph"/>
              <w:spacing w:before="107"/>
              <w:ind w:left="107"/>
              <w:rPr>
                <w:sz w:val="21"/>
              </w:rPr>
            </w:pPr>
            <w:r>
              <w:rPr>
                <w:spacing w:val="-7"/>
                <w:sz w:val="21"/>
              </w:rPr>
              <w:t>指一种弥漫性肺部疾病，主要病理改变为肺间质、支气管、血管和淋巴管内</w:t>
            </w:r>
          </w:p>
        </w:tc>
      </w:tr>
      <w:tr>
        <w:trPr>
          <w:trHeight w:val="311"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3"/>
                <w:sz w:val="21"/>
              </w:rPr>
              <w:t>出现未成熟的平滑肌异常增生，同时需满足下列全部条件：</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（1）</w:t>
            </w:r>
            <w:r>
              <w:rPr>
                <w:spacing w:val="-3"/>
                <w:sz w:val="21"/>
              </w:rPr>
              <w:t>经组织病理学诊断；</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（2）CT</w:t>
            </w:r>
            <w:r>
              <w:rPr>
                <w:spacing w:val="-10"/>
                <w:sz w:val="21"/>
              </w:rPr>
              <w:t> 显示双肺弥漫性囊性改变；</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（3）</w:t>
            </w:r>
            <w:r>
              <w:rPr>
                <w:spacing w:val="-8"/>
                <w:sz w:val="21"/>
              </w:rPr>
              <w:t>肺功能检查显示 </w:t>
            </w:r>
            <w:r>
              <w:rPr>
                <w:spacing w:val="-2"/>
                <w:sz w:val="21"/>
              </w:rPr>
              <w:t>FEV1</w:t>
            </w:r>
            <w:r>
              <w:rPr>
                <w:spacing w:val="-32"/>
                <w:sz w:val="21"/>
              </w:rPr>
              <w:t> 和 </w:t>
            </w:r>
            <w:r>
              <w:rPr>
                <w:spacing w:val="-2"/>
                <w:sz w:val="21"/>
              </w:rPr>
              <w:t>DLCO（CO</w:t>
            </w:r>
            <w:r>
              <w:rPr>
                <w:spacing w:val="-12"/>
                <w:sz w:val="21"/>
              </w:rPr>
              <w:t> 弥散功能</w:t>
            </w:r>
            <w:r>
              <w:rPr>
                <w:spacing w:val="-2"/>
                <w:sz w:val="21"/>
              </w:rPr>
              <w:t>）</w:t>
            </w:r>
            <w:r>
              <w:rPr>
                <w:spacing w:val="-5"/>
                <w:sz w:val="21"/>
              </w:rPr>
              <w:t>下降；</w:t>
            </w:r>
          </w:p>
        </w:tc>
      </w:tr>
      <w:tr>
        <w:trPr>
          <w:trHeight w:val="711"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line="252" w:lineRule="exact" w:before="22"/>
              <w:ind w:left="107"/>
              <w:rPr>
                <w:sz w:val="21"/>
              </w:rPr>
            </w:pPr>
            <w:r>
              <w:rPr>
                <w:spacing w:val="-2"/>
                <w:sz w:val="21"/>
              </w:rPr>
              <w:t>（4）</w:t>
            </w:r>
            <w:r>
              <w:rPr>
                <w:spacing w:val="-3"/>
                <w:sz w:val="21"/>
              </w:rPr>
              <w:t>动脉血气分析显示低氧血症。</w:t>
            </w:r>
          </w:p>
          <w:p>
            <w:pPr>
              <w:pStyle w:val="TableParagraph"/>
              <w:spacing w:line="388" w:lineRule="exact"/>
              <w:ind w:left="107"/>
              <w:rPr>
                <w:rFonts w:ascii="微软雅黑" w:eastAsia="微软雅黑"/>
                <w:b/>
                <w:sz w:val="22"/>
              </w:rPr>
            </w:pPr>
            <w:r>
              <w:rPr>
                <w:rFonts w:ascii="微软雅黑" w:eastAsia="微软雅黑"/>
                <w:b/>
                <w:color w:val="000000"/>
                <w:spacing w:val="-1"/>
                <w:sz w:val="22"/>
                <w:shd w:fill="D9D9D9" w:color="auto" w:val="clear"/>
              </w:rPr>
              <w:t>疑似肺淋巴管肌瘤病除外。</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8.1.63</w:t>
            </w:r>
          </w:p>
        </w:tc>
        <w:tc>
          <w:tcPr>
            <w:tcW w:w="1900" w:type="dxa"/>
          </w:tcPr>
          <w:p>
            <w:pPr>
              <w:pStyle w:val="TableParagraph"/>
              <w:spacing w:line="337" w:lineRule="exact" w:before="38"/>
              <w:ind w:left="160"/>
              <w:rPr>
                <w:rFonts w:ascii="微软雅黑" w:eastAsia="微软雅黑"/>
                <w:b/>
                <w:sz w:val="21"/>
              </w:rPr>
            </w:pPr>
            <w:r>
              <w:rPr>
                <w:rFonts w:ascii="微软雅黑" w:eastAsia="微软雅黑"/>
                <w:b/>
                <w:spacing w:val="-2"/>
                <w:sz w:val="21"/>
              </w:rPr>
              <w:t>严重肺源性心脏</w:t>
            </w:r>
          </w:p>
        </w:tc>
        <w:tc>
          <w:tcPr>
            <w:tcW w:w="7002" w:type="dxa"/>
          </w:tcPr>
          <w:p>
            <w:pPr>
              <w:pStyle w:val="TableParagraph"/>
              <w:spacing w:before="105"/>
              <w:ind w:left="107"/>
              <w:rPr>
                <w:sz w:val="21"/>
              </w:rPr>
            </w:pPr>
            <w:r>
              <w:rPr>
                <w:spacing w:val="-3"/>
                <w:sz w:val="21"/>
              </w:rPr>
              <w:t>指被保险人因慢性肺部疾病导致慢性心功能损害造成永久不可逆性的心功</w:t>
            </w:r>
          </w:p>
        </w:tc>
      </w:tr>
      <w:tr>
        <w:trPr>
          <w:trHeight w:val="311" w:hRule="atLeast"/>
        </w:trPr>
        <w:tc>
          <w:tcPr>
            <w:tcW w:w="847" w:type="dxa"/>
          </w:tcPr>
          <w:p>
            <w:pPr>
              <w:pStyle w:val="TableParagraph"/>
              <w:rPr>
                <w:rFonts w:ascii="Times New Roman"/>
                <w:sz w:val="20"/>
              </w:rPr>
            </w:pPr>
          </w:p>
        </w:tc>
        <w:tc>
          <w:tcPr>
            <w:tcW w:w="1900" w:type="dxa"/>
          </w:tcPr>
          <w:p>
            <w:pPr>
              <w:pStyle w:val="TableParagraph"/>
              <w:spacing w:line="292" w:lineRule="exact"/>
              <w:ind w:left="160"/>
              <w:rPr>
                <w:rFonts w:ascii="微软雅黑" w:eastAsia="微软雅黑"/>
                <w:b/>
                <w:sz w:val="21"/>
              </w:rPr>
            </w:pPr>
            <w:r>
              <w:rPr>
                <w:rFonts w:ascii="微软雅黑" w:eastAsia="微软雅黑"/>
                <w:b/>
                <w:w w:val="100"/>
                <w:sz w:val="21"/>
              </w:rPr>
              <w:t>病</w:t>
            </w:r>
          </w:p>
        </w:tc>
        <w:tc>
          <w:tcPr>
            <w:tcW w:w="7002" w:type="dxa"/>
          </w:tcPr>
          <w:p>
            <w:pPr>
              <w:pStyle w:val="TableParagraph"/>
              <w:spacing w:before="22"/>
              <w:ind w:left="107"/>
              <w:rPr>
                <w:sz w:val="21"/>
              </w:rPr>
            </w:pPr>
            <w:r>
              <w:rPr>
                <w:spacing w:val="-4"/>
                <w:sz w:val="21"/>
              </w:rPr>
              <w:t>能衰竭。心功能衰竭程度达到美国纽约心脏病学会心功能状态分级 </w:t>
            </w:r>
            <w:r>
              <w:rPr>
                <w:spacing w:val="-2"/>
                <w:sz w:val="21"/>
              </w:rPr>
              <w:t>IV</w:t>
            </w:r>
            <w:r>
              <w:rPr>
                <w:spacing w:val="-18"/>
                <w:sz w:val="21"/>
              </w:rPr>
              <w:t> 级。</w:t>
            </w:r>
          </w:p>
        </w:tc>
      </w:tr>
      <w:tr>
        <w:trPr>
          <w:trHeight w:val="397"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3"/>
                <w:sz w:val="21"/>
              </w:rPr>
              <w:t>被保险人永久不可逆性的体力活动能力受限，不能从事任何体力活动。</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8.1.64</w:t>
            </w:r>
          </w:p>
        </w:tc>
        <w:tc>
          <w:tcPr>
            <w:tcW w:w="1900" w:type="dxa"/>
          </w:tcPr>
          <w:p>
            <w:pPr>
              <w:pStyle w:val="TableParagraph"/>
              <w:spacing w:line="337" w:lineRule="exact" w:before="40"/>
              <w:ind w:left="160"/>
              <w:rPr>
                <w:rFonts w:ascii="微软雅黑" w:eastAsia="微软雅黑"/>
                <w:b/>
                <w:sz w:val="21"/>
              </w:rPr>
            </w:pPr>
            <w:r>
              <w:rPr>
                <w:rFonts w:ascii="微软雅黑" w:eastAsia="微软雅黑"/>
                <w:b/>
                <w:spacing w:val="-10"/>
                <w:sz w:val="21"/>
              </w:rPr>
              <w:t>侵蚀性葡萄胎</w:t>
            </w:r>
            <w:r>
              <w:rPr>
                <w:rFonts w:ascii="微软雅黑" w:eastAsia="微软雅黑"/>
                <w:b/>
                <w:sz w:val="21"/>
              </w:rPr>
              <w:t>（</w:t>
            </w:r>
            <w:r>
              <w:rPr>
                <w:rFonts w:ascii="微软雅黑" w:eastAsia="微软雅黑"/>
                <w:b/>
                <w:spacing w:val="-10"/>
                <w:sz w:val="21"/>
              </w:rPr>
              <w:t>或</w:t>
            </w:r>
          </w:p>
        </w:tc>
        <w:tc>
          <w:tcPr>
            <w:tcW w:w="7002" w:type="dxa"/>
          </w:tcPr>
          <w:p>
            <w:pPr>
              <w:pStyle w:val="TableParagraph"/>
              <w:spacing w:before="107"/>
              <w:ind w:left="107"/>
              <w:rPr>
                <w:sz w:val="21"/>
              </w:rPr>
            </w:pPr>
            <w:r>
              <w:rPr>
                <w:spacing w:val="-3"/>
                <w:sz w:val="21"/>
              </w:rPr>
              <w:t>指异常增生的绒毛组织浸润性生长浸入子宫肌层或转移至其他器官或组织</w:t>
            </w:r>
          </w:p>
        </w:tc>
      </w:tr>
      <w:tr>
        <w:trPr>
          <w:trHeight w:val="397" w:hRule="atLeast"/>
        </w:trPr>
        <w:tc>
          <w:tcPr>
            <w:tcW w:w="847" w:type="dxa"/>
          </w:tcPr>
          <w:p>
            <w:pPr>
              <w:pStyle w:val="TableParagraph"/>
              <w:rPr>
                <w:rFonts w:ascii="Times New Roman"/>
                <w:sz w:val="20"/>
              </w:rPr>
            </w:pPr>
          </w:p>
        </w:tc>
        <w:tc>
          <w:tcPr>
            <w:tcW w:w="1900" w:type="dxa"/>
          </w:tcPr>
          <w:p>
            <w:pPr>
              <w:pStyle w:val="TableParagraph"/>
              <w:spacing w:line="342" w:lineRule="exact"/>
              <w:ind w:left="160"/>
              <w:rPr>
                <w:rFonts w:ascii="微软雅黑" w:eastAsia="微软雅黑"/>
                <w:b/>
                <w:sz w:val="21"/>
              </w:rPr>
            </w:pPr>
            <w:r>
              <w:rPr>
                <w:rFonts w:ascii="微软雅黑" w:eastAsia="微软雅黑"/>
                <w:b/>
                <w:sz w:val="21"/>
              </w:rPr>
              <w:t>称恶性葡萄胎</w:t>
            </w:r>
            <w:r>
              <w:rPr>
                <w:rFonts w:ascii="微软雅黑" w:eastAsia="微软雅黑"/>
                <w:b/>
                <w:spacing w:val="-10"/>
                <w:sz w:val="21"/>
              </w:rPr>
              <w:t>）</w:t>
            </w:r>
          </w:p>
        </w:tc>
        <w:tc>
          <w:tcPr>
            <w:tcW w:w="7002" w:type="dxa"/>
          </w:tcPr>
          <w:p>
            <w:pPr>
              <w:pStyle w:val="TableParagraph"/>
              <w:spacing w:before="22"/>
              <w:ind w:left="107"/>
              <w:rPr>
                <w:sz w:val="21"/>
              </w:rPr>
            </w:pPr>
            <w:r>
              <w:rPr>
                <w:spacing w:val="-3"/>
                <w:sz w:val="21"/>
              </w:rPr>
              <w:t>的葡萄胎，经病理诊断明确，并已经进行化疗或手术治疗的。</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8.1.65</w:t>
            </w:r>
          </w:p>
        </w:tc>
        <w:tc>
          <w:tcPr>
            <w:tcW w:w="1900" w:type="dxa"/>
          </w:tcPr>
          <w:p>
            <w:pPr>
              <w:pStyle w:val="TableParagraph"/>
              <w:spacing w:line="337" w:lineRule="exact" w:before="40"/>
              <w:ind w:left="160"/>
              <w:rPr>
                <w:rFonts w:ascii="微软雅黑" w:eastAsia="微软雅黑"/>
                <w:b/>
                <w:sz w:val="21"/>
              </w:rPr>
            </w:pPr>
            <w:r>
              <w:rPr>
                <w:rFonts w:ascii="微软雅黑" w:eastAsia="微软雅黑"/>
                <w:b/>
                <w:spacing w:val="-2"/>
                <w:sz w:val="21"/>
              </w:rPr>
              <w:t>严重自身免疫性</w:t>
            </w:r>
          </w:p>
        </w:tc>
        <w:tc>
          <w:tcPr>
            <w:tcW w:w="7002" w:type="dxa"/>
          </w:tcPr>
          <w:p>
            <w:pPr>
              <w:pStyle w:val="TableParagraph"/>
              <w:spacing w:before="107"/>
              <w:ind w:left="107"/>
              <w:rPr>
                <w:sz w:val="21"/>
              </w:rPr>
            </w:pPr>
            <w:r>
              <w:rPr>
                <w:spacing w:val="-7"/>
                <w:sz w:val="21"/>
              </w:rPr>
              <w:t>指一种原因不明的慢性肝脏的坏死性炎性疾病，机体免疫机制被破坏，产生</w:t>
            </w:r>
          </w:p>
        </w:tc>
      </w:tr>
      <w:tr>
        <w:trPr>
          <w:trHeight w:val="312" w:hRule="atLeast"/>
        </w:trPr>
        <w:tc>
          <w:tcPr>
            <w:tcW w:w="847" w:type="dxa"/>
          </w:tcPr>
          <w:p>
            <w:pPr>
              <w:pStyle w:val="TableParagraph"/>
              <w:rPr>
                <w:rFonts w:ascii="Times New Roman"/>
                <w:sz w:val="20"/>
              </w:rPr>
            </w:pPr>
          </w:p>
        </w:tc>
        <w:tc>
          <w:tcPr>
            <w:tcW w:w="1900" w:type="dxa"/>
          </w:tcPr>
          <w:p>
            <w:pPr>
              <w:pStyle w:val="TableParagraph"/>
              <w:spacing w:line="292" w:lineRule="exact"/>
              <w:ind w:left="160"/>
              <w:rPr>
                <w:rFonts w:ascii="微软雅黑" w:eastAsia="微软雅黑"/>
                <w:b/>
                <w:sz w:val="21"/>
              </w:rPr>
            </w:pPr>
            <w:r>
              <w:rPr>
                <w:rFonts w:ascii="微软雅黑" w:eastAsia="微软雅黑"/>
                <w:b/>
                <w:spacing w:val="-5"/>
                <w:sz w:val="21"/>
              </w:rPr>
              <w:t>肝炎</w:t>
            </w:r>
          </w:p>
        </w:tc>
        <w:tc>
          <w:tcPr>
            <w:tcW w:w="7002" w:type="dxa"/>
          </w:tcPr>
          <w:p>
            <w:pPr>
              <w:pStyle w:val="TableParagraph"/>
              <w:spacing w:before="22"/>
              <w:ind w:left="107"/>
              <w:rPr>
                <w:sz w:val="21"/>
              </w:rPr>
            </w:pPr>
            <w:r>
              <w:rPr>
                <w:spacing w:val="-8"/>
                <w:sz w:val="21"/>
              </w:rPr>
              <w:t>针对肝脏自身抗原的抗体导致自身免疫反应，从而破坏肝细胞造成肝脏炎症</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3"/>
                <w:sz w:val="21"/>
              </w:rPr>
              <w:t>坏死，进而发展为肝硬化。必须满足下列全部条件：</w:t>
            </w:r>
          </w:p>
        </w:tc>
      </w:tr>
      <w:tr>
        <w:trPr>
          <w:trHeight w:val="311"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（1）</w:t>
            </w:r>
            <w:r>
              <w:rPr>
                <w:spacing w:val="-26"/>
                <w:sz w:val="21"/>
              </w:rPr>
              <w:t>高 </w:t>
            </w:r>
            <w:r>
              <w:rPr>
                <w:spacing w:val="-2"/>
                <w:sz w:val="21"/>
              </w:rPr>
              <w:t>γ</w:t>
            </w:r>
            <w:r>
              <w:rPr>
                <w:spacing w:val="-11"/>
                <w:sz w:val="21"/>
              </w:rPr>
              <w:t> 球蛋白血症；</w:t>
            </w:r>
          </w:p>
        </w:tc>
      </w:tr>
      <w:tr>
        <w:trPr>
          <w:trHeight w:val="311"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4"/>
                <w:sz w:val="21"/>
              </w:rPr>
              <w:t>（2）</w:t>
            </w:r>
            <w:r>
              <w:rPr>
                <w:spacing w:val="-5"/>
                <w:sz w:val="21"/>
              </w:rPr>
              <w:t>血液中存在高水平的自身免疫抗体，如 </w:t>
            </w:r>
            <w:r>
              <w:rPr>
                <w:spacing w:val="-4"/>
                <w:sz w:val="21"/>
              </w:rPr>
              <w:t>ANA（抗核抗体）、SMA（</w:t>
            </w:r>
            <w:r>
              <w:rPr>
                <w:spacing w:val="-7"/>
                <w:sz w:val="21"/>
              </w:rPr>
              <w:t>抗平</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滑肌抗体）</w:t>
            </w:r>
            <w:r>
              <w:rPr>
                <w:spacing w:val="-18"/>
                <w:sz w:val="21"/>
              </w:rPr>
              <w:t>、抗 </w:t>
            </w:r>
            <w:r>
              <w:rPr>
                <w:spacing w:val="-2"/>
                <w:sz w:val="21"/>
              </w:rPr>
              <w:t>LKM1</w:t>
            </w:r>
            <w:r>
              <w:rPr>
                <w:spacing w:val="-11"/>
                <w:sz w:val="21"/>
              </w:rPr>
              <w:t> 抗体或抗-</w:t>
            </w:r>
            <w:r>
              <w:rPr>
                <w:spacing w:val="-2"/>
                <w:sz w:val="21"/>
              </w:rPr>
              <w:t>SLA/LP</w:t>
            </w:r>
            <w:r>
              <w:rPr>
                <w:spacing w:val="-16"/>
                <w:sz w:val="21"/>
              </w:rPr>
              <w:t> 抗体；</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（3）</w:t>
            </w:r>
            <w:r>
              <w:rPr>
                <w:spacing w:val="-3"/>
                <w:sz w:val="21"/>
              </w:rPr>
              <w:t>肝脏活检证实免疫性肝炎；</w:t>
            </w:r>
          </w:p>
        </w:tc>
      </w:tr>
      <w:tr>
        <w:trPr>
          <w:trHeight w:val="397"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（4）</w:t>
            </w:r>
            <w:r>
              <w:rPr>
                <w:spacing w:val="-3"/>
                <w:sz w:val="21"/>
              </w:rPr>
              <w:t>临床已经出现腹水、食道静脉曲张和脾肿大等肝硬化表现。</w:t>
            </w:r>
          </w:p>
        </w:tc>
      </w:tr>
      <w:tr>
        <w:trPr>
          <w:trHeight w:val="397" w:hRule="atLeast"/>
        </w:trPr>
        <w:tc>
          <w:tcPr>
            <w:tcW w:w="847" w:type="dxa"/>
          </w:tcPr>
          <w:p>
            <w:pPr>
              <w:pStyle w:val="TableParagraph"/>
              <w:spacing w:line="338" w:lineRule="exact" w:before="40"/>
              <w:ind w:left="50"/>
              <w:rPr>
                <w:rFonts w:ascii="微软雅黑"/>
                <w:b/>
                <w:sz w:val="21"/>
              </w:rPr>
            </w:pPr>
            <w:r>
              <w:rPr>
                <w:rFonts w:ascii="微软雅黑"/>
                <w:b/>
                <w:spacing w:val="-2"/>
                <w:sz w:val="21"/>
              </w:rPr>
              <w:t>8.1.66</w:t>
            </w:r>
          </w:p>
        </w:tc>
        <w:tc>
          <w:tcPr>
            <w:tcW w:w="1900" w:type="dxa"/>
          </w:tcPr>
          <w:p>
            <w:pPr>
              <w:pStyle w:val="TableParagraph"/>
              <w:spacing w:line="338" w:lineRule="exact" w:before="40"/>
              <w:ind w:left="160"/>
              <w:rPr>
                <w:rFonts w:ascii="微软雅黑" w:hAnsi="微软雅黑" w:eastAsia="微软雅黑"/>
                <w:b/>
                <w:sz w:val="21"/>
              </w:rPr>
            </w:pPr>
            <w:r>
              <w:rPr>
                <w:rFonts w:ascii="微软雅黑" w:hAnsi="微软雅黑" w:eastAsia="微软雅黑"/>
                <w:b/>
                <w:spacing w:val="-2"/>
                <w:sz w:val="21"/>
              </w:rPr>
              <w:t>严重的Ⅲ度房室</w:t>
            </w:r>
          </w:p>
        </w:tc>
        <w:tc>
          <w:tcPr>
            <w:tcW w:w="7002" w:type="dxa"/>
          </w:tcPr>
          <w:p>
            <w:pPr>
              <w:pStyle w:val="TableParagraph"/>
              <w:spacing w:before="107"/>
              <w:ind w:left="107"/>
              <w:rPr>
                <w:sz w:val="21"/>
              </w:rPr>
            </w:pPr>
            <w:r>
              <w:rPr>
                <w:spacing w:val="-7"/>
                <w:sz w:val="21"/>
              </w:rPr>
              <w:t>指心房激动在房室交界区、房室束及其分支内发生阻滞，不能正常地传到心</w:t>
            </w:r>
          </w:p>
        </w:tc>
      </w:tr>
      <w:tr>
        <w:trPr>
          <w:trHeight w:val="312" w:hRule="atLeast"/>
        </w:trPr>
        <w:tc>
          <w:tcPr>
            <w:tcW w:w="847" w:type="dxa"/>
          </w:tcPr>
          <w:p>
            <w:pPr>
              <w:pStyle w:val="TableParagraph"/>
              <w:rPr>
                <w:rFonts w:ascii="Times New Roman"/>
                <w:sz w:val="20"/>
              </w:rPr>
            </w:pPr>
          </w:p>
        </w:tc>
        <w:tc>
          <w:tcPr>
            <w:tcW w:w="1900" w:type="dxa"/>
          </w:tcPr>
          <w:p>
            <w:pPr>
              <w:pStyle w:val="TableParagraph"/>
              <w:spacing w:line="292" w:lineRule="exact"/>
              <w:ind w:left="160"/>
              <w:rPr>
                <w:rFonts w:ascii="微软雅黑" w:eastAsia="微软雅黑"/>
                <w:b/>
                <w:sz w:val="21"/>
              </w:rPr>
            </w:pPr>
            <w:r>
              <w:rPr>
                <w:rFonts w:ascii="微软雅黑" w:eastAsia="微软雅黑"/>
                <w:b/>
                <w:spacing w:val="-3"/>
                <w:sz w:val="21"/>
              </w:rPr>
              <w:t>传导阻滞</w:t>
            </w:r>
          </w:p>
        </w:tc>
        <w:tc>
          <w:tcPr>
            <w:tcW w:w="7002" w:type="dxa"/>
          </w:tcPr>
          <w:p>
            <w:pPr>
              <w:pStyle w:val="TableParagraph"/>
              <w:spacing w:before="22"/>
              <w:ind w:left="107"/>
              <w:rPr>
                <w:sz w:val="21"/>
              </w:rPr>
            </w:pPr>
            <w:r>
              <w:rPr>
                <w:spacing w:val="-3"/>
                <w:sz w:val="21"/>
              </w:rPr>
              <w:t>室的心脏传导性疾病，须满足下列全部条件：</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（1）心电图显示房室搏动彼此独立，心室率＜50</w:t>
            </w:r>
            <w:r>
              <w:rPr>
                <w:spacing w:val="-10"/>
                <w:sz w:val="21"/>
              </w:rPr>
              <w:t> 次/分钟；</w:t>
            </w:r>
          </w:p>
        </w:tc>
      </w:tr>
      <w:tr>
        <w:trPr>
          <w:trHeight w:val="311"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（2）</w:t>
            </w:r>
            <w:r>
              <w:rPr>
                <w:spacing w:val="-3"/>
                <w:sz w:val="21"/>
              </w:rPr>
              <w:t>出现阿-斯综合症或心力衰竭的表现；</w:t>
            </w:r>
          </w:p>
        </w:tc>
      </w:tr>
      <w:tr>
        <w:trPr>
          <w:trHeight w:val="311"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2"/>
                <w:sz w:val="21"/>
              </w:rPr>
              <w:t>（3）</w:t>
            </w:r>
            <w:r>
              <w:rPr>
                <w:spacing w:val="-3"/>
                <w:sz w:val="21"/>
              </w:rPr>
              <w:t>必须持续性依赖心脏起搏器维持心脏正常功能，且已经放置心脏起搏</w:t>
            </w:r>
          </w:p>
        </w:tc>
      </w:tr>
      <w:tr>
        <w:trPr>
          <w:trHeight w:val="395"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002" w:type="dxa"/>
          </w:tcPr>
          <w:p>
            <w:pPr>
              <w:pStyle w:val="TableParagraph"/>
              <w:spacing w:before="22"/>
              <w:ind w:left="107"/>
              <w:rPr>
                <w:sz w:val="21"/>
              </w:rPr>
            </w:pPr>
            <w:r>
              <w:rPr>
                <w:spacing w:val="-5"/>
                <w:sz w:val="21"/>
              </w:rPr>
              <w:t>器。</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8.1.67</w:t>
            </w:r>
          </w:p>
        </w:tc>
        <w:tc>
          <w:tcPr>
            <w:tcW w:w="1900" w:type="dxa"/>
          </w:tcPr>
          <w:p>
            <w:pPr>
              <w:pStyle w:val="TableParagraph"/>
              <w:spacing w:line="337" w:lineRule="exact" w:before="38"/>
              <w:ind w:left="160"/>
              <w:rPr>
                <w:rFonts w:ascii="微软雅黑" w:eastAsia="微软雅黑"/>
                <w:b/>
                <w:sz w:val="21"/>
              </w:rPr>
            </w:pPr>
            <w:r>
              <w:rPr>
                <w:rFonts w:ascii="微软雅黑" w:eastAsia="微软雅黑"/>
                <w:b/>
                <w:spacing w:val="-2"/>
                <w:sz w:val="21"/>
              </w:rPr>
              <w:t>严重慢性缩窄性</w:t>
            </w:r>
          </w:p>
        </w:tc>
        <w:tc>
          <w:tcPr>
            <w:tcW w:w="7002" w:type="dxa"/>
          </w:tcPr>
          <w:p>
            <w:pPr>
              <w:pStyle w:val="TableParagraph"/>
              <w:spacing w:before="106"/>
              <w:ind w:left="107"/>
              <w:rPr>
                <w:sz w:val="21"/>
              </w:rPr>
            </w:pPr>
            <w:r>
              <w:rPr>
                <w:spacing w:val="-7"/>
                <w:sz w:val="21"/>
              </w:rPr>
              <w:t>指由于慢性心包炎症导致心包脏层和壁层广泛瘢痕粘连、增厚和钙化，心包</w:t>
            </w:r>
          </w:p>
        </w:tc>
      </w:tr>
      <w:tr>
        <w:trPr>
          <w:trHeight w:val="312" w:hRule="atLeast"/>
        </w:trPr>
        <w:tc>
          <w:tcPr>
            <w:tcW w:w="847" w:type="dxa"/>
          </w:tcPr>
          <w:p>
            <w:pPr>
              <w:pStyle w:val="TableParagraph"/>
              <w:rPr>
                <w:rFonts w:ascii="Times New Roman"/>
                <w:sz w:val="20"/>
              </w:rPr>
            </w:pPr>
          </w:p>
        </w:tc>
        <w:tc>
          <w:tcPr>
            <w:tcW w:w="1900" w:type="dxa"/>
          </w:tcPr>
          <w:p>
            <w:pPr>
              <w:pStyle w:val="TableParagraph"/>
              <w:spacing w:line="292" w:lineRule="exact"/>
              <w:ind w:left="160"/>
              <w:rPr>
                <w:rFonts w:ascii="微软雅黑" w:eastAsia="微软雅黑"/>
                <w:b/>
                <w:sz w:val="21"/>
              </w:rPr>
            </w:pPr>
            <w:r>
              <w:rPr>
                <w:rFonts w:ascii="微软雅黑" w:eastAsia="微软雅黑"/>
                <w:b/>
                <w:spacing w:val="-4"/>
                <w:sz w:val="21"/>
              </w:rPr>
              <w:t>心包炎</w:t>
            </w:r>
          </w:p>
        </w:tc>
        <w:tc>
          <w:tcPr>
            <w:tcW w:w="7002" w:type="dxa"/>
          </w:tcPr>
          <w:p>
            <w:pPr>
              <w:pStyle w:val="TableParagraph"/>
              <w:spacing w:before="22"/>
              <w:ind w:left="107"/>
              <w:rPr>
                <w:sz w:val="21"/>
              </w:rPr>
            </w:pPr>
            <w:r>
              <w:rPr>
                <w:spacing w:val="-7"/>
                <w:sz w:val="21"/>
              </w:rPr>
              <w:t>腔闭塞，形成一个纤维瘢痕外壳，使心脏和大血管根部受压，妨碍心脏的舒</w:t>
            </w:r>
          </w:p>
        </w:tc>
      </w:tr>
      <w:tr>
        <w:trPr>
          <w:trHeight w:val="261" w:hRule="atLeast"/>
        </w:trPr>
        <w:tc>
          <w:tcPr>
            <w:tcW w:w="847" w:type="dxa"/>
          </w:tcPr>
          <w:p>
            <w:pPr>
              <w:pStyle w:val="TableParagraph"/>
              <w:rPr>
                <w:rFonts w:ascii="Times New Roman"/>
                <w:sz w:val="18"/>
              </w:rPr>
            </w:pPr>
          </w:p>
        </w:tc>
        <w:tc>
          <w:tcPr>
            <w:tcW w:w="1900" w:type="dxa"/>
          </w:tcPr>
          <w:p>
            <w:pPr>
              <w:pStyle w:val="TableParagraph"/>
              <w:rPr>
                <w:rFonts w:ascii="Times New Roman"/>
                <w:sz w:val="18"/>
              </w:rPr>
            </w:pPr>
          </w:p>
        </w:tc>
        <w:tc>
          <w:tcPr>
            <w:tcW w:w="7002" w:type="dxa"/>
          </w:tcPr>
          <w:p>
            <w:pPr>
              <w:pStyle w:val="TableParagraph"/>
              <w:spacing w:line="220" w:lineRule="exact" w:before="22"/>
              <w:ind w:left="107"/>
              <w:rPr>
                <w:sz w:val="21"/>
              </w:rPr>
            </w:pPr>
            <w:r>
              <w:rPr>
                <w:spacing w:val="-7"/>
                <w:sz w:val="21"/>
              </w:rPr>
              <w:t>张。必须经心脏科专科医生明确诊断为慢性缩窄性心包炎，并且已经造成永</w:t>
            </w:r>
          </w:p>
        </w:tc>
      </w:tr>
    </w:tbl>
    <w:p>
      <w:pPr>
        <w:spacing w:after="0" w:line="220" w:lineRule="exact"/>
        <w:rPr>
          <w:sz w:val="21"/>
        </w:rPr>
        <w:sectPr>
          <w:pgSz w:w="11910" w:h="16840"/>
          <w:pgMar w:header="566" w:footer="664" w:top="1340" w:bottom="860" w:left="900" w:right="720"/>
        </w:sectPr>
      </w:pPr>
    </w:p>
    <w:p>
      <w:pPr>
        <w:pStyle w:val="BodyText"/>
        <w:spacing w:before="11"/>
        <w:rPr>
          <w:sz w:val="8"/>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7"/>
        <w:gridCol w:w="1900"/>
        <w:gridCol w:w="7104"/>
      </w:tblGrid>
      <w:tr>
        <w:trPr>
          <w:trHeight w:val="659"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line="241" w:lineRule="exact"/>
              <w:ind w:left="107"/>
              <w:rPr>
                <w:sz w:val="21"/>
              </w:rPr>
            </w:pPr>
            <w:r>
              <w:rPr>
                <w:spacing w:val="-10"/>
                <w:sz w:val="21"/>
              </w:rPr>
              <w:t>久不可逆性的体力活动能力受限，达到美国纽约心脏病学会心功能状态分级</w:t>
            </w:r>
          </w:p>
          <w:p>
            <w:pPr>
              <w:pStyle w:val="TableParagraph"/>
              <w:spacing w:before="43"/>
              <w:ind w:left="107"/>
              <w:rPr>
                <w:sz w:val="21"/>
              </w:rPr>
            </w:pPr>
            <w:r>
              <w:rPr>
                <w:spacing w:val="-2"/>
                <w:sz w:val="21"/>
              </w:rPr>
              <w:t>IV</w:t>
            </w:r>
            <w:r>
              <w:rPr>
                <w:spacing w:val="-18"/>
                <w:sz w:val="21"/>
              </w:rPr>
              <w:t> 级，并持续 </w:t>
            </w:r>
            <w:r>
              <w:rPr>
                <w:spacing w:val="-2"/>
                <w:sz w:val="21"/>
              </w:rPr>
              <w:t>180</w:t>
            </w:r>
            <w:r>
              <w:rPr>
                <w:spacing w:val="-14"/>
                <w:sz w:val="21"/>
              </w:rPr>
              <w:t> 天以上。</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8.1.68</w:t>
            </w:r>
          </w:p>
        </w:tc>
        <w:tc>
          <w:tcPr>
            <w:tcW w:w="1900" w:type="dxa"/>
          </w:tcPr>
          <w:p>
            <w:pPr>
              <w:pStyle w:val="TableParagraph"/>
              <w:spacing w:line="337" w:lineRule="exact" w:before="40"/>
              <w:ind w:left="160"/>
              <w:rPr>
                <w:rFonts w:ascii="微软雅黑" w:eastAsia="微软雅黑"/>
                <w:b/>
                <w:sz w:val="21"/>
              </w:rPr>
            </w:pPr>
            <w:r>
              <w:rPr>
                <w:rFonts w:ascii="微软雅黑" w:eastAsia="微软雅黑"/>
                <w:b/>
                <w:spacing w:val="-2"/>
                <w:sz w:val="21"/>
              </w:rPr>
              <w:t>严重肺孢子菌肺</w:t>
            </w:r>
          </w:p>
        </w:tc>
        <w:tc>
          <w:tcPr>
            <w:tcW w:w="7104" w:type="dxa"/>
          </w:tcPr>
          <w:p>
            <w:pPr>
              <w:pStyle w:val="TableParagraph"/>
              <w:spacing w:before="107"/>
              <w:ind w:left="107"/>
              <w:rPr>
                <w:sz w:val="21"/>
              </w:rPr>
            </w:pPr>
            <w:r>
              <w:rPr>
                <w:spacing w:val="-3"/>
                <w:sz w:val="21"/>
              </w:rPr>
              <w:t>指由肺孢子菌引起的间质性浆细胞炎。并须满足下列全部条件：</w:t>
            </w:r>
          </w:p>
        </w:tc>
      </w:tr>
      <w:tr>
        <w:trPr>
          <w:trHeight w:val="312" w:hRule="atLeast"/>
        </w:trPr>
        <w:tc>
          <w:tcPr>
            <w:tcW w:w="847" w:type="dxa"/>
          </w:tcPr>
          <w:p>
            <w:pPr>
              <w:pStyle w:val="TableParagraph"/>
              <w:rPr>
                <w:rFonts w:ascii="Times New Roman"/>
                <w:sz w:val="20"/>
              </w:rPr>
            </w:pPr>
          </w:p>
        </w:tc>
        <w:tc>
          <w:tcPr>
            <w:tcW w:w="1900" w:type="dxa"/>
          </w:tcPr>
          <w:p>
            <w:pPr>
              <w:pStyle w:val="TableParagraph"/>
              <w:spacing w:line="292" w:lineRule="exact"/>
              <w:ind w:left="160"/>
              <w:rPr>
                <w:rFonts w:ascii="微软雅黑" w:eastAsia="微软雅黑"/>
                <w:b/>
                <w:sz w:val="21"/>
              </w:rPr>
            </w:pPr>
            <w:r>
              <w:rPr>
                <w:rFonts w:ascii="微软雅黑" w:eastAsia="微软雅黑"/>
                <w:b/>
                <w:w w:val="100"/>
                <w:sz w:val="21"/>
              </w:rPr>
              <w:t>炎</w:t>
            </w:r>
          </w:p>
        </w:tc>
        <w:tc>
          <w:tcPr>
            <w:tcW w:w="7104" w:type="dxa"/>
          </w:tcPr>
          <w:p>
            <w:pPr>
              <w:pStyle w:val="TableParagraph"/>
              <w:spacing w:before="22"/>
              <w:ind w:left="107"/>
              <w:rPr>
                <w:sz w:val="21"/>
              </w:rPr>
            </w:pPr>
            <w:r>
              <w:rPr>
                <w:spacing w:val="-2"/>
                <w:sz w:val="21"/>
              </w:rPr>
              <w:t>（1）第一秒末用力呼气量（FEV1）</w:t>
            </w:r>
            <w:r>
              <w:rPr>
                <w:spacing w:val="-17"/>
                <w:sz w:val="21"/>
              </w:rPr>
              <w:t>小于 </w:t>
            </w:r>
            <w:r>
              <w:rPr>
                <w:spacing w:val="-2"/>
                <w:sz w:val="21"/>
              </w:rPr>
              <w:t>1</w:t>
            </w:r>
            <w:r>
              <w:rPr>
                <w:spacing w:val="-20"/>
                <w:sz w:val="21"/>
              </w:rPr>
              <w:t> 升；</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2"/>
                <w:sz w:val="21"/>
              </w:rPr>
              <w:t>（2）</w:t>
            </w:r>
            <w:r>
              <w:rPr>
                <w:spacing w:val="-6"/>
                <w:sz w:val="21"/>
              </w:rPr>
              <w:t>气道内阻力增加，至少达到 </w:t>
            </w:r>
            <w:r>
              <w:rPr>
                <w:spacing w:val="-2"/>
                <w:sz w:val="21"/>
              </w:rPr>
              <w:t>0.5kPa/L/s；</w:t>
            </w:r>
          </w:p>
        </w:tc>
      </w:tr>
      <w:tr>
        <w:trPr>
          <w:trHeight w:val="311"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2"/>
                <w:sz w:val="21"/>
              </w:rPr>
              <w:t>（3）残气容积（RV）占肺总量（TLC）</w:t>
            </w:r>
            <w:r>
              <w:rPr>
                <w:spacing w:val="-20"/>
                <w:sz w:val="21"/>
              </w:rPr>
              <w:t>的 </w:t>
            </w:r>
            <w:r>
              <w:rPr>
                <w:spacing w:val="-2"/>
                <w:sz w:val="21"/>
              </w:rPr>
              <w:t>60</w:t>
            </w:r>
            <w:r>
              <w:rPr>
                <w:spacing w:val="-4"/>
                <w:sz w:val="21"/>
              </w:rPr>
              <w:t>%以上；</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2"/>
                <w:sz w:val="21"/>
              </w:rPr>
              <w:t>（4）</w:t>
            </w:r>
            <w:r>
              <w:rPr>
                <w:spacing w:val="-6"/>
                <w:sz w:val="21"/>
              </w:rPr>
              <w:t>胸内气体容积升高，超过 </w:t>
            </w:r>
            <w:r>
              <w:rPr>
                <w:spacing w:val="-2"/>
                <w:sz w:val="21"/>
              </w:rPr>
              <w:t>170（基值的百分比</w:t>
            </w:r>
            <w:r>
              <w:rPr>
                <w:spacing w:val="-5"/>
                <w:sz w:val="21"/>
              </w:rPr>
              <w:t>）；</w:t>
            </w:r>
          </w:p>
        </w:tc>
      </w:tr>
      <w:tr>
        <w:trPr>
          <w:trHeight w:val="309"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line="268" w:lineRule="exact" w:before="21"/>
              <w:ind w:left="107"/>
              <w:rPr>
                <w:sz w:val="21"/>
              </w:rPr>
            </w:pPr>
            <w:r>
              <w:rPr>
                <w:spacing w:val="-2"/>
                <w:position w:val="1"/>
                <w:sz w:val="21"/>
              </w:rPr>
              <w:t>（5）PaO</w:t>
            </w:r>
            <w:r>
              <w:rPr>
                <w:spacing w:val="-2"/>
                <w:sz w:val="11"/>
              </w:rPr>
              <w:t>2</w:t>
            </w:r>
            <w:r>
              <w:rPr>
                <w:spacing w:val="-2"/>
                <w:position w:val="1"/>
                <w:sz w:val="21"/>
              </w:rPr>
              <w:t>＜60mmHg，PaCO</w:t>
            </w:r>
            <w:r>
              <w:rPr>
                <w:spacing w:val="-2"/>
                <w:sz w:val="11"/>
              </w:rPr>
              <w:t>2</w:t>
            </w:r>
            <w:r>
              <w:rPr>
                <w:spacing w:val="-2"/>
                <w:position w:val="1"/>
                <w:sz w:val="21"/>
              </w:rPr>
              <w:t>＞50mmHg</w:t>
            </w:r>
            <w:r>
              <w:rPr>
                <w:spacing w:val="-10"/>
                <w:position w:val="1"/>
                <w:sz w:val="21"/>
              </w:rPr>
              <w:t>。</w:t>
            </w:r>
          </w:p>
        </w:tc>
      </w:tr>
      <w:tr>
        <w:trPr>
          <w:trHeight w:val="400"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line="352" w:lineRule="exact"/>
              <w:ind w:left="107"/>
              <w:rPr>
                <w:rFonts w:ascii="微软雅黑" w:eastAsia="微软雅黑"/>
                <w:b/>
                <w:sz w:val="22"/>
              </w:rPr>
            </w:pPr>
            <w:r>
              <w:rPr>
                <w:rFonts w:ascii="微软雅黑" w:eastAsia="微软雅黑"/>
                <w:b/>
                <w:color w:val="000000"/>
                <w:spacing w:val="-1"/>
                <w:sz w:val="22"/>
                <w:shd w:fill="D9D9D9" w:color="auto" w:val="clear"/>
              </w:rPr>
              <w:t>感染艾滋病病毒或患艾滋病期间所患肺孢子菌肺炎不在保障范围内。</w:t>
            </w:r>
          </w:p>
        </w:tc>
      </w:tr>
      <w:tr>
        <w:trPr>
          <w:trHeight w:val="394" w:hRule="atLeast"/>
        </w:trPr>
        <w:tc>
          <w:tcPr>
            <w:tcW w:w="847" w:type="dxa"/>
          </w:tcPr>
          <w:p>
            <w:pPr>
              <w:pStyle w:val="TableParagraph"/>
              <w:spacing w:line="337" w:lineRule="exact" w:before="37"/>
              <w:ind w:left="50"/>
              <w:rPr>
                <w:rFonts w:ascii="微软雅黑"/>
                <w:b/>
                <w:sz w:val="21"/>
              </w:rPr>
            </w:pPr>
            <w:r>
              <w:rPr>
                <w:rFonts w:ascii="微软雅黑"/>
                <w:b/>
                <w:spacing w:val="-2"/>
                <w:sz w:val="21"/>
              </w:rPr>
              <w:t>8.1.69</w:t>
            </w:r>
          </w:p>
        </w:tc>
        <w:tc>
          <w:tcPr>
            <w:tcW w:w="1900" w:type="dxa"/>
          </w:tcPr>
          <w:p>
            <w:pPr>
              <w:pStyle w:val="TableParagraph"/>
              <w:spacing w:line="337" w:lineRule="exact" w:before="37"/>
              <w:ind w:left="160"/>
              <w:rPr>
                <w:rFonts w:ascii="微软雅黑" w:eastAsia="微软雅黑"/>
                <w:b/>
                <w:sz w:val="21"/>
              </w:rPr>
            </w:pPr>
            <w:r>
              <w:rPr>
                <w:rFonts w:ascii="微软雅黑" w:eastAsia="微软雅黑"/>
                <w:b/>
                <w:spacing w:val="-2"/>
                <w:sz w:val="21"/>
              </w:rPr>
              <w:t>严重肝豆状核变</w:t>
            </w:r>
          </w:p>
        </w:tc>
        <w:tc>
          <w:tcPr>
            <w:tcW w:w="7104" w:type="dxa"/>
          </w:tcPr>
          <w:p>
            <w:pPr>
              <w:pStyle w:val="TableParagraph"/>
              <w:spacing w:before="104"/>
              <w:ind w:left="107"/>
              <w:rPr>
                <w:sz w:val="21"/>
              </w:rPr>
            </w:pPr>
            <w:r>
              <w:rPr>
                <w:spacing w:val="-9"/>
                <w:sz w:val="21"/>
              </w:rPr>
              <w:t>指由于铜代谢障碍所引起的一种疾病，其特点为肝硬化与双侧脑基底神经节</w:t>
            </w:r>
          </w:p>
        </w:tc>
      </w:tr>
      <w:tr>
        <w:trPr>
          <w:trHeight w:val="308" w:hRule="atLeast"/>
        </w:trPr>
        <w:tc>
          <w:tcPr>
            <w:tcW w:w="847" w:type="dxa"/>
          </w:tcPr>
          <w:p>
            <w:pPr>
              <w:pStyle w:val="TableParagraph"/>
              <w:rPr>
                <w:rFonts w:ascii="Times New Roman"/>
                <w:sz w:val="20"/>
              </w:rPr>
            </w:pPr>
          </w:p>
        </w:tc>
        <w:tc>
          <w:tcPr>
            <w:tcW w:w="1900" w:type="dxa"/>
          </w:tcPr>
          <w:p>
            <w:pPr>
              <w:pStyle w:val="TableParagraph"/>
              <w:spacing w:line="289" w:lineRule="exact"/>
              <w:ind w:left="160"/>
              <w:rPr>
                <w:rFonts w:ascii="微软雅黑" w:eastAsia="微软雅黑"/>
                <w:b/>
                <w:sz w:val="21"/>
              </w:rPr>
            </w:pPr>
            <w:r>
              <w:rPr>
                <w:rFonts w:ascii="微软雅黑" w:eastAsia="微软雅黑"/>
                <w:b/>
                <w:w w:val="90"/>
                <w:sz w:val="21"/>
              </w:rPr>
              <w:t>性</w:t>
            </w:r>
            <w:r>
              <w:rPr>
                <w:rFonts w:ascii="微软雅黑" w:eastAsia="微软雅黑"/>
                <w:b/>
                <w:w w:val="90"/>
                <w:sz w:val="21"/>
              </w:rPr>
              <w:t>（Wilson</w:t>
            </w:r>
            <w:r>
              <w:rPr>
                <w:rFonts w:ascii="微软雅黑" w:eastAsia="微软雅黑"/>
                <w:b/>
                <w:spacing w:val="31"/>
                <w:sz w:val="21"/>
              </w:rPr>
              <w:t> </w:t>
            </w:r>
            <w:r>
              <w:rPr>
                <w:rFonts w:ascii="微软雅黑" w:eastAsia="微软雅黑"/>
                <w:b/>
                <w:w w:val="90"/>
                <w:sz w:val="21"/>
              </w:rPr>
              <w:t>病</w:t>
            </w:r>
            <w:r>
              <w:rPr>
                <w:rFonts w:ascii="微软雅黑" w:eastAsia="微软雅黑"/>
                <w:b/>
                <w:spacing w:val="-10"/>
                <w:w w:val="90"/>
                <w:sz w:val="21"/>
              </w:rPr>
              <w:t>）</w:t>
            </w:r>
          </w:p>
        </w:tc>
        <w:tc>
          <w:tcPr>
            <w:tcW w:w="7104" w:type="dxa"/>
          </w:tcPr>
          <w:p>
            <w:pPr>
              <w:pStyle w:val="TableParagraph"/>
              <w:spacing w:line="267" w:lineRule="exact" w:before="22"/>
              <w:ind w:left="107"/>
              <w:rPr>
                <w:sz w:val="21"/>
              </w:rPr>
            </w:pPr>
            <w:r>
              <w:rPr>
                <w:spacing w:val="-3"/>
                <w:sz w:val="21"/>
              </w:rPr>
              <w:t>变性同时存在，且须由专科医生明确诊断，并必须满足下列全部条件：</w:t>
            </w:r>
          </w:p>
        </w:tc>
      </w:tr>
      <w:tr>
        <w:trPr>
          <w:trHeight w:val="323"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5"/>
              <w:ind w:left="107"/>
              <w:rPr>
                <w:sz w:val="21"/>
              </w:rPr>
            </w:pPr>
            <w:r>
              <w:rPr>
                <w:spacing w:val="-2"/>
                <w:sz w:val="21"/>
              </w:rPr>
              <w:t>（</w:t>
            </w:r>
            <w:r>
              <w:rPr>
                <w:rFonts w:ascii="Times New Roman" w:eastAsia="Times New Roman"/>
                <w:spacing w:val="-2"/>
                <w:sz w:val="21"/>
              </w:rPr>
              <w:t>1</w:t>
            </w:r>
            <w:r>
              <w:rPr>
                <w:spacing w:val="-2"/>
                <w:sz w:val="21"/>
              </w:rPr>
              <w:t>）</w:t>
            </w:r>
            <w:r>
              <w:rPr>
                <w:spacing w:val="-3"/>
                <w:sz w:val="21"/>
              </w:rPr>
              <w:t>临床表现包括：进行性加剧的肢体震颤，肌强直，吞咽及发音困难，</w:t>
            </w:r>
          </w:p>
        </w:tc>
      </w:tr>
      <w:tr>
        <w:trPr>
          <w:trHeight w:val="300"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line="267" w:lineRule="exact" w:before="14"/>
              <w:ind w:left="107"/>
              <w:rPr>
                <w:sz w:val="21"/>
              </w:rPr>
            </w:pPr>
            <w:r>
              <w:rPr>
                <w:spacing w:val="-4"/>
                <w:sz w:val="21"/>
              </w:rPr>
              <w:t>精神异常；</w:t>
            </w:r>
          </w:p>
        </w:tc>
      </w:tr>
      <w:tr>
        <w:trPr>
          <w:trHeight w:val="1344"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numPr>
                <w:ilvl w:val="0"/>
                <w:numId w:val="47"/>
              </w:numPr>
              <w:tabs>
                <w:tab w:pos="637" w:val="left" w:leader="none"/>
              </w:tabs>
              <w:spacing w:line="240" w:lineRule="auto" w:before="25" w:after="0"/>
              <w:ind w:left="636" w:right="0" w:hanging="530"/>
              <w:jc w:val="left"/>
              <w:rPr>
                <w:sz w:val="21"/>
              </w:rPr>
            </w:pPr>
            <w:r>
              <w:rPr>
                <w:spacing w:val="-2"/>
                <w:sz w:val="21"/>
              </w:rPr>
              <w:t>角膜色素环（</w:t>
            </w:r>
            <w:r>
              <w:rPr>
                <w:rFonts w:ascii="Times New Roman" w:eastAsia="Times New Roman"/>
                <w:spacing w:val="-2"/>
                <w:sz w:val="21"/>
              </w:rPr>
              <w:t>K-F</w:t>
            </w:r>
            <w:r>
              <w:rPr>
                <w:rFonts w:ascii="Times New Roman" w:eastAsia="Times New Roman"/>
                <w:spacing w:val="3"/>
                <w:sz w:val="21"/>
              </w:rPr>
              <w:t> </w:t>
            </w:r>
            <w:r>
              <w:rPr>
                <w:spacing w:val="-2"/>
                <w:sz w:val="21"/>
              </w:rPr>
              <w:t>环</w:t>
            </w:r>
            <w:r>
              <w:rPr>
                <w:spacing w:val="-111"/>
                <w:sz w:val="21"/>
              </w:rPr>
              <w:t>）</w:t>
            </w:r>
            <w:r>
              <w:rPr>
                <w:spacing w:val="-5"/>
                <w:sz w:val="21"/>
              </w:rPr>
              <w:t>；</w:t>
            </w:r>
          </w:p>
          <w:p>
            <w:pPr>
              <w:pStyle w:val="TableParagraph"/>
              <w:numPr>
                <w:ilvl w:val="0"/>
                <w:numId w:val="47"/>
              </w:numPr>
              <w:tabs>
                <w:tab w:pos="637" w:val="left" w:leader="none"/>
              </w:tabs>
              <w:spacing w:line="240" w:lineRule="auto" w:before="43" w:after="0"/>
              <w:ind w:left="636" w:right="0" w:hanging="530"/>
              <w:jc w:val="left"/>
              <w:rPr>
                <w:sz w:val="21"/>
              </w:rPr>
            </w:pPr>
            <w:r>
              <w:rPr>
                <w:spacing w:val="-3"/>
                <w:sz w:val="21"/>
              </w:rPr>
              <w:t>血清铜和血清铜蓝蛋白降低，尿铜增加；</w:t>
            </w:r>
          </w:p>
          <w:p>
            <w:pPr>
              <w:pStyle w:val="TableParagraph"/>
              <w:numPr>
                <w:ilvl w:val="0"/>
                <w:numId w:val="47"/>
              </w:numPr>
              <w:tabs>
                <w:tab w:pos="637" w:val="left" w:leader="none"/>
              </w:tabs>
              <w:spacing w:line="240" w:lineRule="auto" w:before="43" w:after="0"/>
              <w:ind w:left="636" w:right="0" w:hanging="530"/>
              <w:jc w:val="left"/>
              <w:rPr>
                <w:sz w:val="21"/>
              </w:rPr>
            </w:pPr>
            <w:r>
              <w:rPr>
                <w:spacing w:val="-4"/>
                <w:sz w:val="21"/>
              </w:rPr>
              <w:t>食管静脉曲张；</w:t>
            </w:r>
          </w:p>
          <w:p>
            <w:pPr>
              <w:pStyle w:val="TableParagraph"/>
              <w:numPr>
                <w:ilvl w:val="0"/>
                <w:numId w:val="47"/>
              </w:numPr>
              <w:tabs>
                <w:tab w:pos="637" w:val="left" w:leader="none"/>
              </w:tabs>
              <w:spacing w:line="240" w:lineRule="auto" w:before="43" w:after="0"/>
              <w:ind w:left="636" w:right="0" w:hanging="530"/>
              <w:jc w:val="left"/>
              <w:rPr>
                <w:sz w:val="21"/>
              </w:rPr>
            </w:pPr>
            <w:r>
              <w:rPr>
                <w:spacing w:val="-5"/>
                <w:sz w:val="21"/>
              </w:rPr>
              <w:t>腹水。</w:t>
            </w:r>
          </w:p>
        </w:tc>
      </w:tr>
      <w:tr>
        <w:trPr>
          <w:trHeight w:val="389" w:hRule="atLeast"/>
        </w:trPr>
        <w:tc>
          <w:tcPr>
            <w:tcW w:w="847" w:type="dxa"/>
          </w:tcPr>
          <w:p>
            <w:pPr>
              <w:pStyle w:val="TableParagraph"/>
              <w:spacing w:line="337" w:lineRule="exact" w:before="32"/>
              <w:ind w:left="50"/>
              <w:rPr>
                <w:rFonts w:ascii="微软雅黑"/>
                <w:b/>
                <w:sz w:val="21"/>
              </w:rPr>
            </w:pPr>
            <w:r>
              <w:rPr>
                <w:rFonts w:ascii="微软雅黑"/>
                <w:b/>
                <w:spacing w:val="-2"/>
                <w:sz w:val="21"/>
              </w:rPr>
              <w:t>8.1.70</w:t>
            </w:r>
          </w:p>
        </w:tc>
        <w:tc>
          <w:tcPr>
            <w:tcW w:w="1900" w:type="dxa"/>
          </w:tcPr>
          <w:p>
            <w:pPr>
              <w:pStyle w:val="TableParagraph"/>
              <w:spacing w:line="337" w:lineRule="exact" w:before="32"/>
              <w:ind w:left="160"/>
              <w:rPr>
                <w:rFonts w:ascii="微软雅黑" w:eastAsia="微软雅黑"/>
                <w:b/>
                <w:sz w:val="21"/>
              </w:rPr>
            </w:pPr>
            <w:r>
              <w:rPr>
                <w:rFonts w:ascii="微软雅黑" w:eastAsia="微软雅黑"/>
                <w:b/>
                <w:spacing w:val="-15"/>
                <w:sz w:val="21"/>
              </w:rPr>
              <w:t>斯蒂尔病</w:t>
            </w:r>
            <w:r>
              <w:rPr>
                <w:rFonts w:ascii="微软雅黑" w:eastAsia="微软雅黑"/>
                <w:b/>
                <w:sz w:val="21"/>
              </w:rPr>
              <w:t>（</w:t>
            </w:r>
            <w:r>
              <w:rPr>
                <w:rFonts w:ascii="微软雅黑" w:eastAsia="微软雅黑"/>
                <w:b/>
                <w:spacing w:val="-4"/>
                <w:sz w:val="21"/>
              </w:rPr>
              <w:t>全身型</w:t>
            </w:r>
          </w:p>
        </w:tc>
        <w:tc>
          <w:tcPr>
            <w:tcW w:w="7104" w:type="dxa"/>
          </w:tcPr>
          <w:p>
            <w:pPr>
              <w:pStyle w:val="TableParagraph"/>
              <w:spacing w:before="99"/>
              <w:ind w:left="107"/>
              <w:rPr>
                <w:sz w:val="21"/>
              </w:rPr>
            </w:pPr>
            <w:r>
              <w:rPr>
                <w:spacing w:val="-7"/>
                <w:sz w:val="21"/>
              </w:rPr>
              <w:t>指未成年时期的一种全身结缔组织病。可表现为弛张热、皮疹、关节炎、脾</w:t>
            </w:r>
          </w:p>
        </w:tc>
      </w:tr>
      <w:tr>
        <w:trPr>
          <w:trHeight w:val="311" w:hRule="atLeast"/>
        </w:trPr>
        <w:tc>
          <w:tcPr>
            <w:tcW w:w="847" w:type="dxa"/>
          </w:tcPr>
          <w:p>
            <w:pPr>
              <w:pStyle w:val="TableParagraph"/>
              <w:rPr>
                <w:rFonts w:ascii="Times New Roman"/>
                <w:sz w:val="20"/>
              </w:rPr>
            </w:pPr>
          </w:p>
        </w:tc>
        <w:tc>
          <w:tcPr>
            <w:tcW w:w="1900" w:type="dxa"/>
          </w:tcPr>
          <w:p>
            <w:pPr>
              <w:pStyle w:val="TableParagraph"/>
              <w:spacing w:line="292" w:lineRule="exact"/>
              <w:ind w:left="160"/>
              <w:rPr>
                <w:rFonts w:ascii="微软雅黑" w:eastAsia="微软雅黑"/>
                <w:b/>
                <w:sz w:val="21"/>
              </w:rPr>
            </w:pPr>
            <w:r>
              <w:rPr>
                <w:rFonts w:ascii="微软雅黑" w:eastAsia="微软雅黑"/>
                <w:b/>
                <w:spacing w:val="-2"/>
                <w:sz w:val="21"/>
              </w:rPr>
              <w:t>幼年类风湿性关</w:t>
            </w:r>
          </w:p>
        </w:tc>
        <w:tc>
          <w:tcPr>
            <w:tcW w:w="7104" w:type="dxa"/>
          </w:tcPr>
          <w:p>
            <w:pPr>
              <w:pStyle w:val="TableParagraph"/>
              <w:spacing w:before="22"/>
              <w:ind w:left="107"/>
              <w:rPr>
                <w:sz w:val="21"/>
              </w:rPr>
            </w:pPr>
            <w:r>
              <w:rPr>
                <w:spacing w:val="-7"/>
                <w:sz w:val="21"/>
              </w:rPr>
              <w:t>肿大、淋巴结肿大、浆膜炎、体重减轻、中性粒细胞增多等，全身症状可以</w:t>
            </w:r>
          </w:p>
        </w:tc>
      </w:tr>
      <w:tr>
        <w:trPr>
          <w:trHeight w:val="311" w:hRule="atLeast"/>
        </w:trPr>
        <w:tc>
          <w:tcPr>
            <w:tcW w:w="847" w:type="dxa"/>
          </w:tcPr>
          <w:p>
            <w:pPr>
              <w:pStyle w:val="TableParagraph"/>
              <w:rPr>
                <w:rFonts w:ascii="Times New Roman"/>
                <w:sz w:val="20"/>
              </w:rPr>
            </w:pPr>
          </w:p>
        </w:tc>
        <w:tc>
          <w:tcPr>
            <w:tcW w:w="1900" w:type="dxa"/>
          </w:tcPr>
          <w:p>
            <w:pPr>
              <w:pStyle w:val="TableParagraph"/>
              <w:spacing w:line="292" w:lineRule="exact"/>
              <w:ind w:left="160"/>
              <w:rPr>
                <w:rFonts w:ascii="微软雅黑" w:eastAsia="微软雅黑"/>
                <w:b/>
                <w:sz w:val="21"/>
              </w:rPr>
            </w:pPr>
            <w:r>
              <w:rPr>
                <w:rFonts w:ascii="微软雅黑" w:eastAsia="微软雅黑"/>
                <w:b/>
                <w:sz w:val="21"/>
              </w:rPr>
              <w:t>节炎</w:t>
            </w:r>
            <w:r>
              <w:rPr>
                <w:rFonts w:ascii="微软雅黑" w:eastAsia="微软雅黑"/>
                <w:b/>
                <w:spacing w:val="-10"/>
                <w:sz w:val="21"/>
              </w:rPr>
              <w:t>）</w:t>
            </w:r>
          </w:p>
        </w:tc>
        <w:tc>
          <w:tcPr>
            <w:tcW w:w="7104" w:type="dxa"/>
          </w:tcPr>
          <w:p>
            <w:pPr>
              <w:pStyle w:val="TableParagraph"/>
              <w:spacing w:before="22"/>
              <w:ind w:left="107"/>
              <w:rPr>
                <w:sz w:val="21"/>
              </w:rPr>
            </w:pPr>
            <w:r>
              <w:rPr>
                <w:spacing w:val="-5"/>
                <w:sz w:val="21"/>
              </w:rPr>
              <w:t>先于关节炎出现。本病须在被保险人年满 </w:t>
            </w:r>
            <w:r>
              <w:rPr>
                <w:spacing w:val="-2"/>
                <w:sz w:val="21"/>
              </w:rPr>
              <w:t>18</w:t>
            </w:r>
            <w:r>
              <w:rPr>
                <w:spacing w:val="-10"/>
                <w:sz w:val="21"/>
              </w:rPr>
              <w:t> 周岁前经专科医生出具医学诊</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3"/>
                <w:sz w:val="21"/>
              </w:rPr>
              <w:t>断证明，并且满足下列条件之一：</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2"/>
                <w:sz w:val="21"/>
              </w:rPr>
              <w:t>（1）</w:t>
            </w:r>
            <w:r>
              <w:rPr>
                <w:spacing w:val="-13"/>
                <w:sz w:val="21"/>
              </w:rPr>
              <w:t>临床及 </w:t>
            </w:r>
            <w:r>
              <w:rPr>
                <w:spacing w:val="-2"/>
                <w:sz w:val="21"/>
              </w:rPr>
              <w:t>X</w:t>
            </w:r>
            <w:r>
              <w:rPr>
                <w:spacing w:val="-10"/>
                <w:sz w:val="21"/>
              </w:rPr>
              <w:t> 线检查发现明显的关节畸形，以下关节中至少其中三个关节</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7"/>
                <w:sz w:val="21"/>
              </w:rPr>
              <w:t>受累：手关节、腕关节、肘关节、膝关节、髋关节、踝关节、脊椎关节或跖</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4"/>
                <w:sz w:val="21"/>
              </w:rPr>
              <w:t>趾关节；</w:t>
            </w:r>
          </w:p>
        </w:tc>
      </w:tr>
      <w:tr>
        <w:trPr>
          <w:trHeight w:val="311"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2"/>
                <w:sz w:val="21"/>
              </w:rPr>
              <w:t>（2）</w:t>
            </w:r>
            <w:r>
              <w:rPr>
                <w:spacing w:val="-3"/>
                <w:sz w:val="21"/>
              </w:rPr>
              <w:t>因病情严重在专科医生的建议下已接受以治疗为目的的膝或髋关节的</w:t>
            </w:r>
          </w:p>
        </w:tc>
      </w:tr>
      <w:tr>
        <w:trPr>
          <w:trHeight w:val="309"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line="267" w:lineRule="exact" w:before="22"/>
              <w:ind w:left="107"/>
              <w:rPr>
                <w:sz w:val="21"/>
              </w:rPr>
            </w:pPr>
            <w:r>
              <w:rPr>
                <w:spacing w:val="-4"/>
                <w:sz w:val="21"/>
              </w:rPr>
              <w:t>置换手术。</w:t>
            </w:r>
          </w:p>
        </w:tc>
      </w:tr>
      <w:tr>
        <w:trPr>
          <w:trHeight w:val="40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line="352" w:lineRule="exact"/>
              <w:ind w:left="107"/>
              <w:rPr>
                <w:rFonts w:ascii="微软雅黑" w:eastAsia="微软雅黑"/>
                <w:b/>
                <w:sz w:val="22"/>
              </w:rPr>
            </w:pPr>
            <w:r>
              <w:rPr>
                <w:rFonts w:ascii="微软雅黑" w:eastAsia="微软雅黑"/>
                <w:b/>
                <w:color w:val="000000"/>
                <w:spacing w:val="-1"/>
                <w:sz w:val="22"/>
                <w:shd w:fill="D9D9D9" w:color="auto" w:val="clear"/>
              </w:rPr>
              <w:t>未成年人其他类型的类风湿性关节炎不在保障范围内。</w:t>
            </w:r>
          </w:p>
        </w:tc>
      </w:tr>
      <w:tr>
        <w:trPr>
          <w:trHeight w:val="395" w:hRule="atLeast"/>
        </w:trPr>
        <w:tc>
          <w:tcPr>
            <w:tcW w:w="847" w:type="dxa"/>
          </w:tcPr>
          <w:p>
            <w:pPr>
              <w:pStyle w:val="TableParagraph"/>
              <w:spacing w:line="337" w:lineRule="exact" w:before="38"/>
              <w:ind w:left="50"/>
              <w:rPr>
                <w:rFonts w:ascii="微软雅黑"/>
                <w:b/>
                <w:sz w:val="21"/>
              </w:rPr>
            </w:pPr>
            <w:r>
              <w:rPr>
                <w:rFonts w:ascii="微软雅黑"/>
                <w:b/>
                <w:spacing w:val="-2"/>
                <w:sz w:val="21"/>
              </w:rPr>
              <w:t>8.1.71</w:t>
            </w:r>
          </w:p>
        </w:tc>
        <w:tc>
          <w:tcPr>
            <w:tcW w:w="1900" w:type="dxa"/>
          </w:tcPr>
          <w:p>
            <w:pPr>
              <w:pStyle w:val="TableParagraph"/>
              <w:spacing w:line="337" w:lineRule="exact" w:before="38"/>
              <w:ind w:left="160"/>
              <w:rPr>
                <w:rFonts w:ascii="微软雅黑" w:eastAsia="微软雅黑"/>
                <w:b/>
                <w:sz w:val="21"/>
              </w:rPr>
            </w:pPr>
            <w:r>
              <w:rPr>
                <w:rFonts w:ascii="微软雅黑" w:eastAsia="微软雅黑"/>
                <w:b/>
                <w:spacing w:val="-2"/>
                <w:sz w:val="21"/>
              </w:rPr>
              <w:t>严重甲型及乙型</w:t>
            </w:r>
          </w:p>
        </w:tc>
        <w:tc>
          <w:tcPr>
            <w:tcW w:w="7104" w:type="dxa"/>
          </w:tcPr>
          <w:p>
            <w:pPr>
              <w:pStyle w:val="TableParagraph"/>
              <w:spacing w:before="105"/>
              <w:ind w:left="107"/>
              <w:rPr>
                <w:sz w:val="21"/>
              </w:rPr>
            </w:pPr>
            <w:r>
              <w:rPr>
                <w:spacing w:val="-6"/>
                <w:sz w:val="21"/>
              </w:rPr>
              <w:t>被保险人必须是患上严重甲型血友病</w:t>
            </w:r>
            <w:r>
              <w:rPr>
                <w:spacing w:val="-2"/>
                <w:sz w:val="21"/>
              </w:rPr>
              <w:t>（缺乏Ⅷ凝血因子</w:t>
            </w:r>
            <w:r>
              <w:rPr>
                <w:spacing w:val="-51"/>
                <w:sz w:val="21"/>
              </w:rPr>
              <w:t>）</w:t>
            </w:r>
            <w:r>
              <w:rPr>
                <w:spacing w:val="-3"/>
                <w:sz w:val="21"/>
              </w:rPr>
              <w:t>或严重乙型血友病</w:t>
            </w:r>
          </w:p>
        </w:tc>
      </w:tr>
      <w:tr>
        <w:trPr>
          <w:trHeight w:val="312" w:hRule="atLeast"/>
        </w:trPr>
        <w:tc>
          <w:tcPr>
            <w:tcW w:w="847" w:type="dxa"/>
          </w:tcPr>
          <w:p>
            <w:pPr>
              <w:pStyle w:val="TableParagraph"/>
              <w:rPr>
                <w:rFonts w:ascii="Times New Roman"/>
                <w:sz w:val="20"/>
              </w:rPr>
            </w:pPr>
          </w:p>
        </w:tc>
        <w:tc>
          <w:tcPr>
            <w:tcW w:w="1900" w:type="dxa"/>
          </w:tcPr>
          <w:p>
            <w:pPr>
              <w:pStyle w:val="TableParagraph"/>
              <w:spacing w:line="292" w:lineRule="exact"/>
              <w:ind w:left="160"/>
              <w:rPr>
                <w:rFonts w:ascii="微软雅黑" w:eastAsia="微软雅黑"/>
                <w:b/>
                <w:sz w:val="21"/>
              </w:rPr>
            </w:pPr>
            <w:r>
              <w:rPr>
                <w:rFonts w:ascii="微软雅黑" w:eastAsia="微软雅黑"/>
                <w:b/>
                <w:spacing w:val="-4"/>
                <w:sz w:val="21"/>
              </w:rPr>
              <w:t>血友病</w:t>
            </w:r>
          </w:p>
        </w:tc>
        <w:tc>
          <w:tcPr>
            <w:tcW w:w="7104" w:type="dxa"/>
          </w:tcPr>
          <w:p>
            <w:pPr>
              <w:pStyle w:val="TableParagraph"/>
              <w:spacing w:before="22"/>
              <w:ind w:left="107"/>
              <w:rPr>
                <w:sz w:val="21"/>
              </w:rPr>
            </w:pPr>
            <w:r>
              <w:rPr>
                <w:spacing w:val="-2"/>
                <w:sz w:val="21"/>
              </w:rPr>
              <w:t>（缺乏Ⅸ凝血因子</w:t>
            </w:r>
            <w:r>
              <w:rPr>
                <w:spacing w:val="-100"/>
                <w:sz w:val="21"/>
              </w:rPr>
              <w:t>）</w:t>
            </w:r>
            <w:r>
              <w:rPr>
                <w:spacing w:val="-13"/>
                <w:sz w:val="21"/>
              </w:rPr>
              <w:t>，而凝血因子Ⅷ或凝血因子Ⅸ的活性水平少于百分之一。</w:t>
            </w:r>
          </w:p>
        </w:tc>
      </w:tr>
      <w:tr>
        <w:trPr>
          <w:trHeight w:val="397"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3"/>
                <w:sz w:val="21"/>
              </w:rPr>
              <w:t>诊断须由血液病专科医生确认。</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8.1.72</w:t>
            </w:r>
          </w:p>
        </w:tc>
        <w:tc>
          <w:tcPr>
            <w:tcW w:w="1900" w:type="dxa"/>
          </w:tcPr>
          <w:p>
            <w:pPr>
              <w:pStyle w:val="TableParagraph"/>
              <w:spacing w:line="337" w:lineRule="exact" w:before="40"/>
              <w:ind w:left="160"/>
              <w:rPr>
                <w:rFonts w:ascii="微软雅黑" w:eastAsia="微软雅黑"/>
                <w:b/>
                <w:sz w:val="21"/>
              </w:rPr>
            </w:pPr>
            <w:r>
              <w:rPr>
                <w:rFonts w:ascii="微软雅黑" w:eastAsia="微软雅黑"/>
                <w:b/>
                <w:spacing w:val="-2"/>
                <w:sz w:val="21"/>
              </w:rPr>
              <w:t>严重肠道疾病并</w:t>
            </w:r>
          </w:p>
        </w:tc>
        <w:tc>
          <w:tcPr>
            <w:tcW w:w="7104" w:type="dxa"/>
          </w:tcPr>
          <w:p>
            <w:pPr>
              <w:pStyle w:val="TableParagraph"/>
              <w:spacing w:before="107"/>
              <w:ind w:left="107"/>
              <w:rPr>
                <w:sz w:val="21"/>
              </w:rPr>
            </w:pPr>
            <w:r>
              <w:rPr>
                <w:spacing w:val="-3"/>
                <w:sz w:val="21"/>
              </w:rPr>
              <w:t>严重肠道疾病或外伤导致小肠损害并发症，满足下列全部条件：</w:t>
            </w:r>
          </w:p>
        </w:tc>
      </w:tr>
      <w:tr>
        <w:trPr>
          <w:trHeight w:val="312" w:hRule="atLeast"/>
        </w:trPr>
        <w:tc>
          <w:tcPr>
            <w:tcW w:w="847" w:type="dxa"/>
          </w:tcPr>
          <w:p>
            <w:pPr>
              <w:pStyle w:val="TableParagraph"/>
              <w:rPr>
                <w:rFonts w:ascii="Times New Roman"/>
                <w:sz w:val="20"/>
              </w:rPr>
            </w:pPr>
          </w:p>
        </w:tc>
        <w:tc>
          <w:tcPr>
            <w:tcW w:w="1900" w:type="dxa"/>
          </w:tcPr>
          <w:p>
            <w:pPr>
              <w:pStyle w:val="TableParagraph"/>
              <w:spacing w:line="292" w:lineRule="exact"/>
              <w:ind w:left="160"/>
              <w:rPr>
                <w:rFonts w:ascii="微软雅黑" w:eastAsia="微软雅黑"/>
                <w:b/>
                <w:sz w:val="21"/>
              </w:rPr>
            </w:pPr>
            <w:r>
              <w:rPr>
                <w:rFonts w:ascii="微软雅黑" w:eastAsia="微软雅黑"/>
                <w:b/>
                <w:spacing w:val="-5"/>
                <w:sz w:val="21"/>
              </w:rPr>
              <w:t>发症</w:t>
            </w:r>
          </w:p>
        </w:tc>
        <w:tc>
          <w:tcPr>
            <w:tcW w:w="7104" w:type="dxa"/>
          </w:tcPr>
          <w:p>
            <w:pPr>
              <w:pStyle w:val="TableParagraph"/>
              <w:spacing w:before="22"/>
              <w:ind w:left="107"/>
              <w:rPr>
                <w:sz w:val="21"/>
              </w:rPr>
            </w:pPr>
            <w:r>
              <w:rPr>
                <w:spacing w:val="-2"/>
                <w:sz w:val="21"/>
              </w:rPr>
              <w:t>（1）</w:t>
            </w:r>
            <w:r>
              <w:rPr>
                <w:spacing w:val="-3"/>
                <w:sz w:val="21"/>
              </w:rPr>
              <w:t>至少切除了三分之二小肠；</w:t>
            </w:r>
          </w:p>
        </w:tc>
      </w:tr>
      <w:tr>
        <w:trPr>
          <w:trHeight w:val="397"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2"/>
                <w:sz w:val="21"/>
              </w:rPr>
              <w:t>（2）</w:t>
            </w:r>
            <w:r>
              <w:rPr>
                <w:spacing w:val="-3"/>
                <w:sz w:val="21"/>
              </w:rPr>
              <w:t>完全肠外营养支持三个月以上。</w:t>
            </w:r>
          </w:p>
        </w:tc>
      </w:tr>
      <w:tr>
        <w:trPr>
          <w:trHeight w:val="397" w:hRule="atLeast"/>
        </w:trPr>
        <w:tc>
          <w:tcPr>
            <w:tcW w:w="847" w:type="dxa"/>
          </w:tcPr>
          <w:p>
            <w:pPr>
              <w:pStyle w:val="TableParagraph"/>
              <w:spacing w:line="338" w:lineRule="exact" w:before="40"/>
              <w:ind w:left="50"/>
              <w:rPr>
                <w:rFonts w:ascii="微软雅黑"/>
                <w:b/>
                <w:sz w:val="21"/>
              </w:rPr>
            </w:pPr>
            <w:r>
              <w:rPr>
                <w:rFonts w:ascii="微软雅黑"/>
                <w:b/>
                <w:spacing w:val="-2"/>
                <w:sz w:val="21"/>
              </w:rPr>
              <w:t>8.1.73</w:t>
            </w:r>
          </w:p>
        </w:tc>
        <w:tc>
          <w:tcPr>
            <w:tcW w:w="1900" w:type="dxa"/>
          </w:tcPr>
          <w:p>
            <w:pPr>
              <w:pStyle w:val="TableParagraph"/>
              <w:spacing w:line="338" w:lineRule="exact" w:before="40"/>
              <w:ind w:left="160"/>
              <w:rPr>
                <w:rFonts w:ascii="微软雅黑" w:eastAsia="微软雅黑"/>
                <w:b/>
                <w:sz w:val="21"/>
              </w:rPr>
            </w:pPr>
            <w:r>
              <w:rPr>
                <w:rFonts w:ascii="微软雅黑" w:eastAsia="微软雅黑"/>
                <w:b/>
                <w:spacing w:val="-2"/>
                <w:sz w:val="21"/>
              </w:rPr>
              <w:t>严重肺结节病</w:t>
            </w:r>
          </w:p>
        </w:tc>
        <w:tc>
          <w:tcPr>
            <w:tcW w:w="7104" w:type="dxa"/>
          </w:tcPr>
          <w:p>
            <w:pPr>
              <w:pStyle w:val="TableParagraph"/>
              <w:spacing w:before="107"/>
              <w:ind w:left="107"/>
              <w:rPr>
                <w:sz w:val="21"/>
              </w:rPr>
            </w:pPr>
            <w:r>
              <w:rPr>
                <w:spacing w:val="-7"/>
                <w:sz w:val="21"/>
              </w:rPr>
              <w:t>结节病是一种原因不明的系统性肉芽肿性疾病，可以累及全身多个器官，以</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10"/>
                <w:sz w:val="21"/>
              </w:rPr>
              <w:t>肺和淋巴结受累最为常见。严重肺结节病表现为肺的广泛纤维化导致慢性呼</w:t>
            </w:r>
          </w:p>
        </w:tc>
      </w:tr>
      <w:tr>
        <w:trPr>
          <w:trHeight w:val="311"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3"/>
                <w:sz w:val="21"/>
              </w:rPr>
              <w:t>吸功能衰竭。被保险人必须被明确诊断并且满足下列所有条件：</w:t>
            </w:r>
          </w:p>
        </w:tc>
      </w:tr>
      <w:tr>
        <w:trPr>
          <w:trHeight w:val="312"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2"/>
                <w:sz w:val="21"/>
              </w:rPr>
              <w:t>（1）</w:t>
            </w:r>
            <w:r>
              <w:rPr>
                <w:spacing w:val="-8"/>
                <w:sz w:val="21"/>
              </w:rPr>
              <w:t>影像学检查结果为 </w:t>
            </w:r>
            <w:r>
              <w:rPr>
                <w:spacing w:val="-2"/>
                <w:sz w:val="21"/>
              </w:rPr>
              <w:t>IV</w:t>
            </w:r>
            <w:r>
              <w:rPr>
                <w:spacing w:val="-10"/>
                <w:sz w:val="21"/>
              </w:rPr>
              <w:t> 期肺结节病，即广泛肺纤维化；</w:t>
            </w:r>
          </w:p>
        </w:tc>
      </w:tr>
      <w:tr>
        <w:trPr>
          <w:trHeight w:val="311"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2"/>
              <w:ind w:left="107"/>
              <w:rPr>
                <w:sz w:val="21"/>
              </w:rPr>
            </w:pPr>
            <w:r>
              <w:rPr>
                <w:spacing w:val="-2"/>
                <w:sz w:val="21"/>
              </w:rPr>
              <w:t>（2）</w:t>
            </w:r>
            <w:r>
              <w:rPr>
                <w:spacing w:val="-3"/>
                <w:sz w:val="21"/>
              </w:rPr>
              <w:t>存在心脏结节病或神经系统结节病；</w:t>
            </w:r>
          </w:p>
        </w:tc>
      </w:tr>
      <w:tr>
        <w:trPr>
          <w:trHeight w:val="311"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1"/>
              <w:ind w:left="107"/>
              <w:rPr>
                <w:sz w:val="21"/>
              </w:rPr>
            </w:pPr>
            <w:r>
              <w:rPr>
                <w:spacing w:val="-2"/>
                <w:position w:val="1"/>
                <w:sz w:val="21"/>
              </w:rPr>
              <w:t>（3）</w:t>
            </w:r>
            <w:r>
              <w:rPr>
                <w:spacing w:val="-6"/>
                <w:position w:val="1"/>
                <w:sz w:val="21"/>
              </w:rPr>
              <w:t>肺功能进行性下降，临床持续 </w:t>
            </w:r>
            <w:r>
              <w:rPr>
                <w:spacing w:val="-2"/>
                <w:position w:val="1"/>
                <w:sz w:val="21"/>
              </w:rPr>
              <w:t>180</w:t>
            </w:r>
            <w:r>
              <w:rPr>
                <w:spacing w:val="-9"/>
                <w:position w:val="1"/>
                <w:sz w:val="21"/>
              </w:rPr>
              <w:t> 天动脉血氧分压</w:t>
            </w:r>
            <w:r>
              <w:rPr>
                <w:spacing w:val="-2"/>
                <w:position w:val="1"/>
                <w:sz w:val="21"/>
              </w:rPr>
              <w:t>（PaO</w:t>
            </w:r>
            <w:r>
              <w:rPr>
                <w:spacing w:val="-2"/>
                <w:sz w:val="11"/>
              </w:rPr>
              <w:t>2</w:t>
            </w:r>
            <w:r>
              <w:rPr>
                <w:spacing w:val="-2"/>
                <w:position w:val="1"/>
                <w:sz w:val="21"/>
              </w:rPr>
              <w:t>）＜60mmHg</w:t>
            </w:r>
          </w:p>
        </w:tc>
      </w:tr>
      <w:tr>
        <w:trPr>
          <w:trHeight w:val="397" w:hRule="atLeast"/>
        </w:trPr>
        <w:tc>
          <w:tcPr>
            <w:tcW w:w="847" w:type="dxa"/>
          </w:tcPr>
          <w:p>
            <w:pPr>
              <w:pStyle w:val="TableParagraph"/>
              <w:rPr>
                <w:rFonts w:ascii="Times New Roman"/>
                <w:sz w:val="20"/>
              </w:rPr>
            </w:pPr>
          </w:p>
        </w:tc>
        <w:tc>
          <w:tcPr>
            <w:tcW w:w="1900" w:type="dxa"/>
          </w:tcPr>
          <w:p>
            <w:pPr>
              <w:pStyle w:val="TableParagraph"/>
              <w:rPr>
                <w:rFonts w:ascii="Times New Roman"/>
                <w:sz w:val="20"/>
              </w:rPr>
            </w:pPr>
          </w:p>
        </w:tc>
        <w:tc>
          <w:tcPr>
            <w:tcW w:w="7104" w:type="dxa"/>
          </w:tcPr>
          <w:p>
            <w:pPr>
              <w:pStyle w:val="TableParagraph"/>
              <w:spacing w:before="21"/>
              <w:ind w:left="107"/>
              <w:rPr>
                <w:sz w:val="21"/>
              </w:rPr>
            </w:pPr>
            <w:r>
              <w:rPr>
                <w:spacing w:val="-2"/>
                <w:position w:val="1"/>
                <w:sz w:val="21"/>
              </w:rPr>
              <w:t>和动脉血氧饱和度（SaO</w:t>
            </w:r>
            <w:r>
              <w:rPr>
                <w:spacing w:val="-2"/>
                <w:sz w:val="11"/>
              </w:rPr>
              <w:t>2</w:t>
            </w:r>
            <w:r>
              <w:rPr>
                <w:spacing w:val="-2"/>
                <w:position w:val="1"/>
                <w:sz w:val="21"/>
              </w:rPr>
              <w:t>）＜85</w:t>
            </w:r>
            <w:r>
              <w:rPr>
                <w:spacing w:val="-6"/>
                <w:position w:val="1"/>
                <w:sz w:val="21"/>
              </w:rPr>
              <w:t>%。</w:t>
            </w:r>
          </w:p>
        </w:tc>
      </w:tr>
      <w:tr>
        <w:trPr>
          <w:trHeight w:val="346" w:hRule="atLeast"/>
        </w:trPr>
        <w:tc>
          <w:tcPr>
            <w:tcW w:w="847" w:type="dxa"/>
          </w:tcPr>
          <w:p>
            <w:pPr>
              <w:pStyle w:val="TableParagraph"/>
              <w:spacing w:line="287" w:lineRule="exact" w:before="40"/>
              <w:ind w:left="50"/>
              <w:rPr>
                <w:rFonts w:ascii="微软雅黑"/>
                <w:b/>
                <w:sz w:val="21"/>
              </w:rPr>
            </w:pPr>
            <w:r>
              <w:rPr>
                <w:rFonts w:ascii="微软雅黑"/>
                <w:b/>
                <w:spacing w:val="-2"/>
                <w:sz w:val="21"/>
              </w:rPr>
              <w:t>8.1.74</w:t>
            </w:r>
          </w:p>
        </w:tc>
        <w:tc>
          <w:tcPr>
            <w:tcW w:w="1900" w:type="dxa"/>
          </w:tcPr>
          <w:p>
            <w:pPr>
              <w:pStyle w:val="TableParagraph"/>
              <w:spacing w:line="287" w:lineRule="exact" w:before="40"/>
              <w:ind w:left="160"/>
              <w:rPr>
                <w:rFonts w:ascii="微软雅黑" w:eastAsia="微软雅黑"/>
                <w:b/>
                <w:sz w:val="21"/>
              </w:rPr>
            </w:pPr>
            <w:r>
              <w:rPr>
                <w:rFonts w:ascii="微软雅黑" w:eastAsia="微软雅黑"/>
                <w:b/>
                <w:spacing w:val="-2"/>
                <w:sz w:val="21"/>
              </w:rPr>
              <w:t>严重心肌炎</w:t>
            </w:r>
          </w:p>
        </w:tc>
        <w:tc>
          <w:tcPr>
            <w:tcW w:w="7104" w:type="dxa"/>
          </w:tcPr>
          <w:p>
            <w:pPr>
              <w:pStyle w:val="TableParagraph"/>
              <w:spacing w:line="220" w:lineRule="exact" w:before="107"/>
              <w:ind w:left="107"/>
              <w:rPr>
                <w:sz w:val="21"/>
              </w:rPr>
            </w:pPr>
            <w:r>
              <w:rPr>
                <w:spacing w:val="-7"/>
                <w:sz w:val="21"/>
              </w:rPr>
              <w:t>指心肌局限性或弥漫性的急性或慢性炎症病变，导致心脏功能障碍，达到美</w:t>
            </w:r>
          </w:p>
        </w:tc>
      </w:tr>
    </w:tbl>
    <w:p>
      <w:pPr>
        <w:spacing w:after="0" w:line="220" w:lineRule="exact"/>
        <w:rPr>
          <w:sz w:val="21"/>
        </w:rPr>
        <w:sectPr>
          <w:pgSz w:w="11910" w:h="16840"/>
          <w:pgMar w:header="566" w:footer="664" w:top="1340" w:bottom="860" w:left="900" w:right="720"/>
        </w:sectPr>
      </w:pPr>
    </w:p>
    <w:p>
      <w:pPr>
        <w:pStyle w:val="BodyText"/>
        <w:spacing w:before="85"/>
        <w:ind w:left="3037"/>
      </w:pPr>
      <w:r>
        <w:rPr>
          <w:spacing w:val="-6"/>
        </w:rPr>
        <w:t>国纽约心脏病学会心功能状态分级 </w:t>
      </w:r>
      <w:r>
        <w:rPr>
          <w:spacing w:val="-2"/>
        </w:rPr>
        <w:t>IV</w:t>
      </w:r>
      <w:r>
        <w:rPr>
          <w:spacing w:val="-13"/>
        </w:rPr>
        <w:t> 级，且需持续至少 </w:t>
      </w:r>
      <w:r>
        <w:rPr>
          <w:spacing w:val="-2"/>
        </w:rPr>
        <w:t>180</w:t>
      </w:r>
      <w:r>
        <w:rPr>
          <w:spacing w:val="-20"/>
        </w:rPr>
        <w:t> 日。</w:t>
      </w:r>
    </w:p>
    <w:p>
      <w:pPr>
        <w:pStyle w:val="ListParagraph"/>
        <w:numPr>
          <w:ilvl w:val="2"/>
          <w:numId w:val="48"/>
        </w:numPr>
        <w:tabs>
          <w:tab w:pos="1191" w:val="left" w:leader="none"/>
        </w:tabs>
        <w:spacing w:line="235" w:lineRule="auto" w:before="152" w:after="0"/>
        <w:ind w:left="3037" w:right="406" w:hanging="2805"/>
        <w:jc w:val="both"/>
        <w:rPr>
          <w:sz w:val="21"/>
        </w:rPr>
      </w:pPr>
      <w:r>
        <w:rPr>
          <w:rFonts w:ascii="微软雅黑" w:eastAsia="微软雅黑"/>
          <w:b/>
          <w:spacing w:val="70"/>
          <w:sz w:val="21"/>
        </w:rPr>
        <w:t>胆道重建手术 </w:t>
      </w:r>
      <w:r>
        <w:rPr>
          <w:spacing w:val="-4"/>
          <w:sz w:val="21"/>
        </w:rPr>
        <w:t>指因疾病或胆道创伤导致接受涉及胆总管小肠吻合术的胆道重建手术。手术</w:t>
      </w:r>
      <w:r>
        <w:rPr>
          <w:spacing w:val="-2"/>
          <w:sz w:val="21"/>
        </w:rPr>
        <w:t>必须在专科医生认为是医疗必需的情况下进行。</w:t>
      </w:r>
    </w:p>
    <w:p>
      <w:pPr>
        <w:pStyle w:val="Heading1"/>
        <w:spacing w:line="370" w:lineRule="exact"/>
        <w:ind w:left="3037"/>
      </w:pPr>
      <w:r>
        <w:rPr>
          <w:color w:val="000000"/>
          <w:spacing w:val="-1"/>
          <w:shd w:fill="D9D9D9" w:color="auto" w:val="clear"/>
        </w:rPr>
        <w:t>胆道闭锁并不在保障范围内。</w:t>
      </w:r>
    </w:p>
    <w:p>
      <w:pPr>
        <w:pStyle w:val="ListParagraph"/>
        <w:numPr>
          <w:ilvl w:val="2"/>
          <w:numId w:val="48"/>
        </w:numPr>
        <w:tabs>
          <w:tab w:pos="1191" w:val="left" w:leader="none"/>
        </w:tabs>
        <w:spacing w:line="256" w:lineRule="auto" w:before="85" w:after="0"/>
        <w:ind w:left="3037" w:right="406" w:hanging="2805"/>
        <w:jc w:val="both"/>
        <w:rPr>
          <w:sz w:val="21"/>
        </w:rPr>
      </w:pPr>
      <w:r>
        <w:rPr>
          <w:rFonts w:ascii="微软雅黑" w:eastAsia="微软雅黑"/>
          <w:b/>
          <w:spacing w:val="35"/>
          <w:sz w:val="21"/>
        </w:rPr>
        <w:t>埃博拉病毒感染 </w:t>
      </w:r>
      <w:r>
        <w:rPr>
          <w:spacing w:val="-6"/>
          <w:sz w:val="21"/>
        </w:rPr>
        <w:t>受埃博拉病毒感染导致出血性发热。埃博拉病必须经国家机关认可的有合法</w:t>
      </w:r>
      <w:r>
        <w:rPr>
          <w:spacing w:val="-9"/>
          <w:sz w:val="21"/>
        </w:rPr>
        <w:t>资质的医院传染病专科医生确诊，并且埃博拉病毒的存在必须经过实验室检</w:t>
      </w:r>
      <w:r>
        <w:rPr>
          <w:spacing w:val="-2"/>
          <w:sz w:val="21"/>
        </w:rPr>
        <w:t>查证实。该病必须从症状开始后 </w:t>
      </w:r>
      <w:r>
        <w:rPr>
          <w:sz w:val="21"/>
        </w:rPr>
        <w:t>30</w:t>
      </w:r>
      <w:r>
        <w:rPr>
          <w:spacing w:val="-5"/>
          <w:sz w:val="21"/>
        </w:rPr>
        <w:t> 日后持续出现并发症。</w:t>
      </w:r>
    </w:p>
    <w:p>
      <w:pPr>
        <w:pStyle w:val="BodyText"/>
        <w:spacing w:before="10"/>
        <w:rPr>
          <w:sz w:val="8"/>
        </w:rPr>
      </w:pPr>
    </w:p>
    <w:p>
      <w:pPr>
        <w:spacing w:after="0"/>
        <w:rPr>
          <w:sz w:val="8"/>
        </w:rPr>
        <w:sectPr>
          <w:pgSz w:w="11910" w:h="16840"/>
          <w:pgMar w:header="566" w:footer="664" w:top="1340" w:bottom="860" w:left="900" w:right="720"/>
        </w:sectPr>
      </w:pPr>
    </w:p>
    <w:p>
      <w:pPr>
        <w:pStyle w:val="ListParagraph"/>
        <w:numPr>
          <w:ilvl w:val="2"/>
          <w:numId w:val="48"/>
        </w:numPr>
        <w:tabs>
          <w:tab w:pos="957" w:val="left" w:leader="none"/>
          <w:tab w:pos="1191" w:val="left" w:leader="none"/>
        </w:tabs>
        <w:spacing w:line="350" w:lineRule="exact" w:before="4" w:after="0"/>
        <w:ind w:left="1190" w:right="90" w:hanging="1191"/>
        <w:jc w:val="right"/>
        <w:rPr>
          <w:rFonts w:ascii="微软雅黑" w:eastAsia="微软雅黑"/>
          <w:b/>
          <w:sz w:val="21"/>
        </w:rPr>
      </w:pPr>
      <w:r>
        <w:rPr>
          <w:rFonts w:ascii="微软雅黑" w:eastAsia="微软雅黑"/>
          <w:b/>
          <w:spacing w:val="-2"/>
          <w:sz w:val="21"/>
        </w:rPr>
        <w:t>严重瑞氏综合症</w:t>
      </w:r>
    </w:p>
    <w:p>
      <w:pPr>
        <w:spacing w:line="350" w:lineRule="exact" w:before="0"/>
        <w:ind w:left="0" w:right="38" w:firstLine="0"/>
        <w:jc w:val="right"/>
        <w:rPr>
          <w:rFonts w:ascii="微软雅黑" w:eastAsia="微软雅黑"/>
          <w:b/>
          <w:sz w:val="21"/>
        </w:rPr>
      </w:pPr>
      <w:r>
        <w:rPr>
          <w:rFonts w:ascii="微软雅黑" w:eastAsia="微软雅黑"/>
          <w:b/>
          <w:w w:val="90"/>
          <w:sz w:val="21"/>
        </w:rPr>
        <w:t>（Reye</w:t>
      </w:r>
      <w:r>
        <w:rPr>
          <w:rFonts w:ascii="微软雅黑" w:eastAsia="微软雅黑"/>
          <w:b/>
          <w:spacing w:val="33"/>
          <w:sz w:val="21"/>
        </w:rPr>
        <w:t> </w:t>
      </w:r>
      <w:r>
        <w:rPr>
          <w:rFonts w:ascii="微软雅黑" w:eastAsia="微软雅黑"/>
          <w:b/>
          <w:w w:val="90"/>
          <w:sz w:val="21"/>
        </w:rPr>
        <w:t>综</w:t>
      </w:r>
      <w:r>
        <w:rPr>
          <w:rFonts w:ascii="微软雅黑" w:eastAsia="微软雅黑"/>
          <w:b/>
          <w:w w:val="90"/>
          <w:sz w:val="21"/>
        </w:rPr>
        <w:t>合</w:t>
      </w:r>
      <w:r>
        <w:rPr>
          <w:rFonts w:ascii="微软雅黑" w:eastAsia="微软雅黑"/>
          <w:b/>
          <w:w w:val="90"/>
          <w:sz w:val="21"/>
        </w:rPr>
        <w:t>症</w:t>
      </w:r>
      <w:r>
        <w:rPr>
          <w:rFonts w:ascii="微软雅黑" w:eastAsia="微软雅黑"/>
          <w:b/>
          <w:spacing w:val="-10"/>
          <w:w w:val="90"/>
          <w:sz w:val="21"/>
        </w:rPr>
        <w:t>）</w:t>
      </w:r>
    </w:p>
    <w:p>
      <w:pPr>
        <w:pStyle w:val="BodyText"/>
        <w:spacing w:line="278" w:lineRule="auto" w:before="71"/>
        <w:ind w:left="232" w:right="312"/>
      </w:pPr>
      <w:r>
        <w:rPr/>
        <w:br w:type="column"/>
      </w:r>
      <w:r>
        <w:rPr>
          <w:spacing w:val="-2"/>
        </w:rPr>
        <w:t>瑞氏综合症是线粒体功能障碍性疾病。广泛的线粒体受损，导致脂肪代谢障</w:t>
      </w:r>
      <w:r>
        <w:rPr>
          <w:spacing w:val="-2"/>
        </w:rPr>
        <w:t>碍，引起短链脂肪酸、血氨升高，造成脑水肿。主要临床表现为急性发热、</w:t>
      </w:r>
      <w:r>
        <w:rPr>
          <w:spacing w:val="-2"/>
        </w:rPr>
        <w:t>反复呕吐、惊厥及意识障碍等。</w:t>
      </w:r>
    </w:p>
    <w:p>
      <w:pPr>
        <w:pStyle w:val="BodyText"/>
        <w:spacing w:line="278" w:lineRule="auto"/>
        <w:ind w:left="232" w:right="312"/>
      </w:pPr>
      <w:r>
        <w:rPr>
          <w:spacing w:val="-2"/>
        </w:rPr>
        <w:t>肝脏活检是确诊的重要手段。瑞氏综合症需由三级医院儿科专科医生确诊，</w:t>
      </w:r>
      <w:r>
        <w:rPr>
          <w:spacing w:val="-2"/>
        </w:rPr>
        <w:t>并符合下列全部条件：</w:t>
      </w:r>
    </w:p>
    <w:p>
      <w:pPr>
        <w:pStyle w:val="ListParagraph"/>
        <w:numPr>
          <w:ilvl w:val="0"/>
          <w:numId w:val="49"/>
        </w:numPr>
        <w:tabs>
          <w:tab w:pos="762" w:val="left" w:leader="none"/>
        </w:tabs>
        <w:spacing w:line="240" w:lineRule="auto" w:before="1" w:after="0"/>
        <w:ind w:left="761" w:right="0" w:hanging="530"/>
        <w:jc w:val="left"/>
        <w:rPr>
          <w:sz w:val="21"/>
        </w:rPr>
      </w:pPr>
      <w:r>
        <w:rPr>
          <w:spacing w:val="-3"/>
          <w:sz w:val="21"/>
        </w:rPr>
        <w:t>有脑水肿和颅内压升高的脑脊液检查和影像学检查证据；</w:t>
      </w:r>
    </w:p>
    <w:p>
      <w:pPr>
        <w:pStyle w:val="ListParagraph"/>
        <w:numPr>
          <w:ilvl w:val="0"/>
          <w:numId w:val="49"/>
        </w:numPr>
        <w:tabs>
          <w:tab w:pos="762" w:val="left" w:leader="none"/>
        </w:tabs>
        <w:spacing w:line="240" w:lineRule="auto" w:before="42" w:after="0"/>
        <w:ind w:left="761" w:right="0" w:hanging="530"/>
        <w:jc w:val="left"/>
        <w:rPr>
          <w:sz w:val="21"/>
        </w:rPr>
      </w:pPr>
      <w:r>
        <w:rPr>
          <w:spacing w:val="-8"/>
          <w:sz w:val="21"/>
        </w:rPr>
        <w:t>血氨超过正常值的 </w:t>
      </w:r>
      <w:r>
        <w:rPr>
          <w:spacing w:val="-2"/>
          <w:sz w:val="21"/>
        </w:rPr>
        <w:t>3</w:t>
      </w:r>
      <w:r>
        <w:rPr>
          <w:spacing w:val="-21"/>
          <w:sz w:val="21"/>
        </w:rPr>
        <w:t> 倍；</w:t>
      </w:r>
    </w:p>
    <w:p>
      <w:pPr>
        <w:pStyle w:val="ListParagraph"/>
        <w:numPr>
          <w:ilvl w:val="0"/>
          <w:numId w:val="49"/>
        </w:numPr>
        <w:tabs>
          <w:tab w:pos="762" w:val="left" w:leader="none"/>
        </w:tabs>
        <w:spacing w:line="240" w:lineRule="auto" w:before="43" w:after="0"/>
        <w:ind w:left="761" w:right="0" w:hanging="530"/>
        <w:jc w:val="left"/>
        <w:rPr>
          <w:sz w:val="21"/>
        </w:rPr>
      </w:pPr>
      <w:r>
        <w:rPr>
          <w:spacing w:val="-5"/>
          <w:sz w:val="21"/>
        </w:rPr>
        <w:t>临床出现昏迷，病程至少达到疾病分期第 </w:t>
      </w:r>
      <w:r>
        <w:rPr>
          <w:spacing w:val="-2"/>
          <w:sz w:val="21"/>
        </w:rPr>
        <w:t>3</w:t>
      </w:r>
      <w:r>
        <w:rPr>
          <w:spacing w:val="-20"/>
          <w:sz w:val="21"/>
        </w:rPr>
        <w:t> 期。</w:t>
      </w:r>
    </w:p>
    <w:p>
      <w:pPr>
        <w:spacing w:after="0" w:line="240" w:lineRule="auto"/>
        <w:jc w:val="left"/>
        <w:rPr>
          <w:sz w:val="21"/>
        </w:rPr>
        <w:sectPr>
          <w:type w:val="continuous"/>
          <w:pgSz w:w="11910" w:h="16840"/>
          <w:pgMar w:header="566" w:footer="664" w:top="1340" w:bottom="860" w:left="900" w:right="720"/>
          <w:cols w:num="2" w:equalWidth="0">
            <w:col w:w="2763" w:space="42"/>
            <w:col w:w="7485"/>
          </w:cols>
        </w:sectPr>
      </w:pPr>
    </w:p>
    <w:p>
      <w:pPr>
        <w:pStyle w:val="BodyText"/>
        <w:spacing w:before="1"/>
        <w:rPr>
          <w:sz w:val="11"/>
        </w:rPr>
      </w:pPr>
    </w:p>
    <w:p>
      <w:pPr>
        <w:pStyle w:val="ListParagraph"/>
        <w:numPr>
          <w:ilvl w:val="2"/>
          <w:numId w:val="48"/>
        </w:numPr>
        <w:tabs>
          <w:tab w:pos="1190" w:val="left" w:leader="none"/>
          <w:tab w:pos="1191" w:val="left" w:leader="none"/>
          <w:tab w:pos="3036" w:val="left" w:leader="none"/>
        </w:tabs>
        <w:spacing w:line="235" w:lineRule="auto" w:before="10" w:after="0"/>
        <w:ind w:left="3037" w:right="521" w:hanging="2805"/>
        <w:jc w:val="left"/>
        <w:rPr>
          <w:sz w:val="21"/>
        </w:rPr>
      </w:pPr>
      <w:r>
        <w:rPr>
          <w:rFonts w:ascii="微软雅黑" w:eastAsia="微软雅黑"/>
          <w:b/>
          <w:spacing w:val="-2"/>
          <w:sz w:val="21"/>
        </w:rPr>
        <w:t>室</w:t>
      </w:r>
      <w:r>
        <w:rPr>
          <w:rFonts w:ascii="微软雅黑" w:eastAsia="微软雅黑"/>
          <w:b/>
          <w:spacing w:val="-2"/>
          <w:sz w:val="21"/>
        </w:rPr>
        <w:t>壁</w:t>
      </w:r>
      <w:r>
        <w:rPr>
          <w:rFonts w:ascii="微软雅黑" w:eastAsia="微软雅黑"/>
          <w:b/>
          <w:spacing w:val="-2"/>
          <w:sz w:val="21"/>
        </w:rPr>
        <w:t>瘤</w:t>
      </w:r>
      <w:r>
        <w:rPr>
          <w:rFonts w:ascii="微软雅黑" w:eastAsia="微软雅黑"/>
          <w:b/>
          <w:spacing w:val="-2"/>
          <w:sz w:val="21"/>
        </w:rPr>
        <w:t>切</w:t>
      </w:r>
      <w:r>
        <w:rPr>
          <w:rFonts w:ascii="微软雅黑" w:eastAsia="微软雅黑"/>
          <w:b/>
          <w:spacing w:val="-2"/>
          <w:sz w:val="21"/>
        </w:rPr>
        <w:t>除</w:t>
      </w:r>
      <w:r>
        <w:rPr>
          <w:rFonts w:ascii="微软雅黑" w:eastAsia="微软雅黑"/>
          <w:b/>
          <w:spacing w:val="-2"/>
          <w:sz w:val="21"/>
        </w:rPr>
        <w:t>手</w:t>
      </w:r>
      <w:r>
        <w:rPr>
          <w:rFonts w:ascii="微软雅黑" w:eastAsia="微软雅黑"/>
          <w:b/>
          <w:spacing w:val="-2"/>
          <w:sz w:val="21"/>
        </w:rPr>
        <w:t>术</w:t>
      </w:r>
      <w:r>
        <w:rPr>
          <w:rFonts w:ascii="微软雅黑" w:eastAsia="微软雅黑"/>
          <w:b/>
          <w:sz w:val="21"/>
        </w:rPr>
        <w:tab/>
      </w:r>
      <w:r>
        <w:rPr>
          <w:spacing w:val="-2"/>
          <w:sz w:val="21"/>
        </w:rPr>
        <w:t>因</w:t>
      </w:r>
      <w:r>
        <w:rPr>
          <w:spacing w:val="-2"/>
          <w:sz w:val="21"/>
        </w:rPr>
        <w:t>心</w:t>
      </w:r>
      <w:r>
        <w:rPr>
          <w:spacing w:val="-2"/>
          <w:sz w:val="21"/>
        </w:rPr>
        <w:t>肌梗死导致室壁瘤，</w:t>
      </w:r>
      <w:r>
        <w:rPr>
          <w:spacing w:val="-2"/>
          <w:sz w:val="21"/>
        </w:rPr>
        <w:t>被</w:t>
      </w:r>
      <w:r>
        <w:rPr>
          <w:spacing w:val="-2"/>
          <w:sz w:val="21"/>
        </w:rPr>
        <w:t>保</w:t>
      </w:r>
      <w:r>
        <w:rPr>
          <w:spacing w:val="-2"/>
          <w:sz w:val="21"/>
        </w:rPr>
        <w:t>险人实际接受了开胸</w:t>
      </w:r>
      <w:r>
        <w:rPr>
          <w:spacing w:val="-2"/>
          <w:sz w:val="21"/>
        </w:rPr>
        <w:t>开</w:t>
      </w:r>
      <w:r>
        <w:rPr>
          <w:spacing w:val="-2"/>
          <w:sz w:val="21"/>
        </w:rPr>
        <w:t>心</w:t>
      </w:r>
      <w:r>
        <w:rPr>
          <w:spacing w:val="-2"/>
          <w:sz w:val="21"/>
        </w:rPr>
        <w:t>室壁瘤切除手术治</w:t>
      </w:r>
      <w:r>
        <w:rPr>
          <w:spacing w:val="-6"/>
          <w:sz w:val="21"/>
        </w:rPr>
        <w:t>疗</w:t>
      </w:r>
      <w:r>
        <w:rPr>
          <w:spacing w:val="-6"/>
          <w:sz w:val="21"/>
        </w:rPr>
        <w:t>。</w:t>
      </w:r>
    </w:p>
    <w:p>
      <w:pPr>
        <w:pStyle w:val="BodyText"/>
        <w:spacing w:before="1"/>
        <w:rPr>
          <w:sz w:val="11"/>
        </w:rPr>
      </w:pPr>
    </w:p>
    <w:p>
      <w:pPr>
        <w:spacing w:after="0"/>
        <w:rPr>
          <w:sz w:val="11"/>
        </w:rPr>
        <w:sectPr>
          <w:type w:val="continuous"/>
          <w:pgSz w:w="11910" w:h="16840"/>
          <w:pgMar w:header="566" w:footer="664" w:top="1340" w:bottom="860" w:left="900" w:right="720"/>
        </w:sectPr>
      </w:pPr>
    </w:p>
    <w:p>
      <w:pPr>
        <w:pStyle w:val="ListParagraph"/>
        <w:numPr>
          <w:ilvl w:val="2"/>
          <w:numId w:val="48"/>
        </w:numPr>
        <w:tabs>
          <w:tab w:pos="1190" w:val="left" w:leader="none"/>
          <w:tab w:pos="1191" w:val="left" w:leader="none"/>
        </w:tabs>
        <w:spacing w:line="350" w:lineRule="exact" w:before="4" w:after="0"/>
        <w:ind w:left="1190" w:right="0" w:hanging="959"/>
        <w:jc w:val="left"/>
        <w:rPr>
          <w:rFonts w:ascii="微软雅黑" w:eastAsia="微软雅黑"/>
          <w:b/>
          <w:sz w:val="21"/>
        </w:rPr>
      </w:pPr>
      <w:r>
        <w:rPr>
          <w:rFonts w:ascii="微软雅黑" w:eastAsia="微软雅黑"/>
          <w:b/>
          <w:spacing w:val="-2"/>
          <w:sz w:val="21"/>
        </w:rPr>
        <w:t>成骨不全症第三</w:t>
      </w:r>
    </w:p>
    <w:p>
      <w:pPr>
        <w:spacing w:line="350" w:lineRule="exact" w:before="0"/>
        <w:ind w:left="1190" w:right="0" w:firstLine="0"/>
        <w:jc w:val="left"/>
        <w:rPr>
          <w:rFonts w:ascii="微软雅黑" w:eastAsia="微软雅黑"/>
          <w:b/>
          <w:sz w:val="21"/>
        </w:rPr>
      </w:pPr>
      <w:r>
        <w:rPr>
          <w:rFonts w:ascii="微软雅黑" w:eastAsia="微软雅黑"/>
          <w:b/>
          <w:w w:val="100"/>
          <w:sz w:val="21"/>
        </w:rPr>
        <w:t>型</w:t>
      </w:r>
    </w:p>
    <w:p>
      <w:pPr>
        <w:pStyle w:val="BodyText"/>
        <w:spacing w:line="278" w:lineRule="auto" w:before="71"/>
        <w:ind w:left="232" w:right="300"/>
      </w:pPr>
      <w:r>
        <w:rPr/>
        <w:br w:type="column"/>
      </w:r>
      <w:r>
        <w:rPr>
          <w:spacing w:val="-17"/>
        </w:rPr>
        <w:t>指一种胶原病，特征为骨易碎、骨质疏松和易骨折。该病有 </w:t>
      </w:r>
      <w:r>
        <w:rPr>
          <w:spacing w:val="-2"/>
        </w:rPr>
        <w:t>4</w:t>
      </w:r>
      <w:r>
        <w:rPr>
          <w:spacing w:val="-10"/>
        </w:rPr>
        <w:t> 种类型：Ⅰ型、</w:t>
      </w:r>
      <w:r>
        <w:rPr>
          <w:spacing w:val="-2"/>
        </w:rPr>
        <w:t> </w:t>
      </w:r>
      <w:r>
        <w:rPr>
          <w:spacing w:val="-18"/>
        </w:rPr>
        <w:t>Ⅱ型、Ⅲ型、Ⅳ型。本合同只保障Ⅲ型成骨不全的情形，其主要临床特点有：</w:t>
      </w:r>
      <w:r>
        <w:rPr>
          <w:spacing w:val="-2"/>
        </w:rPr>
        <w:t>发展迟缓、多发性骨折、进行性脊柱后侧凸及听力损害。Ⅲ型成骨不全必须</w:t>
      </w:r>
      <w:r>
        <w:rPr/>
        <w:t>根据身体检查、家族史、X</w:t>
      </w:r>
      <w:r>
        <w:rPr>
          <w:spacing w:val="-7"/>
        </w:rPr>
        <w:t> 线检查和皮肤活检报告资料确诊。</w:t>
      </w:r>
    </w:p>
    <w:p>
      <w:pPr>
        <w:spacing w:after="0" w:line="278" w:lineRule="auto"/>
        <w:sectPr>
          <w:type w:val="continuous"/>
          <w:pgSz w:w="11910" w:h="16840"/>
          <w:pgMar w:header="566" w:footer="664" w:top="1340" w:bottom="860" w:left="900" w:right="720"/>
          <w:cols w:num="2" w:equalWidth="0">
            <w:col w:w="2710" w:space="94"/>
            <w:col w:w="7486"/>
          </w:cols>
        </w:sectPr>
      </w:pPr>
    </w:p>
    <w:p>
      <w:pPr>
        <w:pStyle w:val="ListParagraph"/>
        <w:numPr>
          <w:ilvl w:val="2"/>
          <w:numId w:val="48"/>
        </w:numPr>
        <w:tabs>
          <w:tab w:pos="1190" w:val="left" w:leader="none"/>
          <w:tab w:pos="1191" w:val="left" w:leader="none"/>
        </w:tabs>
        <w:spacing w:line="350" w:lineRule="exact" w:before="103" w:after="0"/>
        <w:ind w:left="1190" w:right="0" w:hanging="959"/>
        <w:jc w:val="left"/>
        <w:rPr>
          <w:rFonts w:ascii="微软雅黑" w:eastAsia="微软雅黑"/>
          <w:b/>
          <w:sz w:val="21"/>
        </w:rPr>
      </w:pPr>
      <w:r>
        <w:rPr>
          <w:rFonts w:ascii="微软雅黑" w:eastAsia="微软雅黑"/>
          <w:b/>
          <w:spacing w:val="-2"/>
          <w:sz w:val="21"/>
        </w:rPr>
        <w:t>严重晚发型糖原</w:t>
      </w:r>
    </w:p>
    <w:p>
      <w:pPr>
        <w:spacing w:line="194" w:lineRule="auto" w:before="15"/>
        <w:ind w:left="1190" w:right="0" w:firstLine="0"/>
        <w:jc w:val="left"/>
        <w:rPr>
          <w:rFonts w:ascii="微软雅黑" w:hAnsi="微软雅黑" w:eastAsia="微软雅黑"/>
          <w:b/>
          <w:sz w:val="21"/>
        </w:rPr>
      </w:pPr>
      <w:r>
        <w:rPr>
          <w:rFonts w:ascii="微软雅黑" w:hAnsi="微软雅黑" w:eastAsia="微软雅黑"/>
          <w:b/>
          <w:spacing w:val="-14"/>
          <w:sz w:val="21"/>
        </w:rPr>
        <w:t>累积病Ⅱ型</w:t>
      </w:r>
      <w:r>
        <w:rPr>
          <w:rFonts w:ascii="微软雅黑" w:hAnsi="微软雅黑" w:eastAsia="微软雅黑"/>
          <w:b/>
          <w:spacing w:val="-2"/>
          <w:sz w:val="21"/>
        </w:rPr>
        <w:t>（庞贝</w:t>
      </w:r>
      <w:r>
        <w:rPr>
          <w:rFonts w:ascii="微软雅黑" w:hAnsi="微软雅黑" w:eastAsia="微软雅黑"/>
          <w:b/>
          <w:spacing w:val="-4"/>
          <w:sz w:val="21"/>
        </w:rPr>
        <w:t>氏病）</w:t>
      </w:r>
    </w:p>
    <w:p>
      <w:pPr>
        <w:pStyle w:val="BodyText"/>
        <w:spacing w:line="278" w:lineRule="auto" w:before="170"/>
        <w:ind w:left="174" w:right="312"/>
      </w:pPr>
      <w:r>
        <w:rPr/>
        <w:br w:type="column"/>
      </w:r>
      <w:r>
        <w:rPr>
          <w:spacing w:val="-2"/>
        </w:rPr>
        <w:t>指一种因糖原代谢异常，大量沉积于组织中而致病的常染色体隐性遗传病。</w:t>
      </w:r>
      <w:r>
        <w:rPr/>
        <w:t>以肝大、低血糖、肌无力、发育受限等为表现特征。须根据 GAA</w:t>
      </w:r>
      <w:r>
        <w:rPr>
          <w:spacing w:val="-5"/>
        </w:rPr>
        <w:t> 酶活性检</w:t>
      </w:r>
      <w:r>
        <w:rPr>
          <w:spacing w:val="-5"/>
        </w:rPr>
        <w:t>测或基因检测明确诊断。被保险人确诊时年龄必须在 </w:t>
      </w:r>
      <w:r>
        <w:rPr/>
        <w:t>10 周岁以上，且须满</w:t>
      </w:r>
      <w:r>
        <w:rPr>
          <w:spacing w:val="-10"/>
        </w:rPr>
        <w:t>足自主生活能力完全丧失，持续超过三个月无法独立完成六项基本日常生活</w:t>
      </w:r>
      <w:r>
        <w:rPr>
          <w:spacing w:val="-2"/>
        </w:rPr>
        <w:t>活动中的三项或者三项以上的条件。</w:t>
      </w:r>
    </w:p>
    <w:p>
      <w:pPr>
        <w:spacing w:after="0" w:line="278" w:lineRule="auto"/>
        <w:sectPr>
          <w:type w:val="continuous"/>
          <w:pgSz w:w="11910" w:h="16840"/>
          <w:pgMar w:header="566" w:footer="664" w:top="1340" w:bottom="860" w:left="900" w:right="720"/>
          <w:cols w:num="2" w:equalWidth="0">
            <w:col w:w="2823" w:space="40"/>
            <w:col w:w="7427"/>
          </w:cols>
        </w:sectPr>
      </w:pPr>
    </w:p>
    <w:p>
      <w:pPr>
        <w:pStyle w:val="ListParagraph"/>
        <w:numPr>
          <w:ilvl w:val="2"/>
          <w:numId w:val="48"/>
        </w:numPr>
        <w:tabs>
          <w:tab w:pos="1190" w:val="left" w:leader="none"/>
          <w:tab w:pos="1191" w:val="left" w:leader="none"/>
          <w:tab w:pos="3036" w:val="left" w:leader="none"/>
        </w:tabs>
        <w:spacing w:line="383" w:lineRule="exact" w:before="103" w:after="0"/>
        <w:ind w:left="1190" w:right="0" w:hanging="959"/>
        <w:jc w:val="left"/>
        <w:rPr>
          <w:sz w:val="21"/>
        </w:rPr>
      </w:pPr>
      <w:r>
        <w:rPr>
          <w:rFonts w:ascii="微软雅黑" w:eastAsia="微软雅黑"/>
          <w:b/>
          <w:sz w:val="21"/>
        </w:rPr>
        <w:t>严重川崎</w:t>
      </w:r>
      <w:r>
        <w:rPr>
          <w:rFonts w:ascii="微软雅黑" w:eastAsia="微软雅黑"/>
          <w:b/>
          <w:spacing w:val="-10"/>
          <w:sz w:val="21"/>
        </w:rPr>
        <w:t>病</w:t>
      </w:r>
      <w:r>
        <w:rPr>
          <w:rFonts w:ascii="微软雅黑" w:eastAsia="微软雅黑"/>
          <w:b/>
          <w:sz w:val="21"/>
        </w:rPr>
        <w:tab/>
      </w:r>
      <w:r>
        <w:rPr>
          <w:spacing w:val="-2"/>
          <w:sz w:val="21"/>
        </w:rPr>
        <w:t>指</w:t>
      </w:r>
      <w:r>
        <w:rPr>
          <w:spacing w:val="-2"/>
          <w:sz w:val="21"/>
        </w:rPr>
        <w:t>原</w:t>
      </w:r>
      <w:r>
        <w:rPr>
          <w:spacing w:val="-2"/>
          <w:sz w:val="21"/>
        </w:rPr>
        <w:t>因不明的系统性血管</w:t>
      </w:r>
      <w:r>
        <w:rPr>
          <w:spacing w:val="-2"/>
          <w:sz w:val="21"/>
        </w:rPr>
        <w:t>炎</w:t>
      </w:r>
      <w:r>
        <w:rPr>
          <w:spacing w:val="-2"/>
          <w:sz w:val="21"/>
        </w:rPr>
        <w:t>，并须满足下列全部条</w:t>
      </w:r>
      <w:r>
        <w:rPr>
          <w:spacing w:val="-2"/>
          <w:sz w:val="21"/>
        </w:rPr>
        <w:t>件</w:t>
      </w:r>
      <w:r>
        <w:rPr>
          <w:spacing w:val="-10"/>
          <w:sz w:val="21"/>
        </w:rPr>
        <w:t>：</w:t>
      </w:r>
    </w:p>
    <w:p>
      <w:pPr>
        <w:pStyle w:val="ListParagraph"/>
        <w:numPr>
          <w:ilvl w:val="3"/>
          <w:numId w:val="48"/>
        </w:numPr>
        <w:tabs>
          <w:tab w:pos="3566" w:val="left" w:leader="none"/>
        </w:tabs>
        <w:spacing w:line="265" w:lineRule="exact" w:before="0" w:after="0"/>
        <w:ind w:left="3566" w:right="0" w:hanging="529"/>
        <w:jc w:val="left"/>
        <w:rPr>
          <w:sz w:val="21"/>
        </w:rPr>
      </w:pPr>
      <w:r>
        <w:rPr>
          <w:spacing w:val="-3"/>
          <w:sz w:val="21"/>
        </w:rPr>
        <w:t>超声心动图显示川崎病并发冠状动脉瘤或其他心血管异常；</w:t>
      </w:r>
    </w:p>
    <w:p>
      <w:pPr>
        <w:pStyle w:val="ListParagraph"/>
        <w:numPr>
          <w:ilvl w:val="3"/>
          <w:numId w:val="48"/>
        </w:numPr>
        <w:tabs>
          <w:tab w:pos="3566" w:val="left" w:leader="none"/>
        </w:tabs>
        <w:spacing w:line="278" w:lineRule="auto" w:before="43" w:after="0"/>
        <w:ind w:left="3037" w:right="418" w:firstLine="0"/>
        <w:jc w:val="left"/>
        <w:rPr>
          <w:sz w:val="21"/>
        </w:rPr>
      </w:pPr>
      <w:r>
        <w:rPr>
          <w:spacing w:val="-2"/>
          <w:sz w:val="21"/>
        </w:rPr>
        <w:t>已接受了针对川崎病并发冠状动脉瘤或其他心血管异常所进行的手术</w:t>
      </w:r>
      <w:r>
        <w:rPr>
          <w:spacing w:val="-4"/>
          <w:sz w:val="21"/>
        </w:rPr>
        <w:t>治疗。</w:t>
      </w:r>
    </w:p>
    <w:p>
      <w:pPr>
        <w:spacing w:after="0" w:line="278" w:lineRule="auto"/>
        <w:jc w:val="left"/>
        <w:rPr>
          <w:sz w:val="21"/>
        </w:rPr>
        <w:sectPr>
          <w:type w:val="continuous"/>
          <w:pgSz w:w="11910" w:h="16840"/>
          <w:pgMar w:header="566" w:footer="664" w:top="1340" w:bottom="860" w:left="900" w:right="720"/>
        </w:sectPr>
      </w:pPr>
    </w:p>
    <w:p>
      <w:pPr>
        <w:pStyle w:val="ListParagraph"/>
        <w:numPr>
          <w:ilvl w:val="2"/>
          <w:numId w:val="48"/>
        </w:numPr>
        <w:tabs>
          <w:tab w:pos="1190" w:val="left" w:leader="none"/>
          <w:tab w:pos="1191" w:val="left" w:leader="none"/>
        </w:tabs>
        <w:spacing w:line="350" w:lineRule="exact" w:before="101" w:after="0"/>
        <w:ind w:left="1190" w:right="0" w:hanging="959"/>
        <w:jc w:val="left"/>
        <w:rPr>
          <w:rFonts w:ascii="微软雅黑" w:eastAsia="微软雅黑"/>
          <w:b/>
          <w:sz w:val="21"/>
        </w:rPr>
      </w:pPr>
      <w:r>
        <w:rPr>
          <w:rFonts w:ascii="微软雅黑" w:eastAsia="微软雅黑"/>
          <w:b/>
          <w:spacing w:val="-2"/>
          <w:sz w:val="21"/>
        </w:rPr>
        <w:t>湿性年龄相关性</w:t>
      </w:r>
    </w:p>
    <w:p>
      <w:pPr>
        <w:spacing w:line="350" w:lineRule="exact" w:before="0"/>
        <w:ind w:left="1190" w:right="0" w:firstLine="0"/>
        <w:jc w:val="left"/>
        <w:rPr>
          <w:rFonts w:ascii="微软雅黑" w:eastAsia="微软雅黑"/>
          <w:b/>
          <w:sz w:val="21"/>
        </w:rPr>
      </w:pPr>
      <w:r>
        <w:rPr>
          <w:rFonts w:ascii="微软雅黑" w:eastAsia="微软雅黑"/>
          <w:b/>
          <w:spacing w:val="-3"/>
          <w:sz w:val="21"/>
        </w:rPr>
        <w:t>黄斑变性</w:t>
      </w:r>
    </w:p>
    <w:p>
      <w:pPr>
        <w:pStyle w:val="BodyText"/>
        <w:spacing w:line="278" w:lineRule="auto" w:before="168"/>
        <w:ind w:left="232" w:right="312"/>
      </w:pPr>
      <w:r>
        <w:rPr/>
        <w:br w:type="column"/>
      </w:r>
      <w:r>
        <w:rPr>
          <w:spacing w:val="-2"/>
        </w:rPr>
        <w:t>又称为新生血管性年龄相关性黄斑变性或“渗出性”年龄相关性黄斑变性，</w:t>
      </w:r>
      <w:r>
        <w:rPr>
          <w:spacing w:val="-2"/>
        </w:rPr>
        <w:t>发生脉络膜新生血管（CNV）异常生长穿透玻璃膜进入视网膜，新生血管渗</w:t>
      </w:r>
      <w:r>
        <w:rPr>
          <w:spacing w:val="-9"/>
        </w:rPr>
        <w:t>漏，渗出及出血。该病必须由荧光素眼底血管造影检查提示黄斑区新生血管</w:t>
      </w:r>
      <w:r>
        <w:rPr>
          <w:spacing w:val="-13"/>
        </w:rPr>
        <w:t>形成，并且必须由认可的医院的眼科专科医生确诊为湿性年龄相关性黄斑变</w:t>
      </w:r>
      <w:r>
        <w:rPr/>
        <w:t>性，并且双眼中较好眼矫正视力低于 0.02（采用国际标准视力表，如果使</w:t>
      </w:r>
      <w:r>
        <w:rPr>
          <w:spacing w:val="-2"/>
        </w:rPr>
        <w:t>用其他视力表应进行换算</w:t>
      </w:r>
      <w:r>
        <w:rPr>
          <w:spacing w:val="-108"/>
        </w:rPr>
        <w:t>）</w:t>
      </w:r>
      <w:r>
        <w:rPr>
          <w:spacing w:val="-2"/>
        </w:rPr>
        <w:t>。</w:t>
      </w:r>
    </w:p>
    <w:p>
      <w:pPr>
        <w:spacing w:after="0" w:line="278" w:lineRule="auto"/>
        <w:sectPr>
          <w:type w:val="continuous"/>
          <w:pgSz w:w="11910" w:h="16840"/>
          <w:pgMar w:header="566" w:footer="664" w:top="1340" w:bottom="860" w:left="900" w:right="720"/>
          <w:cols w:num="2" w:equalWidth="0">
            <w:col w:w="2710" w:space="94"/>
            <w:col w:w="7486"/>
          </w:cols>
        </w:sectPr>
      </w:pPr>
    </w:p>
    <w:p>
      <w:pPr>
        <w:pStyle w:val="ListParagraph"/>
        <w:numPr>
          <w:ilvl w:val="2"/>
          <w:numId w:val="48"/>
        </w:numPr>
        <w:tabs>
          <w:tab w:pos="1190" w:val="left" w:leader="none"/>
          <w:tab w:pos="1191" w:val="left" w:leader="none"/>
        </w:tabs>
        <w:spacing w:line="350" w:lineRule="exact" w:before="103" w:after="0"/>
        <w:ind w:left="1190" w:right="0" w:hanging="959"/>
        <w:jc w:val="left"/>
        <w:rPr>
          <w:rFonts w:ascii="微软雅黑" w:eastAsia="微软雅黑"/>
          <w:b/>
          <w:sz w:val="21"/>
        </w:rPr>
      </w:pPr>
      <w:r>
        <w:rPr>
          <w:rFonts w:ascii="微软雅黑" w:eastAsia="微软雅黑"/>
          <w:b/>
          <w:spacing w:val="-2"/>
          <w:sz w:val="21"/>
        </w:rPr>
        <w:t>严重药物难治性</w:t>
      </w:r>
    </w:p>
    <w:p>
      <w:pPr>
        <w:spacing w:line="350" w:lineRule="exact" w:before="0"/>
        <w:ind w:left="1190" w:right="0" w:firstLine="0"/>
        <w:jc w:val="left"/>
        <w:rPr>
          <w:rFonts w:ascii="微软雅黑" w:eastAsia="微软雅黑"/>
          <w:b/>
          <w:sz w:val="21"/>
        </w:rPr>
      </w:pPr>
      <w:r>
        <w:rPr>
          <w:rFonts w:ascii="微软雅黑" w:eastAsia="微软雅黑"/>
          <w:b/>
          <w:spacing w:val="-2"/>
          <w:sz w:val="21"/>
        </w:rPr>
        <w:t>癫痫手术治疗</w:t>
      </w:r>
    </w:p>
    <w:p>
      <w:pPr>
        <w:pStyle w:val="BodyText"/>
        <w:spacing w:before="170"/>
        <w:ind w:left="232"/>
        <w:jc w:val="both"/>
      </w:pPr>
      <w:r>
        <w:rPr/>
        <w:br w:type="column"/>
      </w:r>
      <w:r>
        <w:rPr>
          <w:spacing w:val="-4"/>
        </w:rPr>
        <w:t>指经神经科或儿科专科医生根据典型临床症状和脑电图及 </w:t>
      </w:r>
      <w:r>
        <w:rPr>
          <w:spacing w:val="-2"/>
        </w:rPr>
        <w:t>X</w:t>
      </w:r>
      <w:r>
        <w:rPr>
          <w:spacing w:val="-11"/>
        </w:rPr>
        <w:t> 线断层扫描</w:t>
      </w:r>
    </w:p>
    <w:p>
      <w:pPr>
        <w:pStyle w:val="BodyText"/>
        <w:spacing w:line="278" w:lineRule="auto" w:before="43"/>
        <w:ind w:left="232" w:right="406"/>
        <w:jc w:val="both"/>
      </w:pPr>
      <w:r>
        <w:rPr>
          <w:spacing w:val="19"/>
        </w:rPr>
        <w:t>（CT</w:t>
      </w:r>
      <w:r>
        <w:rPr>
          <w:spacing w:val="-89"/>
        </w:rPr>
        <w:t>）</w:t>
      </w:r>
      <w:r>
        <w:rPr>
          <w:spacing w:val="-8"/>
        </w:rPr>
        <w:t>、核磁共振检查</w:t>
      </w:r>
      <w:r>
        <w:rPr>
          <w:spacing w:val="13"/>
        </w:rPr>
        <w:t>（</w:t>
      </w:r>
      <w:r>
        <w:rPr>
          <w:spacing w:val="14"/>
        </w:rPr>
        <w:t>M</w:t>
      </w:r>
      <w:r>
        <w:rPr>
          <w:spacing w:val="11"/>
        </w:rPr>
        <w:t>R</w:t>
      </w:r>
      <w:r>
        <w:rPr>
          <w:spacing w:val="14"/>
        </w:rPr>
        <w:t>I</w:t>
      </w:r>
      <w:r>
        <w:rPr>
          <w:spacing w:val="-92"/>
        </w:rPr>
        <w:t>）</w:t>
      </w:r>
      <w:r>
        <w:rPr>
          <w:spacing w:val="-8"/>
        </w:rPr>
        <w:t>、正电子发射断层扫描（PET）等影相学检查确</w:t>
      </w:r>
      <w:r>
        <w:rPr>
          <w:spacing w:val="-16"/>
        </w:rPr>
        <w:t>诊。理赔时必须提供 </w:t>
      </w:r>
      <w:r>
        <w:rPr>
          <w:spacing w:val="-2"/>
        </w:rPr>
        <w:t>6</w:t>
      </w:r>
      <w:r>
        <w:rPr>
          <w:spacing w:val="-7"/>
        </w:rPr>
        <w:t> 个月以上的相关病历记录证明被保险人存在经抗癫痫</w:t>
      </w:r>
      <w:r>
        <w:rPr>
          <w:spacing w:val="-7"/>
        </w:rPr>
        <w:t>药物治疗无效而反复发作的强直阵挛性发作或癫痫大发作，且已行神经外科</w:t>
      </w:r>
    </w:p>
    <w:p>
      <w:pPr>
        <w:spacing w:after="0" w:line="278" w:lineRule="auto"/>
        <w:jc w:val="both"/>
        <w:sectPr>
          <w:type w:val="continuous"/>
          <w:pgSz w:w="11910" w:h="16840"/>
          <w:pgMar w:header="566" w:footer="664" w:top="1340" w:bottom="860" w:left="900" w:right="720"/>
          <w:cols w:num="2" w:equalWidth="0">
            <w:col w:w="2710" w:space="94"/>
            <w:col w:w="7486"/>
          </w:cols>
        </w:sectPr>
      </w:pPr>
    </w:p>
    <w:p>
      <w:pPr>
        <w:pStyle w:val="BodyText"/>
        <w:spacing w:before="11"/>
        <w:rPr>
          <w:sz w:val="8"/>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7"/>
        <w:gridCol w:w="2007"/>
        <w:gridCol w:w="6837"/>
      </w:tblGrid>
      <w:tr>
        <w:trPr>
          <w:trHeight w:val="272" w:hRule="atLeast"/>
        </w:trPr>
        <w:tc>
          <w:tcPr>
            <w:tcW w:w="2854" w:type="dxa"/>
            <w:gridSpan w:val="2"/>
            <w:vMerge w:val="restart"/>
          </w:tcPr>
          <w:p>
            <w:pPr>
              <w:pStyle w:val="TableParagraph"/>
              <w:rPr>
                <w:rFonts w:ascii="Times New Roman"/>
                <w:sz w:val="20"/>
              </w:rPr>
            </w:pPr>
          </w:p>
        </w:tc>
        <w:tc>
          <w:tcPr>
            <w:tcW w:w="6837" w:type="dxa"/>
          </w:tcPr>
          <w:p>
            <w:pPr>
              <w:pStyle w:val="TableParagraph"/>
              <w:spacing w:line="241" w:lineRule="exact"/>
              <w:rPr>
                <w:sz w:val="21"/>
              </w:rPr>
            </w:pPr>
            <w:r>
              <w:rPr>
                <w:spacing w:val="-3"/>
                <w:sz w:val="21"/>
              </w:rPr>
              <w:t>手术以治疗反复发作的癫痫。</w:t>
            </w:r>
          </w:p>
        </w:tc>
      </w:tr>
      <w:tr>
        <w:trPr>
          <w:trHeight w:val="300" w:hRule="atLeast"/>
        </w:trPr>
        <w:tc>
          <w:tcPr>
            <w:tcW w:w="2854" w:type="dxa"/>
            <w:gridSpan w:val="2"/>
            <w:vMerge/>
            <w:tcBorders>
              <w:top w:val="nil"/>
            </w:tcBorders>
          </w:tcPr>
          <w:p>
            <w:pPr>
              <w:rPr>
                <w:sz w:val="2"/>
                <w:szCs w:val="2"/>
              </w:rPr>
            </w:pPr>
          </w:p>
        </w:tc>
        <w:tc>
          <w:tcPr>
            <w:tcW w:w="6837" w:type="dxa"/>
            <w:shd w:val="clear" w:color="auto" w:fill="D9D9D9"/>
          </w:tcPr>
          <w:p>
            <w:pPr>
              <w:pStyle w:val="TableParagraph"/>
              <w:spacing w:line="280" w:lineRule="exact"/>
              <w:rPr>
                <w:rFonts w:ascii="微软雅黑" w:eastAsia="微软雅黑"/>
                <w:b/>
                <w:sz w:val="22"/>
              </w:rPr>
            </w:pPr>
            <w:r>
              <w:rPr>
                <w:rFonts w:ascii="微软雅黑" w:eastAsia="微软雅黑"/>
                <w:b/>
                <w:spacing w:val="-2"/>
                <w:sz w:val="22"/>
              </w:rPr>
              <w:t>发热性惊厥以及没有全身性发作的失神发作（癫痫小发作）</w:t>
            </w:r>
            <w:r>
              <w:rPr>
                <w:rFonts w:ascii="微软雅黑" w:eastAsia="微软雅黑"/>
                <w:b/>
                <w:spacing w:val="-4"/>
                <w:sz w:val="22"/>
              </w:rPr>
              <w:t>不在保障范</w:t>
            </w:r>
          </w:p>
        </w:tc>
      </w:tr>
      <w:tr>
        <w:trPr>
          <w:trHeight w:val="300" w:hRule="atLeast"/>
        </w:trPr>
        <w:tc>
          <w:tcPr>
            <w:tcW w:w="2854" w:type="dxa"/>
            <w:gridSpan w:val="2"/>
            <w:vMerge/>
            <w:tcBorders>
              <w:top w:val="nil"/>
            </w:tcBorders>
          </w:tcPr>
          <w:p>
            <w:pPr>
              <w:rPr>
                <w:sz w:val="2"/>
                <w:szCs w:val="2"/>
              </w:rPr>
            </w:pPr>
          </w:p>
        </w:tc>
        <w:tc>
          <w:tcPr>
            <w:tcW w:w="6837" w:type="dxa"/>
          </w:tcPr>
          <w:p>
            <w:pPr>
              <w:pStyle w:val="TableParagraph"/>
              <w:spacing w:line="280" w:lineRule="exact"/>
              <w:rPr>
                <w:rFonts w:ascii="微软雅黑" w:eastAsia="微软雅黑"/>
                <w:b/>
                <w:sz w:val="22"/>
              </w:rPr>
            </w:pPr>
            <w:r>
              <w:rPr>
                <w:rFonts w:ascii="微软雅黑" w:eastAsia="微软雅黑"/>
                <w:b/>
                <w:spacing w:val="-4"/>
                <w:sz w:val="22"/>
              </w:rPr>
              <w:t>围内。</w:t>
            </w:r>
          </w:p>
        </w:tc>
      </w:tr>
      <w:tr>
        <w:trPr>
          <w:trHeight w:val="495" w:hRule="atLeast"/>
        </w:trPr>
        <w:tc>
          <w:tcPr>
            <w:tcW w:w="847" w:type="dxa"/>
          </w:tcPr>
          <w:p>
            <w:pPr>
              <w:pStyle w:val="TableParagraph"/>
              <w:spacing w:line="337" w:lineRule="exact" w:before="138"/>
              <w:ind w:left="50"/>
              <w:rPr>
                <w:rFonts w:ascii="微软雅黑"/>
                <w:b/>
                <w:sz w:val="21"/>
              </w:rPr>
            </w:pPr>
            <w:r>
              <w:rPr>
                <w:rFonts w:ascii="微软雅黑"/>
                <w:b/>
                <w:spacing w:val="-2"/>
                <w:sz w:val="21"/>
              </w:rPr>
              <w:t>8.1.84</w:t>
            </w:r>
          </w:p>
        </w:tc>
        <w:tc>
          <w:tcPr>
            <w:tcW w:w="2007" w:type="dxa"/>
          </w:tcPr>
          <w:p>
            <w:pPr>
              <w:pStyle w:val="TableParagraph"/>
              <w:spacing w:line="337" w:lineRule="exact" w:before="138"/>
              <w:ind w:left="160"/>
              <w:rPr>
                <w:rFonts w:ascii="微软雅黑" w:eastAsia="微软雅黑"/>
                <w:b/>
                <w:sz w:val="21"/>
              </w:rPr>
            </w:pPr>
            <w:r>
              <w:rPr>
                <w:rFonts w:ascii="微软雅黑" w:eastAsia="微软雅黑"/>
                <w:b/>
                <w:spacing w:val="-2"/>
                <w:sz w:val="21"/>
              </w:rPr>
              <w:t>严重出血性登革</w:t>
            </w:r>
          </w:p>
        </w:tc>
        <w:tc>
          <w:tcPr>
            <w:tcW w:w="6837" w:type="dxa"/>
          </w:tcPr>
          <w:p>
            <w:pPr>
              <w:pStyle w:val="TableParagraph"/>
              <w:rPr>
                <w:sz w:val="16"/>
              </w:rPr>
            </w:pPr>
          </w:p>
          <w:p>
            <w:pPr>
              <w:pStyle w:val="TableParagraph"/>
              <w:ind w:right="-15"/>
              <w:rPr>
                <w:sz w:val="21"/>
              </w:rPr>
            </w:pPr>
            <w:r>
              <w:rPr>
                <w:spacing w:val="-9"/>
                <w:sz w:val="21"/>
              </w:rPr>
              <w:t>是由登革热病毒引起的急性传染病，须经专科医生明确诊断，并须出现下列</w:t>
            </w:r>
          </w:p>
        </w:tc>
      </w:tr>
      <w:tr>
        <w:trPr>
          <w:trHeight w:val="312" w:hRule="atLeast"/>
        </w:trPr>
        <w:tc>
          <w:tcPr>
            <w:tcW w:w="847" w:type="dxa"/>
          </w:tcPr>
          <w:p>
            <w:pPr>
              <w:pStyle w:val="TableParagraph"/>
              <w:rPr>
                <w:rFonts w:ascii="Times New Roman"/>
                <w:sz w:val="20"/>
              </w:rPr>
            </w:pPr>
          </w:p>
        </w:tc>
        <w:tc>
          <w:tcPr>
            <w:tcW w:w="2007" w:type="dxa"/>
          </w:tcPr>
          <w:p>
            <w:pPr>
              <w:pStyle w:val="TableParagraph"/>
              <w:spacing w:line="292" w:lineRule="exact"/>
              <w:ind w:left="160"/>
              <w:rPr>
                <w:rFonts w:ascii="微软雅黑" w:eastAsia="微软雅黑"/>
                <w:b/>
                <w:sz w:val="21"/>
              </w:rPr>
            </w:pPr>
            <w:r>
              <w:rPr>
                <w:rFonts w:ascii="微软雅黑" w:eastAsia="微软雅黑"/>
                <w:b/>
                <w:w w:val="100"/>
                <w:sz w:val="21"/>
              </w:rPr>
              <w:t>热</w:t>
            </w:r>
          </w:p>
        </w:tc>
        <w:tc>
          <w:tcPr>
            <w:tcW w:w="6837" w:type="dxa"/>
          </w:tcPr>
          <w:p>
            <w:pPr>
              <w:pStyle w:val="TableParagraph"/>
              <w:spacing w:before="22"/>
              <w:rPr>
                <w:sz w:val="21"/>
              </w:rPr>
            </w:pPr>
            <w:r>
              <w:rPr>
                <w:spacing w:val="-3"/>
                <w:sz w:val="21"/>
              </w:rPr>
              <w:t>一种或多种严重登革热的临床表现：</w:t>
            </w:r>
          </w:p>
        </w:tc>
      </w:tr>
      <w:tr>
        <w:trPr>
          <w:trHeight w:val="311"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2"/>
                <w:sz w:val="21"/>
              </w:rPr>
              <w:t>（1）</w:t>
            </w:r>
            <w:r>
              <w:rPr>
                <w:spacing w:val="-3"/>
                <w:sz w:val="21"/>
              </w:rPr>
              <w:t>血浆渗漏致休克或胸腔积液伴呼吸困难；</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2"/>
                <w:sz w:val="21"/>
              </w:rPr>
              <w:t>（2）</w:t>
            </w:r>
            <w:r>
              <w:rPr>
                <w:spacing w:val="-3"/>
                <w:sz w:val="21"/>
              </w:rPr>
              <w:t>严重出血：消化道出血、阴道大出血、颅内出血、肉眼血尿或皮下血</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2"/>
                <w:sz w:val="21"/>
              </w:rPr>
              <w:t>肿（不包括皮下出血点</w:t>
            </w:r>
            <w:r>
              <w:rPr>
                <w:spacing w:val="-113"/>
                <w:sz w:val="21"/>
              </w:rPr>
              <w:t>）</w:t>
            </w:r>
            <w:r>
              <w:rPr>
                <w:spacing w:val="-5"/>
                <w:sz w:val="21"/>
              </w:rPr>
              <w:t>；</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6"/>
                <w:sz w:val="21"/>
              </w:rPr>
              <w:t>（3）严重器官损害或衰竭：肝脏损伤（ALT</w:t>
            </w:r>
            <w:r>
              <w:rPr>
                <w:spacing w:val="-4"/>
                <w:sz w:val="21"/>
              </w:rPr>
              <w:t> 或 </w:t>
            </w:r>
            <w:r>
              <w:rPr>
                <w:spacing w:val="3"/>
                <w:sz w:val="21"/>
              </w:rPr>
              <w:t>AS</w:t>
            </w:r>
            <w:r>
              <w:rPr>
                <w:sz w:val="21"/>
              </w:rPr>
              <w:t>T</w:t>
            </w:r>
            <w:r>
              <w:rPr>
                <w:spacing w:val="1"/>
                <w:sz w:val="21"/>
              </w:rPr>
              <w:t>＞</w:t>
            </w:r>
            <w:r>
              <w:rPr>
                <w:spacing w:val="3"/>
                <w:sz w:val="21"/>
              </w:rPr>
              <w:t>1000I</w:t>
            </w:r>
            <w:r>
              <w:rPr>
                <w:sz w:val="21"/>
              </w:rPr>
              <w:t>U</w:t>
            </w:r>
            <w:r>
              <w:rPr>
                <w:spacing w:val="3"/>
                <w:sz w:val="21"/>
              </w:rPr>
              <w:t>/</w:t>
            </w:r>
            <w:r>
              <w:rPr>
                <w:spacing w:val="2"/>
                <w:sz w:val="21"/>
              </w:rPr>
              <w:t>L</w:t>
            </w:r>
            <w:r>
              <w:rPr>
                <w:spacing w:val="-105"/>
                <w:sz w:val="21"/>
              </w:rPr>
              <w:t>）</w:t>
            </w:r>
            <w:r>
              <w:rPr>
                <w:spacing w:val="-6"/>
                <w:sz w:val="21"/>
              </w:rPr>
              <w:t>、ARDS（</w:t>
            </w:r>
            <w:r>
              <w:rPr>
                <w:spacing w:val="-10"/>
                <w:sz w:val="21"/>
              </w:rPr>
              <w:t>急</w:t>
            </w:r>
          </w:p>
        </w:tc>
      </w:tr>
      <w:tr>
        <w:trPr>
          <w:trHeight w:val="709"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line="252" w:lineRule="exact" w:before="22"/>
              <w:rPr>
                <w:sz w:val="21"/>
              </w:rPr>
            </w:pPr>
            <w:r>
              <w:rPr>
                <w:spacing w:val="-2"/>
                <w:sz w:val="21"/>
              </w:rPr>
              <w:t>性呼吸窘迫综合征</w:t>
            </w:r>
            <w:r>
              <w:rPr>
                <w:spacing w:val="-108"/>
                <w:sz w:val="21"/>
              </w:rPr>
              <w:t>）</w:t>
            </w:r>
            <w:r>
              <w:rPr>
                <w:spacing w:val="-3"/>
                <w:sz w:val="21"/>
              </w:rPr>
              <w:t>、急性心功能衰竭、急性肾功能衰竭、脑病。</w:t>
            </w:r>
          </w:p>
          <w:p>
            <w:pPr>
              <w:pStyle w:val="TableParagraph"/>
              <w:spacing w:line="388" w:lineRule="exact"/>
              <w:rPr>
                <w:rFonts w:ascii="微软雅黑" w:eastAsia="微软雅黑"/>
                <w:b/>
                <w:sz w:val="22"/>
              </w:rPr>
            </w:pPr>
            <w:r>
              <w:rPr>
                <w:rFonts w:ascii="微软雅黑" w:eastAsia="微软雅黑"/>
                <w:b/>
                <w:color w:val="000000"/>
                <w:spacing w:val="-1"/>
                <w:sz w:val="22"/>
                <w:shd w:fill="D9D9D9" w:color="auto" w:val="clear"/>
              </w:rPr>
              <w:t>非出血性登革热并不在保障范围内。</w:t>
            </w:r>
          </w:p>
        </w:tc>
      </w:tr>
      <w:tr>
        <w:trPr>
          <w:trHeight w:val="394" w:hRule="atLeast"/>
        </w:trPr>
        <w:tc>
          <w:tcPr>
            <w:tcW w:w="847" w:type="dxa"/>
          </w:tcPr>
          <w:p>
            <w:pPr>
              <w:pStyle w:val="TableParagraph"/>
              <w:spacing w:line="338" w:lineRule="exact" w:before="37"/>
              <w:ind w:left="50"/>
              <w:rPr>
                <w:rFonts w:ascii="微软雅黑"/>
                <w:b/>
                <w:sz w:val="21"/>
              </w:rPr>
            </w:pPr>
            <w:r>
              <w:rPr>
                <w:rFonts w:ascii="微软雅黑"/>
                <w:b/>
                <w:spacing w:val="-2"/>
                <w:sz w:val="21"/>
              </w:rPr>
              <w:t>8.1.85</w:t>
            </w:r>
          </w:p>
        </w:tc>
        <w:tc>
          <w:tcPr>
            <w:tcW w:w="2007" w:type="dxa"/>
          </w:tcPr>
          <w:p>
            <w:pPr>
              <w:pStyle w:val="TableParagraph"/>
              <w:spacing w:line="338" w:lineRule="exact" w:before="37"/>
              <w:ind w:left="160"/>
              <w:rPr>
                <w:rFonts w:ascii="微软雅黑" w:eastAsia="微软雅黑"/>
                <w:b/>
                <w:sz w:val="21"/>
              </w:rPr>
            </w:pPr>
            <w:r>
              <w:rPr>
                <w:rFonts w:ascii="微软雅黑" w:eastAsia="微软雅黑"/>
                <w:b/>
                <w:spacing w:val="-2"/>
                <w:sz w:val="21"/>
              </w:rPr>
              <w:t>神经白塞病</w:t>
            </w:r>
          </w:p>
        </w:tc>
        <w:tc>
          <w:tcPr>
            <w:tcW w:w="6837" w:type="dxa"/>
          </w:tcPr>
          <w:p>
            <w:pPr>
              <w:pStyle w:val="TableParagraph"/>
              <w:spacing w:before="104"/>
              <w:ind w:right="-15"/>
              <w:rPr>
                <w:sz w:val="21"/>
              </w:rPr>
            </w:pPr>
            <w:r>
              <w:rPr>
                <w:spacing w:val="-7"/>
                <w:sz w:val="21"/>
              </w:rPr>
              <w:t>白塞病是一种慢性全身性血管炎症性疾病，主要表现为复发性口腔溃疡、生</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ind w:right="-15"/>
              <w:rPr>
                <w:sz w:val="21"/>
              </w:rPr>
            </w:pPr>
            <w:r>
              <w:rPr>
                <w:spacing w:val="-7"/>
                <w:sz w:val="21"/>
              </w:rPr>
              <w:t>殖器溃疡、眼炎及皮肤损害，并可累及大血管、神经系统、消化道、肺、肾</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ind w:right="-15"/>
              <w:rPr>
                <w:sz w:val="21"/>
              </w:rPr>
            </w:pPr>
            <w:r>
              <w:rPr>
                <w:spacing w:val="-11"/>
                <w:sz w:val="21"/>
              </w:rPr>
              <w:t>等等。累及神经系统损害的白塞病称为神经白塞病。神经白塞病必须明确诊</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ind w:right="-15"/>
              <w:rPr>
                <w:sz w:val="21"/>
              </w:rPr>
            </w:pPr>
            <w:r>
              <w:rPr>
                <w:spacing w:val="-7"/>
                <w:sz w:val="21"/>
              </w:rPr>
              <w:t>断，并且已经造成永久不可逆的神经系统功能损害。永久不可逆的神经系统</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6"/>
                <w:sz w:val="21"/>
              </w:rPr>
              <w:t>损害指被保险人持续 </w:t>
            </w:r>
            <w:r>
              <w:rPr>
                <w:spacing w:val="-2"/>
                <w:sz w:val="21"/>
              </w:rPr>
              <w:t>180</w:t>
            </w:r>
            <w:r>
              <w:rPr>
                <w:spacing w:val="-10"/>
                <w:sz w:val="21"/>
              </w:rPr>
              <w:t> 天无法独立完成下列基本日常生活活动之一：</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2"/>
                <w:sz w:val="21"/>
              </w:rPr>
              <w:t>（1）</w:t>
            </w:r>
            <w:r>
              <w:rPr>
                <w:spacing w:val="-3"/>
                <w:sz w:val="21"/>
              </w:rPr>
              <w:t>移动：自己从一个房间到另一个房间；</w:t>
            </w:r>
          </w:p>
        </w:tc>
      </w:tr>
      <w:tr>
        <w:trPr>
          <w:trHeight w:val="397"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2"/>
                <w:sz w:val="21"/>
              </w:rPr>
              <w:t>（2）</w:t>
            </w:r>
            <w:r>
              <w:rPr>
                <w:spacing w:val="-3"/>
                <w:sz w:val="21"/>
              </w:rPr>
              <w:t>进食：自己从已准备好的碗或碟中取食物放入口中。</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8.1.86</w:t>
            </w:r>
          </w:p>
        </w:tc>
        <w:tc>
          <w:tcPr>
            <w:tcW w:w="2007" w:type="dxa"/>
          </w:tcPr>
          <w:p>
            <w:pPr>
              <w:pStyle w:val="TableParagraph"/>
              <w:spacing w:line="337" w:lineRule="exact" w:before="40"/>
              <w:ind w:left="160"/>
              <w:rPr>
                <w:rFonts w:ascii="微软雅黑" w:eastAsia="微软雅黑"/>
                <w:b/>
                <w:sz w:val="21"/>
              </w:rPr>
            </w:pPr>
            <w:r>
              <w:rPr>
                <w:rFonts w:ascii="微软雅黑" w:eastAsia="微软雅黑"/>
                <w:b/>
                <w:spacing w:val="-2"/>
                <w:sz w:val="21"/>
              </w:rPr>
              <w:t>艾森门格综合症</w:t>
            </w:r>
          </w:p>
        </w:tc>
        <w:tc>
          <w:tcPr>
            <w:tcW w:w="6837" w:type="dxa"/>
          </w:tcPr>
          <w:p>
            <w:pPr>
              <w:pStyle w:val="TableParagraph"/>
              <w:spacing w:before="107"/>
              <w:ind w:right="-15"/>
              <w:rPr>
                <w:sz w:val="21"/>
              </w:rPr>
            </w:pPr>
            <w:r>
              <w:rPr>
                <w:spacing w:val="-8"/>
                <w:sz w:val="21"/>
              </w:rPr>
              <w:t>指因心脏病导致的严重肺动脉高压及右向左分流。诊断必须由心脏科专科医</w:t>
            </w:r>
          </w:p>
        </w:tc>
      </w:tr>
      <w:tr>
        <w:trPr>
          <w:trHeight w:val="311"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3"/>
                <w:sz w:val="21"/>
              </w:rPr>
              <w:t>生经超声心动图和心导管检查证实及需符合以下所有标准：</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2"/>
                <w:sz w:val="21"/>
              </w:rPr>
              <w:t>（1）</w:t>
            </w:r>
            <w:r>
              <w:rPr>
                <w:spacing w:val="-7"/>
                <w:sz w:val="21"/>
              </w:rPr>
              <w:t>平均肺动脉压高于 </w:t>
            </w:r>
            <w:r>
              <w:rPr>
                <w:spacing w:val="-2"/>
                <w:sz w:val="21"/>
              </w:rPr>
              <w:t>40mmHg；</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2"/>
                <w:sz w:val="21"/>
              </w:rPr>
              <w:t>（2）</w:t>
            </w:r>
            <w:r>
              <w:rPr>
                <w:spacing w:val="-7"/>
                <w:sz w:val="21"/>
              </w:rPr>
              <w:t>肺血管阻力高于 </w:t>
            </w:r>
            <w:r>
              <w:rPr>
                <w:spacing w:val="-2"/>
                <w:sz w:val="21"/>
              </w:rPr>
              <w:t>3mm/L/min（Wood</w:t>
            </w:r>
            <w:r>
              <w:rPr>
                <w:spacing w:val="-16"/>
                <w:sz w:val="21"/>
              </w:rPr>
              <w:t> 单位</w:t>
            </w:r>
            <w:r>
              <w:rPr>
                <w:spacing w:val="-113"/>
                <w:sz w:val="21"/>
              </w:rPr>
              <w:t>）</w:t>
            </w:r>
            <w:r>
              <w:rPr>
                <w:spacing w:val="-5"/>
                <w:sz w:val="21"/>
              </w:rPr>
              <w:t>；</w:t>
            </w:r>
          </w:p>
        </w:tc>
      </w:tr>
      <w:tr>
        <w:trPr>
          <w:trHeight w:val="397"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2"/>
                <w:sz w:val="21"/>
              </w:rPr>
              <w:t>（3）</w:t>
            </w:r>
            <w:r>
              <w:rPr>
                <w:spacing w:val="-6"/>
                <w:sz w:val="21"/>
              </w:rPr>
              <w:t>正常肺微血管楔压低于 </w:t>
            </w:r>
            <w:r>
              <w:rPr>
                <w:spacing w:val="-2"/>
                <w:sz w:val="21"/>
              </w:rPr>
              <w:t>15mmHg</w:t>
            </w:r>
            <w:r>
              <w:rPr>
                <w:spacing w:val="-10"/>
                <w:sz w:val="21"/>
              </w:rPr>
              <w:t>。</w:t>
            </w:r>
          </w:p>
        </w:tc>
      </w:tr>
      <w:tr>
        <w:trPr>
          <w:trHeight w:val="397" w:hRule="atLeast"/>
        </w:trPr>
        <w:tc>
          <w:tcPr>
            <w:tcW w:w="847" w:type="dxa"/>
          </w:tcPr>
          <w:p>
            <w:pPr>
              <w:pStyle w:val="TableParagraph"/>
              <w:spacing w:line="337" w:lineRule="exact" w:before="40"/>
              <w:ind w:left="50"/>
              <w:rPr>
                <w:rFonts w:ascii="微软雅黑"/>
                <w:b/>
                <w:sz w:val="21"/>
              </w:rPr>
            </w:pPr>
            <w:r>
              <w:rPr>
                <w:rFonts w:ascii="微软雅黑"/>
                <w:b/>
                <w:spacing w:val="-2"/>
                <w:sz w:val="21"/>
              </w:rPr>
              <w:t>8.1.87</w:t>
            </w:r>
          </w:p>
        </w:tc>
        <w:tc>
          <w:tcPr>
            <w:tcW w:w="2007" w:type="dxa"/>
          </w:tcPr>
          <w:p>
            <w:pPr>
              <w:pStyle w:val="TableParagraph"/>
              <w:spacing w:line="337" w:lineRule="exact" w:before="40"/>
              <w:ind w:left="160"/>
              <w:rPr>
                <w:rFonts w:ascii="微软雅黑" w:eastAsia="微软雅黑"/>
                <w:b/>
                <w:sz w:val="21"/>
              </w:rPr>
            </w:pPr>
            <w:r>
              <w:rPr>
                <w:rFonts w:ascii="微软雅黑" w:eastAsia="微软雅黑"/>
                <w:b/>
                <w:spacing w:val="-2"/>
                <w:sz w:val="21"/>
              </w:rPr>
              <w:t>脊髓小脑变性症</w:t>
            </w:r>
          </w:p>
        </w:tc>
        <w:tc>
          <w:tcPr>
            <w:tcW w:w="6837" w:type="dxa"/>
          </w:tcPr>
          <w:p>
            <w:pPr>
              <w:pStyle w:val="TableParagraph"/>
              <w:spacing w:before="107"/>
              <w:rPr>
                <w:sz w:val="21"/>
              </w:rPr>
            </w:pPr>
            <w:r>
              <w:rPr>
                <w:spacing w:val="-3"/>
                <w:sz w:val="21"/>
              </w:rPr>
              <w:t>指一组以小脑萎缩和共济失调为主要临床特点的疾病。须满足下列全部条</w:t>
            </w:r>
          </w:p>
        </w:tc>
      </w:tr>
      <w:tr>
        <w:trPr>
          <w:trHeight w:val="312" w:hRule="atLeast"/>
        </w:trPr>
        <w:tc>
          <w:tcPr>
            <w:tcW w:w="847" w:type="dxa"/>
          </w:tcPr>
          <w:p>
            <w:pPr>
              <w:pStyle w:val="TableParagraph"/>
              <w:rPr>
                <w:rFonts w:ascii="Times New Roman"/>
                <w:sz w:val="20"/>
              </w:rPr>
            </w:pPr>
          </w:p>
        </w:tc>
        <w:tc>
          <w:tcPr>
            <w:tcW w:w="2007" w:type="dxa"/>
          </w:tcPr>
          <w:p>
            <w:pPr>
              <w:pStyle w:val="TableParagraph"/>
              <w:rPr>
                <w:rFonts w:ascii="Times New Roman"/>
                <w:sz w:val="20"/>
              </w:rPr>
            </w:pPr>
          </w:p>
        </w:tc>
        <w:tc>
          <w:tcPr>
            <w:tcW w:w="6837" w:type="dxa"/>
          </w:tcPr>
          <w:p>
            <w:pPr>
              <w:pStyle w:val="TableParagraph"/>
              <w:spacing w:before="22"/>
              <w:rPr>
                <w:sz w:val="21"/>
              </w:rPr>
            </w:pPr>
            <w:r>
              <w:rPr>
                <w:spacing w:val="-5"/>
                <w:sz w:val="21"/>
              </w:rPr>
              <w:t>件：</w:t>
            </w:r>
          </w:p>
        </w:tc>
      </w:tr>
      <w:tr>
        <w:trPr>
          <w:trHeight w:val="261" w:hRule="atLeast"/>
        </w:trPr>
        <w:tc>
          <w:tcPr>
            <w:tcW w:w="847" w:type="dxa"/>
          </w:tcPr>
          <w:p>
            <w:pPr>
              <w:pStyle w:val="TableParagraph"/>
              <w:rPr>
                <w:rFonts w:ascii="Times New Roman"/>
                <w:sz w:val="18"/>
              </w:rPr>
            </w:pPr>
          </w:p>
        </w:tc>
        <w:tc>
          <w:tcPr>
            <w:tcW w:w="2007" w:type="dxa"/>
          </w:tcPr>
          <w:p>
            <w:pPr>
              <w:pStyle w:val="TableParagraph"/>
              <w:rPr>
                <w:rFonts w:ascii="Times New Roman"/>
                <w:sz w:val="18"/>
              </w:rPr>
            </w:pPr>
          </w:p>
        </w:tc>
        <w:tc>
          <w:tcPr>
            <w:tcW w:w="6837" w:type="dxa"/>
          </w:tcPr>
          <w:p>
            <w:pPr>
              <w:pStyle w:val="TableParagraph"/>
              <w:spacing w:line="220" w:lineRule="exact" w:before="22"/>
              <w:rPr>
                <w:sz w:val="21"/>
              </w:rPr>
            </w:pPr>
            <w:r>
              <w:rPr>
                <w:spacing w:val="-2"/>
                <w:sz w:val="21"/>
              </w:rPr>
              <w:t>（1）</w:t>
            </w:r>
            <w:r>
              <w:rPr>
                <w:spacing w:val="-3"/>
                <w:sz w:val="21"/>
              </w:rPr>
              <w:t>脊髓小脑变性症必须由医院诊断，并有以下证据支持：</w:t>
            </w:r>
          </w:p>
        </w:tc>
      </w:tr>
    </w:tbl>
    <w:p>
      <w:pPr>
        <w:pStyle w:val="BodyText"/>
        <w:spacing w:before="79"/>
        <w:ind w:left="3212"/>
      </w:pPr>
      <w:r>
        <w:rPr>
          <w:spacing w:val="-6"/>
        </w:rPr>
        <w:t>① 影像学检查证实存在小脑萎缩；</w:t>
      </w:r>
    </w:p>
    <w:p>
      <w:pPr>
        <w:pStyle w:val="BodyText"/>
        <w:spacing w:before="43"/>
        <w:ind w:left="3212"/>
      </w:pPr>
      <w:r>
        <w:rPr>
          <w:spacing w:val="-3"/>
        </w:rPr>
        <w:t>② 临床表现存在共济失调、语言障碍和肌张力异常。</w:t>
      </w:r>
    </w:p>
    <w:p>
      <w:pPr>
        <w:pStyle w:val="BodyText"/>
        <w:spacing w:line="278" w:lineRule="auto" w:before="43"/>
        <w:ind w:left="3037" w:right="418"/>
      </w:pPr>
      <w:r>
        <w:rPr>
          <w:spacing w:val="-2"/>
        </w:rPr>
        <w:t>（2）被保险人运动功能严重障碍，自主生活能力完全丧失，无法独立完成</w:t>
      </w:r>
      <w:r>
        <w:rPr>
          <w:spacing w:val="-2"/>
        </w:rPr>
        <w:t>六项基本日常生活活动中的三项或三项以上。</w:t>
      </w:r>
    </w:p>
    <w:p>
      <w:pPr>
        <w:spacing w:after="0" w:line="278" w:lineRule="auto"/>
        <w:sectPr>
          <w:pgSz w:w="11910" w:h="16840"/>
          <w:pgMar w:header="566" w:footer="664" w:top="1340" w:bottom="860" w:left="900" w:right="720"/>
        </w:sectPr>
      </w:pPr>
    </w:p>
    <w:p>
      <w:pPr>
        <w:pStyle w:val="ListParagraph"/>
        <w:numPr>
          <w:ilvl w:val="2"/>
          <w:numId w:val="50"/>
        </w:numPr>
        <w:tabs>
          <w:tab w:pos="1190" w:val="left" w:leader="none"/>
          <w:tab w:pos="1191" w:val="left" w:leader="none"/>
        </w:tabs>
        <w:spacing w:line="350" w:lineRule="exact" w:before="103" w:after="0"/>
        <w:ind w:left="1190" w:right="0" w:hanging="959"/>
        <w:jc w:val="left"/>
        <w:rPr>
          <w:rFonts w:ascii="微软雅黑" w:eastAsia="微软雅黑"/>
          <w:b/>
          <w:sz w:val="21"/>
        </w:rPr>
      </w:pPr>
      <w:r>
        <w:rPr>
          <w:rFonts w:ascii="微软雅黑" w:eastAsia="微软雅黑"/>
          <w:b/>
          <w:spacing w:val="-2"/>
          <w:sz w:val="21"/>
        </w:rPr>
        <w:t>头臂动脉型多发</w:t>
      </w:r>
    </w:p>
    <w:p>
      <w:pPr>
        <w:spacing w:line="194" w:lineRule="auto" w:before="15"/>
        <w:ind w:left="1190" w:right="38" w:firstLine="0"/>
        <w:jc w:val="left"/>
        <w:rPr>
          <w:rFonts w:ascii="微软雅黑" w:eastAsia="微软雅黑"/>
          <w:b/>
          <w:sz w:val="21"/>
        </w:rPr>
      </w:pPr>
      <w:r>
        <w:rPr>
          <w:rFonts w:ascii="微软雅黑" w:eastAsia="微软雅黑"/>
          <w:b/>
          <w:spacing w:val="-2"/>
          <w:sz w:val="21"/>
        </w:rPr>
        <w:t>性大动脉炎开胸</w:t>
      </w:r>
      <w:r>
        <w:rPr>
          <w:rFonts w:ascii="微软雅黑" w:eastAsia="微软雅黑"/>
          <w:b/>
          <w:spacing w:val="-2"/>
          <w:sz w:val="21"/>
        </w:rPr>
        <w:t>旁路移植手术</w:t>
      </w:r>
    </w:p>
    <w:p>
      <w:pPr>
        <w:pStyle w:val="BodyText"/>
        <w:spacing w:line="278" w:lineRule="auto" w:before="170"/>
        <w:ind w:left="232" w:right="406"/>
      </w:pPr>
      <w:r>
        <w:rPr/>
        <w:br w:type="column"/>
      </w:r>
      <w:r>
        <w:rPr>
          <w:spacing w:val="-9"/>
        </w:rPr>
        <w:t>多发性大动脉炎</w:t>
      </w:r>
      <w:r>
        <w:rPr>
          <w:spacing w:val="-2"/>
        </w:rPr>
        <w:t>（高安氏动脉炎）是一种发生在主动脉和其主要分支的慢性</w:t>
      </w:r>
      <w:r>
        <w:rPr>
          <w:spacing w:val="-7"/>
        </w:rPr>
        <w:t>炎症性动脉疾病，表现为受累动脉狭窄或闭塞。头臂动脉型多发性大动脉炎</w:t>
      </w:r>
    </w:p>
    <w:p>
      <w:pPr>
        <w:pStyle w:val="BodyText"/>
        <w:spacing w:line="278" w:lineRule="auto"/>
        <w:ind w:left="232" w:right="406"/>
        <w:jc w:val="both"/>
      </w:pPr>
      <w:r>
        <w:rPr>
          <w:spacing w:val="-4"/>
        </w:rPr>
        <w:t>（主动脉综合征）可引起脑部及上肢缺血。被保险人被明确诊断为头臂动脉</w:t>
      </w:r>
      <w:r>
        <w:rPr>
          <w:spacing w:val="-2"/>
        </w:rPr>
        <w:t>型多发性大动脉炎并且实际接受了经胸部切开进行的无名动脉（头臂干</w:t>
      </w:r>
      <w:r>
        <w:rPr>
          <w:spacing w:val="-106"/>
        </w:rPr>
        <w:t>）</w:t>
      </w:r>
      <w:r>
        <w:rPr>
          <w:spacing w:val="-2"/>
        </w:rPr>
        <w:t>、</w:t>
      </w:r>
      <w:r>
        <w:rPr>
          <w:spacing w:val="-2"/>
        </w:rPr>
        <w:t>颈总动脉、锁骨下动脉旁路移植手术。</w:t>
      </w:r>
    </w:p>
    <w:p>
      <w:pPr>
        <w:pStyle w:val="Heading1"/>
        <w:spacing w:line="184" w:lineRule="auto"/>
        <w:ind w:left="232" w:right="412"/>
        <w:jc w:val="both"/>
      </w:pPr>
      <w:r>
        <w:rPr>
          <w:color w:val="000000"/>
          <w:spacing w:val="-2"/>
          <w:shd w:fill="D9D9D9" w:color="auto" w:val="clear"/>
        </w:rPr>
        <w:t>非开胸的血管旁路移植手术、因其他病因而进行的旁路移植手术，对其</w:t>
      </w:r>
      <w:r>
        <w:rPr>
          <w:color w:val="000000"/>
          <w:spacing w:val="-2"/>
          <w:shd w:fill="D9D9D9" w:color="auto" w:val="clear"/>
        </w:rPr>
        <w:t>他动脉进行的旁路移植手术，经皮经导管进行的血管内手术不在保障范</w:t>
      </w:r>
      <w:r>
        <w:rPr>
          <w:color w:val="000000"/>
          <w:spacing w:val="-4"/>
          <w:shd w:fill="D9D9D9" w:color="auto" w:val="clear"/>
        </w:rPr>
        <w:t>围内。</w:t>
      </w:r>
    </w:p>
    <w:p>
      <w:pPr>
        <w:spacing w:after="0" w:line="184" w:lineRule="auto"/>
        <w:jc w:val="both"/>
        <w:sectPr>
          <w:type w:val="continuous"/>
          <w:pgSz w:w="11910" w:h="16840"/>
          <w:pgMar w:header="566" w:footer="664" w:top="1340" w:bottom="860" w:left="900" w:right="720"/>
          <w:cols w:num="2" w:equalWidth="0">
            <w:col w:w="2710" w:space="94"/>
            <w:col w:w="7486"/>
          </w:cols>
        </w:sectPr>
      </w:pPr>
    </w:p>
    <w:p>
      <w:pPr>
        <w:pStyle w:val="ListParagraph"/>
        <w:numPr>
          <w:ilvl w:val="2"/>
          <w:numId w:val="50"/>
        </w:numPr>
        <w:tabs>
          <w:tab w:pos="957" w:val="left" w:leader="none"/>
          <w:tab w:pos="1191" w:val="left" w:leader="none"/>
        </w:tabs>
        <w:spacing w:line="350" w:lineRule="exact" w:before="102" w:after="0"/>
        <w:ind w:left="1190" w:right="38" w:hanging="1191"/>
        <w:jc w:val="right"/>
        <w:rPr>
          <w:rFonts w:ascii="微软雅黑" w:eastAsia="微软雅黑"/>
          <w:b/>
          <w:sz w:val="21"/>
        </w:rPr>
      </w:pPr>
      <w:r>
        <w:rPr/>
        <w:drawing>
          <wp:anchor distT="0" distB="0" distL="0" distR="0" allowOverlap="1" layoutInCell="1" locked="0" behindDoc="1" simplePos="0" relativeHeight="484209152">
            <wp:simplePos x="0" y="0"/>
            <wp:positionH relativeFrom="page">
              <wp:posOffset>2499995</wp:posOffset>
            </wp:positionH>
            <wp:positionV relativeFrom="page">
              <wp:posOffset>1304797</wp:posOffset>
            </wp:positionV>
            <wp:extent cx="424567" cy="184594"/>
            <wp:effectExtent l="0" t="0" r="0" b="0"/>
            <wp:wrapNone/>
            <wp:docPr id="67" name="image17.png"/>
            <wp:cNvGraphicFramePr>
              <a:graphicFrameLocks noChangeAspect="1"/>
            </wp:cNvGraphicFramePr>
            <a:graphic>
              <a:graphicData uri="http://schemas.openxmlformats.org/drawingml/2006/picture">
                <pic:pic>
                  <pic:nvPicPr>
                    <pic:cNvPr id="68" name="image17.png"/>
                    <pic:cNvPicPr/>
                  </pic:nvPicPr>
                  <pic:blipFill>
                    <a:blip r:embed="rId32" cstate="print"/>
                    <a:stretch>
                      <a:fillRect/>
                    </a:stretch>
                  </pic:blipFill>
                  <pic:spPr>
                    <a:xfrm>
                      <a:off x="0" y="0"/>
                      <a:ext cx="424567" cy="184594"/>
                    </a:xfrm>
                    <a:prstGeom prst="rect">
                      <a:avLst/>
                    </a:prstGeom>
                  </pic:spPr>
                </pic:pic>
              </a:graphicData>
            </a:graphic>
          </wp:anchor>
        </w:drawing>
      </w:r>
      <w:r>
        <w:rPr>
          <w:rFonts w:ascii="微软雅黑" w:eastAsia="微软雅黑"/>
          <w:b/>
          <w:spacing w:val="-2"/>
          <w:sz w:val="21"/>
        </w:rPr>
        <w:t>肠系膜上动脉梗</w:t>
      </w:r>
    </w:p>
    <w:p>
      <w:pPr>
        <w:spacing w:line="350" w:lineRule="exact" w:before="0"/>
        <w:ind w:left="0" w:right="38" w:firstLine="0"/>
        <w:jc w:val="right"/>
        <w:rPr>
          <w:rFonts w:ascii="微软雅黑" w:eastAsia="微软雅黑"/>
          <w:b/>
          <w:sz w:val="21"/>
        </w:rPr>
      </w:pPr>
      <w:r>
        <w:rPr>
          <w:rFonts w:ascii="微软雅黑" w:eastAsia="微软雅黑"/>
          <w:b/>
          <w:spacing w:val="-2"/>
          <w:sz w:val="21"/>
        </w:rPr>
        <w:t>塞致严重肠坏死</w:t>
      </w:r>
    </w:p>
    <w:p>
      <w:pPr>
        <w:pStyle w:val="BodyText"/>
        <w:spacing w:line="278" w:lineRule="auto" w:before="170"/>
        <w:ind w:left="232" w:right="406"/>
      </w:pPr>
      <w:r>
        <w:rPr/>
        <w:br w:type="column"/>
      </w:r>
      <w:r>
        <w:rPr>
          <w:spacing w:val="-6"/>
        </w:rPr>
        <w:t>因肠系膜上动脉栓塞或血栓形成引起广泛小肠缺血坏死，临床表现为突发剧</w:t>
      </w:r>
      <w:r>
        <w:rPr>
          <w:spacing w:val="-2"/>
        </w:rPr>
        <w:t>烈腹痛。被保险人实际接受了下列两项外科开腹手术治疗：</w:t>
      </w:r>
    </w:p>
    <w:p>
      <w:pPr>
        <w:pStyle w:val="ListParagraph"/>
        <w:numPr>
          <w:ilvl w:val="0"/>
          <w:numId w:val="51"/>
        </w:numPr>
        <w:tabs>
          <w:tab w:pos="762" w:val="left" w:leader="none"/>
        </w:tabs>
        <w:spacing w:line="269" w:lineRule="exact" w:before="0" w:after="0"/>
        <w:ind w:left="761" w:right="0" w:hanging="530"/>
        <w:jc w:val="left"/>
        <w:rPr>
          <w:sz w:val="21"/>
        </w:rPr>
      </w:pPr>
      <w:r>
        <w:rPr>
          <w:spacing w:val="-2"/>
          <w:sz w:val="21"/>
        </w:rPr>
        <w:t>肠系膜上动脉血栓摘除术（血栓内膜剥脱术）</w:t>
      </w:r>
      <w:r>
        <w:rPr>
          <w:spacing w:val="-4"/>
          <w:sz w:val="21"/>
        </w:rPr>
        <w:t>或搭桥手术；</w:t>
      </w:r>
    </w:p>
    <w:p>
      <w:pPr>
        <w:pStyle w:val="ListParagraph"/>
        <w:numPr>
          <w:ilvl w:val="0"/>
          <w:numId w:val="51"/>
        </w:numPr>
        <w:tabs>
          <w:tab w:pos="762" w:val="left" w:leader="none"/>
        </w:tabs>
        <w:spacing w:line="240" w:lineRule="auto" w:before="42" w:after="0"/>
        <w:ind w:left="761" w:right="0" w:hanging="530"/>
        <w:jc w:val="left"/>
        <w:rPr>
          <w:sz w:val="21"/>
        </w:rPr>
      </w:pPr>
      <w:r>
        <w:rPr>
          <w:spacing w:val="-4"/>
          <w:sz w:val="21"/>
        </w:rPr>
        <w:t>坏死肠管切除术。</w:t>
      </w:r>
    </w:p>
    <w:p>
      <w:pPr>
        <w:spacing w:after="0" w:line="240" w:lineRule="auto"/>
        <w:jc w:val="left"/>
        <w:rPr>
          <w:sz w:val="21"/>
        </w:rPr>
        <w:sectPr>
          <w:type w:val="continuous"/>
          <w:pgSz w:w="11910" w:h="16840"/>
          <w:pgMar w:header="566" w:footer="664" w:top="1340" w:bottom="860" w:left="900" w:right="720"/>
          <w:cols w:num="2" w:equalWidth="0">
            <w:col w:w="2710" w:space="94"/>
            <w:col w:w="7486"/>
          </w:cols>
        </w:sectPr>
      </w:pPr>
    </w:p>
    <w:p>
      <w:pPr>
        <w:pStyle w:val="BodyText"/>
        <w:spacing w:before="5"/>
        <w:rPr>
          <w:sz w:val="14"/>
        </w:rPr>
      </w:pPr>
    </w:p>
    <w:p>
      <w:pPr>
        <w:spacing w:after="0"/>
        <w:rPr>
          <w:sz w:val="14"/>
        </w:rPr>
        <w:sectPr>
          <w:pgSz w:w="11910" w:h="16840"/>
          <w:pgMar w:header="566" w:footer="664" w:top="1340" w:bottom="860" w:left="900" w:right="720"/>
        </w:sectPr>
      </w:pPr>
    </w:p>
    <w:p>
      <w:pPr>
        <w:pStyle w:val="ListParagraph"/>
        <w:numPr>
          <w:ilvl w:val="2"/>
          <w:numId w:val="50"/>
        </w:numPr>
        <w:tabs>
          <w:tab w:pos="1190" w:val="left" w:leader="none"/>
          <w:tab w:pos="1191" w:val="left" w:leader="none"/>
        </w:tabs>
        <w:spacing w:line="194" w:lineRule="auto" w:before="57" w:after="0"/>
        <w:ind w:left="1190" w:right="38" w:hanging="958"/>
        <w:jc w:val="left"/>
        <w:rPr>
          <w:rFonts w:ascii="微软雅黑" w:eastAsia="微软雅黑"/>
          <w:b/>
          <w:sz w:val="21"/>
        </w:rPr>
      </w:pPr>
      <w:r>
        <w:rPr>
          <w:rFonts w:ascii="微软雅黑" w:eastAsia="微软雅黑"/>
          <w:b/>
          <w:spacing w:val="-2"/>
          <w:sz w:val="21"/>
        </w:rPr>
        <w:t>横贯性脊髓炎后</w:t>
      </w:r>
      <w:r>
        <w:rPr>
          <w:rFonts w:ascii="微软雅黑" w:eastAsia="微软雅黑"/>
          <w:b/>
          <w:spacing w:val="-6"/>
          <w:sz w:val="21"/>
        </w:rPr>
        <w:t>遗症</w:t>
      </w:r>
    </w:p>
    <w:p>
      <w:pPr>
        <w:pStyle w:val="BodyText"/>
        <w:spacing w:line="278" w:lineRule="auto" w:before="71"/>
        <w:ind w:left="232" w:right="312"/>
      </w:pPr>
      <w:r>
        <w:rPr/>
        <w:br w:type="column"/>
      </w:r>
      <w:r>
        <w:rPr>
          <w:spacing w:val="-2"/>
        </w:rPr>
        <w:t>脊髓炎是一种炎症性脊髓疾病。横贯性脊髓炎是指炎症扩展横贯整个脊髓，</w:t>
      </w:r>
      <w:r>
        <w:rPr>
          <w:spacing w:val="-5"/>
        </w:rPr>
        <w:t>表现为运动障碍、感觉障碍和自主神经功能障碍。横贯性脊髓炎必须明确诊</w:t>
      </w:r>
      <w:r>
        <w:rPr>
          <w:spacing w:val="-2"/>
        </w:rPr>
        <w:t>断，并且已经造成永久不可逆的神经系统功能损害。永久不可逆的神经系统</w:t>
      </w:r>
      <w:r>
        <w:rPr>
          <w:spacing w:val="-3"/>
        </w:rPr>
        <w:t>损害指被保险人持续 </w:t>
      </w:r>
      <w:r>
        <w:rPr/>
        <w:t>180</w:t>
      </w:r>
      <w:r>
        <w:rPr>
          <w:spacing w:val="-5"/>
        </w:rPr>
        <w:t> 天无法独立完成下列基本日常生活活动之一：</w:t>
      </w:r>
    </w:p>
    <w:p>
      <w:pPr>
        <w:pStyle w:val="ListParagraph"/>
        <w:numPr>
          <w:ilvl w:val="0"/>
          <w:numId w:val="52"/>
        </w:numPr>
        <w:tabs>
          <w:tab w:pos="762" w:val="left" w:leader="none"/>
        </w:tabs>
        <w:spacing w:line="269" w:lineRule="exact" w:before="0" w:after="0"/>
        <w:ind w:left="761" w:right="0" w:hanging="530"/>
        <w:jc w:val="left"/>
        <w:rPr>
          <w:sz w:val="21"/>
        </w:rPr>
      </w:pPr>
      <w:r>
        <w:rPr>
          <w:spacing w:val="-3"/>
          <w:sz w:val="21"/>
        </w:rPr>
        <w:t>移动：自己从一个房间到另一个房间；</w:t>
      </w:r>
    </w:p>
    <w:p>
      <w:pPr>
        <w:pStyle w:val="ListParagraph"/>
        <w:numPr>
          <w:ilvl w:val="0"/>
          <w:numId w:val="52"/>
        </w:numPr>
        <w:tabs>
          <w:tab w:pos="762" w:val="left" w:leader="none"/>
        </w:tabs>
        <w:spacing w:line="240" w:lineRule="auto" w:before="43" w:after="0"/>
        <w:ind w:left="761" w:right="0" w:hanging="530"/>
        <w:jc w:val="left"/>
        <w:rPr>
          <w:sz w:val="21"/>
        </w:rPr>
      </w:pPr>
      <w:r>
        <w:rPr>
          <w:spacing w:val="-3"/>
          <w:sz w:val="21"/>
        </w:rPr>
        <w:t>进食：自己从已准备好的碗或碟中取食物放入口中。</w:t>
      </w:r>
    </w:p>
    <w:p>
      <w:pPr>
        <w:spacing w:after="0" w:line="240" w:lineRule="auto"/>
        <w:jc w:val="left"/>
        <w:rPr>
          <w:sz w:val="21"/>
        </w:rPr>
        <w:sectPr>
          <w:type w:val="continuous"/>
          <w:pgSz w:w="11910" w:h="16840"/>
          <w:pgMar w:header="566" w:footer="664" w:top="1340" w:bottom="860" w:left="900" w:right="720"/>
          <w:cols w:num="2" w:equalWidth="0">
            <w:col w:w="2710" w:space="94"/>
            <w:col w:w="7486"/>
          </w:cols>
        </w:sectPr>
      </w:pPr>
    </w:p>
    <w:p>
      <w:pPr>
        <w:pStyle w:val="BodyText"/>
        <w:spacing w:before="11"/>
        <w:rPr>
          <w:sz w:val="10"/>
        </w:rPr>
      </w:pPr>
    </w:p>
    <w:p>
      <w:pPr>
        <w:spacing w:after="0"/>
        <w:rPr>
          <w:sz w:val="10"/>
        </w:rPr>
        <w:sectPr>
          <w:type w:val="continuous"/>
          <w:pgSz w:w="11910" w:h="16840"/>
          <w:pgMar w:header="566" w:footer="664" w:top="1340" w:bottom="860" w:left="900" w:right="720"/>
        </w:sectPr>
      </w:pPr>
    </w:p>
    <w:p>
      <w:pPr>
        <w:pStyle w:val="ListParagraph"/>
        <w:numPr>
          <w:ilvl w:val="2"/>
          <w:numId w:val="50"/>
        </w:numPr>
        <w:tabs>
          <w:tab w:pos="1190" w:val="left" w:leader="none"/>
          <w:tab w:pos="1191" w:val="left" w:leader="none"/>
        </w:tabs>
        <w:spacing w:line="194" w:lineRule="auto" w:before="58" w:after="0"/>
        <w:ind w:left="1190" w:right="38" w:hanging="958"/>
        <w:jc w:val="left"/>
        <w:rPr>
          <w:rFonts w:ascii="微软雅黑" w:eastAsia="微软雅黑"/>
          <w:b/>
          <w:sz w:val="21"/>
        </w:rPr>
      </w:pPr>
      <w:r>
        <w:rPr>
          <w:rFonts w:ascii="微软雅黑" w:eastAsia="微软雅黑"/>
          <w:b/>
          <w:spacing w:val="-2"/>
          <w:sz w:val="21"/>
        </w:rPr>
        <w:t>亚急性硬化性全</w:t>
      </w:r>
      <w:r>
        <w:rPr>
          <w:rFonts w:ascii="微软雅黑" w:eastAsia="微软雅黑"/>
          <w:b/>
          <w:spacing w:val="-6"/>
          <w:sz w:val="21"/>
        </w:rPr>
        <w:t>脑炎</w:t>
      </w:r>
    </w:p>
    <w:p>
      <w:pPr>
        <w:pStyle w:val="BodyText"/>
        <w:spacing w:line="278" w:lineRule="auto" w:before="72"/>
        <w:ind w:left="232" w:right="406"/>
        <w:jc w:val="both"/>
      </w:pPr>
      <w:r>
        <w:rPr/>
        <w:br w:type="column"/>
      </w:r>
      <w:r>
        <w:rPr>
          <w:spacing w:val="-6"/>
        </w:rPr>
        <w:t>指麻疹或麻疹样病毒所致的一种中枢神经系统慢性感染。中枢神经系统呈现</w:t>
      </w:r>
      <w:r>
        <w:rPr>
          <w:spacing w:val="-6"/>
        </w:rPr>
        <w:t>灰质和白质破坏为特征的慢性和急性混合存在的炎症。必须满足下列全部条</w:t>
      </w:r>
      <w:r>
        <w:rPr>
          <w:spacing w:val="-6"/>
        </w:rPr>
        <w:t>件：</w:t>
      </w:r>
    </w:p>
    <w:p>
      <w:pPr>
        <w:pStyle w:val="ListParagraph"/>
        <w:numPr>
          <w:ilvl w:val="0"/>
          <w:numId w:val="53"/>
        </w:numPr>
        <w:tabs>
          <w:tab w:pos="762" w:val="left" w:leader="none"/>
        </w:tabs>
        <w:spacing w:line="278" w:lineRule="auto" w:before="0" w:after="0"/>
        <w:ind w:left="232" w:right="406" w:firstLine="0"/>
        <w:jc w:val="both"/>
        <w:rPr>
          <w:sz w:val="21"/>
        </w:rPr>
      </w:pPr>
      <w:r>
        <w:rPr>
          <w:spacing w:val="-4"/>
          <w:sz w:val="21"/>
        </w:rPr>
        <w:t>脑电图存在周期性复合波、脑脊液 r-球蛋白升高、脑脊液和血清中麻</w:t>
      </w:r>
      <w:r>
        <w:rPr>
          <w:spacing w:val="-2"/>
          <w:sz w:val="21"/>
        </w:rPr>
        <w:t>疹抗体滴定度升高；</w:t>
      </w:r>
    </w:p>
    <w:p>
      <w:pPr>
        <w:pStyle w:val="ListParagraph"/>
        <w:numPr>
          <w:ilvl w:val="0"/>
          <w:numId w:val="53"/>
        </w:numPr>
        <w:tabs>
          <w:tab w:pos="762" w:val="left" w:leader="none"/>
        </w:tabs>
        <w:spacing w:line="278" w:lineRule="auto" w:before="0" w:after="0"/>
        <w:ind w:left="232" w:right="418" w:firstLine="0"/>
        <w:jc w:val="left"/>
        <w:rPr>
          <w:sz w:val="21"/>
        </w:rPr>
      </w:pPr>
      <w:r>
        <w:rPr/>
        <w:pict>
          <v:shape style="position:absolute;margin-left:512.020020pt;margin-top:39.210007pt;width:22.1pt;height:14.4pt;mso-position-horizontal-relative:page;mso-position-vertical-relative:paragraph;z-index:15761920" type="#_x0000_t202" id="docshape58" filled="true" fillcolor="#d9d9d9" stroked="false">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5"/>
                      <w:sz w:val="22"/>
                    </w:rPr>
                    <w:t>但由</w:t>
                  </w:r>
                </w:p>
              </w:txbxContent>
            </v:textbox>
            <v:fill type="solid"/>
            <w10:wrap type="none"/>
          </v:shape>
        </w:pict>
      </w:r>
      <w:r>
        <w:rPr>
          <w:spacing w:val="-2"/>
          <w:sz w:val="21"/>
        </w:rPr>
        <w:t>被保险人出现运动障碍，自主生活能力完全丧失，无法独立完成六项</w:t>
      </w:r>
      <w:r>
        <w:rPr>
          <w:spacing w:val="-2"/>
          <w:sz w:val="21"/>
        </w:rPr>
        <w:t>基本日常生活活动中的三项或三项以上。</w:t>
      </w:r>
    </w:p>
    <w:p>
      <w:pPr>
        <w:spacing w:after="0" w:line="278" w:lineRule="auto"/>
        <w:jc w:val="left"/>
        <w:rPr>
          <w:sz w:val="21"/>
        </w:rPr>
        <w:sectPr>
          <w:type w:val="continuous"/>
          <w:pgSz w:w="11910" w:h="16840"/>
          <w:pgMar w:header="566" w:footer="664" w:top="1340" w:bottom="860" w:left="900" w:right="720"/>
          <w:cols w:num="2" w:equalWidth="0">
            <w:col w:w="2710" w:space="94"/>
            <w:col w:w="7486"/>
          </w:cols>
        </w:sectPr>
      </w:pPr>
    </w:p>
    <w:p>
      <w:pPr>
        <w:pStyle w:val="ListParagraph"/>
        <w:numPr>
          <w:ilvl w:val="2"/>
          <w:numId w:val="50"/>
        </w:numPr>
        <w:tabs>
          <w:tab w:pos="1190" w:val="left" w:leader="none"/>
          <w:tab w:pos="1191" w:val="left" w:leader="none"/>
        </w:tabs>
        <w:spacing w:line="350" w:lineRule="exact" w:before="103" w:after="0"/>
        <w:ind w:left="1190" w:right="0" w:hanging="959"/>
        <w:jc w:val="left"/>
        <w:rPr>
          <w:rFonts w:ascii="微软雅黑" w:eastAsia="微软雅黑"/>
          <w:b/>
          <w:sz w:val="21"/>
        </w:rPr>
      </w:pPr>
      <w:r>
        <w:rPr>
          <w:rFonts w:ascii="微软雅黑" w:eastAsia="微软雅黑"/>
          <w:b/>
          <w:spacing w:val="-2"/>
          <w:sz w:val="21"/>
        </w:rPr>
        <w:t>原发性脊柱侧弯</w:t>
      </w:r>
    </w:p>
    <w:p>
      <w:pPr>
        <w:spacing w:line="350" w:lineRule="exact" w:before="0"/>
        <w:ind w:left="1190" w:right="0" w:firstLine="0"/>
        <w:jc w:val="left"/>
        <w:rPr>
          <w:rFonts w:ascii="微软雅黑" w:eastAsia="微软雅黑"/>
          <w:b/>
          <w:sz w:val="21"/>
        </w:rPr>
      </w:pPr>
      <w:r>
        <w:rPr>
          <w:rFonts w:ascii="微软雅黑" w:eastAsia="微软雅黑"/>
          <w:b/>
          <w:spacing w:val="-3"/>
          <w:sz w:val="21"/>
        </w:rPr>
        <w:t>矫正手术</w:t>
      </w:r>
    </w:p>
    <w:p>
      <w:pPr>
        <w:pStyle w:val="BodyText"/>
        <w:spacing w:before="173"/>
        <w:ind w:left="232"/>
      </w:pPr>
      <w:r>
        <w:rPr/>
        <w:br w:type="column"/>
      </w:r>
      <w:r>
        <w:rPr>
          <w:spacing w:val="-3"/>
        </w:rPr>
        <w:t>指被保险人因原发性脊柱侧弯，实际实施了对该病的矫正外科手术。</w:t>
      </w:r>
    </w:p>
    <w:p>
      <w:pPr>
        <w:spacing w:after="0"/>
        <w:sectPr>
          <w:type w:val="continuous"/>
          <w:pgSz w:w="11910" w:h="16840"/>
          <w:pgMar w:header="566" w:footer="664" w:top="1340" w:bottom="860" w:left="900" w:right="720"/>
          <w:cols w:num="2" w:equalWidth="0">
            <w:col w:w="2710" w:space="94"/>
            <w:col w:w="7486"/>
          </w:cols>
        </w:sectPr>
      </w:pPr>
    </w:p>
    <w:p>
      <w:pPr>
        <w:pStyle w:val="BodyText"/>
        <w:ind w:left="3037"/>
        <w:rPr>
          <w:sz w:val="20"/>
        </w:rPr>
      </w:pPr>
      <w:r>
        <w:rPr>
          <w:sz w:val="20"/>
        </w:rPr>
        <w:pict>
          <v:shape style="width:165.65pt;height:14.4pt;mso-position-horizontal-relative:char;mso-position-vertical-relative:line" type="#_x0000_t202" id="docshape59"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3"/>
                      <w:sz w:val="22"/>
                    </w:rPr>
                    <w:t>进行的手术治疗不在保障范围内。</w:t>
                  </w:r>
                </w:p>
              </w:txbxContent>
            </v:textbox>
            <v:fill type="solid"/>
          </v:shape>
        </w:pict>
      </w:r>
      <w:r>
        <w:rPr>
          <w:sz w:val="20"/>
        </w:rPr>
      </w:r>
    </w:p>
    <w:p>
      <w:pPr>
        <w:pStyle w:val="BodyText"/>
        <w:spacing w:before="11"/>
        <w:rPr>
          <w:sz w:val="6"/>
        </w:rPr>
      </w:pPr>
    </w:p>
    <w:p>
      <w:pPr>
        <w:spacing w:after="0"/>
        <w:rPr>
          <w:sz w:val="6"/>
        </w:rPr>
        <w:sectPr>
          <w:type w:val="continuous"/>
          <w:pgSz w:w="11910" w:h="16840"/>
          <w:pgMar w:header="566" w:footer="664" w:top="1340" w:bottom="860" w:left="900" w:right="720"/>
        </w:sectPr>
      </w:pPr>
    </w:p>
    <w:p>
      <w:pPr>
        <w:pStyle w:val="ListParagraph"/>
        <w:numPr>
          <w:ilvl w:val="2"/>
          <w:numId w:val="50"/>
        </w:numPr>
        <w:tabs>
          <w:tab w:pos="1190" w:val="left" w:leader="none"/>
          <w:tab w:pos="1191" w:val="left" w:leader="none"/>
        </w:tabs>
        <w:spacing w:line="194" w:lineRule="auto" w:before="57" w:after="0"/>
        <w:ind w:left="1190" w:right="38" w:hanging="958"/>
        <w:jc w:val="left"/>
        <w:rPr>
          <w:rFonts w:ascii="微软雅黑" w:eastAsia="微软雅黑"/>
          <w:b/>
          <w:sz w:val="21"/>
        </w:rPr>
      </w:pPr>
      <w:r>
        <w:rPr/>
        <w:pict>
          <v:shape style="position:absolute;margin-left:196.850006pt;margin-top:-36.684895pt;width:331.25pt;height:14.4pt;mso-position-horizontal-relative:page;mso-position-vertical-relative:paragraph;z-index:15761408" type="#_x0000_t202" id="docshape60" filled="true" fillcolor="#d9d9d9"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1"/>
                      <w:sz w:val="22"/>
                    </w:rPr>
                    <w:t>于先天性脊柱侧弯以及其他疾病或意外伤害导致的继发性脊柱侧弯而</w:t>
                  </w:r>
                </w:p>
              </w:txbxContent>
            </v:textbox>
            <v:fill type="solid"/>
            <w10:wrap type="none"/>
          </v:shape>
        </w:pict>
      </w:r>
      <w:r>
        <w:rPr>
          <w:rFonts w:ascii="微软雅黑" w:eastAsia="微软雅黑"/>
          <w:b/>
          <w:spacing w:val="-2"/>
          <w:sz w:val="21"/>
        </w:rPr>
        <w:t>多处臂丛神经根</w:t>
      </w:r>
      <w:r>
        <w:rPr>
          <w:rFonts w:ascii="微软雅黑" w:eastAsia="微软雅黑"/>
          <w:b/>
          <w:spacing w:val="-4"/>
          <w:sz w:val="21"/>
        </w:rPr>
        <w:t>性撕脱</w:t>
      </w:r>
    </w:p>
    <w:p>
      <w:pPr>
        <w:pStyle w:val="BodyText"/>
        <w:spacing w:line="278" w:lineRule="auto" w:before="72"/>
        <w:ind w:left="232" w:right="406"/>
        <w:jc w:val="both"/>
      </w:pPr>
      <w:r>
        <w:rPr/>
        <w:br w:type="column"/>
      </w:r>
      <w:r>
        <w:rPr>
          <w:spacing w:val="-6"/>
        </w:rPr>
        <w:t>指由于疾病或意外伤害导致至少两根臂丛神经根性撕脱，所造成的手臂感觉</w:t>
      </w:r>
      <w:r>
        <w:rPr>
          <w:spacing w:val="-4"/>
        </w:rPr>
        <w:t>功能与运动功能完全永久性丧失。该病须由专科医生明确诊断，并且有电生</w:t>
      </w:r>
      <w:r>
        <w:rPr>
          <w:spacing w:val="-2"/>
        </w:rPr>
        <w:t>理检查结果证实。</w:t>
      </w:r>
    </w:p>
    <w:p>
      <w:pPr>
        <w:spacing w:after="0" w:line="278" w:lineRule="auto"/>
        <w:jc w:val="both"/>
        <w:sectPr>
          <w:type w:val="continuous"/>
          <w:pgSz w:w="11910" w:h="16840"/>
          <w:pgMar w:header="566" w:footer="664" w:top="1340" w:bottom="860" w:left="900" w:right="720"/>
          <w:cols w:num="2" w:equalWidth="0">
            <w:col w:w="2710" w:space="94"/>
            <w:col w:w="7486"/>
          </w:cols>
        </w:sectPr>
      </w:pPr>
    </w:p>
    <w:p>
      <w:pPr>
        <w:pStyle w:val="ListParagraph"/>
        <w:numPr>
          <w:ilvl w:val="2"/>
          <w:numId w:val="50"/>
        </w:numPr>
        <w:tabs>
          <w:tab w:pos="1190" w:val="left" w:leader="none"/>
          <w:tab w:pos="1191" w:val="left" w:leader="none"/>
        </w:tabs>
        <w:spacing w:line="350" w:lineRule="exact" w:before="103" w:after="0"/>
        <w:ind w:left="1190" w:right="0" w:hanging="959"/>
        <w:jc w:val="left"/>
        <w:rPr>
          <w:rFonts w:ascii="微软雅黑" w:eastAsia="微软雅黑"/>
          <w:b/>
          <w:sz w:val="21"/>
        </w:rPr>
      </w:pPr>
      <w:r>
        <w:rPr>
          <w:rFonts w:ascii="微软雅黑" w:eastAsia="微软雅黑"/>
          <w:b/>
          <w:spacing w:val="-2"/>
          <w:sz w:val="21"/>
        </w:rPr>
        <w:t>严重结核性脑膜</w:t>
      </w:r>
    </w:p>
    <w:p>
      <w:pPr>
        <w:spacing w:line="350" w:lineRule="exact" w:before="0"/>
        <w:ind w:left="1190" w:right="0" w:firstLine="0"/>
        <w:jc w:val="left"/>
        <w:rPr>
          <w:rFonts w:ascii="微软雅黑" w:eastAsia="微软雅黑"/>
          <w:b/>
          <w:sz w:val="21"/>
        </w:rPr>
      </w:pPr>
      <w:r>
        <w:rPr>
          <w:rFonts w:ascii="微软雅黑" w:eastAsia="微软雅黑"/>
          <w:b/>
          <w:w w:val="100"/>
          <w:sz w:val="21"/>
        </w:rPr>
        <w:t>炎</w:t>
      </w:r>
    </w:p>
    <w:p>
      <w:pPr>
        <w:pStyle w:val="BodyText"/>
        <w:spacing w:line="278" w:lineRule="auto" w:before="170"/>
        <w:ind w:left="232" w:right="406"/>
      </w:pPr>
      <w:r>
        <w:rPr/>
        <w:br w:type="column"/>
      </w:r>
      <w:r>
        <w:rPr>
          <w:spacing w:val="-6"/>
        </w:rPr>
        <w:t>指由结核杆菌引起的脑膜和脊膜的非化脓性炎症性疾病。需满足下列全部条</w:t>
      </w:r>
      <w:r>
        <w:rPr>
          <w:spacing w:val="-6"/>
        </w:rPr>
        <w:t>件：</w:t>
      </w:r>
    </w:p>
    <w:p>
      <w:pPr>
        <w:pStyle w:val="ListParagraph"/>
        <w:numPr>
          <w:ilvl w:val="0"/>
          <w:numId w:val="54"/>
        </w:numPr>
        <w:tabs>
          <w:tab w:pos="762" w:val="left" w:leader="none"/>
        </w:tabs>
        <w:spacing w:line="269" w:lineRule="exact" w:before="0" w:after="0"/>
        <w:ind w:left="761" w:right="0" w:hanging="530"/>
        <w:jc w:val="left"/>
        <w:rPr>
          <w:sz w:val="21"/>
        </w:rPr>
      </w:pPr>
      <w:r>
        <w:rPr>
          <w:spacing w:val="-3"/>
          <w:sz w:val="21"/>
        </w:rPr>
        <w:t>出现颅内压明显增高，表现头痛、呕吐和视乳头水肿；</w:t>
      </w:r>
    </w:p>
    <w:p>
      <w:pPr>
        <w:pStyle w:val="ListParagraph"/>
        <w:numPr>
          <w:ilvl w:val="0"/>
          <w:numId w:val="54"/>
        </w:numPr>
        <w:tabs>
          <w:tab w:pos="762" w:val="left" w:leader="none"/>
        </w:tabs>
        <w:spacing w:line="240" w:lineRule="auto" w:before="43" w:after="0"/>
        <w:ind w:left="761" w:right="0" w:hanging="530"/>
        <w:jc w:val="left"/>
        <w:rPr>
          <w:sz w:val="21"/>
        </w:rPr>
      </w:pPr>
      <w:r>
        <w:rPr>
          <w:spacing w:val="-3"/>
          <w:sz w:val="21"/>
        </w:rPr>
        <w:t>出现部分性、全身性癫痫发作或癫痫持续状态；</w:t>
      </w:r>
    </w:p>
    <w:p>
      <w:pPr>
        <w:pStyle w:val="ListParagraph"/>
        <w:numPr>
          <w:ilvl w:val="0"/>
          <w:numId w:val="54"/>
        </w:numPr>
        <w:tabs>
          <w:tab w:pos="762" w:val="left" w:leader="none"/>
        </w:tabs>
        <w:spacing w:line="240" w:lineRule="auto" w:before="43" w:after="0"/>
        <w:ind w:left="761" w:right="0" w:hanging="530"/>
        <w:jc w:val="left"/>
        <w:rPr>
          <w:sz w:val="21"/>
        </w:rPr>
      </w:pPr>
      <w:r>
        <w:rPr>
          <w:spacing w:val="-4"/>
          <w:sz w:val="21"/>
        </w:rPr>
        <w:t>昏睡或意识模糊；</w:t>
      </w:r>
    </w:p>
    <w:p>
      <w:pPr>
        <w:pStyle w:val="ListParagraph"/>
        <w:numPr>
          <w:ilvl w:val="0"/>
          <w:numId w:val="54"/>
        </w:numPr>
        <w:tabs>
          <w:tab w:pos="762" w:val="left" w:leader="none"/>
        </w:tabs>
        <w:spacing w:line="240" w:lineRule="auto" w:before="43" w:after="0"/>
        <w:ind w:left="761" w:right="0" w:hanging="530"/>
        <w:jc w:val="left"/>
        <w:rPr>
          <w:sz w:val="21"/>
        </w:rPr>
      </w:pPr>
      <w:r>
        <w:rPr>
          <w:spacing w:val="-3"/>
          <w:sz w:val="21"/>
        </w:rPr>
        <w:t>视力减退、复视和面神经麻痹。</w:t>
      </w:r>
    </w:p>
    <w:p>
      <w:pPr>
        <w:spacing w:after="0" w:line="240" w:lineRule="auto"/>
        <w:jc w:val="left"/>
        <w:rPr>
          <w:sz w:val="21"/>
        </w:rPr>
        <w:sectPr>
          <w:type w:val="continuous"/>
          <w:pgSz w:w="11910" w:h="16840"/>
          <w:pgMar w:header="566" w:footer="664" w:top="1340" w:bottom="860" w:left="900" w:right="720"/>
          <w:cols w:num="2" w:equalWidth="0">
            <w:col w:w="2710" w:space="94"/>
            <w:col w:w="7486"/>
          </w:cols>
        </w:sectPr>
      </w:pPr>
    </w:p>
    <w:p>
      <w:pPr>
        <w:pStyle w:val="BodyText"/>
        <w:spacing w:before="1"/>
        <w:rPr>
          <w:sz w:val="11"/>
        </w:rPr>
      </w:pPr>
    </w:p>
    <w:p>
      <w:pPr>
        <w:pStyle w:val="ListParagraph"/>
        <w:numPr>
          <w:ilvl w:val="2"/>
          <w:numId w:val="50"/>
        </w:numPr>
        <w:tabs>
          <w:tab w:pos="1191" w:val="left" w:leader="none"/>
          <w:tab w:pos="3036" w:val="left" w:leader="none"/>
        </w:tabs>
        <w:spacing w:line="312" w:lineRule="exact" w:before="32" w:after="0"/>
        <w:ind w:left="3037" w:right="406" w:hanging="2805"/>
        <w:jc w:val="both"/>
        <w:rPr>
          <w:sz w:val="21"/>
        </w:rPr>
      </w:pPr>
      <w:r>
        <w:rPr>
          <w:rFonts w:ascii="微软雅黑" w:eastAsia="微软雅黑"/>
          <w:b/>
          <w:spacing w:val="-2"/>
          <w:sz w:val="21"/>
        </w:rPr>
        <w:t>脊</w:t>
      </w:r>
      <w:r>
        <w:rPr>
          <w:rFonts w:ascii="微软雅黑" w:eastAsia="微软雅黑"/>
          <w:b/>
          <w:spacing w:val="-2"/>
          <w:sz w:val="21"/>
        </w:rPr>
        <w:t>髓</w:t>
      </w:r>
      <w:r>
        <w:rPr>
          <w:rFonts w:ascii="微软雅黑" w:eastAsia="微软雅黑"/>
          <w:b/>
          <w:spacing w:val="-2"/>
          <w:sz w:val="21"/>
        </w:rPr>
        <w:t>空</w:t>
      </w:r>
      <w:r>
        <w:rPr>
          <w:rFonts w:ascii="微软雅黑" w:eastAsia="微软雅黑"/>
          <w:b/>
          <w:spacing w:val="-2"/>
          <w:sz w:val="21"/>
        </w:rPr>
        <w:t>洞</w:t>
      </w:r>
      <w:r>
        <w:rPr>
          <w:rFonts w:ascii="微软雅黑" w:eastAsia="微软雅黑"/>
          <w:b/>
          <w:spacing w:val="-2"/>
          <w:sz w:val="21"/>
        </w:rPr>
        <w:t>症</w:t>
      </w:r>
      <w:r>
        <w:rPr>
          <w:rFonts w:ascii="微软雅黑" w:eastAsia="微软雅黑"/>
          <w:b/>
          <w:sz w:val="21"/>
        </w:rPr>
        <w:tab/>
      </w:r>
      <w:r>
        <w:rPr>
          <w:spacing w:val="-2"/>
          <w:sz w:val="21"/>
        </w:rPr>
        <w:t>脊</w:t>
      </w:r>
      <w:r>
        <w:rPr>
          <w:spacing w:val="-2"/>
          <w:sz w:val="21"/>
        </w:rPr>
        <w:t>髓</w:t>
      </w:r>
      <w:r>
        <w:rPr>
          <w:spacing w:val="-2"/>
          <w:sz w:val="21"/>
        </w:rPr>
        <w:t>空洞症为慢性进行性</w:t>
      </w:r>
      <w:r>
        <w:rPr>
          <w:spacing w:val="-2"/>
          <w:sz w:val="21"/>
        </w:rPr>
        <w:t>的</w:t>
      </w:r>
      <w:r>
        <w:rPr>
          <w:spacing w:val="-2"/>
          <w:sz w:val="21"/>
        </w:rPr>
        <w:t>脊</w:t>
      </w:r>
      <w:r>
        <w:rPr>
          <w:spacing w:val="-2"/>
          <w:sz w:val="21"/>
        </w:rPr>
        <w:t>髓变性疾病，其特征</w:t>
      </w:r>
      <w:r>
        <w:rPr>
          <w:spacing w:val="-2"/>
          <w:sz w:val="21"/>
        </w:rPr>
        <w:t>为</w:t>
      </w:r>
      <w:r>
        <w:rPr>
          <w:spacing w:val="-2"/>
          <w:sz w:val="21"/>
        </w:rPr>
        <w:t>脊</w:t>
      </w:r>
      <w:r>
        <w:rPr>
          <w:spacing w:val="-2"/>
          <w:sz w:val="21"/>
        </w:rPr>
        <w:t>髓内空洞形成</w:t>
      </w:r>
      <w:r>
        <w:rPr>
          <w:spacing w:val="-51"/>
          <w:sz w:val="21"/>
        </w:rPr>
        <w:t>。</w:t>
      </w:r>
      <w:r>
        <w:rPr>
          <w:spacing w:val="-2"/>
          <w:sz w:val="21"/>
        </w:rPr>
        <w:t>表</w:t>
      </w:r>
      <w:r>
        <w:rPr>
          <w:spacing w:val="-2"/>
          <w:sz w:val="21"/>
        </w:rPr>
        <w:t>现</w:t>
      </w:r>
      <w:r>
        <w:rPr>
          <w:spacing w:val="-4"/>
          <w:sz w:val="21"/>
        </w:rPr>
        <w:t>为</w:t>
      </w:r>
      <w:r>
        <w:rPr>
          <w:spacing w:val="-4"/>
          <w:sz w:val="21"/>
        </w:rPr>
        <w:t>感</w:t>
      </w:r>
      <w:r>
        <w:rPr>
          <w:spacing w:val="-4"/>
          <w:sz w:val="21"/>
        </w:rPr>
        <w:t>觉异常、肌萎缩及神</w:t>
      </w:r>
      <w:r>
        <w:rPr>
          <w:spacing w:val="-4"/>
          <w:sz w:val="21"/>
        </w:rPr>
        <w:t>经</w:t>
      </w:r>
      <w:r>
        <w:rPr>
          <w:spacing w:val="-4"/>
          <w:sz w:val="21"/>
        </w:rPr>
        <w:t>营</w:t>
      </w:r>
      <w:r>
        <w:rPr>
          <w:spacing w:val="-4"/>
          <w:sz w:val="21"/>
        </w:rPr>
        <w:t>养障碍。脊髓空洞症</w:t>
      </w:r>
      <w:r>
        <w:rPr>
          <w:spacing w:val="-4"/>
          <w:sz w:val="21"/>
        </w:rPr>
        <w:t>累</w:t>
      </w:r>
      <w:r>
        <w:rPr>
          <w:spacing w:val="-4"/>
          <w:sz w:val="21"/>
        </w:rPr>
        <w:t>及</w:t>
      </w:r>
      <w:r>
        <w:rPr>
          <w:spacing w:val="-4"/>
          <w:sz w:val="21"/>
        </w:rPr>
        <w:t>延髓的称为延髓</w:t>
      </w:r>
      <w:r>
        <w:rPr>
          <w:spacing w:val="-4"/>
          <w:sz w:val="21"/>
        </w:rPr>
        <w:t>空</w:t>
      </w:r>
      <w:r>
        <w:rPr>
          <w:spacing w:val="-4"/>
          <w:sz w:val="21"/>
        </w:rPr>
        <w:t>洞</w:t>
      </w:r>
      <w:r>
        <w:rPr>
          <w:spacing w:val="-2"/>
          <w:sz w:val="21"/>
        </w:rPr>
        <w:t>症，表现为延髓</w:t>
      </w:r>
      <w:r>
        <w:rPr>
          <w:spacing w:val="-2"/>
          <w:sz w:val="21"/>
        </w:rPr>
        <w:t>麻</w:t>
      </w:r>
      <w:r>
        <w:rPr>
          <w:spacing w:val="-2"/>
          <w:sz w:val="21"/>
        </w:rPr>
        <w:t>痹</w:t>
      </w:r>
      <w:r>
        <w:rPr>
          <w:spacing w:val="-51"/>
          <w:sz w:val="21"/>
        </w:rPr>
        <w:t>。</w:t>
      </w:r>
      <w:r>
        <w:rPr>
          <w:spacing w:val="-2"/>
          <w:sz w:val="21"/>
        </w:rPr>
        <w:t>脊髓</w:t>
      </w:r>
      <w:r>
        <w:rPr>
          <w:spacing w:val="-2"/>
          <w:sz w:val="21"/>
        </w:rPr>
        <w:t>空</w:t>
      </w:r>
      <w:r>
        <w:rPr>
          <w:spacing w:val="-2"/>
          <w:sz w:val="21"/>
        </w:rPr>
        <w:t>洞</w:t>
      </w:r>
      <w:r>
        <w:rPr>
          <w:spacing w:val="-2"/>
          <w:sz w:val="21"/>
        </w:rPr>
        <w:t>症必须明确诊断并且</w:t>
      </w:r>
      <w:r>
        <w:rPr>
          <w:spacing w:val="-2"/>
          <w:sz w:val="21"/>
        </w:rPr>
        <w:t>造</w:t>
      </w:r>
      <w:r>
        <w:rPr>
          <w:spacing w:val="-2"/>
          <w:sz w:val="21"/>
        </w:rPr>
        <w:t>成</w:t>
      </w:r>
      <w:r>
        <w:rPr>
          <w:spacing w:val="-2"/>
          <w:sz w:val="21"/>
        </w:rPr>
        <w:t>永久不可逆的神经</w:t>
      </w:r>
      <w:r>
        <w:rPr>
          <w:spacing w:val="-2"/>
          <w:sz w:val="21"/>
        </w:rPr>
        <w:t>系</w:t>
      </w:r>
      <w:r>
        <w:rPr>
          <w:spacing w:val="-2"/>
          <w:sz w:val="21"/>
        </w:rPr>
        <w:t>统</w:t>
      </w:r>
      <w:r>
        <w:rPr>
          <w:spacing w:val="-2"/>
          <w:sz w:val="21"/>
        </w:rPr>
        <w:t>功能障碍</w:t>
      </w:r>
      <w:r>
        <w:rPr>
          <w:spacing w:val="-94"/>
          <w:sz w:val="21"/>
        </w:rPr>
        <w:t>，</w:t>
      </w:r>
      <w:r>
        <w:rPr>
          <w:spacing w:val="-2"/>
          <w:sz w:val="21"/>
        </w:rPr>
        <w:t>存在持续至少</w:t>
      </w:r>
      <w:r>
        <w:rPr>
          <w:spacing w:val="-25"/>
          <w:sz w:val="21"/>
        </w:rPr>
        <w:t> </w:t>
      </w:r>
      <w:r>
        <w:rPr>
          <w:spacing w:val="-2"/>
          <w:sz w:val="21"/>
        </w:rPr>
        <w:t>180</w:t>
      </w:r>
      <w:r>
        <w:rPr>
          <w:spacing w:val="-24"/>
          <w:sz w:val="21"/>
        </w:rPr>
        <w:t> </w:t>
      </w:r>
      <w:r>
        <w:rPr>
          <w:spacing w:val="-2"/>
          <w:sz w:val="21"/>
        </w:rPr>
        <w:t>天以上的神经系统</w:t>
      </w:r>
      <w:r>
        <w:rPr>
          <w:spacing w:val="-2"/>
          <w:sz w:val="21"/>
        </w:rPr>
        <w:t>功</w:t>
      </w:r>
      <w:r>
        <w:rPr>
          <w:spacing w:val="-2"/>
          <w:sz w:val="21"/>
        </w:rPr>
        <w:t>能</w:t>
      </w:r>
      <w:r>
        <w:rPr>
          <w:spacing w:val="-2"/>
          <w:sz w:val="21"/>
        </w:rPr>
        <w:t>缺失并满足下列条</w:t>
      </w:r>
      <w:r>
        <w:rPr>
          <w:spacing w:val="-4"/>
          <w:sz w:val="21"/>
        </w:rPr>
        <w:t>件</w:t>
      </w:r>
      <w:r>
        <w:rPr>
          <w:spacing w:val="-4"/>
          <w:sz w:val="21"/>
        </w:rPr>
        <w:t>之</w:t>
      </w:r>
      <w:r>
        <w:rPr>
          <w:spacing w:val="-4"/>
          <w:sz w:val="21"/>
        </w:rPr>
        <w:t>一：</w:t>
      </w:r>
    </w:p>
    <w:p>
      <w:pPr>
        <w:pStyle w:val="ListParagraph"/>
        <w:numPr>
          <w:ilvl w:val="3"/>
          <w:numId w:val="50"/>
        </w:numPr>
        <w:tabs>
          <w:tab w:pos="3566" w:val="left" w:leader="none"/>
        </w:tabs>
        <w:spacing w:line="240" w:lineRule="auto" w:before="39" w:after="0"/>
        <w:ind w:left="3566" w:right="0" w:hanging="529"/>
        <w:jc w:val="left"/>
        <w:rPr>
          <w:sz w:val="21"/>
        </w:rPr>
      </w:pPr>
      <w:r>
        <w:rPr>
          <w:spacing w:val="-3"/>
          <w:sz w:val="21"/>
        </w:rPr>
        <w:t>延髓麻痹存在显著舌肌萎缩、构音困难和吞咽困难；</w:t>
      </w:r>
    </w:p>
    <w:p>
      <w:pPr>
        <w:pStyle w:val="ListParagraph"/>
        <w:numPr>
          <w:ilvl w:val="3"/>
          <w:numId w:val="50"/>
        </w:numPr>
        <w:tabs>
          <w:tab w:pos="3566" w:val="left" w:leader="none"/>
        </w:tabs>
        <w:spacing w:line="240" w:lineRule="auto" w:before="43" w:after="0"/>
        <w:ind w:left="3566" w:right="0" w:hanging="529"/>
        <w:jc w:val="left"/>
        <w:rPr>
          <w:sz w:val="21"/>
        </w:rPr>
      </w:pPr>
      <w:r>
        <w:rPr>
          <w:spacing w:val="-6"/>
          <w:sz w:val="21"/>
        </w:rPr>
        <w:t>双手萎缩呈“爪形手”，肌力 </w:t>
      </w:r>
      <w:r>
        <w:rPr>
          <w:spacing w:val="-2"/>
          <w:sz w:val="21"/>
        </w:rPr>
        <w:t>2</w:t>
      </w:r>
      <w:r>
        <w:rPr>
          <w:spacing w:val="-12"/>
          <w:sz w:val="21"/>
        </w:rPr>
        <w:t> 级或以下。</w:t>
      </w:r>
    </w:p>
    <w:p>
      <w:pPr>
        <w:pStyle w:val="BodyText"/>
        <w:spacing w:before="1"/>
        <w:rPr>
          <w:sz w:val="11"/>
        </w:rPr>
      </w:pPr>
    </w:p>
    <w:p>
      <w:pPr>
        <w:spacing w:after="0"/>
        <w:rPr>
          <w:sz w:val="11"/>
        </w:rPr>
        <w:sectPr>
          <w:type w:val="continuous"/>
          <w:pgSz w:w="11910" w:h="16840"/>
          <w:pgMar w:header="566" w:footer="664" w:top="1340" w:bottom="860" w:left="900" w:right="720"/>
        </w:sectPr>
      </w:pPr>
    </w:p>
    <w:p>
      <w:pPr>
        <w:pStyle w:val="ListParagraph"/>
        <w:numPr>
          <w:ilvl w:val="2"/>
          <w:numId w:val="50"/>
        </w:numPr>
        <w:tabs>
          <w:tab w:pos="1190" w:val="left" w:leader="none"/>
          <w:tab w:pos="1191" w:val="left" w:leader="none"/>
        </w:tabs>
        <w:spacing w:line="194" w:lineRule="auto" w:before="57" w:after="0"/>
        <w:ind w:left="1190" w:right="38" w:hanging="958"/>
        <w:jc w:val="left"/>
        <w:rPr>
          <w:rFonts w:ascii="微软雅黑" w:eastAsia="微软雅黑"/>
          <w:b/>
          <w:sz w:val="21"/>
        </w:rPr>
      </w:pPr>
      <w:r>
        <w:rPr>
          <w:rFonts w:ascii="微软雅黑" w:eastAsia="微软雅黑"/>
          <w:b/>
          <w:spacing w:val="-2"/>
          <w:sz w:val="21"/>
        </w:rPr>
        <w:t>严重慢性复发性</w:t>
      </w:r>
      <w:r>
        <w:rPr>
          <w:rFonts w:ascii="微软雅黑" w:eastAsia="微软雅黑"/>
          <w:b/>
          <w:spacing w:val="-4"/>
          <w:sz w:val="21"/>
        </w:rPr>
        <w:t>胰腺炎</w:t>
      </w:r>
    </w:p>
    <w:p>
      <w:pPr>
        <w:pStyle w:val="BodyText"/>
        <w:spacing w:line="278" w:lineRule="auto" w:before="72"/>
        <w:ind w:left="232" w:right="406"/>
        <w:jc w:val="both"/>
      </w:pPr>
      <w:r>
        <w:rPr/>
        <w:br w:type="column"/>
      </w:r>
      <w:r>
        <w:rPr>
          <w:spacing w:val="-4"/>
        </w:rPr>
        <w:t>指慢性反复发作的胰腺炎症导致胰腺的广泛纤维化、坏死、弥漫性钙化及假</w:t>
      </w:r>
      <w:r>
        <w:rPr>
          <w:spacing w:val="-4"/>
        </w:rPr>
        <w:t>性囊肿形成，造成胰腺功能障碍出现严重糖尿病和营养不良。必须满足下列</w:t>
      </w:r>
      <w:r>
        <w:rPr>
          <w:spacing w:val="-2"/>
        </w:rPr>
        <w:t>所有条件：</w:t>
      </w:r>
    </w:p>
    <w:p>
      <w:pPr>
        <w:pStyle w:val="ListParagraph"/>
        <w:numPr>
          <w:ilvl w:val="0"/>
          <w:numId w:val="55"/>
        </w:numPr>
        <w:tabs>
          <w:tab w:pos="762" w:val="left" w:leader="none"/>
        </w:tabs>
        <w:spacing w:line="240" w:lineRule="auto" w:before="0" w:after="0"/>
        <w:ind w:left="761" w:right="0" w:hanging="530"/>
        <w:jc w:val="left"/>
        <w:rPr>
          <w:sz w:val="21"/>
        </w:rPr>
      </w:pPr>
      <w:r>
        <w:rPr>
          <w:spacing w:val="-3"/>
          <w:sz w:val="21"/>
        </w:rPr>
        <w:t>医疗记录证实存在慢性胰腺炎反复急性发作病史；</w:t>
      </w:r>
    </w:p>
    <w:p>
      <w:pPr>
        <w:pStyle w:val="ListParagraph"/>
        <w:numPr>
          <w:ilvl w:val="0"/>
          <w:numId w:val="55"/>
        </w:numPr>
        <w:tabs>
          <w:tab w:pos="760" w:val="left" w:leader="none"/>
        </w:tabs>
        <w:spacing w:line="278" w:lineRule="auto" w:before="43" w:after="0"/>
        <w:ind w:left="232" w:right="409" w:firstLine="0"/>
        <w:jc w:val="left"/>
        <w:rPr>
          <w:sz w:val="21"/>
        </w:rPr>
      </w:pPr>
      <w:r>
        <w:rPr>
          <w:spacing w:val="-2"/>
          <w:sz w:val="21"/>
        </w:rPr>
        <w:t>CT</w:t>
      </w:r>
      <w:r>
        <w:rPr>
          <w:spacing w:val="-10"/>
          <w:sz w:val="21"/>
        </w:rPr>
        <w:t> 显示胰腺广泛钙化或逆行胰胆管造影</w:t>
      </w:r>
      <w:r>
        <w:rPr>
          <w:spacing w:val="-2"/>
          <w:sz w:val="21"/>
        </w:rPr>
        <w:t>（ERCP）显示胰管扭曲、扩张</w:t>
      </w:r>
      <w:r>
        <w:rPr>
          <w:spacing w:val="-4"/>
          <w:sz w:val="21"/>
        </w:rPr>
        <w:t>和狭窄；</w:t>
      </w:r>
    </w:p>
    <w:p>
      <w:pPr>
        <w:pStyle w:val="ListParagraph"/>
        <w:numPr>
          <w:ilvl w:val="0"/>
          <w:numId w:val="55"/>
        </w:numPr>
        <w:tabs>
          <w:tab w:pos="762" w:val="left" w:leader="none"/>
        </w:tabs>
        <w:spacing w:line="251" w:lineRule="exact" w:before="0" w:after="0"/>
        <w:ind w:left="761" w:right="0" w:hanging="530"/>
        <w:jc w:val="left"/>
        <w:rPr>
          <w:sz w:val="21"/>
        </w:rPr>
      </w:pPr>
      <w:r>
        <w:rPr>
          <w:spacing w:val="-5"/>
          <w:sz w:val="21"/>
        </w:rPr>
        <w:t>持续接受胰岛素替代治疗和酶替代治疗 </w:t>
      </w:r>
      <w:r>
        <w:rPr>
          <w:spacing w:val="-2"/>
          <w:sz w:val="21"/>
        </w:rPr>
        <w:t>180</w:t>
      </w:r>
      <w:r>
        <w:rPr>
          <w:spacing w:val="-14"/>
          <w:sz w:val="21"/>
        </w:rPr>
        <w:t> 天以上。</w:t>
      </w:r>
    </w:p>
    <w:p>
      <w:pPr>
        <w:pStyle w:val="Heading1"/>
        <w:spacing w:line="388" w:lineRule="exact"/>
        <w:ind w:left="232"/>
      </w:pPr>
      <w:r>
        <w:rPr>
          <w:color w:val="000000"/>
          <w:spacing w:val="-1"/>
          <w:shd w:fill="D9D9D9" w:color="auto" w:val="clear"/>
        </w:rPr>
        <w:t>酒精导致的慢性复发性胰腺炎不在保障范围内。</w:t>
      </w:r>
    </w:p>
    <w:p>
      <w:pPr>
        <w:spacing w:after="0" w:line="388" w:lineRule="exact"/>
        <w:sectPr>
          <w:type w:val="continuous"/>
          <w:pgSz w:w="11910" w:h="16840"/>
          <w:pgMar w:header="566" w:footer="664" w:top="1340" w:bottom="860" w:left="900" w:right="720"/>
          <w:cols w:num="2" w:equalWidth="0">
            <w:col w:w="2710" w:space="94"/>
            <w:col w:w="7486"/>
          </w:cols>
        </w:sectPr>
      </w:pPr>
    </w:p>
    <w:p>
      <w:pPr>
        <w:pStyle w:val="ListParagraph"/>
        <w:numPr>
          <w:ilvl w:val="2"/>
          <w:numId w:val="50"/>
        </w:numPr>
        <w:tabs>
          <w:tab w:pos="1190" w:val="left" w:leader="none"/>
          <w:tab w:pos="1191" w:val="left" w:leader="none"/>
          <w:tab w:pos="3036" w:val="left" w:leader="none"/>
        </w:tabs>
        <w:spacing w:line="240" w:lineRule="auto" w:before="85" w:after="0"/>
        <w:ind w:left="1190" w:right="0" w:hanging="959"/>
        <w:jc w:val="left"/>
        <w:rPr>
          <w:sz w:val="21"/>
        </w:rPr>
      </w:pPr>
      <w:r>
        <w:rPr>
          <w:rFonts w:ascii="微软雅黑" w:eastAsia="微软雅黑"/>
          <w:b/>
          <w:sz w:val="21"/>
        </w:rPr>
        <w:t>溶血性链球菌</w:t>
      </w:r>
      <w:r>
        <w:rPr>
          <w:rFonts w:ascii="微软雅黑" w:eastAsia="微软雅黑"/>
          <w:b/>
          <w:spacing w:val="-10"/>
          <w:sz w:val="21"/>
        </w:rPr>
        <w:t>引</w:t>
      </w:r>
      <w:r>
        <w:rPr>
          <w:rFonts w:ascii="微软雅黑" w:eastAsia="微软雅黑"/>
          <w:b/>
          <w:sz w:val="21"/>
        </w:rPr>
        <w:tab/>
      </w:r>
      <w:r>
        <w:rPr>
          <w:spacing w:val="-2"/>
          <w:sz w:val="21"/>
        </w:rPr>
        <w:t>包</w:t>
      </w:r>
      <w:r>
        <w:rPr>
          <w:spacing w:val="-2"/>
          <w:sz w:val="21"/>
        </w:rPr>
        <w:t>围</w:t>
      </w:r>
      <w:r>
        <w:rPr>
          <w:spacing w:val="-2"/>
          <w:sz w:val="21"/>
        </w:rPr>
        <w:t>肢体或躯干的浅筋膜</w:t>
      </w:r>
      <w:r>
        <w:rPr>
          <w:spacing w:val="-2"/>
          <w:sz w:val="21"/>
        </w:rPr>
        <w:t>或</w:t>
      </w:r>
      <w:r>
        <w:rPr>
          <w:spacing w:val="-2"/>
          <w:sz w:val="21"/>
        </w:rPr>
        <w:t>深</w:t>
      </w:r>
      <w:r>
        <w:rPr>
          <w:spacing w:val="-2"/>
          <w:sz w:val="21"/>
        </w:rPr>
        <w:t>筋膜受到溶血性链球</w:t>
      </w:r>
      <w:r>
        <w:rPr>
          <w:spacing w:val="-2"/>
          <w:sz w:val="21"/>
        </w:rPr>
        <w:t>菌</w:t>
      </w:r>
      <w:r>
        <w:rPr>
          <w:spacing w:val="-2"/>
          <w:sz w:val="21"/>
        </w:rPr>
        <w:t>的</w:t>
      </w:r>
      <w:r>
        <w:rPr>
          <w:spacing w:val="-2"/>
          <w:sz w:val="21"/>
        </w:rPr>
        <w:t>感染</w:t>
      </w:r>
      <w:r>
        <w:rPr>
          <w:spacing w:val="-94"/>
          <w:sz w:val="21"/>
        </w:rPr>
        <w:t>，</w:t>
      </w:r>
      <w:r>
        <w:rPr>
          <w:spacing w:val="-2"/>
          <w:sz w:val="21"/>
        </w:rPr>
        <w:t>病情在短时</w:t>
      </w:r>
      <w:r>
        <w:rPr>
          <w:spacing w:val="-10"/>
          <w:sz w:val="21"/>
        </w:rPr>
        <w:t>间</w:t>
      </w:r>
    </w:p>
    <w:p>
      <w:pPr>
        <w:spacing w:after="0" w:line="240" w:lineRule="auto"/>
        <w:jc w:val="left"/>
        <w:rPr>
          <w:sz w:val="21"/>
        </w:rPr>
        <w:sectPr>
          <w:type w:val="continuous"/>
          <w:pgSz w:w="11910" w:h="16840"/>
          <w:pgMar w:header="566" w:footer="664" w:top="1340" w:bottom="860" w:left="900" w:right="720"/>
        </w:sectPr>
      </w:pPr>
    </w:p>
    <w:p>
      <w:pPr>
        <w:pStyle w:val="BodyText"/>
        <w:tabs>
          <w:tab w:pos="3036" w:val="left" w:leader="none"/>
        </w:tabs>
        <w:spacing w:line="235" w:lineRule="auto" w:before="23"/>
        <w:ind w:left="3037" w:right="406" w:hanging="1847"/>
      </w:pPr>
      <w:r>
        <w:rPr>
          <w:rFonts w:ascii="微软雅黑" w:eastAsia="微软雅黑"/>
          <w:b/>
          <w:spacing w:val="-4"/>
        </w:rPr>
        <w:t>起</w:t>
      </w:r>
      <w:r>
        <w:rPr>
          <w:rFonts w:ascii="微软雅黑" w:eastAsia="微软雅黑"/>
          <w:b/>
          <w:spacing w:val="-4"/>
        </w:rPr>
        <w:t>的</w:t>
      </w:r>
      <w:r>
        <w:rPr>
          <w:rFonts w:ascii="微软雅黑" w:eastAsia="微软雅黑"/>
          <w:b/>
          <w:spacing w:val="-4"/>
        </w:rPr>
        <w:t>坏</w:t>
      </w:r>
      <w:r>
        <w:rPr>
          <w:rFonts w:ascii="微软雅黑" w:eastAsia="微软雅黑"/>
          <w:b/>
          <w:spacing w:val="-4"/>
        </w:rPr>
        <w:t>疽</w:t>
      </w:r>
      <w:r>
        <w:rPr>
          <w:rFonts w:ascii="微软雅黑" w:eastAsia="微软雅黑"/>
          <w:b/>
        </w:rPr>
        <w:tab/>
      </w:r>
      <w:r>
        <w:rPr>
          <w:spacing w:val="-2"/>
        </w:rPr>
        <w:t>内</w:t>
      </w:r>
      <w:r>
        <w:rPr>
          <w:spacing w:val="-2"/>
        </w:rPr>
        <w:t>急</w:t>
      </w:r>
      <w:r>
        <w:rPr>
          <w:spacing w:val="-2"/>
        </w:rPr>
        <w:t>剧恶化，已经立刻进</w:t>
      </w:r>
      <w:r>
        <w:rPr>
          <w:spacing w:val="-2"/>
        </w:rPr>
        <w:t>行</w:t>
      </w:r>
      <w:r>
        <w:rPr>
          <w:spacing w:val="-2"/>
        </w:rPr>
        <w:t>了</w:t>
      </w:r>
      <w:r>
        <w:rPr>
          <w:spacing w:val="-2"/>
        </w:rPr>
        <w:t>手术及清创术</w:t>
      </w:r>
      <w:r>
        <w:rPr>
          <w:spacing w:val="-51"/>
        </w:rPr>
        <w:t>。</w:t>
      </w:r>
      <w:r>
        <w:rPr>
          <w:spacing w:val="-2"/>
        </w:rPr>
        <w:t>最后</w:t>
      </w:r>
      <w:r>
        <w:rPr>
          <w:spacing w:val="-2"/>
        </w:rPr>
        <w:t>须</w:t>
      </w:r>
      <w:r>
        <w:rPr>
          <w:spacing w:val="-2"/>
        </w:rPr>
        <w:t>由</w:t>
      </w:r>
      <w:r>
        <w:rPr>
          <w:spacing w:val="-2"/>
        </w:rPr>
        <w:t>认可的医院的微</w:t>
      </w:r>
      <w:r>
        <w:rPr>
          <w:spacing w:val="-2"/>
        </w:rPr>
        <w:t>生</w:t>
      </w:r>
      <w:r>
        <w:rPr>
          <w:spacing w:val="-2"/>
        </w:rPr>
        <w:t>物</w:t>
      </w:r>
      <w:r>
        <w:rPr>
          <w:spacing w:val="-2"/>
        </w:rPr>
        <w:t>或</w:t>
      </w:r>
      <w:r>
        <w:rPr>
          <w:spacing w:val="-2"/>
        </w:rPr>
        <w:t>病</w:t>
      </w:r>
      <w:r>
        <w:rPr>
          <w:spacing w:val="-2"/>
        </w:rPr>
        <w:t>理学专家进行相关检</w:t>
      </w:r>
      <w:r>
        <w:rPr>
          <w:spacing w:val="-2"/>
        </w:rPr>
        <w:t>查</w:t>
      </w:r>
      <w:r>
        <w:rPr>
          <w:spacing w:val="-2"/>
        </w:rPr>
        <w:t>后</w:t>
      </w:r>
      <w:r>
        <w:rPr>
          <w:spacing w:val="-2"/>
        </w:rPr>
        <w:t>确</w:t>
      </w:r>
      <w:r>
        <w:rPr>
          <w:spacing w:val="-2"/>
        </w:rPr>
        <w:t>诊</w:t>
      </w:r>
      <w:r>
        <w:rPr>
          <w:spacing w:val="-2"/>
        </w:rPr>
        <w:t>。</w:t>
      </w:r>
    </w:p>
    <w:p>
      <w:pPr>
        <w:pStyle w:val="BodyText"/>
        <w:spacing w:before="1"/>
        <w:rPr>
          <w:sz w:val="11"/>
        </w:rPr>
      </w:pPr>
    </w:p>
    <w:p>
      <w:pPr>
        <w:spacing w:after="0"/>
        <w:rPr>
          <w:sz w:val="11"/>
        </w:rPr>
        <w:sectPr>
          <w:pgSz w:w="11910" w:h="16840"/>
          <w:pgMar w:header="566" w:footer="664" w:top="1340" w:bottom="860" w:left="900" w:right="720"/>
        </w:sectPr>
      </w:pPr>
    </w:p>
    <w:p>
      <w:pPr>
        <w:pStyle w:val="ListParagraph"/>
        <w:numPr>
          <w:ilvl w:val="2"/>
          <w:numId w:val="50"/>
        </w:numPr>
        <w:tabs>
          <w:tab w:pos="1190" w:val="left" w:leader="none"/>
          <w:tab w:pos="1191" w:val="left" w:leader="none"/>
        </w:tabs>
        <w:spacing w:line="194" w:lineRule="auto" w:before="57" w:after="0"/>
        <w:ind w:left="1190" w:right="38" w:hanging="958"/>
        <w:jc w:val="left"/>
        <w:rPr>
          <w:rFonts w:ascii="微软雅黑" w:eastAsia="微软雅黑"/>
          <w:b/>
          <w:sz w:val="21"/>
        </w:rPr>
      </w:pPr>
      <w:r>
        <w:rPr>
          <w:rFonts w:ascii="微软雅黑" w:eastAsia="微软雅黑"/>
          <w:b/>
          <w:spacing w:val="-2"/>
          <w:sz w:val="21"/>
        </w:rPr>
        <w:t>肾上腺脑白质营</w:t>
      </w:r>
      <w:r>
        <w:rPr>
          <w:rFonts w:ascii="微软雅黑" w:eastAsia="微软雅黑"/>
          <w:b/>
          <w:spacing w:val="-4"/>
          <w:sz w:val="21"/>
        </w:rPr>
        <w:t>养不良</w:t>
      </w:r>
    </w:p>
    <w:p>
      <w:pPr>
        <w:pStyle w:val="BodyText"/>
        <w:spacing w:line="278" w:lineRule="auto" w:before="72"/>
        <w:ind w:left="232" w:right="406"/>
        <w:jc w:val="both"/>
      </w:pPr>
      <w:r>
        <w:rPr/>
        <w:br w:type="column"/>
      </w:r>
      <w:r>
        <w:rPr>
          <w:spacing w:val="-4"/>
        </w:rPr>
        <w:t>指一种最常见的过氧化物酶体病，主要累及肾上腺和脑白质，主要表现为进</w:t>
      </w:r>
      <w:r>
        <w:rPr>
          <w:spacing w:val="-4"/>
        </w:rPr>
        <w:t>行性的精神运动障碍，视力及听力下降或肾上腺皮质功能低下等。须由专科</w:t>
      </w:r>
      <w:r>
        <w:rPr>
          <w:spacing w:val="-9"/>
        </w:rPr>
        <w:t>医生诊断，且已经造成自主生活能力完全丧失，无法独立完成六项基本日常</w:t>
      </w:r>
      <w:r>
        <w:rPr>
          <w:spacing w:val="-2"/>
        </w:rPr>
        <w:t>生活活动中的三项或三项以上，持续至少 </w:t>
      </w:r>
      <w:r>
        <w:rPr/>
        <w:t>180</w:t>
      </w:r>
      <w:r>
        <w:rPr>
          <w:spacing w:val="-9"/>
        </w:rPr>
        <w:t> 天。</w:t>
      </w:r>
    </w:p>
    <w:p>
      <w:pPr>
        <w:spacing w:after="0" w:line="278" w:lineRule="auto"/>
        <w:jc w:val="both"/>
        <w:sectPr>
          <w:type w:val="continuous"/>
          <w:pgSz w:w="11910" w:h="16840"/>
          <w:pgMar w:header="566" w:footer="664" w:top="1340" w:bottom="860" w:left="900" w:right="720"/>
          <w:cols w:num="2" w:equalWidth="0">
            <w:col w:w="2710" w:space="94"/>
            <w:col w:w="7486"/>
          </w:cols>
        </w:sectPr>
      </w:pPr>
    </w:p>
    <w:p>
      <w:pPr>
        <w:pStyle w:val="ListParagraph"/>
        <w:numPr>
          <w:ilvl w:val="2"/>
          <w:numId w:val="50"/>
        </w:numPr>
        <w:tabs>
          <w:tab w:pos="1191" w:val="left" w:leader="none"/>
          <w:tab w:pos="2883" w:val="left" w:leader="none"/>
        </w:tabs>
        <w:spacing w:line="235" w:lineRule="auto" w:before="106" w:after="0"/>
        <w:ind w:left="2883" w:right="463" w:hanging="2651"/>
        <w:jc w:val="both"/>
        <w:rPr>
          <w:sz w:val="21"/>
        </w:rPr>
      </w:pPr>
      <w:r>
        <w:rPr>
          <w:rFonts w:ascii="微软雅黑" w:eastAsia="微软雅黑"/>
          <w:b/>
          <w:spacing w:val="-4"/>
          <w:sz w:val="21"/>
        </w:rPr>
        <w:t>狂</w:t>
      </w:r>
      <w:r>
        <w:rPr>
          <w:rFonts w:ascii="微软雅黑" w:eastAsia="微软雅黑"/>
          <w:b/>
          <w:spacing w:val="-4"/>
          <w:sz w:val="21"/>
        </w:rPr>
        <w:t>犬</w:t>
      </w:r>
      <w:r>
        <w:rPr>
          <w:rFonts w:ascii="微软雅黑" w:eastAsia="微软雅黑"/>
          <w:b/>
          <w:spacing w:val="-4"/>
          <w:sz w:val="21"/>
        </w:rPr>
        <w:t>病</w:t>
      </w:r>
      <w:r>
        <w:rPr>
          <w:rFonts w:ascii="微软雅黑" w:eastAsia="微软雅黑"/>
          <w:b/>
          <w:sz w:val="21"/>
        </w:rPr>
        <w:tab/>
      </w:r>
      <w:r>
        <w:rPr>
          <w:spacing w:val="-2"/>
          <w:sz w:val="21"/>
        </w:rPr>
        <w:t>指</w:t>
      </w:r>
      <w:r>
        <w:rPr>
          <w:spacing w:val="-2"/>
          <w:sz w:val="21"/>
        </w:rPr>
        <w:t>狂</w:t>
      </w:r>
      <w:r>
        <w:rPr>
          <w:spacing w:val="-2"/>
          <w:sz w:val="21"/>
        </w:rPr>
        <w:t>犬病毒所致的急性传</w:t>
      </w:r>
      <w:r>
        <w:rPr>
          <w:spacing w:val="-2"/>
          <w:sz w:val="21"/>
        </w:rPr>
        <w:t>染</w:t>
      </w:r>
      <w:r>
        <w:rPr>
          <w:spacing w:val="-2"/>
          <w:sz w:val="21"/>
        </w:rPr>
        <w:t>病</w:t>
      </w:r>
      <w:r>
        <w:rPr>
          <w:spacing w:val="-2"/>
          <w:sz w:val="21"/>
        </w:rPr>
        <w:t>。临床表现为特有的</w:t>
      </w:r>
      <w:r>
        <w:rPr>
          <w:spacing w:val="-2"/>
          <w:sz w:val="21"/>
        </w:rPr>
        <w:t>恐</w:t>
      </w:r>
      <w:r>
        <w:rPr>
          <w:spacing w:val="-2"/>
          <w:sz w:val="21"/>
        </w:rPr>
        <w:t>水</w:t>
      </w:r>
      <w:r>
        <w:rPr>
          <w:spacing w:val="-2"/>
          <w:sz w:val="21"/>
        </w:rPr>
        <w:t>、怕风、咽肌痉</w:t>
      </w:r>
      <w:r>
        <w:rPr>
          <w:spacing w:val="-2"/>
          <w:sz w:val="21"/>
        </w:rPr>
        <w:t>挛</w:t>
      </w:r>
      <w:r>
        <w:rPr>
          <w:spacing w:val="-2"/>
          <w:sz w:val="21"/>
        </w:rPr>
        <w:t>、</w:t>
      </w:r>
      <w:r>
        <w:rPr>
          <w:spacing w:val="-2"/>
          <w:sz w:val="21"/>
        </w:rPr>
        <w:t>进</w:t>
      </w:r>
      <w:r>
        <w:rPr>
          <w:spacing w:val="-2"/>
          <w:sz w:val="21"/>
        </w:rPr>
        <w:t>行</w:t>
      </w:r>
      <w:r>
        <w:rPr>
          <w:spacing w:val="-2"/>
          <w:sz w:val="21"/>
        </w:rPr>
        <w:t>性瘫痪</w:t>
      </w:r>
      <w:r>
        <w:rPr>
          <w:spacing w:val="-2"/>
          <w:sz w:val="21"/>
        </w:rPr>
        <w:t>等</w:t>
      </w:r>
      <w:r>
        <w:rPr>
          <w:spacing w:val="-2"/>
          <w:sz w:val="21"/>
        </w:rPr>
        <w:t>。</w:t>
      </w:r>
    </w:p>
    <w:p>
      <w:pPr>
        <w:pStyle w:val="ListParagraph"/>
        <w:numPr>
          <w:ilvl w:val="2"/>
          <w:numId w:val="50"/>
        </w:numPr>
        <w:tabs>
          <w:tab w:pos="1191" w:val="left" w:leader="none"/>
        </w:tabs>
        <w:spacing w:line="256" w:lineRule="auto" w:before="146" w:after="0"/>
        <w:ind w:left="2883" w:right="463" w:hanging="2651"/>
        <w:jc w:val="both"/>
        <w:rPr>
          <w:sz w:val="21"/>
        </w:rPr>
      </w:pPr>
      <w:r>
        <w:rPr>
          <w:rFonts w:ascii="微软雅黑" w:eastAsia="微软雅黑"/>
          <w:b/>
          <w:spacing w:val="92"/>
          <w:sz w:val="21"/>
        </w:rPr>
        <w:t>亚历山大病 </w:t>
      </w:r>
      <w:r>
        <w:rPr>
          <w:sz w:val="21"/>
        </w:rPr>
        <w:t>是一种遗传性中枢神经系统退行性病变，特点为脑白质营养不良。临床表现</w:t>
      </w:r>
      <w:r>
        <w:rPr>
          <w:spacing w:val="-2"/>
          <w:sz w:val="21"/>
        </w:rPr>
        <w:t>为惊厥发作、智力下降、球麻痹、共济失调、痉挛性瘫痪。亚历山大病必须</w:t>
      </w:r>
      <w:r>
        <w:rPr>
          <w:spacing w:val="-2"/>
          <w:sz w:val="21"/>
        </w:rPr>
        <w:t>被明确诊断，并且造成永久性神经系统功能损害。被保人自主生活能力完全</w:t>
      </w:r>
    </w:p>
    <w:p>
      <w:pPr>
        <w:spacing w:line="216" w:lineRule="auto" w:before="34"/>
        <w:ind w:left="2883" w:right="463" w:firstLine="0"/>
        <w:jc w:val="left"/>
        <w:rPr>
          <w:rFonts w:ascii="微软雅黑" w:eastAsia="微软雅黑"/>
          <w:b/>
          <w:sz w:val="22"/>
        </w:rPr>
      </w:pPr>
      <w:r>
        <w:rPr>
          <w:spacing w:val="-2"/>
          <w:sz w:val="21"/>
        </w:rPr>
        <w:t>丧失，无法独立完成六项基本日常生活活动中的三项或三项以上，日常生活</w:t>
      </w:r>
      <w:r>
        <w:rPr>
          <w:spacing w:val="-2"/>
          <w:sz w:val="21"/>
        </w:rPr>
        <w:t>必须持续接受他人护理。</w:t>
      </w:r>
      <w:r>
        <w:rPr>
          <w:rFonts w:ascii="微软雅黑" w:eastAsia="微软雅黑"/>
          <w:b/>
          <w:color w:val="000000"/>
          <w:spacing w:val="-2"/>
          <w:sz w:val="22"/>
          <w:shd w:fill="D9D9D9" w:color="auto" w:val="clear"/>
        </w:rPr>
        <w:t>未诊断的疑似病例不在保障范围之内。</w:t>
      </w:r>
    </w:p>
    <w:p>
      <w:pPr>
        <w:pStyle w:val="Heading1"/>
        <w:spacing w:line="277" w:lineRule="exact"/>
        <w:ind w:left="2883"/>
      </w:pPr>
      <w:r>
        <w:rPr>
          <w:spacing w:val="-10"/>
        </w:rPr>
        <w:t>我们承担本项疾病责任不受本合同责任免除中“遗传性疾病，先天性畸形、</w:t>
      </w:r>
    </w:p>
    <w:p>
      <w:pPr>
        <w:spacing w:line="359" w:lineRule="exact" w:before="0"/>
        <w:ind w:left="2883" w:right="0" w:firstLine="0"/>
        <w:jc w:val="left"/>
        <w:rPr>
          <w:rFonts w:ascii="微软雅黑" w:hAnsi="微软雅黑" w:eastAsia="微软雅黑"/>
          <w:b/>
          <w:sz w:val="22"/>
        </w:rPr>
      </w:pPr>
      <w:r>
        <w:rPr>
          <w:rFonts w:ascii="微软雅黑" w:hAnsi="微软雅黑" w:eastAsia="微软雅黑"/>
          <w:b/>
          <w:spacing w:val="-1"/>
          <w:sz w:val="22"/>
        </w:rPr>
        <w:t>变形或染色体异常”的限制。</w:t>
      </w:r>
    </w:p>
    <w:p>
      <w:pPr>
        <w:spacing w:after="0" w:line="359" w:lineRule="exact"/>
        <w:jc w:val="left"/>
        <w:rPr>
          <w:rFonts w:ascii="微软雅黑" w:hAnsi="微软雅黑" w:eastAsia="微软雅黑"/>
          <w:sz w:val="22"/>
        </w:rPr>
        <w:sectPr>
          <w:type w:val="continuous"/>
          <w:pgSz w:w="11910" w:h="16840"/>
          <w:pgMar w:header="566" w:footer="664" w:top="1340" w:bottom="860" w:left="900" w:right="720"/>
        </w:sectPr>
      </w:pPr>
    </w:p>
    <w:p>
      <w:pPr>
        <w:pStyle w:val="ListParagraph"/>
        <w:numPr>
          <w:ilvl w:val="2"/>
          <w:numId w:val="50"/>
        </w:numPr>
        <w:tabs>
          <w:tab w:pos="1190" w:val="left" w:leader="none"/>
          <w:tab w:pos="1191" w:val="left" w:leader="none"/>
        </w:tabs>
        <w:spacing w:line="350" w:lineRule="exact" w:before="88" w:after="0"/>
        <w:ind w:left="1190" w:right="0" w:hanging="959"/>
        <w:jc w:val="left"/>
        <w:rPr>
          <w:rFonts w:ascii="微软雅黑" w:eastAsia="微软雅黑"/>
          <w:b/>
          <w:sz w:val="21"/>
        </w:rPr>
      </w:pPr>
      <w:r>
        <w:rPr>
          <w:rFonts w:ascii="微软雅黑" w:eastAsia="微软雅黑"/>
          <w:b/>
          <w:w w:val="95"/>
          <w:sz w:val="21"/>
        </w:rPr>
        <w:t>严</w:t>
      </w:r>
      <w:r>
        <w:rPr>
          <w:rFonts w:ascii="微软雅黑" w:eastAsia="微软雅黑"/>
          <w:b/>
          <w:w w:val="95"/>
          <w:sz w:val="21"/>
        </w:rPr>
        <w:t>重</w:t>
      </w:r>
      <w:r>
        <w:rPr>
          <w:rFonts w:ascii="微软雅黑" w:eastAsia="微软雅黑"/>
          <w:b/>
          <w:spacing w:val="-3"/>
          <w:sz w:val="21"/>
        </w:rPr>
        <w:t> </w:t>
      </w:r>
      <w:r>
        <w:rPr>
          <w:rFonts w:ascii="微软雅黑" w:eastAsia="微软雅黑"/>
          <w:b/>
          <w:w w:val="95"/>
          <w:sz w:val="21"/>
        </w:rPr>
        <w:t>Balo</w:t>
      </w:r>
      <w:r>
        <w:rPr>
          <w:rFonts w:ascii="微软雅黑" w:eastAsia="微软雅黑"/>
          <w:b/>
          <w:spacing w:val="-1"/>
          <w:sz w:val="21"/>
        </w:rPr>
        <w:t> </w:t>
      </w:r>
      <w:r>
        <w:rPr>
          <w:rFonts w:ascii="微软雅黑" w:eastAsia="微软雅黑"/>
          <w:b/>
          <w:spacing w:val="-106"/>
          <w:w w:val="95"/>
          <w:sz w:val="21"/>
        </w:rPr>
        <w:t>病</w:t>
      </w:r>
      <w:r>
        <w:rPr>
          <w:rFonts w:ascii="微软雅黑" w:eastAsia="微软雅黑"/>
          <w:b/>
          <w:w w:val="95"/>
          <w:sz w:val="21"/>
        </w:rPr>
        <w:t>（</w:t>
      </w:r>
      <w:r>
        <w:rPr>
          <w:rFonts w:ascii="微软雅黑" w:eastAsia="微软雅黑"/>
          <w:b/>
          <w:spacing w:val="-12"/>
          <w:w w:val="95"/>
          <w:sz w:val="21"/>
        </w:rPr>
        <w:t>同</w:t>
      </w:r>
    </w:p>
    <w:p>
      <w:pPr>
        <w:spacing w:line="350" w:lineRule="exact" w:before="0"/>
        <w:ind w:left="1190" w:right="0" w:firstLine="0"/>
        <w:jc w:val="left"/>
        <w:rPr>
          <w:rFonts w:ascii="微软雅黑" w:eastAsia="微软雅黑"/>
          <w:b/>
          <w:sz w:val="21"/>
        </w:rPr>
      </w:pPr>
      <w:r>
        <w:rPr>
          <w:rFonts w:ascii="微软雅黑" w:eastAsia="微软雅黑"/>
          <w:b/>
          <w:sz w:val="21"/>
        </w:rPr>
        <w:t>心圆硬化症</w:t>
      </w:r>
      <w:r>
        <w:rPr>
          <w:rFonts w:ascii="微软雅黑" w:eastAsia="微软雅黑"/>
          <w:b/>
          <w:spacing w:val="-10"/>
          <w:sz w:val="21"/>
        </w:rPr>
        <w:t>）</w:t>
      </w:r>
    </w:p>
    <w:p>
      <w:pPr>
        <w:pStyle w:val="BodyText"/>
        <w:spacing w:line="256" w:lineRule="auto" w:before="155"/>
        <w:ind w:left="176" w:right="447"/>
        <w:jc w:val="both"/>
      </w:pPr>
      <w:r>
        <w:rPr/>
        <w:br w:type="column"/>
      </w:r>
      <w:r>
        <w:rPr>
          <w:spacing w:val="-2"/>
        </w:rPr>
        <w:t>是一种属大脑白质脱髓鞘性疾病，其病理特点为病灶内髓鞘脱失带与髓鞘保</w:t>
      </w:r>
      <w:r>
        <w:rPr>
          <w:spacing w:val="-2"/>
        </w:rPr>
        <w:t>存带呈同心圆层状交互排列，形似树木年轮或大理石花纹状。须由头颅断层</w:t>
      </w:r>
      <w:r>
        <w:rPr>
          <w:spacing w:val="-2"/>
        </w:rPr>
        <w:t>扫描</w:t>
      </w:r>
      <w:r>
        <w:rPr>
          <w:spacing w:val="23"/>
        </w:rPr>
        <w:t>（</w:t>
      </w:r>
      <w:r>
        <w:rPr>
          <w:rFonts w:ascii="等线" w:eastAsia="等线"/>
          <w:spacing w:val="24"/>
        </w:rPr>
        <w:t>C</w:t>
      </w:r>
      <w:r>
        <w:rPr>
          <w:rFonts w:ascii="等线" w:eastAsia="等线"/>
          <w:spacing w:val="27"/>
        </w:rPr>
        <w:t>T</w:t>
      </w:r>
      <w:r>
        <w:rPr>
          <w:spacing w:val="-82"/>
        </w:rPr>
        <w:t>）</w:t>
      </w:r>
      <w:r>
        <w:rPr>
          <w:spacing w:val="-2"/>
        </w:rPr>
        <w:t>、核磁共振检查（</w:t>
      </w:r>
      <w:r>
        <w:rPr>
          <w:rFonts w:ascii="等线" w:eastAsia="等线"/>
          <w:spacing w:val="-2"/>
        </w:rPr>
        <w:t>MRI</w:t>
      </w:r>
      <w:r>
        <w:rPr>
          <w:spacing w:val="-2"/>
        </w:rPr>
        <w:t>）或正电子发射断层扫描（</w:t>
      </w:r>
      <w:r>
        <w:rPr>
          <w:rFonts w:ascii="等线" w:eastAsia="等线"/>
          <w:spacing w:val="-2"/>
        </w:rPr>
        <w:t>PET</w:t>
      </w:r>
      <w:r>
        <w:rPr>
          <w:spacing w:val="-2"/>
        </w:rPr>
        <w:t>）等影像学</w:t>
      </w:r>
      <w:r>
        <w:rPr>
          <w:spacing w:val="-4"/>
        </w:rPr>
        <w:t>检查证实，且经由相关专科医生确诊疾病 </w:t>
      </w:r>
      <w:r>
        <w:rPr>
          <w:rFonts w:ascii="等线" w:eastAsia="等线"/>
          <w:spacing w:val="-2"/>
        </w:rPr>
        <w:t>180</w:t>
      </w:r>
      <w:r>
        <w:rPr>
          <w:rFonts w:ascii="等线" w:eastAsia="等线"/>
          <w:spacing w:val="8"/>
        </w:rPr>
        <w:t> </w:t>
      </w:r>
      <w:r>
        <w:rPr>
          <w:spacing w:val="-2"/>
        </w:rPr>
        <w:t>天后自主生活能力完全丧失，</w:t>
      </w:r>
      <w:r>
        <w:rPr>
          <w:spacing w:val="-2"/>
        </w:rPr>
        <w:t>无法独立完成六项基本日常生活活动中的三项或三项以上。</w:t>
      </w:r>
    </w:p>
    <w:p>
      <w:pPr>
        <w:spacing w:after="0" w:line="256" w:lineRule="auto"/>
        <w:jc w:val="both"/>
        <w:sectPr>
          <w:type w:val="continuous"/>
          <w:pgSz w:w="11910" w:h="16840"/>
          <w:pgMar w:header="566" w:footer="664" w:top="1340" w:bottom="860" w:left="900" w:right="720"/>
          <w:cols w:num="2" w:equalWidth="0">
            <w:col w:w="2667" w:space="40"/>
            <w:col w:w="7583"/>
          </w:cols>
        </w:sectPr>
      </w:pPr>
    </w:p>
    <w:p>
      <w:pPr>
        <w:pStyle w:val="BodyText"/>
        <w:spacing w:before="3"/>
        <w:rPr>
          <w:sz w:val="9"/>
        </w:rPr>
      </w:pPr>
    </w:p>
    <w:p>
      <w:pPr>
        <w:pStyle w:val="ListParagraph"/>
        <w:numPr>
          <w:ilvl w:val="2"/>
          <w:numId w:val="50"/>
        </w:numPr>
        <w:tabs>
          <w:tab w:pos="1191" w:val="left" w:leader="none"/>
        </w:tabs>
        <w:spacing w:line="256" w:lineRule="auto" w:before="5" w:after="0"/>
        <w:ind w:left="2883" w:right="463" w:hanging="2651"/>
        <w:jc w:val="both"/>
        <w:rPr>
          <w:sz w:val="21"/>
        </w:rPr>
      </w:pPr>
      <w:r>
        <w:rPr>
          <w:rFonts w:ascii="微软雅黑" w:eastAsia="微软雅黑"/>
          <w:b/>
          <w:spacing w:val="92"/>
          <w:sz w:val="21"/>
        </w:rPr>
        <w:t>闭锁综合征 </w:t>
      </w:r>
      <w:r>
        <w:rPr>
          <w:sz w:val="21"/>
        </w:rPr>
        <w:t>由于双侧脑桥基底部病变，脑干腹侧的皮质核束和皮质脊髓束受损，而导致</w:t>
      </w:r>
      <w:r>
        <w:rPr>
          <w:spacing w:val="-2"/>
          <w:sz w:val="21"/>
        </w:rPr>
        <w:t>的缄默和四肢瘫痪。临床表现为意识清醒或仅有轻微损害，除睁闭眼和眼球</w:t>
      </w:r>
      <w:r>
        <w:rPr>
          <w:spacing w:val="-2"/>
          <w:sz w:val="21"/>
        </w:rPr>
        <w:t>上下运动外其它全部运动、吞咽、语言功能均丧失。诊断必须经神经科专科</w:t>
      </w:r>
    </w:p>
    <w:p>
      <w:pPr>
        <w:pStyle w:val="BodyText"/>
        <w:spacing w:before="13"/>
        <w:ind w:left="2883"/>
      </w:pPr>
      <w:r>
        <w:rPr>
          <w:spacing w:val="-3"/>
        </w:rPr>
        <w:t>医生确认，并必须持续至少一个月病史记录。</w:t>
      </w:r>
    </w:p>
    <w:p>
      <w:pPr>
        <w:pStyle w:val="ListParagraph"/>
        <w:numPr>
          <w:ilvl w:val="2"/>
          <w:numId w:val="50"/>
        </w:numPr>
        <w:tabs>
          <w:tab w:pos="1190" w:val="left" w:leader="none"/>
          <w:tab w:pos="1191" w:val="left" w:leader="none"/>
          <w:tab w:pos="2883" w:val="left" w:leader="none"/>
        </w:tabs>
        <w:spacing w:line="235" w:lineRule="auto" w:before="152" w:after="0"/>
        <w:ind w:left="2883" w:right="463" w:hanging="2651"/>
        <w:jc w:val="left"/>
        <w:rPr>
          <w:sz w:val="21"/>
        </w:rPr>
      </w:pPr>
      <w:r>
        <w:rPr>
          <w:rFonts w:ascii="微软雅黑" w:eastAsia="微软雅黑"/>
          <w:b/>
          <w:spacing w:val="-4"/>
          <w:sz w:val="21"/>
        </w:rPr>
        <w:t>脊</w:t>
      </w:r>
      <w:r>
        <w:rPr>
          <w:rFonts w:ascii="微软雅黑" w:eastAsia="微软雅黑"/>
          <w:b/>
          <w:spacing w:val="-4"/>
          <w:sz w:val="21"/>
        </w:rPr>
        <w:t>柱</w:t>
      </w:r>
      <w:r>
        <w:rPr>
          <w:rFonts w:ascii="微软雅黑" w:eastAsia="微软雅黑"/>
          <w:b/>
          <w:spacing w:val="-4"/>
          <w:sz w:val="21"/>
        </w:rPr>
        <w:t>裂</w:t>
      </w:r>
      <w:r>
        <w:rPr>
          <w:rFonts w:ascii="微软雅黑" w:eastAsia="微软雅黑"/>
          <w:b/>
          <w:sz w:val="21"/>
        </w:rPr>
        <w:tab/>
      </w:r>
      <w:r>
        <w:rPr>
          <w:spacing w:val="-2"/>
          <w:sz w:val="21"/>
        </w:rPr>
        <w:t>指</w:t>
      </w:r>
      <w:r>
        <w:rPr>
          <w:spacing w:val="-2"/>
          <w:sz w:val="21"/>
        </w:rPr>
        <w:t>脊</w:t>
      </w:r>
      <w:r>
        <w:rPr>
          <w:spacing w:val="-2"/>
          <w:sz w:val="21"/>
        </w:rPr>
        <w:t>椎或颅骨不完全闭合，</w:t>
      </w:r>
      <w:r>
        <w:rPr>
          <w:spacing w:val="-2"/>
          <w:sz w:val="21"/>
        </w:rPr>
        <w:t>导</w:t>
      </w:r>
      <w:r>
        <w:rPr>
          <w:spacing w:val="-2"/>
          <w:sz w:val="21"/>
        </w:rPr>
        <w:t>致脊髓脊膜突出，脑（</w:t>
      </w:r>
      <w:r>
        <w:rPr>
          <w:spacing w:val="-2"/>
          <w:sz w:val="21"/>
        </w:rPr>
        <w:t>脊</w:t>
      </w:r>
      <w:r>
        <w:rPr>
          <w:spacing w:val="-2"/>
          <w:sz w:val="21"/>
        </w:rPr>
        <w:t>）膜突出或脑膨</w:t>
      </w:r>
      <w:r>
        <w:rPr>
          <w:spacing w:val="-2"/>
          <w:sz w:val="21"/>
        </w:rPr>
        <w:t>出</w:t>
      </w:r>
      <w:r>
        <w:rPr>
          <w:spacing w:val="-2"/>
          <w:sz w:val="21"/>
        </w:rPr>
        <w:t>，</w:t>
      </w:r>
      <w:r>
        <w:rPr>
          <w:spacing w:val="-2"/>
          <w:sz w:val="21"/>
        </w:rPr>
        <w:t>并</w:t>
      </w:r>
      <w:r>
        <w:rPr>
          <w:spacing w:val="-2"/>
          <w:sz w:val="21"/>
        </w:rPr>
        <w:t>至</w:t>
      </w:r>
      <w:r>
        <w:rPr>
          <w:spacing w:val="-2"/>
          <w:sz w:val="21"/>
        </w:rPr>
        <w:t>少满足下列异常中的</w:t>
      </w:r>
      <w:r>
        <w:rPr>
          <w:spacing w:val="-2"/>
          <w:sz w:val="21"/>
        </w:rPr>
        <w:t>一</w:t>
      </w:r>
      <w:r>
        <w:rPr>
          <w:spacing w:val="-2"/>
          <w:sz w:val="21"/>
        </w:rPr>
        <w:t>项</w:t>
      </w:r>
      <w:r>
        <w:rPr>
          <w:spacing w:val="-2"/>
          <w:sz w:val="21"/>
        </w:rPr>
        <w:t>：</w:t>
      </w:r>
    </w:p>
    <w:p>
      <w:pPr>
        <w:pStyle w:val="ListParagraph"/>
        <w:numPr>
          <w:ilvl w:val="0"/>
          <w:numId w:val="56"/>
        </w:numPr>
        <w:tabs>
          <w:tab w:pos="3418" w:val="left" w:leader="none"/>
        </w:tabs>
        <w:spacing w:line="314" w:lineRule="exact" w:before="22" w:after="0"/>
        <w:ind w:left="3417" w:right="0" w:hanging="535"/>
        <w:jc w:val="left"/>
        <w:rPr>
          <w:sz w:val="21"/>
        </w:rPr>
      </w:pPr>
      <w:r>
        <w:rPr>
          <w:spacing w:val="-4"/>
          <w:sz w:val="21"/>
        </w:rPr>
        <w:t>大小便失禁；</w:t>
      </w:r>
    </w:p>
    <w:p>
      <w:pPr>
        <w:pStyle w:val="ListParagraph"/>
        <w:numPr>
          <w:ilvl w:val="0"/>
          <w:numId w:val="56"/>
        </w:numPr>
        <w:tabs>
          <w:tab w:pos="3418" w:val="left" w:leader="none"/>
        </w:tabs>
        <w:spacing w:line="283" w:lineRule="exact" w:before="0" w:after="0"/>
        <w:ind w:left="3417" w:right="0" w:hanging="535"/>
        <w:jc w:val="left"/>
        <w:rPr>
          <w:sz w:val="21"/>
        </w:rPr>
      </w:pPr>
      <w:r>
        <w:rPr>
          <w:spacing w:val="-3"/>
          <w:sz w:val="21"/>
        </w:rPr>
        <w:t>部分或完全性下肢瘫痪或畸形等神经学上的异常。</w:t>
      </w:r>
    </w:p>
    <w:p>
      <w:pPr>
        <w:pStyle w:val="Heading1"/>
        <w:spacing w:line="184" w:lineRule="auto" w:before="36"/>
        <w:ind w:left="2883" w:right="443"/>
      </w:pPr>
      <w:r>
        <w:rPr>
          <w:color w:val="000000"/>
          <w:spacing w:val="3"/>
          <w:shd w:fill="D9D9D9" w:color="auto" w:val="clear"/>
        </w:rPr>
        <w:t>但不包括由 </w:t>
      </w:r>
      <w:r>
        <w:rPr>
          <w:color w:val="000000"/>
          <w:shd w:fill="D9D9D9" w:color="auto" w:val="clear"/>
        </w:rPr>
        <w:t>X 线摄片发现的没有合并脊椎脊膜突出或脑（脊）膜突出的</w:t>
      </w:r>
      <w:r>
        <w:rPr>
          <w:color w:val="000000"/>
          <w:spacing w:val="80"/>
          <w:w w:val="150"/>
          <w:shd w:fill="D9D9D9" w:color="auto" w:val="clear"/>
        </w:rPr>
        <w:t>                                                  </w:t>
      </w:r>
      <w:r>
        <w:rPr>
          <w:color w:val="000000"/>
          <w:spacing w:val="-2"/>
          <w:shd w:fill="D9D9D9" w:color="auto" w:val="clear"/>
        </w:rPr>
        <w:t>隐性脊椎裂。</w:t>
      </w:r>
    </w:p>
    <w:p>
      <w:pPr>
        <w:spacing w:line="184" w:lineRule="auto" w:before="0"/>
        <w:ind w:left="2883" w:right="301" w:firstLine="0"/>
        <w:jc w:val="left"/>
        <w:rPr>
          <w:rFonts w:ascii="微软雅黑" w:hAnsi="微软雅黑" w:eastAsia="微软雅黑"/>
          <w:b/>
          <w:sz w:val="22"/>
        </w:rPr>
      </w:pPr>
      <w:r>
        <w:rPr>
          <w:rFonts w:ascii="微软雅黑" w:hAnsi="微软雅黑" w:eastAsia="微软雅黑"/>
          <w:b/>
          <w:spacing w:val="-11"/>
          <w:sz w:val="22"/>
        </w:rPr>
        <w:t>我们承担本项疾病责任不受本合同责任免除中“遗传性疾病，先天性畸形、</w:t>
      </w:r>
      <w:r>
        <w:rPr>
          <w:rFonts w:ascii="微软雅黑" w:hAnsi="微软雅黑" w:eastAsia="微软雅黑"/>
          <w:b/>
          <w:spacing w:val="-2"/>
          <w:sz w:val="22"/>
        </w:rPr>
        <w:t>变形或染色体异常”的限制。</w:t>
      </w:r>
    </w:p>
    <w:p>
      <w:pPr>
        <w:pStyle w:val="ListParagraph"/>
        <w:numPr>
          <w:ilvl w:val="2"/>
          <w:numId w:val="50"/>
        </w:numPr>
        <w:tabs>
          <w:tab w:pos="1191" w:val="left" w:leader="none"/>
          <w:tab w:pos="2883" w:val="left" w:leader="none"/>
        </w:tabs>
        <w:spacing w:line="256" w:lineRule="auto" w:before="113" w:after="0"/>
        <w:ind w:left="2883" w:right="463" w:hanging="2651"/>
        <w:jc w:val="both"/>
        <w:rPr>
          <w:sz w:val="21"/>
        </w:rPr>
      </w:pPr>
      <w:r>
        <w:rPr>
          <w:rFonts w:ascii="微软雅黑" w:eastAsia="微软雅黑"/>
          <w:b/>
          <w:spacing w:val="-4"/>
          <w:sz w:val="21"/>
        </w:rPr>
        <w:t>库</w:t>
      </w:r>
      <w:r>
        <w:rPr>
          <w:rFonts w:ascii="微软雅黑" w:eastAsia="微软雅黑"/>
          <w:b/>
          <w:spacing w:val="-4"/>
          <w:sz w:val="21"/>
        </w:rPr>
        <w:t>鲁</w:t>
      </w:r>
      <w:r>
        <w:rPr>
          <w:rFonts w:ascii="微软雅黑" w:eastAsia="微软雅黑"/>
          <w:b/>
          <w:spacing w:val="-4"/>
          <w:sz w:val="21"/>
        </w:rPr>
        <w:t>病</w:t>
      </w:r>
      <w:r>
        <w:rPr>
          <w:rFonts w:ascii="微软雅黑" w:eastAsia="微软雅黑"/>
          <w:b/>
          <w:sz w:val="21"/>
        </w:rPr>
        <w:tab/>
      </w:r>
      <w:r>
        <w:rPr>
          <w:spacing w:val="-2"/>
          <w:sz w:val="21"/>
        </w:rPr>
        <w:t>指</w:t>
      </w:r>
      <w:r>
        <w:rPr>
          <w:spacing w:val="-2"/>
          <w:sz w:val="21"/>
        </w:rPr>
        <w:t>一</w:t>
      </w:r>
      <w:r>
        <w:rPr>
          <w:spacing w:val="-2"/>
          <w:sz w:val="21"/>
        </w:rPr>
        <w:t>种亚急性传染性朊蛋</w:t>
      </w:r>
      <w:r>
        <w:rPr>
          <w:spacing w:val="-2"/>
          <w:sz w:val="21"/>
        </w:rPr>
        <w:t>白</w:t>
      </w:r>
      <w:r>
        <w:rPr>
          <w:spacing w:val="-2"/>
          <w:sz w:val="21"/>
        </w:rPr>
        <w:t>病</w:t>
      </w:r>
      <w:r>
        <w:rPr>
          <w:spacing w:val="-2"/>
          <w:sz w:val="21"/>
        </w:rPr>
        <w:t>。临床表现为共济失</w:t>
      </w:r>
      <w:r>
        <w:rPr>
          <w:spacing w:val="-2"/>
          <w:sz w:val="21"/>
        </w:rPr>
        <w:t>调</w:t>
      </w:r>
      <w:r>
        <w:rPr>
          <w:spacing w:val="-2"/>
          <w:sz w:val="21"/>
        </w:rPr>
        <w:t>、</w:t>
      </w:r>
      <w:r>
        <w:rPr>
          <w:spacing w:val="-2"/>
          <w:sz w:val="21"/>
        </w:rPr>
        <w:t>震颤、不自主运</w:t>
      </w:r>
      <w:r>
        <w:rPr>
          <w:spacing w:val="-2"/>
          <w:sz w:val="21"/>
        </w:rPr>
        <w:t>动</w:t>
      </w:r>
      <w:r>
        <w:rPr>
          <w:spacing w:val="-2"/>
          <w:sz w:val="21"/>
        </w:rPr>
        <w:t>，</w:t>
      </w:r>
      <w:r>
        <w:rPr>
          <w:spacing w:val="-2"/>
          <w:sz w:val="21"/>
        </w:rPr>
        <w:t>在</w:t>
      </w:r>
      <w:r>
        <w:rPr>
          <w:spacing w:val="-2"/>
          <w:sz w:val="21"/>
        </w:rPr>
        <w:t>病</w:t>
      </w:r>
      <w:r>
        <w:rPr>
          <w:spacing w:val="-2"/>
          <w:sz w:val="21"/>
        </w:rPr>
        <w:t>程晚期出现进行性加</w:t>
      </w:r>
      <w:r>
        <w:rPr>
          <w:spacing w:val="-2"/>
          <w:sz w:val="21"/>
        </w:rPr>
        <w:t>重</w:t>
      </w:r>
      <w:r>
        <w:rPr>
          <w:spacing w:val="-2"/>
          <w:sz w:val="21"/>
        </w:rPr>
        <w:t>的</w:t>
      </w:r>
      <w:r>
        <w:rPr>
          <w:spacing w:val="-2"/>
          <w:sz w:val="21"/>
        </w:rPr>
        <w:t>痴呆，神经异常。该</w:t>
      </w:r>
      <w:r>
        <w:rPr>
          <w:spacing w:val="-2"/>
          <w:sz w:val="21"/>
        </w:rPr>
        <w:t>病</w:t>
      </w:r>
      <w:r>
        <w:rPr>
          <w:spacing w:val="-2"/>
          <w:sz w:val="21"/>
        </w:rPr>
        <w:t>必</w:t>
      </w:r>
      <w:r>
        <w:rPr>
          <w:spacing w:val="-2"/>
          <w:sz w:val="21"/>
        </w:rPr>
        <w:t>须由专科医生根</w:t>
      </w:r>
      <w:r>
        <w:rPr>
          <w:spacing w:val="-2"/>
          <w:sz w:val="21"/>
        </w:rPr>
        <w:t>据</w:t>
      </w:r>
      <w:r>
        <w:rPr>
          <w:spacing w:val="-2"/>
          <w:sz w:val="21"/>
        </w:rPr>
        <w:t>检</w:t>
      </w:r>
      <w:r>
        <w:rPr>
          <w:spacing w:val="-2"/>
          <w:sz w:val="21"/>
        </w:rPr>
        <w:t>测</w:t>
      </w:r>
      <w:r>
        <w:rPr>
          <w:spacing w:val="-2"/>
          <w:sz w:val="21"/>
        </w:rPr>
        <w:t>出</w:t>
      </w:r>
      <w:r>
        <w:rPr>
          <w:spacing w:val="-2"/>
          <w:sz w:val="21"/>
        </w:rPr>
        <w:t>的脑组织中的致病蛋</w:t>
      </w:r>
      <w:r>
        <w:rPr>
          <w:spacing w:val="-2"/>
          <w:sz w:val="21"/>
        </w:rPr>
        <w:t>白</w:t>
      </w:r>
      <w:r>
        <w:rPr>
          <w:spacing w:val="-2"/>
          <w:sz w:val="21"/>
        </w:rPr>
        <w:t>而</w:t>
      </w:r>
      <w:r>
        <w:rPr>
          <w:spacing w:val="-2"/>
          <w:sz w:val="21"/>
        </w:rPr>
        <w:t>明确诊</w:t>
      </w:r>
      <w:r>
        <w:rPr>
          <w:spacing w:val="-2"/>
          <w:sz w:val="21"/>
        </w:rPr>
        <w:t>断</w:t>
      </w:r>
      <w:r>
        <w:rPr>
          <w:spacing w:val="-2"/>
          <w:sz w:val="21"/>
        </w:rPr>
        <w:t>。</w:t>
      </w:r>
    </w:p>
    <w:p>
      <w:pPr>
        <w:pStyle w:val="ListParagraph"/>
        <w:numPr>
          <w:ilvl w:val="2"/>
          <w:numId w:val="50"/>
        </w:numPr>
        <w:tabs>
          <w:tab w:pos="1191" w:val="left" w:leader="none"/>
        </w:tabs>
        <w:spacing w:line="344" w:lineRule="exact" w:before="115" w:after="0"/>
        <w:ind w:left="1190" w:right="0" w:hanging="959"/>
        <w:jc w:val="both"/>
        <w:rPr>
          <w:sz w:val="21"/>
        </w:rPr>
      </w:pPr>
      <w:r>
        <w:rPr>
          <w:rFonts w:ascii="微软雅黑" w:eastAsia="微软雅黑"/>
          <w:b/>
          <w:spacing w:val="91"/>
          <w:sz w:val="21"/>
        </w:rPr>
        <w:t>双侧肾切除 </w:t>
      </w:r>
      <w:r>
        <w:rPr>
          <w:spacing w:val="-1"/>
          <w:sz w:val="21"/>
        </w:rPr>
        <w:t>因疾病或者意外伤害导致双侧肾切除。</w:t>
      </w:r>
    </w:p>
    <w:p>
      <w:pPr>
        <w:pStyle w:val="Heading1"/>
        <w:spacing w:line="363" w:lineRule="exact"/>
        <w:ind w:left="2883"/>
      </w:pPr>
      <w:r>
        <w:rPr>
          <w:color w:val="000000"/>
          <w:spacing w:val="-1"/>
          <w:shd w:fill="D9D9D9" w:color="auto" w:val="clear"/>
        </w:rPr>
        <w:t>因捐赠而所需的肾脏切除不在保障范围内。</w:t>
      </w:r>
    </w:p>
    <w:p>
      <w:pPr>
        <w:spacing w:after="0" w:line="363" w:lineRule="exact"/>
        <w:sectPr>
          <w:type w:val="continuous"/>
          <w:pgSz w:w="11910" w:h="16840"/>
          <w:pgMar w:header="566" w:footer="664" w:top="1340" w:bottom="860" w:left="900" w:right="720"/>
        </w:sectPr>
      </w:pPr>
    </w:p>
    <w:p>
      <w:pPr>
        <w:pStyle w:val="ListParagraph"/>
        <w:numPr>
          <w:ilvl w:val="2"/>
          <w:numId w:val="50"/>
        </w:numPr>
        <w:tabs>
          <w:tab w:pos="1190" w:val="left" w:leader="none"/>
          <w:tab w:pos="1191" w:val="left" w:leader="none"/>
        </w:tabs>
        <w:spacing w:line="350" w:lineRule="exact" w:before="88" w:after="0"/>
        <w:ind w:left="1190" w:right="0" w:hanging="959"/>
        <w:jc w:val="left"/>
        <w:rPr>
          <w:rFonts w:ascii="微软雅黑" w:eastAsia="微软雅黑"/>
          <w:b/>
          <w:sz w:val="21"/>
        </w:rPr>
      </w:pPr>
      <w:r>
        <w:rPr>
          <w:rFonts w:ascii="微软雅黑" w:eastAsia="微软雅黑"/>
          <w:b/>
          <w:spacing w:val="-2"/>
          <w:sz w:val="21"/>
        </w:rPr>
        <w:t>严重脊髓血管</w:t>
      </w:r>
    </w:p>
    <w:p>
      <w:pPr>
        <w:spacing w:line="350" w:lineRule="exact" w:before="0"/>
        <w:ind w:left="1190" w:right="0" w:firstLine="0"/>
        <w:jc w:val="left"/>
        <w:rPr>
          <w:rFonts w:ascii="微软雅黑" w:eastAsia="微软雅黑"/>
          <w:b/>
          <w:sz w:val="21"/>
        </w:rPr>
      </w:pPr>
      <w:r>
        <w:rPr>
          <w:rFonts w:ascii="微软雅黑" w:eastAsia="微软雅黑"/>
          <w:b/>
          <w:spacing w:val="-3"/>
          <w:sz w:val="21"/>
        </w:rPr>
        <w:t>病后遗症</w:t>
      </w:r>
    </w:p>
    <w:p>
      <w:pPr>
        <w:pStyle w:val="BodyText"/>
        <w:spacing w:line="268" w:lineRule="auto" w:before="155"/>
        <w:ind w:left="232" w:right="447"/>
        <w:jc w:val="both"/>
      </w:pPr>
      <w:r>
        <w:rPr/>
        <w:br w:type="column"/>
      </w:r>
      <w:r>
        <w:rPr>
          <w:spacing w:val="-2"/>
        </w:rPr>
        <w:t>指脊髓血管的突发病变引起脊髓梗塞或脊髓出血，导致永久性不可逆的神经</w:t>
      </w:r>
      <w:r>
        <w:rPr>
          <w:spacing w:val="-2"/>
        </w:rPr>
        <w:t>系统功能损害，表现为截瘫或四肢瘫。永久性不可逆的神经系统功能损害指</w:t>
      </w:r>
      <w:r>
        <w:rPr>
          <w:spacing w:val="-10"/>
        </w:rPr>
        <w:t>疾病确诊 </w:t>
      </w:r>
      <w:r>
        <w:rPr>
          <w:rFonts w:ascii="等线" w:eastAsia="等线"/>
          <w:spacing w:val="-2"/>
        </w:rPr>
        <w:t>180</w:t>
      </w:r>
      <w:r>
        <w:rPr>
          <w:rFonts w:ascii="等线" w:eastAsia="等线"/>
          <w:spacing w:val="7"/>
        </w:rPr>
        <w:t> </w:t>
      </w:r>
      <w:r>
        <w:rPr>
          <w:spacing w:val="-3"/>
        </w:rPr>
        <w:t>天后，仍然遗留后遗症并且无法独立完成下列基本日常生活活</w:t>
      </w:r>
    </w:p>
    <w:p>
      <w:pPr>
        <w:spacing w:after="0" w:line="268" w:lineRule="auto"/>
        <w:jc w:val="both"/>
        <w:sectPr>
          <w:type w:val="continuous"/>
          <w:pgSz w:w="11910" w:h="16840"/>
          <w:pgMar w:header="566" w:footer="664" w:top="1340" w:bottom="860" w:left="900" w:right="720"/>
          <w:cols w:num="2" w:equalWidth="0">
            <w:col w:w="2499" w:space="152"/>
            <w:col w:w="7639"/>
          </w:cols>
        </w:sectPr>
      </w:pPr>
    </w:p>
    <w:p>
      <w:pPr>
        <w:pStyle w:val="BodyText"/>
        <w:spacing w:before="85"/>
        <w:ind w:left="2883"/>
      </w:pPr>
      <w:r>
        <w:rPr>
          <w:spacing w:val="-4"/>
        </w:rPr>
        <w:t>动之一：</w:t>
      </w:r>
    </w:p>
    <w:p>
      <w:pPr>
        <w:pStyle w:val="ListParagraph"/>
        <w:numPr>
          <w:ilvl w:val="0"/>
          <w:numId w:val="57"/>
        </w:numPr>
        <w:tabs>
          <w:tab w:pos="3418" w:val="left" w:leader="none"/>
        </w:tabs>
        <w:spacing w:line="314" w:lineRule="exact" w:before="22" w:after="0"/>
        <w:ind w:left="3417" w:right="0" w:hanging="535"/>
        <w:jc w:val="left"/>
        <w:rPr>
          <w:sz w:val="21"/>
        </w:rPr>
      </w:pPr>
      <w:r>
        <w:rPr>
          <w:spacing w:val="-3"/>
          <w:sz w:val="21"/>
        </w:rPr>
        <w:t>移动：自己从一个房间到另一个房间；</w:t>
      </w:r>
    </w:p>
    <w:p>
      <w:pPr>
        <w:pStyle w:val="ListParagraph"/>
        <w:numPr>
          <w:ilvl w:val="0"/>
          <w:numId w:val="57"/>
        </w:numPr>
        <w:tabs>
          <w:tab w:pos="3418" w:val="left" w:leader="none"/>
        </w:tabs>
        <w:spacing w:line="314" w:lineRule="exact" w:before="0" w:after="0"/>
        <w:ind w:left="3417" w:right="0" w:hanging="535"/>
        <w:jc w:val="left"/>
        <w:rPr>
          <w:sz w:val="21"/>
        </w:rPr>
      </w:pPr>
      <w:r>
        <w:rPr>
          <w:spacing w:val="-3"/>
          <w:sz w:val="21"/>
        </w:rPr>
        <w:t>进食：自己从已准备好的碗或碟中取食物放入口中。</w:t>
      </w:r>
    </w:p>
    <w:p>
      <w:pPr>
        <w:pStyle w:val="BodyText"/>
        <w:rPr>
          <w:sz w:val="9"/>
        </w:rPr>
      </w:pPr>
    </w:p>
    <w:p>
      <w:pPr>
        <w:spacing w:after="0"/>
        <w:rPr>
          <w:sz w:val="9"/>
        </w:rPr>
        <w:sectPr>
          <w:pgSz w:w="11910" w:h="16840"/>
          <w:pgMar w:header="566" w:footer="664" w:top="1340" w:bottom="860" w:left="900" w:right="720"/>
        </w:sectPr>
      </w:pPr>
    </w:p>
    <w:p>
      <w:pPr>
        <w:pStyle w:val="ListParagraph"/>
        <w:numPr>
          <w:ilvl w:val="2"/>
          <w:numId w:val="50"/>
        </w:numPr>
        <w:tabs>
          <w:tab w:pos="1190" w:val="left" w:leader="none"/>
          <w:tab w:pos="1191" w:val="left" w:leader="none"/>
        </w:tabs>
        <w:spacing w:line="194" w:lineRule="auto" w:before="58" w:after="0"/>
        <w:ind w:left="1190" w:right="38" w:hanging="958"/>
        <w:jc w:val="left"/>
        <w:rPr>
          <w:rFonts w:ascii="微软雅黑" w:eastAsia="微软雅黑"/>
          <w:b/>
          <w:sz w:val="21"/>
        </w:rPr>
      </w:pPr>
      <w:r>
        <w:rPr/>
        <w:pict>
          <v:shape style="position:absolute;margin-left:393.670013pt;margin-top:49.405125pt;width:143.450pt;height:15.25pt;mso-position-horizontal-relative:page;mso-position-vertical-relative:paragraph;z-index:-19104256" type="#_x0000_t202" id="docshape61" filled="true" fillcolor="#d9d9d9" stroked="false">
            <v:textbox inset="0,0,0,0">
              <w:txbxContent>
                <w:p>
                  <w:pPr>
                    <w:spacing w:line="305" w:lineRule="exact" w:before="0"/>
                    <w:ind w:left="0" w:right="-15" w:firstLine="0"/>
                    <w:jc w:val="left"/>
                    <w:rPr>
                      <w:rFonts w:ascii="微软雅黑" w:eastAsia="微软雅黑"/>
                      <w:b/>
                      <w:color w:val="000000"/>
                      <w:sz w:val="22"/>
                    </w:rPr>
                  </w:pPr>
                  <w:r>
                    <w:rPr>
                      <w:rFonts w:ascii="微软雅黑" w:eastAsia="微软雅黑"/>
                      <w:b/>
                      <w:color w:val="000000"/>
                      <w:sz w:val="22"/>
                    </w:rPr>
                    <w:t>其他已知原因（</w:t>
                  </w:r>
                  <w:r>
                    <w:rPr>
                      <w:rFonts w:ascii="微软雅黑" w:eastAsia="微软雅黑"/>
                      <w:b/>
                      <w:color w:val="000000"/>
                      <w:spacing w:val="-2"/>
                      <w:sz w:val="22"/>
                    </w:rPr>
                    <w:t>例如环境和职</w:t>
                  </w:r>
                </w:p>
              </w:txbxContent>
            </v:textbox>
            <v:fill type="solid"/>
            <w10:wrap type="none"/>
          </v:shape>
        </w:pict>
      </w:r>
      <w:r>
        <w:rPr>
          <w:rFonts w:ascii="微软雅黑" w:eastAsia="微软雅黑"/>
          <w:b/>
          <w:spacing w:val="-2"/>
          <w:sz w:val="21"/>
        </w:rPr>
        <w:t>特发性肺纤维</w:t>
      </w:r>
      <w:r>
        <w:rPr>
          <w:rFonts w:ascii="微软雅黑" w:eastAsia="微软雅黑"/>
          <w:b/>
          <w:spacing w:val="-10"/>
          <w:sz w:val="21"/>
        </w:rPr>
        <w:t>化</w:t>
      </w:r>
    </w:p>
    <w:p>
      <w:pPr>
        <w:pStyle w:val="BodyText"/>
        <w:spacing w:line="259" w:lineRule="auto" w:before="72"/>
        <w:ind w:left="232" w:right="463"/>
        <w:jc w:val="both"/>
      </w:pPr>
      <w:r>
        <w:rPr/>
        <w:br w:type="column"/>
      </w:r>
      <w:r>
        <w:rPr>
          <w:spacing w:val="-2"/>
        </w:rPr>
        <w:t>是一种原因不明的、进行性的、局限于肺部的以纤维化伴蜂窝状改变为特征</w:t>
      </w:r>
      <w:r>
        <w:rPr>
          <w:spacing w:val="-2"/>
        </w:rPr>
        <w:t>的疾病，可表现为呼吸困难、咳嗽咳痰、消瘦、乏力，终末期可出现呼吸衰</w:t>
      </w:r>
      <w:r>
        <w:rPr/>
        <w:t>竭和右心衰竭体征。诊断需经外科肺活检病理证实或高分辨率 </w:t>
      </w:r>
      <w:r>
        <w:rPr>
          <w:rFonts w:ascii="等线" w:eastAsia="等线"/>
        </w:rPr>
        <w:t>CT HRCT</w:t>
      </w:r>
      <w:r>
        <w:rPr>
          <w:rFonts w:ascii="等线" w:eastAsia="等线"/>
          <w:spacing w:val="40"/>
        </w:rPr>
        <w:t> </w:t>
      </w:r>
      <w:r>
        <w:rPr/>
        <w:t>）证实为典型的普通型间质性肺炎（ </w:t>
      </w:r>
      <w:r>
        <w:rPr>
          <w:rFonts w:ascii="等线" w:eastAsia="等线"/>
        </w:rPr>
        <w:t>UIP</w:t>
      </w:r>
      <w:r>
        <w:rPr>
          <w:rFonts w:ascii="等线" w:eastAsia="等线"/>
          <w:spacing w:val="40"/>
        </w:rPr>
        <w:t> </w:t>
      </w:r>
      <w:r>
        <w:rPr>
          <w:spacing w:val="-108"/>
        </w:rPr>
        <w:t>）。</w:t>
      </w:r>
    </w:p>
    <w:p>
      <w:pPr>
        <w:spacing w:after="0" w:line="259" w:lineRule="auto"/>
        <w:jc w:val="both"/>
        <w:sectPr>
          <w:type w:val="continuous"/>
          <w:pgSz w:w="11910" w:h="16840"/>
          <w:pgMar w:header="566" w:footer="664" w:top="1340" w:bottom="860" w:left="900" w:right="720"/>
          <w:cols w:num="2" w:equalWidth="0">
            <w:col w:w="2499" w:space="152"/>
            <w:col w:w="7639"/>
          </w:cols>
        </w:sectPr>
      </w:pPr>
    </w:p>
    <w:p>
      <w:pPr>
        <w:pStyle w:val="BodyText"/>
        <w:spacing w:before="3"/>
        <w:rPr>
          <w:sz w:val="22"/>
        </w:rPr>
      </w:pPr>
    </w:p>
    <w:p>
      <w:pPr>
        <w:pStyle w:val="BodyText"/>
        <w:ind w:left="2883"/>
        <w:rPr>
          <w:sz w:val="20"/>
        </w:rPr>
      </w:pPr>
      <w:r>
        <w:rPr>
          <w:sz w:val="20"/>
        </w:rPr>
        <w:pict>
          <v:shape style="width:55.2pt;height:14.4pt;mso-position-horizontal-relative:char;mso-position-vertical-relative:line" type="#_x0000_t202" id="docshape62"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4"/>
                      <w:sz w:val="22"/>
                    </w:rPr>
                    <w:t>障范围内。</w:t>
                  </w:r>
                </w:p>
              </w:txbxContent>
            </v:textbox>
            <v:fill type="solid"/>
          </v:shape>
        </w:pict>
      </w:r>
      <w:r>
        <w:rPr>
          <w:sz w:val="20"/>
        </w:rPr>
      </w:r>
    </w:p>
    <w:p>
      <w:pPr>
        <w:pStyle w:val="BodyText"/>
        <w:spacing w:before="2"/>
        <w:rPr>
          <w:sz w:val="7"/>
        </w:rPr>
      </w:pPr>
    </w:p>
    <w:p>
      <w:pPr>
        <w:spacing w:after="0"/>
        <w:rPr>
          <w:sz w:val="7"/>
        </w:rPr>
        <w:sectPr>
          <w:type w:val="continuous"/>
          <w:pgSz w:w="11910" w:h="16840"/>
          <w:pgMar w:header="566" w:footer="664" w:top="1340" w:bottom="860" w:left="900" w:right="720"/>
        </w:sectPr>
      </w:pPr>
    </w:p>
    <w:p>
      <w:pPr>
        <w:pStyle w:val="ListParagraph"/>
        <w:numPr>
          <w:ilvl w:val="2"/>
          <w:numId w:val="50"/>
        </w:numPr>
        <w:tabs>
          <w:tab w:pos="1190" w:val="left" w:leader="none"/>
          <w:tab w:pos="1191" w:val="left" w:leader="none"/>
        </w:tabs>
        <w:spacing w:line="194" w:lineRule="auto" w:before="69" w:after="0"/>
        <w:ind w:left="1190" w:right="38" w:hanging="958"/>
        <w:jc w:val="left"/>
        <w:rPr>
          <w:rFonts w:ascii="微软雅黑" w:eastAsia="微软雅黑"/>
          <w:b/>
          <w:sz w:val="21"/>
        </w:rPr>
      </w:pPr>
      <w:r>
        <w:rPr/>
        <w:pict>
          <v:shape style="position:absolute;margin-left:189.169998pt;margin-top:-35.964874pt;width:347.95pt;height:14.4pt;mso-position-horizontal-relative:page;mso-position-vertical-relative:paragraph;z-index:15762944" type="#_x0000_t202" id="docshape63" filled="true" fillcolor="#d9d9d9" stroked="false">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z w:val="22"/>
                    </w:rPr>
                    <w:t>业暴露、结缔组织病、药物毒性）导致的间质性肺疾病（</w:t>
                  </w:r>
                  <w:r>
                    <w:rPr>
                      <w:rFonts w:ascii="微软雅黑" w:eastAsia="微软雅黑"/>
                      <w:b/>
                      <w:color w:val="000000"/>
                      <w:spacing w:val="44"/>
                      <w:sz w:val="22"/>
                    </w:rPr>
                    <w:t> </w:t>
                  </w:r>
                  <w:r>
                    <w:rPr>
                      <w:rFonts w:ascii="微软雅黑" w:eastAsia="微软雅黑"/>
                      <w:b/>
                      <w:color w:val="000000"/>
                      <w:w w:val="150"/>
                      <w:sz w:val="22"/>
                    </w:rPr>
                    <w:t>I</w:t>
                  </w:r>
                  <w:r>
                    <w:rPr>
                      <w:rFonts w:ascii="微软雅黑" w:eastAsia="微软雅黑"/>
                      <w:b/>
                      <w:color w:val="000000"/>
                      <w:w w:val="75"/>
                      <w:sz w:val="22"/>
                    </w:rPr>
                    <w:t>LD</w:t>
                  </w:r>
                  <w:r>
                    <w:rPr>
                      <w:rFonts w:ascii="微软雅黑" w:eastAsia="微软雅黑"/>
                      <w:b/>
                      <w:color w:val="000000"/>
                      <w:spacing w:val="43"/>
                      <w:sz w:val="22"/>
                    </w:rPr>
                    <w:t> </w:t>
                  </w:r>
                  <w:r>
                    <w:rPr>
                      <w:rFonts w:ascii="微软雅黑" w:eastAsia="微软雅黑"/>
                      <w:b/>
                      <w:color w:val="000000"/>
                      <w:sz w:val="22"/>
                    </w:rPr>
                    <w:t>）</w:t>
                  </w:r>
                  <w:r>
                    <w:rPr>
                      <w:rFonts w:ascii="微软雅黑" w:eastAsia="微软雅黑"/>
                      <w:b/>
                      <w:color w:val="000000"/>
                      <w:spacing w:val="-4"/>
                      <w:sz w:val="22"/>
                    </w:rPr>
                    <w:t>不在保</w:t>
                  </w:r>
                </w:p>
              </w:txbxContent>
            </v:textbox>
            <v:fill type="solid"/>
            <w10:wrap type="none"/>
          </v:shape>
        </w:pict>
      </w:r>
      <w:r>
        <w:rPr>
          <w:rFonts w:ascii="微软雅黑" w:eastAsia="微软雅黑"/>
          <w:b/>
          <w:spacing w:val="-2"/>
          <w:sz w:val="21"/>
        </w:rPr>
        <w:t>严重蜡泪样骨</w:t>
      </w:r>
      <w:r>
        <w:rPr>
          <w:rFonts w:ascii="微软雅黑" w:eastAsia="微软雅黑"/>
          <w:b/>
          <w:spacing w:val="-10"/>
          <w:sz w:val="21"/>
        </w:rPr>
        <w:t>病</w:t>
      </w:r>
    </w:p>
    <w:p>
      <w:pPr>
        <w:pStyle w:val="BodyText"/>
        <w:spacing w:line="268" w:lineRule="auto" w:before="63"/>
        <w:ind w:left="232" w:right="300"/>
      </w:pPr>
      <w:r>
        <w:rPr/>
        <w:br w:type="column"/>
      </w:r>
      <w:r>
        <w:rPr>
          <w:spacing w:val="-2"/>
        </w:rPr>
        <w:t>又称流动性骨硬化症或 </w:t>
      </w:r>
      <w:r>
        <w:rPr>
          <w:rFonts w:ascii="等线" w:eastAsia="等线"/>
        </w:rPr>
        <w:t>Leri </w:t>
      </w:r>
      <w:r>
        <w:rPr/>
        <w:t>病，是一种原因不明的骨骼发育障碍性疾病，增</w:t>
      </w:r>
      <w:r>
        <w:rPr>
          <w:spacing w:val="-2"/>
        </w:rPr>
        <w:t>生的骨质常沿一侧骨干自上而下流注发病，并由于增生骨质压迫神经核血管，</w:t>
      </w:r>
      <w:r>
        <w:rPr>
          <w:spacing w:val="-2"/>
        </w:rPr>
        <w:t>出现不同程度疼痛和跛行、局部触及骨质改变，需影像学和病理学检查确诊，</w:t>
      </w:r>
      <w:r>
        <w:rPr>
          <w:spacing w:val="-2"/>
        </w:rPr>
        <w:t>并符合下列任一症状：</w:t>
      </w:r>
    </w:p>
    <w:p>
      <w:pPr>
        <w:pStyle w:val="ListParagraph"/>
        <w:numPr>
          <w:ilvl w:val="0"/>
          <w:numId w:val="58"/>
        </w:numPr>
        <w:tabs>
          <w:tab w:pos="767" w:val="left" w:leader="none"/>
        </w:tabs>
        <w:spacing w:line="304" w:lineRule="exact" w:before="0" w:after="0"/>
        <w:ind w:left="766" w:right="0" w:hanging="535"/>
        <w:jc w:val="left"/>
        <w:rPr>
          <w:sz w:val="21"/>
        </w:rPr>
      </w:pPr>
      <w:r>
        <w:rPr>
          <w:spacing w:val="-5"/>
          <w:sz w:val="21"/>
        </w:rPr>
        <w:t>出现跛行症状，双下肢长度相差大于等于 </w:t>
      </w:r>
      <w:r>
        <w:rPr>
          <w:rFonts w:ascii="等线" w:eastAsia="等线"/>
          <w:spacing w:val="-4"/>
          <w:sz w:val="21"/>
        </w:rPr>
        <w:t>4cm</w:t>
      </w:r>
      <w:r>
        <w:rPr>
          <w:spacing w:val="-4"/>
          <w:sz w:val="21"/>
        </w:rPr>
        <w:t>；</w:t>
      </w:r>
    </w:p>
    <w:p>
      <w:pPr>
        <w:pStyle w:val="ListParagraph"/>
        <w:numPr>
          <w:ilvl w:val="0"/>
          <w:numId w:val="58"/>
        </w:numPr>
        <w:tabs>
          <w:tab w:pos="767" w:val="left" w:leader="none"/>
        </w:tabs>
        <w:spacing w:line="314" w:lineRule="exact" w:before="0" w:after="0"/>
        <w:ind w:left="766" w:right="0" w:hanging="535"/>
        <w:jc w:val="left"/>
        <w:rPr>
          <w:sz w:val="21"/>
        </w:rPr>
      </w:pPr>
      <w:r>
        <w:rPr>
          <w:spacing w:val="-3"/>
          <w:sz w:val="21"/>
        </w:rPr>
        <w:t>已接受关节融合手术或患肢的截肢手术。</w:t>
      </w:r>
    </w:p>
    <w:p>
      <w:pPr>
        <w:spacing w:after="0" w:line="314" w:lineRule="exact"/>
        <w:jc w:val="left"/>
        <w:rPr>
          <w:sz w:val="21"/>
        </w:rPr>
        <w:sectPr>
          <w:type w:val="continuous"/>
          <w:pgSz w:w="11910" w:h="16840"/>
          <w:pgMar w:header="566" w:footer="664" w:top="1340" w:bottom="860" w:left="900" w:right="720"/>
          <w:cols w:num="2" w:equalWidth="0">
            <w:col w:w="2499" w:space="152"/>
            <w:col w:w="7639"/>
          </w:cols>
        </w:sectPr>
      </w:pPr>
    </w:p>
    <w:p>
      <w:pPr>
        <w:pStyle w:val="BodyText"/>
        <w:rPr>
          <w:sz w:val="9"/>
        </w:rPr>
      </w:pPr>
    </w:p>
    <w:p>
      <w:pPr>
        <w:spacing w:after="0"/>
        <w:rPr>
          <w:sz w:val="9"/>
        </w:rPr>
        <w:sectPr>
          <w:type w:val="continuous"/>
          <w:pgSz w:w="11910" w:h="16840"/>
          <w:pgMar w:header="566" w:footer="664" w:top="1340" w:bottom="860" w:left="900" w:right="720"/>
        </w:sectPr>
      </w:pPr>
    </w:p>
    <w:p>
      <w:pPr>
        <w:pStyle w:val="ListParagraph"/>
        <w:numPr>
          <w:ilvl w:val="2"/>
          <w:numId w:val="50"/>
        </w:numPr>
        <w:tabs>
          <w:tab w:pos="1190" w:val="left" w:leader="none"/>
          <w:tab w:pos="1191" w:val="left" w:leader="none"/>
        </w:tabs>
        <w:spacing w:line="194" w:lineRule="auto" w:before="57" w:after="0"/>
        <w:ind w:left="1190" w:right="38" w:hanging="958"/>
        <w:jc w:val="left"/>
        <w:rPr>
          <w:rFonts w:ascii="微软雅黑" w:eastAsia="微软雅黑"/>
          <w:b/>
          <w:sz w:val="21"/>
        </w:rPr>
      </w:pPr>
      <w:r>
        <w:rPr>
          <w:rFonts w:ascii="微软雅黑" w:eastAsia="微软雅黑"/>
          <w:b/>
          <w:spacing w:val="-2"/>
          <w:sz w:val="21"/>
        </w:rPr>
        <w:t>创伤弧菌感染</w:t>
      </w:r>
      <w:r>
        <w:rPr>
          <w:rFonts w:ascii="微软雅黑" w:eastAsia="微软雅黑"/>
          <w:b/>
          <w:spacing w:val="-6"/>
          <w:sz w:val="21"/>
        </w:rPr>
        <w:t>截肢</w:t>
      </w:r>
    </w:p>
    <w:p>
      <w:pPr>
        <w:pStyle w:val="BodyText"/>
        <w:spacing w:before="72"/>
        <w:ind w:left="232"/>
      </w:pPr>
      <w:r>
        <w:rPr/>
        <w:br w:type="column"/>
      </w:r>
      <w:r>
        <w:rPr>
          <w:spacing w:val="-3"/>
        </w:rPr>
        <w:t>因创伤弧菌感染导致败血症和肢体损害。必须满足下列所有条件：</w:t>
      </w:r>
    </w:p>
    <w:p>
      <w:pPr>
        <w:pStyle w:val="ListParagraph"/>
        <w:numPr>
          <w:ilvl w:val="0"/>
          <w:numId w:val="59"/>
        </w:numPr>
        <w:tabs>
          <w:tab w:pos="767" w:val="left" w:leader="none"/>
        </w:tabs>
        <w:spacing w:line="314" w:lineRule="exact" w:before="22" w:after="0"/>
        <w:ind w:left="766" w:right="0" w:hanging="535"/>
        <w:jc w:val="left"/>
        <w:rPr>
          <w:sz w:val="21"/>
        </w:rPr>
      </w:pPr>
      <w:r>
        <w:rPr>
          <w:spacing w:val="-3"/>
          <w:sz w:val="21"/>
        </w:rPr>
        <w:t>近期被海鲜刺伤或肢体创口接触海水史；</w:t>
      </w:r>
    </w:p>
    <w:p>
      <w:pPr>
        <w:pStyle w:val="ListParagraph"/>
        <w:numPr>
          <w:ilvl w:val="0"/>
          <w:numId w:val="59"/>
        </w:numPr>
        <w:tabs>
          <w:tab w:pos="767" w:val="left" w:leader="none"/>
        </w:tabs>
        <w:spacing w:line="312" w:lineRule="exact" w:before="0" w:after="0"/>
        <w:ind w:left="766" w:right="0" w:hanging="535"/>
        <w:jc w:val="left"/>
        <w:rPr>
          <w:sz w:val="21"/>
        </w:rPr>
      </w:pPr>
      <w:r>
        <w:rPr>
          <w:spacing w:val="-3"/>
          <w:sz w:val="21"/>
        </w:rPr>
        <w:t>病原学检查证实致病菌为创伤弧菌；</w:t>
      </w:r>
    </w:p>
    <w:p>
      <w:pPr>
        <w:pStyle w:val="ListParagraph"/>
        <w:numPr>
          <w:ilvl w:val="0"/>
          <w:numId w:val="59"/>
        </w:numPr>
        <w:tabs>
          <w:tab w:pos="767" w:val="left" w:leader="none"/>
        </w:tabs>
        <w:spacing w:line="312" w:lineRule="exact" w:before="0" w:after="0"/>
        <w:ind w:left="766" w:right="0" w:hanging="535"/>
        <w:jc w:val="left"/>
        <w:rPr>
          <w:sz w:val="21"/>
        </w:rPr>
      </w:pPr>
      <w:r>
        <w:rPr>
          <w:spacing w:val="-3"/>
          <w:sz w:val="21"/>
        </w:rPr>
        <w:t>出现脓毒败血症或休克；</w:t>
      </w:r>
    </w:p>
    <w:p>
      <w:pPr>
        <w:pStyle w:val="ListParagraph"/>
        <w:numPr>
          <w:ilvl w:val="0"/>
          <w:numId w:val="59"/>
        </w:numPr>
        <w:tabs>
          <w:tab w:pos="767" w:val="left" w:leader="none"/>
        </w:tabs>
        <w:spacing w:line="314" w:lineRule="exact" w:before="0" w:after="0"/>
        <w:ind w:left="766" w:right="0" w:hanging="535"/>
        <w:jc w:val="left"/>
        <w:rPr>
          <w:sz w:val="21"/>
        </w:rPr>
      </w:pPr>
      <w:r>
        <w:rPr>
          <w:spacing w:val="-2"/>
          <w:sz w:val="21"/>
        </w:rPr>
        <w:t>受感染肢体被截肢（自腕关节或踝关节近端</w:t>
      </w:r>
      <w:r>
        <w:rPr>
          <w:spacing w:val="-108"/>
          <w:sz w:val="21"/>
        </w:rPr>
        <w:t>）</w:t>
      </w:r>
      <w:r>
        <w:rPr>
          <w:spacing w:val="-10"/>
          <w:sz w:val="21"/>
        </w:rPr>
        <w:t>。</w:t>
      </w:r>
    </w:p>
    <w:p>
      <w:pPr>
        <w:spacing w:after="0" w:line="314" w:lineRule="exact"/>
        <w:jc w:val="left"/>
        <w:rPr>
          <w:sz w:val="21"/>
        </w:rPr>
        <w:sectPr>
          <w:type w:val="continuous"/>
          <w:pgSz w:w="11910" w:h="16840"/>
          <w:pgMar w:header="566" w:footer="664" w:top="1340" w:bottom="860" w:left="900" w:right="720"/>
          <w:cols w:num="2" w:equalWidth="0">
            <w:col w:w="2499" w:space="152"/>
            <w:col w:w="7639"/>
          </w:cols>
        </w:sectPr>
      </w:pPr>
    </w:p>
    <w:p>
      <w:pPr>
        <w:pStyle w:val="BodyText"/>
        <w:spacing w:before="1"/>
        <w:rPr>
          <w:sz w:val="8"/>
        </w:rPr>
      </w:pPr>
    </w:p>
    <w:p>
      <w:pPr>
        <w:pStyle w:val="ListParagraph"/>
        <w:numPr>
          <w:ilvl w:val="2"/>
          <w:numId w:val="50"/>
        </w:numPr>
        <w:tabs>
          <w:tab w:pos="1190" w:val="left" w:leader="none"/>
          <w:tab w:pos="1191" w:val="left" w:leader="none"/>
          <w:tab w:pos="2883" w:val="left" w:leader="none"/>
        </w:tabs>
        <w:spacing w:line="235" w:lineRule="auto" w:before="22" w:after="0"/>
        <w:ind w:left="2883" w:right="502" w:hanging="2651"/>
        <w:jc w:val="left"/>
        <w:rPr>
          <w:sz w:val="21"/>
        </w:rPr>
      </w:pPr>
      <w:r>
        <w:rPr>
          <w:rFonts w:ascii="微软雅黑" w:eastAsia="微软雅黑"/>
          <w:b/>
          <w:spacing w:val="-2"/>
          <w:sz w:val="21"/>
        </w:rPr>
        <w:t>范</w:t>
      </w:r>
      <w:r>
        <w:rPr>
          <w:rFonts w:ascii="微软雅黑" w:eastAsia="微软雅黑"/>
          <w:b/>
          <w:spacing w:val="-2"/>
          <w:sz w:val="21"/>
        </w:rPr>
        <w:t>可</w:t>
      </w:r>
      <w:r>
        <w:rPr>
          <w:rFonts w:ascii="微软雅黑" w:eastAsia="微软雅黑"/>
          <w:b/>
          <w:spacing w:val="-2"/>
          <w:sz w:val="21"/>
        </w:rPr>
        <w:t>尼</w:t>
      </w:r>
      <w:r>
        <w:rPr>
          <w:rFonts w:ascii="微软雅黑" w:eastAsia="微软雅黑"/>
          <w:b/>
          <w:spacing w:val="-2"/>
          <w:sz w:val="21"/>
        </w:rPr>
        <w:t>综</w:t>
      </w:r>
      <w:r>
        <w:rPr>
          <w:rFonts w:ascii="微软雅黑" w:eastAsia="微软雅黑"/>
          <w:b/>
          <w:spacing w:val="-2"/>
          <w:sz w:val="21"/>
        </w:rPr>
        <w:t>合</w:t>
      </w:r>
      <w:r>
        <w:rPr>
          <w:rFonts w:ascii="微软雅黑" w:eastAsia="微软雅黑"/>
          <w:b/>
          <w:spacing w:val="-2"/>
          <w:sz w:val="21"/>
        </w:rPr>
        <w:t>征</w:t>
      </w:r>
      <w:r>
        <w:rPr>
          <w:rFonts w:ascii="微软雅黑" w:eastAsia="微软雅黑"/>
          <w:b/>
          <w:sz w:val="21"/>
        </w:rPr>
        <w:tab/>
      </w:r>
      <w:r>
        <w:rPr>
          <w:position w:val="1"/>
          <w:sz w:val="21"/>
        </w:rPr>
        <w:t>也称</w:t>
      </w:r>
      <w:r>
        <w:rPr>
          <w:spacing w:val="-53"/>
          <w:position w:val="1"/>
          <w:sz w:val="21"/>
        </w:rPr>
        <w:t> </w:t>
      </w:r>
      <w:r>
        <w:rPr>
          <w:rFonts w:ascii="等线" w:eastAsia="等线"/>
          <w:position w:val="1"/>
          <w:sz w:val="21"/>
        </w:rPr>
        <w:t>Fanconi</w:t>
      </w:r>
      <w:r>
        <w:rPr>
          <w:rFonts w:ascii="等线" w:eastAsia="等线"/>
          <w:spacing w:val="-15"/>
          <w:position w:val="1"/>
          <w:sz w:val="21"/>
        </w:rPr>
        <w:t> </w:t>
      </w:r>
      <w:r>
        <w:rPr>
          <w:position w:val="1"/>
          <w:sz w:val="21"/>
        </w:rPr>
        <w:t>综合征，指</w:t>
      </w:r>
      <w:r>
        <w:rPr>
          <w:position w:val="1"/>
          <w:sz w:val="21"/>
        </w:rPr>
        <w:t>近端肾小管的功能异常引</w:t>
      </w:r>
      <w:r>
        <w:rPr>
          <w:position w:val="1"/>
          <w:sz w:val="21"/>
        </w:rPr>
        <w:t>起的一组症候群。须</w:t>
      </w:r>
      <w:r>
        <w:rPr>
          <w:position w:val="1"/>
          <w:sz w:val="21"/>
        </w:rPr>
        <w:t>经专</w:t>
      </w:r>
      <w:r>
        <w:rPr>
          <w:spacing w:val="-2"/>
          <w:sz w:val="21"/>
        </w:rPr>
        <w:t>科</w:t>
      </w:r>
      <w:r>
        <w:rPr>
          <w:spacing w:val="-2"/>
          <w:sz w:val="21"/>
        </w:rPr>
        <w:t>医</w:t>
      </w:r>
      <w:r>
        <w:rPr>
          <w:spacing w:val="-2"/>
          <w:sz w:val="21"/>
        </w:rPr>
        <w:t>生诊断，且须满足下</w:t>
      </w:r>
      <w:r>
        <w:rPr>
          <w:spacing w:val="-2"/>
          <w:sz w:val="21"/>
        </w:rPr>
        <w:t>列</w:t>
      </w:r>
      <w:r>
        <w:rPr>
          <w:spacing w:val="-2"/>
          <w:sz w:val="21"/>
        </w:rPr>
        <w:t>至</w:t>
      </w:r>
      <w:r>
        <w:rPr>
          <w:spacing w:val="-2"/>
          <w:sz w:val="21"/>
        </w:rPr>
        <w:t>少三项条件：</w:t>
      </w:r>
    </w:p>
    <w:p>
      <w:pPr>
        <w:pStyle w:val="ListParagraph"/>
        <w:numPr>
          <w:ilvl w:val="0"/>
          <w:numId w:val="60"/>
        </w:numPr>
        <w:tabs>
          <w:tab w:pos="3418" w:val="left" w:leader="none"/>
        </w:tabs>
        <w:spacing w:line="314" w:lineRule="exact" w:before="21" w:after="0"/>
        <w:ind w:left="3417" w:right="0" w:hanging="535"/>
        <w:jc w:val="left"/>
        <w:rPr>
          <w:sz w:val="21"/>
        </w:rPr>
      </w:pPr>
      <w:r>
        <w:rPr>
          <w:spacing w:val="-3"/>
          <w:sz w:val="21"/>
        </w:rPr>
        <w:t>尿液检查出现肾性糖尿、全氨基酸糖尿或磷酸盐尿；</w:t>
      </w:r>
    </w:p>
    <w:p>
      <w:pPr>
        <w:pStyle w:val="ListParagraph"/>
        <w:numPr>
          <w:ilvl w:val="0"/>
          <w:numId w:val="60"/>
        </w:numPr>
        <w:tabs>
          <w:tab w:pos="3418" w:val="left" w:leader="none"/>
        </w:tabs>
        <w:spacing w:line="312" w:lineRule="exact" w:before="0" w:after="0"/>
        <w:ind w:left="3417" w:right="0" w:hanging="535"/>
        <w:jc w:val="left"/>
        <w:rPr>
          <w:sz w:val="21"/>
        </w:rPr>
      </w:pPr>
      <w:r>
        <w:rPr>
          <w:spacing w:val="-3"/>
          <w:sz w:val="21"/>
        </w:rPr>
        <w:t>血液检查出现低磷血症、低尿酸血症或近端肾小管酸中毒；</w:t>
      </w:r>
    </w:p>
    <w:p>
      <w:pPr>
        <w:pStyle w:val="ListParagraph"/>
        <w:numPr>
          <w:ilvl w:val="0"/>
          <w:numId w:val="60"/>
        </w:numPr>
        <w:tabs>
          <w:tab w:pos="3418" w:val="left" w:leader="none"/>
        </w:tabs>
        <w:spacing w:line="312" w:lineRule="exact" w:before="0" w:after="0"/>
        <w:ind w:left="3417" w:right="0" w:hanging="535"/>
        <w:jc w:val="left"/>
        <w:rPr>
          <w:sz w:val="21"/>
        </w:rPr>
      </w:pPr>
      <w:r>
        <w:rPr>
          <w:spacing w:val="-3"/>
          <w:sz w:val="21"/>
        </w:rPr>
        <w:t>出现骨质疏松、骨骼畸形或尿路结石。</w:t>
      </w:r>
    </w:p>
    <w:p>
      <w:pPr>
        <w:pStyle w:val="ListParagraph"/>
        <w:numPr>
          <w:ilvl w:val="0"/>
          <w:numId w:val="60"/>
        </w:numPr>
        <w:tabs>
          <w:tab w:pos="3418" w:val="left" w:leader="none"/>
        </w:tabs>
        <w:spacing w:line="252" w:lineRule="auto" w:before="0" w:after="0"/>
        <w:ind w:left="2883" w:right="404" w:firstLine="0"/>
        <w:jc w:val="left"/>
        <w:rPr>
          <w:sz w:val="21"/>
        </w:rPr>
      </w:pPr>
      <w:r>
        <w:rPr>
          <w:spacing w:val="-8"/>
          <w:w w:val="100"/>
          <w:sz w:val="21"/>
        </w:rPr>
        <w:t>通过骨髓片、白细胞、直肠黏膜中的结晶分析或裂隙灯检查角膜有胱</w:t>
      </w:r>
      <w:r>
        <w:rPr>
          <w:spacing w:val="-6"/>
          <w:w w:val="100"/>
          <w:sz w:val="21"/>
        </w:rPr>
        <w:t>氨酸结晶。</w:t>
      </w:r>
    </w:p>
    <w:p>
      <w:pPr>
        <w:pStyle w:val="Heading1"/>
        <w:spacing w:line="358" w:lineRule="exact"/>
        <w:ind w:left="2883"/>
      </w:pPr>
      <w:r>
        <w:rPr>
          <w:color w:val="000000"/>
          <w:w w:val="95"/>
          <w:shd w:fill="D9D9D9" w:color="auto" w:val="clear"/>
        </w:rPr>
        <w:t>被</w:t>
      </w:r>
      <w:r>
        <w:rPr>
          <w:color w:val="000000"/>
          <w:w w:val="95"/>
          <w:shd w:fill="D9D9D9" w:color="auto" w:val="clear"/>
        </w:rPr>
        <w:t>保</w:t>
      </w:r>
      <w:r>
        <w:rPr>
          <w:color w:val="000000"/>
          <w:w w:val="95"/>
          <w:shd w:fill="D9D9D9" w:color="auto" w:val="clear"/>
        </w:rPr>
        <w:t>险</w:t>
      </w:r>
      <w:r>
        <w:rPr>
          <w:color w:val="000000"/>
          <w:w w:val="95"/>
          <w:shd w:fill="D9D9D9" w:color="auto" w:val="clear"/>
        </w:rPr>
        <w:t>人</w:t>
      </w:r>
      <w:r>
        <w:rPr>
          <w:color w:val="000000"/>
          <w:w w:val="95"/>
          <w:shd w:fill="D9D9D9" w:color="auto" w:val="clear"/>
        </w:rPr>
        <w:t>在</w:t>
      </w:r>
      <w:r>
        <w:rPr>
          <w:color w:val="000000"/>
          <w:spacing w:val="28"/>
          <w:shd w:fill="D9D9D9" w:color="auto" w:val="clear"/>
        </w:rPr>
        <w:t>  </w:t>
      </w:r>
      <w:r>
        <w:rPr>
          <w:color w:val="000000"/>
          <w:w w:val="95"/>
          <w:shd w:fill="D9D9D9" w:color="auto" w:val="clear"/>
        </w:rPr>
        <w:t>3</w:t>
      </w:r>
      <w:r>
        <w:rPr>
          <w:color w:val="000000"/>
          <w:spacing w:val="29"/>
          <w:shd w:fill="D9D9D9" w:color="auto" w:val="clear"/>
        </w:rPr>
        <w:t>  </w:t>
      </w:r>
      <w:r>
        <w:rPr>
          <w:color w:val="000000"/>
          <w:w w:val="95"/>
          <w:shd w:fill="D9D9D9" w:color="auto" w:val="clear"/>
        </w:rPr>
        <w:t>周</w:t>
      </w:r>
      <w:r>
        <w:rPr>
          <w:color w:val="000000"/>
          <w:w w:val="95"/>
          <w:shd w:fill="D9D9D9" w:color="auto" w:val="clear"/>
        </w:rPr>
        <w:t>岁</w:t>
      </w:r>
      <w:r>
        <w:rPr>
          <w:color w:val="000000"/>
          <w:w w:val="95"/>
          <w:shd w:fill="D9D9D9" w:color="auto" w:val="clear"/>
        </w:rPr>
        <w:t>之</w:t>
      </w:r>
      <w:r>
        <w:rPr>
          <w:color w:val="000000"/>
          <w:w w:val="95"/>
          <w:shd w:fill="D9D9D9" w:color="auto" w:val="clear"/>
        </w:rPr>
        <w:t>前</w:t>
      </w:r>
      <w:r>
        <w:rPr>
          <w:color w:val="000000"/>
          <w:w w:val="95"/>
          <w:shd w:fill="D9D9D9" w:color="auto" w:val="clear"/>
        </w:rPr>
        <w:t>确</w:t>
      </w:r>
      <w:r>
        <w:rPr>
          <w:color w:val="000000"/>
          <w:w w:val="95"/>
          <w:shd w:fill="D9D9D9" w:color="auto" w:val="clear"/>
        </w:rPr>
        <w:t>诊</w:t>
      </w:r>
      <w:r>
        <w:rPr>
          <w:color w:val="000000"/>
          <w:w w:val="95"/>
          <w:shd w:fill="D9D9D9" w:color="auto" w:val="clear"/>
        </w:rPr>
        <w:t>患</w:t>
      </w:r>
      <w:r>
        <w:rPr>
          <w:color w:val="000000"/>
          <w:w w:val="95"/>
          <w:shd w:fill="D9D9D9" w:color="auto" w:val="clear"/>
        </w:rPr>
        <w:t>上</w:t>
      </w:r>
      <w:r>
        <w:rPr>
          <w:color w:val="000000"/>
          <w:w w:val="95"/>
          <w:shd w:fill="D9D9D9" w:color="auto" w:val="clear"/>
        </w:rPr>
        <w:t>该</w:t>
      </w:r>
      <w:r>
        <w:rPr>
          <w:color w:val="000000"/>
          <w:w w:val="95"/>
          <w:shd w:fill="D9D9D9" w:color="auto" w:val="clear"/>
        </w:rPr>
        <w:t>疾</w:t>
      </w:r>
      <w:r>
        <w:rPr>
          <w:color w:val="000000"/>
          <w:w w:val="95"/>
          <w:shd w:fill="D9D9D9" w:color="auto" w:val="clear"/>
        </w:rPr>
        <w:t>病</w:t>
      </w:r>
      <w:r>
        <w:rPr>
          <w:color w:val="000000"/>
          <w:w w:val="95"/>
          <w:shd w:fill="D9D9D9" w:color="auto" w:val="clear"/>
        </w:rPr>
        <w:t>，</w:t>
      </w:r>
      <w:r>
        <w:rPr>
          <w:color w:val="000000"/>
          <w:w w:val="95"/>
          <w:shd w:fill="D9D9D9" w:color="auto" w:val="clear"/>
        </w:rPr>
        <w:t>我</w:t>
      </w:r>
      <w:r>
        <w:rPr>
          <w:color w:val="000000"/>
          <w:w w:val="95"/>
          <w:shd w:fill="D9D9D9" w:color="auto" w:val="clear"/>
        </w:rPr>
        <w:t>们</w:t>
      </w:r>
      <w:r>
        <w:rPr>
          <w:color w:val="000000"/>
          <w:w w:val="95"/>
          <w:shd w:fill="D9D9D9" w:color="auto" w:val="clear"/>
        </w:rPr>
        <w:t>不</w:t>
      </w:r>
      <w:r>
        <w:rPr>
          <w:color w:val="000000"/>
          <w:w w:val="95"/>
          <w:shd w:fill="D9D9D9" w:color="auto" w:val="clear"/>
        </w:rPr>
        <w:t>承</w:t>
      </w:r>
      <w:r>
        <w:rPr>
          <w:color w:val="000000"/>
          <w:w w:val="95"/>
          <w:shd w:fill="D9D9D9" w:color="auto" w:val="clear"/>
        </w:rPr>
        <w:t>担</w:t>
      </w:r>
      <w:r>
        <w:rPr>
          <w:color w:val="000000"/>
          <w:w w:val="95"/>
          <w:shd w:fill="D9D9D9" w:color="auto" w:val="clear"/>
        </w:rPr>
        <w:t>保</w:t>
      </w:r>
      <w:r>
        <w:rPr>
          <w:color w:val="000000"/>
          <w:w w:val="95"/>
          <w:shd w:fill="D9D9D9" w:color="auto" w:val="clear"/>
        </w:rPr>
        <w:t>险</w:t>
      </w:r>
      <w:r>
        <w:rPr>
          <w:color w:val="000000"/>
          <w:w w:val="95"/>
          <w:shd w:fill="D9D9D9" w:color="auto" w:val="clear"/>
        </w:rPr>
        <w:t>责</w:t>
      </w:r>
      <w:r>
        <w:rPr>
          <w:color w:val="000000"/>
          <w:w w:val="95"/>
          <w:shd w:fill="D9D9D9" w:color="auto" w:val="clear"/>
        </w:rPr>
        <w:t>任</w:t>
      </w:r>
      <w:r>
        <w:rPr>
          <w:color w:val="000000"/>
          <w:spacing w:val="-10"/>
          <w:w w:val="95"/>
          <w:shd w:fill="D9D9D9" w:color="auto" w:val="clear"/>
        </w:rPr>
        <w:t>。</w:t>
      </w:r>
    </w:p>
    <w:p>
      <w:pPr>
        <w:spacing w:after="0" w:line="358" w:lineRule="exact"/>
        <w:sectPr>
          <w:type w:val="continuous"/>
          <w:pgSz w:w="11910" w:h="16840"/>
          <w:pgMar w:header="566" w:footer="664" w:top="1340" w:bottom="860" w:left="900" w:right="720"/>
        </w:sectPr>
      </w:pPr>
    </w:p>
    <w:p>
      <w:pPr>
        <w:pStyle w:val="ListParagraph"/>
        <w:numPr>
          <w:ilvl w:val="2"/>
          <w:numId w:val="50"/>
        </w:numPr>
        <w:tabs>
          <w:tab w:pos="1190" w:val="left" w:leader="none"/>
          <w:tab w:pos="1191" w:val="left" w:leader="none"/>
        </w:tabs>
        <w:spacing w:line="350" w:lineRule="exact" w:before="86" w:after="0"/>
        <w:ind w:left="1190" w:right="0" w:hanging="959"/>
        <w:jc w:val="left"/>
        <w:rPr>
          <w:rFonts w:ascii="微软雅黑" w:eastAsia="微软雅黑"/>
          <w:b/>
          <w:sz w:val="21"/>
        </w:rPr>
      </w:pPr>
      <w:r>
        <w:rPr>
          <w:rFonts w:ascii="微软雅黑" w:eastAsia="微软雅黑"/>
          <w:b/>
          <w:spacing w:val="-2"/>
          <w:sz w:val="21"/>
        </w:rPr>
        <w:t>原发性噬血细</w:t>
      </w:r>
    </w:p>
    <w:p>
      <w:pPr>
        <w:spacing w:line="350" w:lineRule="exact" w:before="0"/>
        <w:ind w:left="1190" w:right="0" w:firstLine="0"/>
        <w:jc w:val="left"/>
        <w:rPr>
          <w:rFonts w:ascii="微软雅黑" w:eastAsia="微软雅黑"/>
          <w:b/>
          <w:sz w:val="21"/>
        </w:rPr>
      </w:pPr>
      <w:r>
        <w:rPr>
          <w:rFonts w:ascii="微软雅黑" w:eastAsia="微软雅黑"/>
          <w:b/>
          <w:spacing w:val="-3"/>
          <w:sz w:val="21"/>
        </w:rPr>
        <w:t>胞综合征</w:t>
      </w:r>
    </w:p>
    <w:p>
      <w:pPr>
        <w:pStyle w:val="BodyText"/>
        <w:spacing w:line="278" w:lineRule="auto" w:before="153"/>
        <w:ind w:left="232" w:right="463"/>
        <w:jc w:val="both"/>
      </w:pPr>
      <w:r>
        <w:rPr/>
        <w:br w:type="column"/>
      </w:r>
      <w:r>
        <w:rPr>
          <w:spacing w:val="-4"/>
        </w:rPr>
        <w:t>噬血细胞综合征又称噬血细胞性淋巴组织细胞增生症</w:t>
      </w:r>
      <w:r>
        <w:rPr>
          <w:spacing w:val="14"/>
        </w:rPr>
        <w:t>（H</w:t>
      </w:r>
      <w:r>
        <w:rPr>
          <w:spacing w:val="11"/>
        </w:rPr>
        <w:t>L</w:t>
      </w:r>
      <w:r>
        <w:rPr>
          <w:spacing w:val="13"/>
        </w:rPr>
        <w:t>H</w:t>
      </w:r>
      <w:r>
        <w:rPr>
          <w:spacing w:val="-92"/>
        </w:rPr>
        <w:t>）</w:t>
      </w:r>
      <w:r>
        <w:rPr>
          <w:spacing w:val="-4"/>
        </w:rPr>
        <w:t>，是一组由多种</w:t>
      </w:r>
      <w:r>
        <w:rPr>
          <w:spacing w:val="-2"/>
        </w:rPr>
        <w:t>病因诱发细胞因子“瀑布式”释放，组织病理学以组织细胞增生伴随其吞噬</w:t>
      </w:r>
      <w:r>
        <w:rPr>
          <w:spacing w:val="-2"/>
        </w:rPr>
        <w:t>各种造血细胞为特征的综合征。须经由相关专科医生确诊有必要进行异体骨</w:t>
      </w:r>
      <w:r>
        <w:rPr>
          <w:spacing w:val="-2"/>
        </w:rPr>
        <w:t>髓移植手术，且须满足下列至少三项条件：</w:t>
      </w:r>
    </w:p>
    <w:p>
      <w:pPr>
        <w:pStyle w:val="ListParagraph"/>
        <w:numPr>
          <w:ilvl w:val="0"/>
          <w:numId w:val="61"/>
        </w:numPr>
        <w:tabs>
          <w:tab w:pos="762" w:val="left" w:leader="none"/>
        </w:tabs>
        <w:spacing w:line="269" w:lineRule="exact" w:before="0" w:after="0"/>
        <w:ind w:left="761" w:right="0" w:hanging="530"/>
        <w:jc w:val="left"/>
        <w:rPr>
          <w:sz w:val="21"/>
        </w:rPr>
      </w:pPr>
      <w:r>
        <w:rPr>
          <w:spacing w:val="-3"/>
          <w:sz w:val="21"/>
        </w:rPr>
        <w:t>分子生物学诊断出现特异性的基因突变；</w:t>
      </w:r>
    </w:p>
    <w:p>
      <w:pPr>
        <w:pStyle w:val="ListParagraph"/>
        <w:numPr>
          <w:ilvl w:val="0"/>
          <w:numId w:val="61"/>
        </w:numPr>
        <w:tabs>
          <w:tab w:pos="762" w:val="left" w:leader="none"/>
        </w:tabs>
        <w:spacing w:line="240" w:lineRule="auto" w:before="43" w:after="0"/>
        <w:ind w:left="761" w:right="0" w:hanging="530"/>
        <w:jc w:val="left"/>
        <w:rPr>
          <w:sz w:val="21"/>
        </w:rPr>
      </w:pPr>
      <w:r>
        <w:rPr>
          <w:spacing w:val="-2"/>
          <w:sz w:val="21"/>
        </w:rPr>
        <w:t>铁蛋白＞500ng／ml；</w:t>
      </w:r>
    </w:p>
    <w:p>
      <w:pPr>
        <w:pStyle w:val="ListParagraph"/>
        <w:numPr>
          <w:ilvl w:val="0"/>
          <w:numId w:val="61"/>
        </w:numPr>
        <w:tabs>
          <w:tab w:pos="762" w:val="left" w:leader="none"/>
        </w:tabs>
        <w:spacing w:line="278" w:lineRule="auto" w:before="44" w:after="0"/>
        <w:ind w:left="232" w:right="466" w:firstLine="0"/>
        <w:jc w:val="left"/>
        <w:rPr>
          <w:sz w:val="21"/>
        </w:rPr>
      </w:pPr>
      <w:r>
        <w:rPr>
          <w:spacing w:val="-2"/>
          <w:sz w:val="21"/>
        </w:rPr>
        <w:t>外周血细胞减少，至少累及两系，Hb＜90g／L，PLTS＜100×10</w:t>
      </w:r>
      <w:r>
        <w:rPr>
          <w:rFonts w:ascii="MS Gothic" w:hAnsi="MS Gothic" w:eastAsia="MS Gothic"/>
          <w:spacing w:val="-2"/>
          <w:sz w:val="21"/>
        </w:rPr>
        <w:t>⁹</w:t>
      </w:r>
      <w:r>
        <w:rPr>
          <w:spacing w:val="-2"/>
          <w:sz w:val="21"/>
        </w:rPr>
        <w:t>／L，</w:t>
      </w:r>
      <w:r>
        <w:rPr>
          <w:spacing w:val="-2"/>
          <w:sz w:val="21"/>
        </w:rPr>
        <w:t>中性粒细胞＜1.0×10</w:t>
      </w:r>
      <w:r>
        <w:rPr>
          <w:rFonts w:ascii="MS Gothic" w:hAnsi="MS Gothic" w:eastAsia="MS Gothic"/>
          <w:spacing w:val="-2"/>
          <w:sz w:val="21"/>
        </w:rPr>
        <w:t>⁹</w:t>
      </w:r>
      <w:r>
        <w:rPr>
          <w:spacing w:val="-2"/>
          <w:sz w:val="21"/>
        </w:rPr>
        <w:t>／L；</w:t>
      </w:r>
    </w:p>
    <w:p>
      <w:pPr>
        <w:pStyle w:val="ListParagraph"/>
        <w:numPr>
          <w:ilvl w:val="0"/>
          <w:numId w:val="61"/>
        </w:numPr>
        <w:tabs>
          <w:tab w:pos="762" w:val="left" w:leader="none"/>
        </w:tabs>
        <w:spacing w:line="278" w:lineRule="auto" w:before="0" w:after="0"/>
        <w:ind w:left="232" w:right="406" w:firstLine="0"/>
        <w:jc w:val="left"/>
        <w:rPr>
          <w:sz w:val="21"/>
        </w:rPr>
      </w:pPr>
      <w:r>
        <w:rPr>
          <w:spacing w:val="-2"/>
          <w:sz w:val="21"/>
        </w:rPr>
        <w:t>骨髓、脑脊液、脾脏及淋巴结等之特征性噬血细胞增加，无恶性肿瘤的</w:t>
      </w:r>
      <w:r>
        <w:rPr>
          <w:spacing w:val="-4"/>
          <w:sz w:val="21"/>
        </w:rPr>
        <w:t>证据；</w:t>
      </w:r>
    </w:p>
    <w:p>
      <w:pPr>
        <w:pStyle w:val="ListParagraph"/>
        <w:numPr>
          <w:ilvl w:val="0"/>
          <w:numId w:val="61"/>
        </w:numPr>
        <w:tabs>
          <w:tab w:pos="762" w:val="left" w:leader="none"/>
        </w:tabs>
        <w:spacing w:line="269" w:lineRule="exact" w:before="0" w:after="0"/>
        <w:ind w:left="761" w:right="0" w:hanging="530"/>
        <w:jc w:val="left"/>
        <w:rPr>
          <w:sz w:val="21"/>
        </w:rPr>
      </w:pPr>
      <w:r>
        <w:rPr>
          <w:spacing w:val="-12"/>
          <w:sz w:val="21"/>
        </w:rPr>
        <w:t>可溶性 </w:t>
      </w:r>
      <w:r>
        <w:rPr>
          <w:spacing w:val="-2"/>
          <w:sz w:val="21"/>
        </w:rPr>
        <w:t>CD25≥2400U/ml</w:t>
      </w:r>
      <w:r>
        <w:rPr>
          <w:spacing w:val="-10"/>
          <w:sz w:val="21"/>
        </w:rPr>
        <w:t>。</w:t>
      </w:r>
    </w:p>
    <w:p>
      <w:pPr>
        <w:pStyle w:val="BodyText"/>
        <w:spacing w:before="42"/>
        <w:ind w:left="232"/>
      </w:pPr>
      <w:r>
        <w:rPr>
          <w:spacing w:val="-3"/>
        </w:rPr>
        <w:t>任何其他病因导致的继发性噬血细胞综合征不在保障范围内。</w:t>
      </w:r>
    </w:p>
    <w:p>
      <w:pPr>
        <w:spacing w:after="0"/>
        <w:sectPr>
          <w:type w:val="continuous"/>
          <w:pgSz w:w="11910" w:h="16840"/>
          <w:pgMar w:header="566" w:footer="664" w:top="1340" w:bottom="860" w:left="900" w:right="720"/>
          <w:cols w:num="2" w:equalWidth="0">
            <w:col w:w="2499" w:space="152"/>
            <w:col w:w="7639"/>
          </w:cols>
        </w:sectPr>
      </w:pPr>
    </w:p>
    <w:p>
      <w:pPr>
        <w:pStyle w:val="BodyText"/>
        <w:spacing w:before="1"/>
        <w:rPr>
          <w:sz w:val="11"/>
        </w:rPr>
      </w:pPr>
    </w:p>
    <w:p>
      <w:pPr>
        <w:spacing w:after="0"/>
        <w:rPr>
          <w:sz w:val="11"/>
        </w:rPr>
        <w:sectPr>
          <w:type w:val="continuous"/>
          <w:pgSz w:w="11910" w:h="16840"/>
          <w:pgMar w:header="566" w:footer="664" w:top="1340" w:bottom="860" w:left="900" w:right="720"/>
        </w:sectPr>
      </w:pPr>
    </w:p>
    <w:p>
      <w:pPr>
        <w:pStyle w:val="ListParagraph"/>
        <w:numPr>
          <w:ilvl w:val="2"/>
          <w:numId w:val="50"/>
        </w:numPr>
        <w:tabs>
          <w:tab w:pos="957" w:val="left" w:leader="none"/>
          <w:tab w:pos="1191" w:val="left" w:leader="none"/>
        </w:tabs>
        <w:spacing w:line="350" w:lineRule="exact" w:before="5" w:after="0"/>
        <w:ind w:left="1190" w:right="38" w:hanging="1191"/>
        <w:jc w:val="right"/>
        <w:rPr>
          <w:rFonts w:ascii="微软雅黑" w:eastAsia="微软雅黑"/>
          <w:b/>
          <w:sz w:val="21"/>
        </w:rPr>
      </w:pPr>
      <w:r>
        <w:rPr>
          <w:rFonts w:ascii="微软雅黑" w:eastAsia="微软雅黑"/>
          <w:b/>
          <w:spacing w:val="-2"/>
          <w:sz w:val="21"/>
        </w:rPr>
        <w:t>败血症导致的</w:t>
      </w:r>
    </w:p>
    <w:p>
      <w:pPr>
        <w:spacing w:line="350" w:lineRule="exact" w:before="0"/>
        <w:ind w:left="0" w:right="38" w:firstLine="0"/>
        <w:jc w:val="right"/>
        <w:rPr>
          <w:rFonts w:ascii="微软雅黑" w:eastAsia="微软雅黑"/>
          <w:b/>
          <w:sz w:val="21"/>
        </w:rPr>
      </w:pPr>
      <w:r>
        <w:rPr>
          <w:rFonts w:ascii="微软雅黑" w:eastAsia="微软雅黑"/>
          <w:b/>
          <w:spacing w:val="-2"/>
          <w:sz w:val="21"/>
        </w:rPr>
        <w:t>多器官功能障</w:t>
      </w:r>
    </w:p>
    <w:p>
      <w:pPr>
        <w:pStyle w:val="BodyText"/>
        <w:spacing w:line="278" w:lineRule="auto" w:before="72"/>
        <w:ind w:left="232" w:right="300"/>
      </w:pPr>
      <w:r>
        <w:rPr/>
        <w:br w:type="column"/>
      </w:r>
      <w:r>
        <w:rPr>
          <w:spacing w:val="-2"/>
        </w:rPr>
        <w:t>指由认可的医院的专科医生确诊为败血症，并由血液或骨髓检查证实致病菌，</w:t>
      </w:r>
      <w:r>
        <w:rPr>
          <w:spacing w:val="-2"/>
        </w:rPr>
        <w:t>伴发一个或多个器官系统生理功能障碍，并因该疾病入住重症监护病房至少</w:t>
      </w:r>
    </w:p>
    <w:p>
      <w:pPr>
        <w:spacing w:after="0" w:line="278" w:lineRule="auto"/>
        <w:sectPr>
          <w:type w:val="continuous"/>
          <w:pgSz w:w="11910" w:h="16840"/>
          <w:pgMar w:header="566" w:footer="664" w:top="1340" w:bottom="860" w:left="900" w:right="720"/>
          <w:cols w:num="2" w:equalWidth="0">
            <w:col w:w="2499" w:space="152"/>
            <w:col w:w="7639"/>
          </w:cols>
        </w:sectPr>
      </w:pPr>
    </w:p>
    <w:p>
      <w:pPr>
        <w:pStyle w:val="BodyText"/>
        <w:spacing w:before="12"/>
        <w:rPr>
          <w:sz w:val="7"/>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0"/>
        <w:gridCol w:w="1694"/>
        <w:gridCol w:w="7260"/>
      </w:tblGrid>
      <w:tr>
        <w:trPr>
          <w:trHeight w:val="271" w:hRule="atLeast"/>
        </w:trPr>
        <w:tc>
          <w:tcPr>
            <w:tcW w:w="900" w:type="dxa"/>
            <w:vMerge w:val="restart"/>
          </w:tcPr>
          <w:p>
            <w:pPr>
              <w:pStyle w:val="TableParagraph"/>
              <w:rPr>
                <w:rFonts w:ascii="Times New Roman"/>
                <w:sz w:val="20"/>
              </w:rPr>
            </w:pPr>
          </w:p>
        </w:tc>
        <w:tc>
          <w:tcPr>
            <w:tcW w:w="1694" w:type="dxa"/>
          </w:tcPr>
          <w:p>
            <w:pPr>
              <w:pStyle w:val="TableParagraph"/>
              <w:spacing w:line="251" w:lineRule="exact"/>
              <w:ind w:left="108"/>
              <w:rPr>
                <w:rFonts w:ascii="微软雅黑" w:eastAsia="微软雅黑"/>
                <w:b/>
                <w:sz w:val="21"/>
              </w:rPr>
            </w:pPr>
            <w:r>
              <w:rPr>
                <w:rFonts w:ascii="微软雅黑" w:eastAsia="微软雅黑"/>
                <w:b/>
                <w:spacing w:val="-3"/>
                <w:sz w:val="21"/>
              </w:rPr>
              <w:t>碍综合症</w:t>
            </w:r>
          </w:p>
        </w:tc>
        <w:tc>
          <w:tcPr>
            <w:tcW w:w="7260" w:type="dxa"/>
          </w:tcPr>
          <w:p>
            <w:pPr>
              <w:pStyle w:val="TableParagraph"/>
              <w:spacing w:line="251" w:lineRule="exact"/>
              <w:ind w:left="106"/>
              <w:rPr>
                <w:sz w:val="21"/>
              </w:rPr>
            </w:pPr>
            <w:r>
              <w:rPr>
                <w:rFonts w:ascii="等线" w:eastAsia="等线"/>
                <w:spacing w:val="-2"/>
                <w:sz w:val="21"/>
              </w:rPr>
              <w:t>96</w:t>
            </w:r>
            <w:r>
              <w:rPr>
                <w:rFonts w:ascii="等线" w:eastAsia="等线"/>
                <w:spacing w:val="4"/>
                <w:sz w:val="21"/>
              </w:rPr>
              <w:t> </w:t>
            </w:r>
            <w:r>
              <w:rPr>
                <w:spacing w:val="-3"/>
                <w:sz w:val="21"/>
              </w:rPr>
              <w:t>小时，同时至少满足以下一条标准：</w:t>
            </w:r>
          </w:p>
        </w:tc>
      </w:tr>
      <w:tr>
        <w:trPr>
          <w:trHeight w:val="312" w:hRule="atLeast"/>
        </w:trPr>
        <w:tc>
          <w:tcPr>
            <w:tcW w:w="900" w:type="dxa"/>
            <w:vMerge/>
            <w:tcBorders>
              <w:top w:val="nil"/>
            </w:tcBorders>
          </w:tcPr>
          <w:p>
            <w:pPr>
              <w:rPr>
                <w:sz w:val="2"/>
                <w:szCs w:val="2"/>
              </w:rPr>
            </w:pPr>
          </w:p>
        </w:tc>
        <w:tc>
          <w:tcPr>
            <w:tcW w:w="1694" w:type="dxa"/>
          </w:tcPr>
          <w:p>
            <w:pPr>
              <w:pStyle w:val="TableParagraph"/>
              <w:rPr>
                <w:rFonts w:ascii="Times New Roman"/>
                <w:sz w:val="20"/>
              </w:rPr>
            </w:pPr>
          </w:p>
        </w:tc>
        <w:tc>
          <w:tcPr>
            <w:tcW w:w="7260" w:type="dxa"/>
          </w:tcPr>
          <w:p>
            <w:pPr>
              <w:pStyle w:val="TableParagraph"/>
              <w:spacing w:line="289" w:lineRule="exact" w:before="3"/>
              <w:ind w:left="106"/>
              <w:rPr>
                <w:sz w:val="21"/>
              </w:rPr>
            </w:pPr>
            <w:r>
              <w:rPr>
                <w:spacing w:val="-2"/>
                <w:sz w:val="21"/>
              </w:rPr>
              <w:t>（</w:t>
            </w:r>
            <w:r>
              <w:rPr>
                <w:rFonts w:ascii="等线" w:eastAsia="等线"/>
                <w:spacing w:val="-2"/>
                <w:sz w:val="21"/>
              </w:rPr>
              <w:t>1</w:t>
            </w:r>
            <w:r>
              <w:rPr>
                <w:spacing w:val="-2"/>
                <w:sz w:val="21"/>
              </w:rPr>
              <w:t>）</w:t>
            </w:r>
            <w:r>
              <w:rPr>
                <w:spacing w:val="-3"/>
                <w:sz w:val="21"/>
              </w:rPr>
              <w:t>呼吸衰竭，需要进行气管插管机械通气；</w:t>
            </w:r>
          </w:p>
        </w:tc>
      </w:tr>
      <w:tr>
        <w:trPr>
          <w:trHeight w:val="312" w:hRule="atLeast"/>
        </w:trPr>
        <w:tc>
          <w:tcPr>
            <w:tcW w:w="900" w:type="dxa"/>
            <w:vMerge/>
            <w:tcBorders>
              <w:top w:val="nil"/>
            </w:tcBorders>
          </w:tcPr>
          <w:p>
            <w:pPr>
              <w:rPr>
                <w:sz w:val="2"/>
                <w:szCs w:val="2"/>
              </w:rPr>
            </w:pPr>
          </w:p>
        </w:tc>
        <w:tc>
          <w:tcPr>
            <w:tcW w:w="1694" w:type="dxa"/>
          </w:tcPr>
          <w:p>
            <w:pPr>
              <w:pStyle w:val="TableParagraph"/>
              <w:rPr>
                <w:rFonts w:ascii="Times New Roman"/>
                <w:sz w:val="20"/>
              </w:rPr>
            </w:pPr>
          </w:p>
        </w:tc>
        <w:tc>
          <w:tcPr>
            <w:tcW w:w="7260" w:type="dxa"/>
          </w:tcPr>
          <w:p>
            <w:pPr>
              <w:pStyle w:val="TableParagraph"/>
              <w:spacing w:line="289" w:lineRule="exact" w:before="3"/>
              <w:ind w:left="106"/>
              <w:rPr>
                <w:sz w:val="21"/>
              </w:rPr>
            </w:pPr>
            <w:r>
              <w:rPr>
                <w:spacing w:val="-2"/>
                <w:sz w:val="21"/>
              </w:rPr>
              <w:t>（</w:t>
            </w:r>
            <w:r>
              <w:rPr>
                <w:rFonts w:ascii="等线" w:hAnsi="等线" w:eastAsia="等线"/>
                <w:spacing w:val="-2"/>
                <w:sz w:val="21"/>
              </w:rPr>
              <w:t>2</w:t>
            </w:r>
            <w:r>
              <w:rPr>
                <w:spacing w:val="-2"/>
                <w:sz w:val="21"/>
              </w:rPr>
              <w:t>）凝血血小板计数＜</w:t>
            </w:r>
            <w:r>
              <w:rPr>
                <w:rFonts w:ascii="等线" w:hAnsi="等线" w:eastAsia="等线"/>
                <w:spacing w:val="-2"/>
                <w:sz w:val="21"/>
              </w:rPr>
              <w:t>50</w:t>
            </w:r>
            <w:r>
              <w:rPr>
                <w:spacing w:val="-2"/>
                <w:sz w:val="21"/>
              </w:rPr>
              <w:t>×</w:t>
            </w:r>
            <w:r>
              <w:rPr>
                <w:rFonts w:ascii="等线" w:hAnsi="等线" w:eastAsia="等线"/>
                <w:spacing w:val="-2"/>
                <w:sz w:val="21"/>
              </w:rPr>
              <w:t>10³/</w:t>
            </w:r>
            <w:r>
              <w:rPr>
                <w:spacing w:val="-5"/>
                <w:sz w:val="21"/>
              </w:rPr>
              <w:t>微升；</w:t>
            </w:r>
          </w:p>
        </w:tc>
      </w:tr>
      <w:tr>
        <w:trPr>
          <w:trHeight w:val="311" w:hRule="atLeast"/>
        </w:trPr>
        <w:tc>
          <w:tcPr>
            <w:tcW w:w="900" w:type="dxa"/>
            <w:vMerge/>
            <w:tcBorders>
              <w:top w:val="nil"/>
            </w:tcBorders>
          </w:tcPr>
          <w:p>
            <w:pPr>
              <w:rPr>
                <w:sz w:val="2"/>
                <w:szCs w:val="2"/>
              </w:rPr>
            </w:pPr>
          </w:p>
        </w:tc>
        <w:tc>
          <w:tcPr>
            <w:tcW w:w="1694" w:type="dxa"/>
          </w:tcPr>
          <w:p>
            <w:pPr>
              <w:pStyle w:val="TableParagraph"/>
              <w:rPr>
                <w:rFonts w:ascii="Times New Roman"/>
                <w:sz w:val="20"/>
              </w:rPr>
            </w:pPr>
          </w:p>
        </w:tc>
        <w:tc>
          <w:tcPr>
            <w:tcW w:w="7260" w:type="dxa"/>
          </w:tcPr>
          <w:p>
            <w:pPr>
              <w:pStyle w:val="TableParagraph"/>
              <w:spacing w:line="289" w:lineRule="exact" w:before="3"/>
              <w:ind w:left="106"/>
              <w:rPr>
                <w:sz w:val="21"/>
              </w:rPr>
            </w:pPr>
            <w:r>
              <w:rPr>
                <w:sz w:val="21"/>
              </w:rPr>
              <w:t>（</w:t>
            </w:r>
            <w:r>
              <w:rPr>
                <w:rFonts w:ascii="等线" w:hAnsi="等线" w:eastAsia="等线"/>
                <w:sz w:val="21"/>
              </w:rPr>
              <w:t>3</w:t>
            </w:r>
            <w:r>
              <w:rPr>
                <w:sz w:val="21"/>
              </w:rPr>
              <w:t>）</w:t>
            </w:r>
            <w:r>
              <w:rPr>
                <w:spacing w:val="-1"/>
                <w:sz w:val="21"/>
              </w:rPr>
              <w:t>肝功能不全，胆红素＞ </w:t>
            </w:r>
            <w:r>
              <w:rPr>
                <w:rFonts w:ascii="等线" w:hAnsi="等线" w:eastAsia="等线"/>
                <w:sz w:val="21"/>
              </w:rPr>
              <w:t>6mg</w:t>
            </w:r>
            <w:r>
              <w:rPr>
                <w:rFonts w:ascii="等线" w:hAnsi="等线" w:eastAsia="等线"/>
                <w:spacing w:val="-3"/>
                <w:sz w:val="21"/>
              </w:rPr>
              <w:t>/ </w:t>
            </w:r>
            <w:r>
              <w:rPr>
                <w:rFonts w:ascii="等线" w:hAnsi="等线" w:eastAsia="等线"/>
                <w:sz w:val="21"/>
              </w:rPr>
              <w:t>dl</w:t>
            </w:r>
            <w:r>
              <w:rPr>
                <w:rFonts w:ascii="等线" w:hAnsi="等线" w:eastAsia="等线"/>
                <w:spacing w:val="-11"/>
                <w:sz w:val="21"/>
              </w:rPr>
              <w:t> </w:t>
            </w:r>
            <w:r>
              <w:rPr>
                <w:spacing w:val="-2"/>
                <w:sz w:val="21"/>
              </w:rPr>
              <w:t>或＞ </w:t>
            </w:r>
            <w:r>
              <w:rPr>
                <w:rFonts w:ascii="等线" w:hAnsi="等线" w:eastAsia="等线"/>
                <w:spacing w:val="-2"/>
                <w:sz w:val="21"/>
              </w:rPr>
              <w:t>102μmol/L</w:t>
            </w:r>
            <w:r>
              <w:rPr>
                <w:spacing w:val="-2"/>
                <w:sz w:val="21"/>
              </w:rPr>
              <w:t>；</w:t>
            </w:r>
          </w:p>
        </w:tc>
      </w:tr>
      <w:tr>
        <w:trPr>
          <w:trHeight w:val="312" w:hRule="atLeast"/>
        </w:trPr>
        <w:tc>
          <w:tcPr>
            <w:tcW w:w="900" w:type="dxa"/>
            <w:vMerge/>
            <w:tcBorders>
              <w:top w:val="nil"/>
            </w:tcBorders>
          </w:tcPr>
          <w:p>
            <w:pPr>
              <w:rPr>
                <w:sz w:val="2"/>
                <w:szCs w:val="2"/>
              </w:rPr>
            </w:pPr>
          </w:p>
        </w:tc>
        <w:tc>
          <w:tcPr>
            <w:tcW w:w="1694" w:type="dxa"/>
          </w:tcPr>
          <w:p>
            <w:pPr>
              <w:pStyle w:val="TableParagraph"/>
              <w:rPr>
                <w:rFonts w:ascii="Times New Roman"/>
                <w:sz w:val="20"/>
              </w:rPr>
            </w:pPr>
          </w:p>
        </w:tc>
        <w:tc>
          <w:tcPr>
            <w:tcW w:w="7260" w:type="dxa"/>
          </w:tcPr>
          <w:p>
            <w:pPr>
              <w:pStyle w:val="TableParagraph"/>
              <w:spacing w:line="289" w:lineRule="exact" w:before="3"/>
              <w:ind w:left="106"/>
              <w:rPr>
                <w:sz w:val="21"/>
              </w:rPr>
            </w:pPr>
            <w:r>
              <w:rPr>
                <w:spacing w:val="-2"/>
                <w:sz w:val="21"/>
              </w:rPr>
              <w:t>（</w:t>
            </w:r>
            <w:r>
              <w:rPr>
                <w:rFonts w:ascii="等线" w:eastAsia="等线"/>
                <w:spacing w:val="-2"/>
                <w:sz w:val="21"/>
              </w:rPr>
              <w:t>4</w:t>
            </w:r>
            <w:r>
              <w:rPr>
                <w:spacing w:val="-2"/>
                <w:sz w:val="21"/>
              </w:rPr>
              <w:t>）</w:t>
            </w:r>
            <w:r>
              <w:rPr>
                <w:spacing w:val="-4"/>
                <w:sz w:val="21"/>
              </w:rPr>
              <w:t>已经使用强心剂；</w:t>
            </w:r>
          </w:p>
        </w:tc>
      </w:tr>
      <w:tr>
        <w:trPr>
          <w:trHeight w:val="312" w:hRule="atLeast"/>
        </w:trPr>
        <w:tc>
          <w:tcPr>
            <w:tcW w:w="900" w:type="dxa"/>
            <w:vMerge/>
            <w:tcBorders>
              <w:top w:val="nil"/>
            </w:tcBorders>
          </w:tcPr>
          <w:p>
            <w:pPr>
              <w:rPr>
                <w:sz w:val="2"/>
                <w:szCs w:val="2"/>
              </w:rPr>
            </w:pPr>
          </w:p>
        </w:tc>
        <w:tc>
          <w:tcPr>
            <w:tcW w:w="1694" w:type="dxa"/>
          </w:tcPr>
          <w:p>
            <w:pPr>
              <w:pStyle w:val="TableParagraph"/>
              <w:rPr>
                <w:rFonts w:ascii="Times New Roman"/>
                <w:sz w:val="20"/>
              </w:rPr>
            </w:pPr>
          </w:p>
        </w:tc>
        <w:tc>
          <w:tcPr>
            <w:tcW w:w="7260" w:type="dxa"/>
          </w:tcPr>
          <w:p>
            <w:pPr>
              <w:pStyle w:val="TableParagraph"/>
              <w:spacing w:line="289" w:lineRule="exact" w:before="3"/>
              <w:ind w:left="106"/>
              <w:rPr>
                <w:sz w:val="21"/>
              </w:rPr>
            </w:pPr>
            <w:r>
              <w:rPr>
                <w:sz w:val="21"/>
              </w:rPr>
              <w:t>（</w:t>
            </w:r>
            <w:r>
              <w:rPr>
                <w:rFonts w:ascii="等线" w:hAnsi="等线" w:eastAsia="等线"/>
                <w:sz w:val="21"/>
              </w:rPr>
              <w:t>5</w:t>
            </w:r>
            <w:r>
              <w:rPr>
                <w:sz w:val="21"/>
              </w:rPr>
              <w:t>）昏迷：格拉斯哥昏迷评分（</w:t>
            </w:r>
            <w:r>
              <w:rPr>
                <w:rFonts w:ascii="等线" w:hAnsi="等线" w:eastAsia="等线"/>
                <w:sz w:val="21"/>
              </w:rPr>
              <w:t>GCS</w:t>
            </w:r>
            <w:r>
              <w:rPr>
                <w:sz w:val="21"/>
              </w:rPr>
              <w:t>）</w:t>
            </w:r>
            <w:r>
              <w:rPr>
                <w:spacing w:val="-14"/>
                <w:sz w:val="21"/>
              </w:rPr>
              <w:t>≤ </w:t>
            </w:r>
            <w:r>
              <w:rPr>
                <w:rFonts w:ascii="等线" w:hAnsi="等线" w:eastAsia="等线"/>
                <w:spacing w:val="-5"/>
                <w:sz w:val="21"/>
              </w:rPr>
              <w:t>9</w:t>
            </w:r>
            <w:r>
              <w:rPr>
                <w:spacing w:val="-5"/>
                <w:sz w:val="21"/>
              </w:rPr>
              <w:t>；</w:t>
            </w:r>
          </w:p>
        </w:tc>
      </w:tr>
      <w:tr>
        <w:trPr>
          <w:trHeight w:val="315" w:hRule="atLeast"/>
        </w:trPr>
        <w:tc>
          <w:tcPr>
            <w:tcW w:w="900" w:type="dxa"/>
            <w:vMerge/>
            <w:tcBorders>
              <w:top w:val="nil"/>
            </w:tcBorders>
          </w:tcPr>
          <w:p>
            <w:pPr>
              <w:rPr>
                <w:sz w:val="2"/>
                <w:szCs w:val="2"/>
              </w:rPr>
            </w:pPr>
          </w:p>
        </w:tc>
        <w:tc>
          <w:tcPr>
            <w:tcW w:w="1694" w:type="dxa"/>
          </w:tcPr>
          <w:p>
            <w:pPr>
              <w:pStyle w:val="TableParagraph"/>
              <w:rPr>
                <w:rFonts w:ascii="Times New Roman"/>
                <w:sz w:val="20"/>
              </w:rPr>
            </w:pPr>
          </w:p>
        </w:tc>
        <w:tc>
          <w:tcPr>
            <w:tcW w:w="7260" w:type="dxa"/>
          </w:tcPr>
          <w:p>
            <w:pPr>
              <w:pStyle w:val="TableParagraph"/>
              <w:spacing w:line="292" w:lineRule="exact" w:before="3"/>
              <w:ind w:left="106"/>
              <w:rPr>
                <w:sz w:val="21"/>
              </w:rPr>
            </w:pPr>
            <w:r>
              <w:rPr>
                <w:spacing w:val="-2"/>
                <w:sz w:val="21"/>
              </w:rPr>
              <w:t>（</w:t>
            </w:r>
            <w:r>
              <w:rPr>
                <w:rFonts w:ascii="等线" w:hAnsi="等线" w:eastAsia="等线"/>
                <w:spacing w:val="-2"/>
                <w:sz w:val="21"/>
              </w:rPr>
              <w:t>6</w:t>
            </w:r>
            <w:r>
              <w:rPr>
                <w:spacing w:val="-2"/>
                <w:sz w:val="21"/>
              </w:rPr>
              <w:t>）肾功能衰竭，血清肌酐＞</w:t>
            </w:r>
            <w:r>
              <w:rPr>
                <w:rFonts w:ascii="等线" w:hAnsi="等线" w:eastAsia="等线"/>
                <w:spacing w:val="-2"/>
                <w:sz w:val="21"/>
              </w:rPr>
              <w:t>300μmol/</w:t>
            </w:r>
            <w:r>
              <w:rPr>
                <w:rFonts w:ascii="等线" w:hAnsi="等线" w:eastAsia="等线"/>
                <w:spacing w:val="-7"/>
                <w:sz w:val="21"/>
              </w:rPr>
              <w:t> </w:t>
            </w:r>
            <w:r>
              <w:rPr>
                <w:rFonts w:ascii="等线" w:hAnsi="等线" w:eastAsia="等线"/>
                <w:spacing w:val="-2"/>
                <w:sz w:val="21"/>
              </w:rPr>
              <w:t>L</w:t>
            </w:r>
            <w:r>
              <w:rPr>
                <w:rFonts w:ascii="等线" w:hAnsi="等线" w:eastAsia="等线"/>
                <w:spacing w:val="-1"/>
                <w:sz w:val="21"/>
              </w:rPr>
              <w:t> </w:t>
            </w:r>
            <w:r>
              <w:rPr>
                <w:spacing w:val="-2"/>
                <w:sz w:val="21"/>
              </w:rPr>
              <w:t>或＞</w:t>
            </w:r>
            <w:r>
              <w:rPr>
                <w:rFonts w:ascii="等线" w:hAnsi="等线" w:eastAsia="等线"/>
                <w:spacing w:val="-2"/>
                <w:sz w:val="21"/>
              </w:rPr>
              <w:t>3.5mg</w:t>
            </w:r>
            <w:r>
              <w:rPr>
                <w:rFonts w:ascii="等线" w:hAnsi="等线" w:eastAsia="等线"/>
                <w:spacing w:val="-3"/>
                <w:sz w:val="21"/>
              </w:rPr>
              <w:t> / </w:t>
            </w:r>
            <w:r>
              <w:rPr>
                <w:rFonts w:ascii="等线" w:hAnsi="等线" w:eastAsia="等线"/>
                <w:spacing w:val="-2"/>
                <w:sz w:val="21"/>
              </w:rPr>
              <w:t>dl</w:t>
            </w:r>
            <w:r>
              <w:rPr>
                <w:rFonts w:ascii="等线" w:hAnsi="等线" w:eastAsia="等线"/>
                <w:spacing w:val="-1"/>
                <w:sz w:val="21"/>
              </w:rPr>
              <w:t> </w:t>
            </w:r>
            <w:r>
              <w:rPr>
                <w:spacing w:val="-2"/>
                <w:sz w:val="21"/>
              </w:rPr>
              <w:t>或尿量＜</w:t>
            </w:r>
            <w:r>
              <w:rPr>
                <w:rFonts w:ascii="等线" w:hAnsi="等线" w:eastAsia="等线"/>
                <w:spacing w:val="-2"/>
                <w:sz w:val="21"/>
              </w:rPr>
              <w:t>500ml/d</w:t>
            </w:r>
            <w:r>
              <w:rPr>
                <w:spacing w:val="-2"/>
                <w:sz w:val="21"/>
              </w:rPr>
              <w:t>；</w:t>
            </w:r>
          </w:p>
        </w:tc>
      </w:tr>
      <w:tr>
        <w:trPr>
          <w:trHeight w:val="392" w:hRule="atLeast"/>
        </w:trPr>
        <w:tc>
          <w:tcPr>
            <w:tcW w:w="900" w:type="dxa"/>
            <w:vMerge/>
            <w:tcBorders>
              <w:top w:val="nil"/>
            </w:tcBorders>
          </w:tcPr>
          <w:p>
            <w:pPr>
              <w:rPr>
                <w:sz w:val="2"/>
                <w:szCs w:val="2"/>
              </w:rPr>
            </w:pPr>
          </w:p>
        </w:tc>
        <w:tc>
          <w:tcPr>
            <w:tcW w:w="1694" w:type="dxa"/>
          </w:tcPr>
          <w:p>
            <w:pPr>
              <w:pStyle w:val="TableParagraph"/>
              <w:rPr>
                <w:rFonts w:ascii="Times New Roman"/>
                <w:sz w:val="20"/>
              </w:rPr>
            </w:pPr>
          </w:p>
        </w:tc>
        <w:tc>
          <w:tcPr>
            <w:tcW w:w="7260" w:type="dxa"/>
          </w:tcPr>
          <w:p>
            <w:pPr>
              <w:pStyle w:val="TableParagraph"/>
              <w:spacing w:line="349" w:lineRule="exact"/>
              <w:ind w:left="106"/>
              <w:rPr>
                <w:rFonts w:ascii="微软雅黑" w:eastAsia="微软雅黑"/>
                <w:b/>
                <w:sz w:val="22"/>
              </w:rPr>
            </w:pPr>
            <w:r>
              <w:rPr>
                <w:rFonts w:ascii="微软雅黑" w:eastAsia="微软雅黑"/>
                <w:b/>
                <w:color w:val="000000"/>
                <w:spacing w:val="-1"/>
                <w:sz w:val="22"/>
                <w:shd w:fill="D9D9D9" w:color="auto" w:val="clear"/>
              </w:rPr>
              <w:t>非败血症引起的多器官功能障碍综合征不在保障范围内。</w:t>
            </w:r>
          </w:p>
        </w:tc>
      </w:tr>
      <w:tr>
        <w:trPr>
          <w:trHeight w:val="404" w:hRule="atLeast"/>
        </w:trPr>
        <w:tc>
          <w:tcPr>
            <w:tcW w:w="900" w:type="dxa"/>
          </w:tcPr>
          <w:p>
            <w:pPr>
              <w:pStyle w:val="TableParagraph"/>
              <w:spacing w:line="341" w:lineRule="exact" w:before="44"/>
              <w:ind w:left="50"/>
              <w:rPr>
                <w:rFonts w:ascii="微软雅黑"/>
                <w:b/>
                <w:sz w:val="21"/>
              </w:rPr>
            </w:pPr>
            <w:r>
              <w:rPr>
                <w:rFonts w:ascii="微软雅黑"/>
                <w:b/>
                <w:spacing w:val="-2"/>
                <w:sz w:val="21"/>
              </w:rPr>
              <w:t>8.1.113</w:t>
            </w:r>
          </w:p>
        </w:tc>
        <w:tc>
          <w:tcPr>
            <w:tcW w:w="1694" w:type="dxa"/>
          </w:tcPr>
          <w:p>
            <w:pPr>
              <w:pStyle w:val="TableParagraph"/>
              <w:spacing w:line="341" w:lineRule="exact" w:before="44"/>
              <w:ind w:left="108"/>
              <w:rPr>
                <w:rFonts w:ascii="微软雅黑" w:eastAsia="微软雅黑"/>
                <w:b/>
                <w:sz w:val="21"/>
              </w:rPr>
            </w:pPr>
            <w:r>
              <w:rPr>
                <w:rFonts w:ascii="微软雅黑" w:eastAsia="微软雅黑"/>
                <w:b/>
                <w:spacing w:val="-4"/>
                <w:sz w:val="21"/>
              </w:rPr>
              <w:t>戈谢病</w:t>
            </w:r>
          </w:p>
        </w:tc>
        <w:tc>
          <w:tcPr>
            <w:tcW w:w="7260" w:type="dxa"/>
          </w:tcPr>
          <w:p>
            <w:pPr>
              <w:pStyle w:val="TableParagraph"/>
              <w:spacing w:line="295" w:lineRule="exact" w:before="90"/>
              <w:ind w:left="106"/>
              <w:rPr>
                <w:sz w:val="21"/>
              </w:rPr>
            </w:pPr>
            <w:r>
              <w:rPr>
                <w:spacing w:val="-2"/>
                <w:sz w:val="21"/>
              </w:rPr>
              <w:t>戈谢病（</w:t>
            </w:r>
            <w:r>
              <w:rPr>
                <w:rFonts w:ascii="等线" w:eastAsia="等线"/>
                <w:spacing w:val="-2"/>
                <w:sz w:val="21"/>
              </w:rPr>
              <w:t>Gaucher</w:t>
            </w:r>
            <w:r>
              <w:rPr>
                <w:rFonts w:ascii="等线" w:eastAsia="等线"/>
                <w:spacing w:val="11"/>
                <w:sz w:val="21"/>
              </w:rPr>
              <w:t> </w:t>
            </w:r>
            <w:r>
              <w:rPr>
                <w:rFonts w:ascii="等线" w:eastAsia="等线"/>
                <w:spacing w:val="-2"/>
                <w:sz w:val="21"/>
              </w:rPr>
              <w:t>disease</w:t>
            </w:r>
            <w:r>
              <w:rPr>
                <w:spacing w:val="-2"/>
                <w:sz w:val="21"/>
              </w:rPr>
              <w:t>，</w:t>
            </w:r>
            <w:r>
              <w:rPr>
                <w:rFonts w:ascii="等线" w:eastAsia="等线"/>
                <w:spacing w:val="-2"/>
                <w:sz w:val="21"/>
              </w:rPr>
              <w:t>GD</w:t>
            </w:r>
            <w:r>
              <w:rPr>
                <w:spacing w:val="-2"/>
                <w:sz w:val="21"/>
              </w:rPr>
              <w:t>）</w:t>
            </w:r>
            <w:r>
              <w:rPr>
                <w:spacing w:val="-3"/>
                <w:sz w:val="21"/>
              </w:rPr>
              <w:t>是较常见的溶酶体贮积病，为常染色体隐性</w:t>
            </w:r>
          </w:p>
        </w:tc>
      </w:tr>
      <w:tr>
        <w:trPr>
          <w:trHeight w:val="302"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64" w:lineRule="exact" w:before="18"/>
              <w:ind w:left="106"/>
              <w:rPr>
                <w:sz w:val="21"/>
              </w:rPr>
            </w:pPr>
            <w:r>
              <w:rPr>
                <w:spacing w:val="-2"/>
                <w:sz w:val="21"/>
              </w:rPr>
              <w:t>遗传病。该病由于葡萄糖脑苷脂酶基因突变导致机体葡萄糖脑苷脂酶（</w:t>
            </w:r>
            <w:r>
              <w:rPr>
                <w:spacing w:val="-6"/>
                <w:sz w:val="21"/>
              </w:rPr>
              <w:t>又称</w:t>
            </w:r>
          </w:p>
        </w:tc>
      </w:tr>
      <w:tr>
        <w:trPr>
          <w:trHeight w:val="321"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95" w:lineRule="exact" w:before="7"/>
              <w:ind w:left="106"/>
              <w:rPr>
                <w:sz w:val="21"/>
              </w:rPr>
            </w:pPr>
            <w:r>
              <w:rPr>
                <w:spacing w:val="-2"/>
                <w:sz w:val="21"/>
              </w:rPr>
              <w:t>酸性β</w:t>
            </w:r>
            <w:r>
              <w:rPr>
                <w:rFonts w:ascii="等线" w:hAnsi="等线" w:eastAsia="等线"/>
                <w:spacing w:val="-2"/>
                <w:sz w:val="21"/>
              </w:rPr>
              <w:t>-</w:t>
            </w:r>
            <w:r>
              <w:rPr>
                <w:spacing w:val="-2"/>
                <w:sz w:val="21"/>
              </w:rPr>
              <w:t>葡萄糖苷酶）</w:t>
            </w:r>
            <w:r>
              <w:rPr>
                <w:spacing w:val="-3"/>
                <w:sz w:val="21"/>
              </w:rPr>
              <w:t>活性缺乏，造成其底物葡萄糖脑苷脂在肝、脾、骨骼、</w:t>
            </w:r>
          </w:p>
        </w:tc>
      </w:tr>
      <w:tr>
        <w:trPr>
          <w:trHeight w:val="308"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before="18"/>
              <w:ind w:left="106"/>
              <w:rPr>
                <w:sz w:val="21"/>
              </w:rPr>
            </w:pPr>
            <w:r>
              <w:rPr>
                <w:spacing w:val="-2"/>
                <w:sz w:val="21"/>
              </w:rPr>
              <w:t>肺，甚至脑的巨噬细胞溶酶体中贮积，形成典型的贮积细胞即“戈谢细胞</w:t>
            </w:r>
            <w:r>
              <w:rPr>
                <w:spacing w:val="-58"/>
                <w:sz w:val="21"/>
              </w:rPr>
              <w:t>”，</w:t>
            </w:r>
          </w:p>
        </w:tc>
      </w:tr>
      <w:tr>
        <w:trPr>
          <w:trHeight w:val="312"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before="22"/>
              <w:ind w:left="106"/>
              <w:rPr>
                <w:sz w:val="21"/>
              </w:rPr>
            </w:pPr>
            <w:r>
              <w:rPr>
                <w:spacing w:val="-3"/>
                <w:sz w:val="21"/>
              </w:rPr>
              <w:t>导致受累组织器官出现病变，临床表现多脏器受累并呈进行性加重。又称葡</w:t>
            </w:r>
          </w:p>
        </w:tc>
      </w:tr>
      <w:tr>
        <w:trPr>
          <w:trHeight w:val="312"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before="22"/>
              <w:ind w:left="106"/>
              <w:rPr>
                <w:sz w:val="21"/>
              </w:rPr>
            </w:pPr>
            <w:r>
              <w:rPr>
                <w:spacing w:val="-3"/>
                <w:sz w:val="21"/>
              </w:rPr>
              <w:t>萄糖脑苷脂病、高雪氏病、家族性脾性贫血、脑甙病、脑苷脂网状内皮细胞</w:t>
            </w:r>
          </w:p>
        </w:tc>
      </w:tr>
      <w:tr>
        <w:trPr>
          <w:trHeight w:val="306"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64" w:lineRule="exact" w:before="22"/>
              <w:ind w:left="106"/>
              <w:rPr>
                <w:sz w:val="21"/>
              </w:rPr>
            </w:pPr>
            <w:r>
              <w:rPr>
                <w:spacing w:val="-3"/>
                <w:sz w:val="21"/>
              </w:rPr>
              <w:t>病等。戈谢病需经认可的医院的专科医生明确诊断，骨髓涂片检查见到戈谢</w:t>
            </w:r>
          </w:p>
        </w:tc>
      </w:tr>
      <w:tr>
        <w:trPr>
          <w:trHeight w:val="315"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89" w:lineRule="exact" w:before="7"/>
              <w:ind w:left="106"/>
              <w:rPr>
                <w:sz w:val="21"/>
              </w:rPr>
            </w:pPr>
            <w:r>
              <w:rPr>
                <w:spacing w:val="2"/>
                <w:sz w:val="21"/>
              </w:rPr>
              <w:t>细胞、典型的</w:t>
            </w:r>
            <w:r>
              <w:rPr>
                <w:rFonts w:ascii="等线" w:eastAsia="等线"/>
                <w:sz w:val="21"/>
              </w:rPr>
              <w:t>X</w:t>
            </w:r>
            <w:r>
              <w:rPr>
                <w:rFonts w:ascii="等线" w:eastAsia="等线"/>
                <w:spacing w:val="-13"/>
                <w:sz w:val="21"/>
              </w:rPr>
              <w:t> </w:t>
            </w:r>
            <w:r>
              <w:rPr>
                <w:spacing w:val="-1"/>
                <w:sz w:val="21"/>
              </w:rPr>
              <w:t>线表现、血清酸性磷酸酶增高，且同时满足以下条件之一：</w:t>
            </w:r>
          </w:p>
        </w:tc>
      </w:tr>
      <w:tr>
        <w:trPr>
          <w:trHeight w:val="312"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89" w:lineRule="exact" w:before="3"/>
              <w:ind w:left="106"/>
              <w:rPr>
                <w:sz w:val="21"/>
              </w:rPr>
            </w:pPr>
            <w:r>
              <w:rPr>
                <w:spacing w:val="-2"/>
                <w:sz w:val="21"/>
              </w:rPr>
              <w:t>（</w:t>
            </w:r>
            <w:r>
              <w:rPr>
                <w:rFonts w:ascii="等线" w:eastAsia="等线"/>
                <w:spacing w:val="-2"/>
                <w:sz w:val="21"/>
              </w:rPr>
              <w:t>1</w:t>
            </w:r>
            <w:r>
              <w:rPr>
                <w:spacing w:val="-2"/>
                <w:sz w:val="21"/>
              </w:rPr>
              <w:t>）</w:t>
            </w:r>
            <w:r>
              <w:rPr>
                <w:spacing w:val="-3"/>
                <w:sz w:val="21"/>
              </w:rPr>
              <w:t>并发肝硬化或门静脉高压；</w:t>
            </w:r>
          </w:p>
        </w:tc>
      </w:tr>
      <w:tr>
        <w:trPr>
          <w:trHeight w:val="312"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89" w:lineRule="exact" w:before="3"/>
              <w:ind w:left="106"/>
              <w:rPr>
                <w:sz w:val="21"/>
              </w:rPr>
            </w:pPr>
            <w:r>
              <w:rPr>
                <w:spacing w:val="-2"/>
                <w:sz w:val="21"/>
              </w:rPr>
              <w:t>（</w:t>
            </w:r>
            <w:r>
              <w:rPr>
                <w:rFonts w:ascii="等线" w:eastAsia="等线"/>
                <w:spacing w:val="-2"/>
                <w:sz w:val="21"/>
              </w:rPr>
              <w:t>2</w:t>
            </w:r>
            <w:r>
              <w:rPr>
                <w:spacing w:val="-2"/>
                <w:sz w:val="21"/>
              </w:rPr>
              <w:t>）</w:t>
            </w:r>
            <w:r>
              <w:rPr>
                <w:spacing w:val="-3"/>
                <w:sz w:val="21"/>
              </w:rPr>
              <w:t>已接受了脾切除手术；</w:t>
            </w:r>
          </w:p>
        </w:tc>
      </w:tr>
      <w:tr>
        <w:trPr>
          <w:trHeight w:val="396"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before="3"/>
              <w:ind w:left="106"/>
              <w:rPr>
                <w:sz w:val="21"/>
              </w:rPr>
            </w:pPr>
            <w:r>
              <w:rPr>
                <w:spacing w:val="-2"/>
                <w:sz w:val="21"/>
              </w:rPr>
              <w:t>（</w:t>
            </w:r>
            <w:r>
              <w:rPr>
                <w:rFonts w:ascii="等线" w:eastAsia="等线"/>
                <w:spacing w:val="-2"/>
                <w:sz w:val="21"/>
              </w:rPr>
              <w:t>3</w:t>
            </w:r>
            <w:r>
              <w:rPr>
                <w:spacing w:val="-2"/>
                <w:sz w:val="21"/>
              </w:rPr>
              <w:t>）</w:t>
            </w:r>
            <w:r>
              <w:rPr>
                <w:spacing w:val="-3"/>
                <w:sz w:val="21"/>
              </w:rPr>
              <w:t>并发股骨头坏死或椎体骨折。</w:t>
            </w:r>
          </w:p>
        </w:tc>
      </w:tr>
      <w:tr>
        <w:trPr>
          <w:trHeight w:val="395" w:hRule="atLeast"/>
        </w:trPr>
        <w:tc>
          <w:tcPr>
            <w:tcW w:w="900" w:type="dxa"/>
          </w:tcPr>
          <w:p>
            <w:pPr>
              <w:pStyle w:val="TableParagraph"/>
              <w:spacing w:line="335" w:lineRule="exact" w:before="41"/>
              <w:ind w:left="50"/>
              <w:rPr>
                <w:rFonts w:ascii="微软雅黑"/>
                <w:b/>
                <w:sz w:val="21"/>
              </w:rPr>
            </w:pPr>
            <w:r>
              <w:rPr>
                <w:rFonts w:ascii="微软雅黑"/>
                <w:b/>
                <w:spacing w:val="-2"/>
                <w:sz w:val="21"/>
              </w:rPr>
              <w:t>8.1.114</w:t>
            </w:r>
          </w:p>
        </w:tc>
        <w:tc>
          <w:tcPr>
            <w:tcW w:w="1694" w:type="dxa"/>
          </w:tcPr>
          <w:p>
            <w:pPr>
              <w:pStyle w:val="TableParagraph"/>
              <w:spacing w:line="335" w:lineRule="exact" w:before="41"/>
              <w:ind w:left="108"/>
              <w:rPr>
                <w:rFonts w:ascii="微软雅黑" w:eastAsia="微软雅黑"/>
                <w:b/>
                <w:sz w:val="21"/>
              </w:rPr>
            </w:pPr>
            <w:r>
              <w:rPr>
                <w:rFonts w:ascii="微软雅黑" w:eastAsia="微软雅黑"/>
                <w:b/>
                <w:spacing w:val="-2"/>
                <w:sz w:val="21"/>
              </w:rPr>
              <w:t>大疱性表皮松</w:t>
            </w:r>
          </w:p>
        </w:tc>
        <w:tc>
          <w:tcPr>
            <w:tcW w:w="7260" w:type="dxa"/>
          </w:tcPr>
          <w:p>
            <w:pPr>
              <w:pStyle w:val="TableParagraph"/>
              <w:spacing w:line="289" w:lineRule="exact" w:before="87"/>
              <w:ind w:left="106"/>
              <w:rPr>
                <w:sz w:val="21"/>
              </w:rPr>
            </w:pPr>
            <w:r>
              <w:rPr>
                <w:spacing w:val="-3"/>
                <w:sz w:val="21"/>
              </w:rPr>
              <w:t>药物引起的中毒性表皮坏死症，皮肤表皮大片剥脱，达到体表面积的 </w:t>
            </w:r>
            <w:r>
              <w:rPr>
                <w:rFonts w:ascii="等线" w:eastAsia="等线"/>
                <w:spacing w:val="-2"/>
                <w:sz w:val="21"/>
              </w:rPr>
              <w:t>30%</w:t>
            </w:r>
            <w:r>
              <w:rPr>
                <w:spacing w:val="-10"/>
                <w:sz w:val="21"/>
              </w:rPr>
              <w:t>或</w:t>
            </w:r>
          </w:p>
        </w:tc>
      </w:tr>
      <w:tr>
        <w:trPr>
          <w:trHeight w:val="317" w:hRule="atLeast"/>
        </w:trPr>
        <w:tc>
          <w:tcPr>
            <w:tcW w:w="900" w:type="dxa"/>
          </w:tcPr>
          <w:p>
            <w:pPr>
              <w:pStyle w:val="TableParagraph"/>
              <w:rPr>
                <w:rFonts w:ascii="Times New Roman"/>
                <w:sz w:val="20"/>
              </w:rPr>
            </w:pPr>
          </w:p>
        </w:tc>
        <w:tc>
          <w:tcPr>
            <w:tcW w:w="1694" w:type="dxa"/>
          </w:tcPr>
          <w:p>
            <w:pPr>
              <w:pStyle w:val="TableParagraph"/>
              <w:spacing w:line="298" w:lineRule="exact"/>
              <w:ind w:left="108"/>
              <w:rPr>
                <w:rFonts w:ascii="微软雅黑" w:eastAsia="微软雅黑"/>
                <w:b/>
                <w:sz w:val="21"/>
              </w:rPr>
            </w:pPr>
            <w:r>
              <w:rPr>
                <w:rFonts w:ascii="微软雅黑" w:eastAsia="微软雅黑"/>
                <w:b/>
                <w:spacing w:val="-2"/>
                <w:sz w:val="21"/>
              </w:rPr>
              <w:t>解坏死型药疹</w:t>
            </w:r>
          </w:p>
        </w:tc>
        <w:tc>
          <w:tcPr>
            <w:tcW w:w="7260" w:type="dxa"/>
          </w:tcPr>
          <w:p>
            <w:pPr>
              <w:pStyle w:val="TableParagraph"/>
              <w:spacing w:line="295" w:lineRule="exact" w:before="3"/>
              <w:ind w:left="106"/>
              <w:rPr>
                <w:sz w:val="21"/>
              </w:rPr>
            </w:pPr>
            <w:r>
              <w:rPr>
                <w:spacing w:val="-17"/>
                <w:sz w:val="21"/>
              </w:rPr>
              <w:t>者 </w:t>
            </w:r>
            <w:r>
              <w:rPr>
                <w:rFonts w:ascii="等线" w:eastAsia="等线"/>
                <w:spacing w:val="-2"/>
                <w:sz w:val="21"/>
              </w:rPr>
              <w:t>30%</w:t>
            </w:r>
            <w:r>
              <w:rPr>
                <w:spacing w:val="-3"/>
                <w:sz w:val="21"/>
              </w:rPr>
              <w:t>以上。全身中毒症状严重，伴有高热和内脏病变。该诊断必须经专科</w:t>
            </w:r>
          </w:p>
        </w:tc>
      </w:tr>
      <w:tr>
        <w:trPr>
          <w:trHeight w:val="393"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before="18"/>
              <w:ind w:left="106"/>
              <w:rPr>
                <w:sz w:val="21"/>
              </w:rPr>
            </w:pPr>
            <w:r>
              <w:rPr>
                <w:spacing w:val="-3"/>
                <w:sz w:val="21"/>
              </w:rPr>
              <w:t>医生证实，且须重症监护室住院治疗。</w:t>
            </w:r>
          </w:p>
        </w:tc>
      </w:tr>
      <w:tr>
        <w:trPr>
          <w:trHeight w:val="397" w:hRule="atLeast"/>
        </w:trPr>
        <w:tc>
          <w:tcPr>
            <w:tcW w:w="900" w:type="dxa"/>
          </w:tcPr>
          <w:p>
            <w:pPr>
              <w:pStyle w:val="TableParagraph"/>
              <w:spacing w:line="337" w:lineRule="exact" w:before="40"/>
              <w:ind w:left="50"/>
              <w:rPr>
                <w:rFonts w:ascii="微软雅黑"/>
                <w:b/>
                <w:sz w:val="21"/>
              </w:rPr>
            </w:pPr>
            <w:r>
              <w:rPr>
                <w:rFonts w:ascii="微软雅黑"/>
                <w:b/>
                <w:spacing w:val="-2"/>
                <w:sz w:val="21"/>
              </w:rPr>
              <w:t>8.1.115</w:t>
            </w:r>
          </w:p>
        </w:tc>
        <w:tc>
          <w:tcPr>
            <w:tcW w:w="1694" w:type="dxa"/>
          </w:tcPr>
          <w:p>
            <w:pPr>
              <w:pStyle w:val="TableParagraph"/>
              <w:spacing w:line="337" w:lineRule="exact" w:before="40"/>
              <w:ind w:left="108"/>
              <w:rPr>
                <w:rFonts w:ascii="微软雅黑" w:eastAsia="微软雅黑"/>
                <w:b/>
                <w:sz w:val="21"/>
              </w:rPr>
            </w:pPr>
            <w:r>
              <w:rPr>
                <w:rFonts w:ascii="微软雅黑" w:eastAsia="微软雅黑"/>
                <w:b/>
                <w:spacing w:val="-3"/>
                <w:sz w:val="21"/>
              </w:rPr>
              <w:t>脑型疟疾</w:t>
            </w:r>
          </w:p>
        </w:tc>
        <w:tc>
          <w:tcPr>
            <w:tcW w:w="7260" w:type="dxa"/>
          </w:tcPr>
          <w:p>
            <w:pPr>
              <w:pStyle w:val="TableParagraph"/>
              <w:spacing w:before="107"/>
              <w:ind w:left="106"/>
              <w:rPr>
                <w:sz w:val="21"/>
              </w:rPr>
            </w:pPr>
            <w:r>
              <w:rPr>
                <w:spacing w:val="-3"/>
                <w:sz w:val="21"/>
              </w:rPr>
              <w:t>恶性疟原虫严重感染导致的脑病或脑型疟疾，以昏迷为主要特征。脑型疟疾</w:t>
            </w:r>
          </w:p>
        </w:tc>
      </w:tr>
      <w:tr>
        <w:trPr>
          <w:trHeight w:val="309"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67" w:lineRule="exact" w:before="22"/>
              <w:ind w:left="106"/>
              <w:rPr>
                <w:sz w:val="21"/>
              </w:rPr>
            </w:pPr>
            <w:r>
              <w:rPr>
                <w:spacing w:val="-3"/>
                <w:sz w:val="21"/>
              </w:rPr>
              <w:t>的诊断须由专科医生确认，且外周血涂片存在恶性疟原虫。</w:t>
            </w:r>
          </w:p>
        </w:tc>
      </w:tr>
      <w:tr>
        <w:trPr>
          <w:trHeight w:val="395"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352" w:lineRule="exact"/>
              <w:ind w:left="106"/>
              <w:rPr>
                <w:rFonts w:ascii="微软雅黑" w:eastAsia="微软雅黑"/>
                <w:b/>
                <w:sz w:val="22"/>
              </w:rPr>
            </w:pPr>
            <w:r>
              <w:rPr>
                <w:rFonts w:ascii="微软雅黑" w:eastAsia="微软雅黑"/>
                <w:b/>
                <w:color w:val="000000"/>
                <w:spacing w:val="-1"/>
                <w:sz w:val="22"/>
                <w:shd w:fill="D9D9D9" w:color="auto" w:val="clear"/>
              </w:rPr>
              <w:t>其他明确病因导致的脑病不在保障范围内。</w:t>
            </w:r>
          </w:p>
        </w:tc>
      </w:tr>
      <w:tr>
        <w:trPr>
          <w:trHeight w:val="404" w:hRule="atLeast"/>
        </w:trPr>
        <w:tc>
          <w:tcPr>
            <w:tcW w:w="900" w:type="dxa"/>
          </w:tcPr>
          <w:p>
            <w:pPr>
              <w:pStyle w:val="TableParagraph"/>
              <w:spacing w:line="341" w:lineRule="exact" w:before="44"/>
              <w:ind w:left="50"/>
              <w:rPr>
                <w:rFonts w:ascii="微软雅黑"/>
                <w:b/>
                <w:sz w:val="21"/>
              </w:rPr>
            </w:pPr>
            <w:r>
              <w:rPr>
                <w:rFonts w:ascii="微软雅黑"/>
                <w:b/>
                <w:spacing w:val="-2"/>
                <w:sz w:val="21"/>
              </w:rPr>
              <w:t>8.1.116</w:t>
            </w:r>
          </w:p>
        </w:tc>
        <w:tc>
          <w:tcPr>
            <w:tcW w:w="1694" w:type="dxa"/>
          </w:tcPr>
          <w:p>
            <w:pPr>
              <w:pStyle w:val="TableParagraph"/>
              <w:spacing w:line="341" w:lineRule="exact" w:before="44"/>
              <w:ind w:left="108"/>
              <w:rPr>
                <w:rFonts w:ascii="微软雅黑" w:eastAsia="微软雅黑"/>
                <w:b/>
                <w:sz w:val="21"/>
              </w:rPr>
            </w:pPr>
            <w:r>
              <w:rPr>
                <w:rFonts w:ascii="微软雅黑" w:eastAsia="微软雅黑"/>
                <w:b/>
                <w:w w:val="110"/>
                <w:sz w:val="21"/>
              </w:rPr>
              <w:t>严</w:t>
            </w:r>
            <w:r>
              <w:rPr>
                <w:rFonts w:ascii="微软雅黑" w:eastAsia="微软雅黑"/>
                <w:b/>
                <w:w w:val="110"/>
                <w:sz w:val="21"/>
              </w:rPr>
              <w:t>重</w:t>
            </w:r>
            <w:r>
              <w:rPr>
                <w:rFonts w:ascii="微软雅黑" w:eastAsia="微软雅黑"/>
                <w:b/>
                <w:spacing w:val="-18"/>
                <w:w w:val="110"/>
                <w:sz w:val="21"/>
              </w:rPr>
              <w:t> </w:t>
            </w:r>
            <w:r>
              <w:rPr>
                <w:rFonts w:ascii="微软雅黑" w:eastAsia="微软雅黑"/>
                <w:b/>
                <w:w w:val="110"/>
                <w:sz w:val="21"/>
              </w:rPr>
              <w:t>III</w:t>
            </w:r>
            <w:r>
              <w:rPr>
                <w:rFonts w:ascii="微软雅黑" w:eastAsia="微软雅黑"/>
                <w:b/>
                <w:spacing w:val="-17"/>
                <w:w w:val="110"/>
                <w:sz w:val="21"/>
              </w:rPr>
              <w:t> </w:t>
            </w:r>
            <w:r>
              <w:rPr>
                <w:rFonts w:ascii="微软雅黑" w:eastAsia="微软雅黑"/>
                <w:b/>
                <w:w w:val="110"/>
                <w:sz w:val="21"/>
              </w:rPr>
              <w:t>度</w:t>
            </w:r>
            <w:r>
              <w:rPr>
                <w:rFonts w:ascii="微软雅黑" w:eastAsia="微软雅黑"/>
                <w:b/>
                <w:w w:val="110"/>
                <w:sz w:val="21"/>
              </w:rPr>
              <w:t>冻</w:t>
            </w:r>
            <w:r>
              <w:rPr>
                <w:rFonts w:ascii="微软雅黑" w:eastAsia="微软雅黑"/>
                <w:b/>
                <w:spacing w:val="-10"/>
                <w:w w:val="110"/>
                <w:sz w:val="21"/>
              </w:rPr>
              <w:t>伤</w:t>
            </w:r>
          </w:p>
        </w:tc>
        <w:tc>
          <w:tcPr>
            <w:tcW w:w="7260" w:type="dxa"/>
          </w:tcPr>
          <w:p>
            <w:pPr>
              <w:pStyle w:val="TableParagraph"/>
              <w:spacing w:line="295" w:lineRule="exact" w:before="90"/>
              <w:ind w:left="106"/>
              <w:rPr>
                <w:sz w:val="21"/>
              </w:rPr>
            </w:pPr>
            <w:r>
              <w:rPr>
                <w:spacing w:val="-8"/>
                <w:sz w:val="21"/>
              </w:rPr>
              <w:t>冻伤是由于寒冷潮湿作用引起的人体局部或全身损伤。指冻伤程度达到 </w:t>
            </w:r>
            <w:r>
              <w:rPr>
                <w:rFonts w:ascii="等线" w:eastAsia="等线"/>
                <w:spacing w:val="-2"/>
                <w:sz w:val="21"/>
              </w:rPr>
              <w:t>III</w:t>
            </w:r>
            <w:r>
              <w:rPr>
                <w:rFonts w:ascii="等线" w:eastAsia="等线"/>
                <w:spacing w:val="10"/>
                <w:sz w:val="21"/>
              </w:rPr>
              <w:t> </w:t>
            </w:r>
            <w:r>
              <w:rPr>
                <w:spacing w:val="-6"/>
                <w:sz w:val="21"/>
              </w:rPr>
              <w:t>度，</w:t>
            </w:r>
          </w:p>
        </w:tc>
      </w:tr>
      <w:tr>
        <w:trPr>
          <w:trHeight w:val="308" w:hRule="atLeast"/>
        </w:trPr>
        <w:tc>
          <w:tcPr>
            <w:tcW w:w="900" w:type="dxa"/>
          </w:tcPr>
          <w:p>
            <w:pPr>
              <w:pStyle w:val="TableParagraph"/>
              <w:rPr>
                <w:rFonts w:ascii="Times New Roman"/>
                <w:sz w:val="20"/>
              </w:rPr>
            </w:pPr>
          </w:p>
        </w:tc>
        <w:tc>
          <w:tcPr>
            <w:tcW w:w="1694" w:type="dxa"/>
          </w:tcPr>
          <w:p>
            <w:pPr>
              <w:pStyle w:val="TableParagraph"/>
              <w:spacing w:line="288" w:lineRule="exact"/>
              <w:ind w:left="108"/>
              <w:rPr>
                <w:rFonts w:ascii="微软雅黑" w:eastAsia="微软雅黑"/>
                <w:b/>
                <w:sz w:val="21"/>
              </w:rPr>
            </w:pPr>
            <w:r>
              <w:rPr>
                <w:rFonts w:ascii="微软雅黑" w:eastAsia="微软雅黑"/>
                <w:b/>
                <w:spacing w:val="-3"/>
                <w:sz w:val="21"/>
              </w:rPr>
              <w:t>导致截肢</w:t>
            </w:r>
          </w:p>
        </w:tc>
        <w:tc>
          <w:tcPr>
            <w:tcW w:w="7260" w:type="dxa"/>
          </w:tcPr>
          <w:p>
            <w:pPr>
              <w:pStyle w:val="TableParagraph"/>
              <w:spacing w:before="18"/>
              <w:ind w:left="106"/>
              <w:rPr>
                <w:sz w:val="21"/>
              </w:rPr>
            </w:pPr>
            <w:r>
              <w:rPr>
                <w:spacing w:val="-2"/>
                <w:sz w:val="21"/>
              </w:rPr>
              <w:t>且导致一个或一个以上肢体自腕关节或踝关节近端（靠近躯干端）</w:t>
            </w:r>
            <w:r>
              <w:rPr>
                <w:spacing w:val="-4"/>
                <w:sz w:val="21"/>
              </w:rPr>
              <w:t>以上完全</w:t>
            </w:r>
          </w:p>
        </w:tc>
      </w:tr>
      <w:tr>
        <w:trPr>
          <w:trHeight w:val="397"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before="22"/>
              <w:ind w:left="106"/>
              <w:rPr>
                <w:sz w:val="21"/>
              </w:rPr>
            </w:pPr>
            <w:r>
              <w:rPr>
                <w:spacing w:val="-4"/>
                <w:sz w:val="21"/>
              </w:rPr>
              <w:t>性断离。</w:t>
            </w:r>
          </w:p>
        </w:tc>
      </w:tr>
      <w:tr>
        <w:trPr>
          <w:trHeight w:val="397" w:hRule="atLeast"/>
        </w:trPr>
        <w:tc>
          <w:tcPr>
            <w:tcW w:w="900" w:type="dxa"/>
          </w:tcPr>
          <w:p>
            <w:pPr>
              <w:pStyle w:val="TableParagraph"/>
              <w:spacing w:line="337" w:lineRule="exact" w:before="40"/>
              <w:ind w:left="50"/>
              <w:rPr>
                <w:rFonts w:ascii="微软雅黑"/>
                <w:b/>
                <w:sz w:val="21"/>
              </w:rPr>
            </w:pPr>
            <w:r>
              <w:rPr>
                <w:rFonts w:ascii="微软雅黑"/>
                <w:b/>
                <w:spacing w:val="-2"/>
                <w:sz w:val="21"/>
              </w:rPr>
              <w:t>8.1.117</w:t>
            </w:r>
          </w:p>
        </w:tc>
        <w:tc>
          <w:tcPr>
            <w:tcW w:w="1694" w:type="dxa"/>
          </w:tcPr>
          <w:p>
            <w:pPr>
              <w:pStyle w:val="TableParagraph"/>
              <w:spacing w:line="337" w:lineRule="exact" w:before="40"/>
              <w:ind w:left="108"/>
              <w:rPr>
                <w:rFonts w:ascii="微软雅黑" w:eastAsia="微软雅黑"/>
                <w:b/>
                <w:sz w:val="21"/>
              </w:rPr>
            </w:pPr>
            <w:r>
              <w:rPr>
                <w:rFonts w:ascii="微软雅黑" w:eastAsia="微软雅黑"/>
                <w:b/>
                <w:spacing w:val="-2"/>
                <w:sz w:val="21"/>
              </w:rPr>
              <w:t>严重巨细胞动</w:t>
            </w:r>
          </w:p>
        </w:tc>
        <w:tc>
          <w:tcPr>
            <w:tcW w:w="7260" w:type="dxa"/>
          </w:tcPr>
          <w:p>
            <w:pPr>
              <w:pStyle w:val="TableParagraph"/>
              <w:spacing w:before="107"/>
              <w:ind w:left="106"/>
              <w:rPr>
                <w:sz w:val="21"/>
              </w:rPr>
            </w:pPr>
            <w:r>
              <w:rPr>
                <w:spacing w:val="-3"/>
                <w:sz w:val="21"/>
              </w:rPr>
              <w:t>巨细胞动脉炎又称颅动脉炎、颞动脉炎、肉芽肿性动脉炎，须经认可的医院</w:t>
            </w:r>
          </w:p>
        </w:tc>
      </w:tr>
      <w:tr>
        <w:trPr>
          <w:trHeight w:val="312" w:hRule="atLeast"/>
        </w:trPr>
        <w:tc>
          <w:tcPr>
            <w:tcW w:w="900" w:type="dxa"/>
          </w:tcPr>
          <w:p>
            <w:pPr>
              <w:pStyle w:val="TableParagraph"/>
              <w:rPr>
                <w:rFonts w:ascii="Times New Roman"/>
                <w:sz w:val="20"/>
              </w:rPr>
            </w:pPr>
          </w:p>
        </w:tc>
        <w:tc>
          <w:tcPr>
            <w:tcW w:w="1694" w:type="dxa"/>
          </w:tcPr>
          <w:p>
            <w:pPr>
              <w:pStyle w:val="TableParagraph"/>
              <w:spacing w:line="292" w:lineRule="exact"/>
              <w:ind w:left="108"/>
              <w:rPr>
                <w:rFonts w:ascii="微软雅黑" w:eastAsia="微软雅黑"/>
                <w:b/>
                <w:sz w:val="21"/>
              </w:rPr>
            </w:pPr>
            <w:r>
              <w:rPr>
                <w:rFonts w:ascii="微软雅黑" w:eastAsia="微软雅黑"/>
                <w:b/>
                <w:spacing w:val="-5"/>
                <w:sz w:val="21"/>
              </w:rPr>
              <w:t>脉炎</w:t>
            </w:r>
          </w:p>
        </w:tc>
        <w:tc>
          <w:tcPr>
            <w:tcW w:w="7260" w:type="dxa"/>
          </w:tcPr>
          <w:p>
            <w:pPr>
              <w:pStyle w:val="TableParagraph"/>
              <w:spacing w:before="22"/>
              <w:ind w:left="106"/>
              <w:rPr>
                <w:sz w:val="21"/>
              </w:rPr>
            </w:pPr>
            <w:r>
              <w:rPr>
                <w:spacing w:val="-5"/>
                <w:sz w:val="21"/>
              </w:rPr>
              <w:t>的专科医生明确诊断，并造成永久不可逆性的单个肢体功能障碍或单眼失明。</w:t>
            </w:r>
          </w:p>
        </w:tc>
      </w:tr>
      <w:tr>
        <w:trPr>
          <w:trHeight w:val="305"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64" w:lineRule="exact" w:before="22"/>
              <w:ind w:left="106"/>
              <w:rPr>
                <w:sz w:val="21"/>
              </w:rPr>
            </w:pPr>
            <w:r>
              <w:rPr>
                <w:spacing w:val="-3"/>
                <w:sz w:val="21"/>
              </w:rPr>
              <w:t>单眼失明指单眼视力永久不可逆性丧失，患眼须满足下列至少一项条件：</w:t>
            </w:r>
          </w:p>
        </w:tc>
      </w:tr>
      <w:tr>
        <w:trPr>
          <w:trHeight w:val="315"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89" w:lineRule="exact" w:before="7"/>
              <w:ind w:left="106"/>
              <w:rPr>
                <w:sz w:val="21"/>
              </w:rPr>
            </w:pPr>
            <w:r>
              <w:rPr>
                <w:spacing w:val="-2"/>
                <w:sz w:val="21"/>
              </w:rPr>
              <w:t>（</w:t>
            </w:r>
            <w:r>
              <w:rPr>
                <w:rFonts w:ascii="等线" w:eastAsia="等线"/>
                <w:spacing w:val="-2"/>
                <w:sz w:val="21"/>
              </w:rPr>
              <w:t>1</w:t>
            </w:r>
            <w:r>
              <w:rPr>
                <w:spacing w:val="-2"/>
                <w:sz w:val="21"/>
              </w:rPr>
              <w:t>）</w:t>
            </w:r>
            <w:r>
              <w:rPr>
                <w:spacing w:val="-3"/>
                <w:sz w:val="21"/>
              </w:rPr>
              <w:t>眼球缺失或者摘除；</w:t>
            </w:r>
          </w:p>
        </w:tc>
      </w:tr>
      <w:tr>
        <w:trPr>
          <w:trHeight w:val="318"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95" w:lineRule="exact" w:before="3"/>
              <w:ind w:left="106"/>
              <w:rPr>
                <w:sz w:val="21"/>
              </w:rPr>
            </w:pPr>
            <w:r>
              <w:rPr>
                <w:spacing w:val="-2"/>
                <w:sz w:val="21"/>
              </w:rPr>
              <w:t>（</w:t>
            </w:r>
            <w:r>
              <w:rPr>
                <w:rFonts w:ascii="等线" w:eastAsia="等线"/>
                <w:spacing w:val="-2"/>
                <w:sz w:val="21"/>
              </w:rPr>
              <w:t>2</w:t>
            </w:r>
            <w:r>
              <w:rPr>
                <w:spacing w:val="-2"/>
                <w:sz w:val="21"/>
              </w:rPr>
              <w:t>）</w:t>
            </w:r>
            <w:r>
              <w:rPr>
                <w:spacing w:val="-8"/>
                <w:sz w:val="21"/>
              </w:rPr>
              <w:t> 矫正视力低于 </w:t>
            </w:r>
            <w:r>
              <w:rPr>
                <w:rFonts w:ascii="等线" w:eastAsia="等线"/>
                <w:spacing w:val="-2"/>
                <w:sz w:val="21"/>
              </w:rPr>
              <w:t>0.02</w:t>
            </w:r>
            <w:r>
              <w:rPr>
                <w:spacing w:val="-2"/>
                <w:sz w:val="21"/>
              </w:rPr>
              <w:t>（</w:t>
            </w:r>
            <w:r>
              <w:rPr>
                <w:spacing w:val="-3"/>
                <w:sz w:val="21"/>
              </w:rPr>
              <w:t>采用国际标准视力表，如果使用其它视力表应进</w:t>
            </w:r>
          </w:p>
        </w:tc>
      </w:tr>
      <w:tr>
        <w:trPr>
          <w:trHeight w:val="302"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64" w:lineRule="exact" w:before="18"/>
              <w:ind w:left="106"/>
              <w:rPr>
                <w:sz w:val="21"/>
              </w:rPr>
            </w:pPr>
            <w:r>
              <w:rPr>
                <w:spacing w:val="-2"/>
                <w:sz w:val="21"/>
              </w:rPr>
              <w:t>行换算</w:t>
            </w:r>
            <w:r>
              <w:rPr>
                <w:spacing w:val="-111"/>
                <w:sz w:val="21"/>
              </w:rPr>
              <w:t>）</w:t>
            </w:r>
            <w:r>
              <w:rPr>
                <w:spacing w:val="-5"/>
                <w:sz w:val="21"/>
              </w:rPr>
              <w:t>；</w:t>
            </w:r>
          </w:p>
        </w:tc>
      </w:tr>
      <w:tr>
        <w:trPr>
          <w:trHeight w:val="407"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before="7"/>
              <w:ind w:left="106"/>
              <w:rPr>
                <w:sz w:val="21"/>
              </w:rPr>
            </w:pPr>
            <w:r>
              <w:rPr>
                <w:spacing w:val="-2"/>
                <w:sz w:val="21"/>
              </w:rPr>
              <w:t>（</w:t>
            </w:r>
            <w:r>
              <w:rPr>
                <w:rFonts w:ascii="等线" w:eastAsia="等线"/>
                <w:spacing w:val="-2"/>
                <w:sz w:val="21"/>
              </w:rPr>
              <w:t>3</w:t>
            </w:r>
            <w:r>
              <w:rPr>
                <w:spacing w:val="-2"/>
                <w:sz w:val="21"/>
              </w:rPr>
              <w:t>）</w:t>
            </w:r>
            <w:r>
              <w:rPr>
                <w:spacing w:val="-9"/>
                <w:sz w:val="21"/>
              </w:rPr>
              <w:t>视野半径小于 </w:t>
            </w:r>
            <w:r>
              <w:rPr>
                <w:rFonts w:ascii="等线" w:eastAsia="等线"/>
                <w:spacing w:val="-2"/>
                <w:sz w:val="21"/>
              </w:rPr>
              <w:t>5</w:t>
            </w:r>
            <w:r>
              <w:rPr>
                <w:rFonts w:ascii="等线" w:eastAsia="等线"/>
                <w:spacing w:val="-1"/>
                <w:sz w:val="21"/>
              </w:rPr>
              <w:t> </w:t>
            </w:r>
            <w:r>
              <w:rPr>
                <w:spacing w:val="-6"/>
                <w:sz w:val="21"/>
              </w:rPr>
              <w:t>度。</w:t>
            </w:r>
          </w:p>
        </w:tc>
      </w:tr>
      <w:tr>
        <w:trPr>
          <w:trHeight w:val="393" w:hRule="atLeast"/>
        </w:trPr>
        <w:tc>
          <w:tcPr>
            <w:tcW w:w="900" w:type="dxa"/>
          </w:tcPr>
          <w:p>
            <w:pPr>
              <w:pStyle w:val="TableParagraph"/>
              <w:spacing w:line="337" w:lineRule="exact" w:before="36"/>
              <w:ind w:left="50"/>
              <w:rPr>
                <w:rFonts w:ascii="微软雅黑"/>
                <w:b/>
                <w:sz w:val="21"/>
              </w:rPr>
            </w:pPr>
            <w:r>
              <w:rPr>
                <w:rFonts w:ascii="微软雅黑"/>
                <w:b/>
                <w:spacing w:val="-2"/>
                <w:sz w:val="21"/>
              </w:rPr>
              <w:t>8.1.118</w:t>
            </w:r>
          </w:p>
        </w:tc>
        <w:tc>
          <w:tcPr>
            <w:tcW w:w="1694" w:type="dxa"/>
          </w:tcPr>
          <w:p>
            <w:pPr>
              <w:pStyle w:val="TableParagraph"/>
              <w:spacing w:line="337" w:lineRule="exact" w:before="36"/>
              <w:ind w:left="108"/>
              <w:rPr>
                <w:rFonts w:ascii="微软雅黑" w:eastAsia="微软雅黑"/>
                <w:b/>
                <w:sz w:val="21"/>
              </w:rPr>
            </w:pPr>
            <w:r>
              <w:rPr>
                <w:rFonts w:ascii="微软雅黑" w:eastAsia="微软雅黑"/>
                <w:b/>
                <w:spacing w:val="-2"/>
                <w:sz w:val="21"/>
              </w:rPr>
              <w:t>弥漫性血管内</w:t>
            </w:r>
          </w:p>
        </w:tc>
        <w:tc>
          <w:tcPr>
            <w:tcW w:w="7260" w:type="dxa"/>
          </w:tcPr>
          <w:p>
            <w:pPr>
              <w:pStyle w:val="TableParagraph"/>
              <w:spacing w:before="103"/>
              <w:ind w:left="106"/>
              <w:rPr>
                <w:sz w:val="21"/>
              </w:rPr>
            </w:pPr>
            <w:r>
              <w:rPr>
                <w:spacing w:val="-3"/>
                <w:sz w:val="21"/>
              </w:rPr>
              <w:t>指血液凝固系统和纤溶系统的过度活动导致微血管血栓形成、血小板及凝血</w:t>
            </w:r>
          </w:p>
        </w:tc>
      </w:tr>
      <w:tr>
        <w:trPr>
          <w:trHeight w:val="312" w:hRule="atLeast"/>
        </w:trPr>
        <w:tc>
          <w:tcPr>
            <w:tcW w:w="900" w:type="dxa"/>
          </w:tcPr>
          <w:p>
            <w:pPr>
              <w:pStyle w:val="TableParagraph"/>
              <w:rPr>
                <w:rFonts w:ascii="Times New Roman"/>
                <w:sz w:val="20"/>
              </w:rPr>
            </w:pPr>
          </w:p>
        </w:tc>
        <w:tc>
          <w:tcPr>
            <w:tcW w:w="1694" w:type="dxa"/>
          </w:tcPr>
          <w:p>
            <w:pPr>
              <w:pStyle w:val="TableParagraph"/>
              <w:spacing w:line="292" w:lineRule="exact"/>
              <w:ind w:left="108"/>
              <w:rPr>
                <w:rFonts w:ascii="微软雅黑" w:eastAsia="微软雅黑"/>
                <w:b/>
                <w:sz w:val="21"/>
              </w:rPr>
            </w:pPr>
            <w:r>
              <w:rPr>
                <w:rFonts w:ascii="微软雅黑" w:eastAsia="微软雅黑"/>
                <w:b/>
                <w:spacing w:val="-5"/>
                <w:sz w:val="21"/>
              </w:rPr>
              <w:t>凝血</w:t>
            </w:r>
          </w:p>
        </w:tc>
        <w:tc>
          <w:tcPr>
            <w:tcW w:w="7260" w:type="dxa"/>
          </w:tcPr>
          <w:p>
            <w:pPr>
              <w:pStyle w:val="TableParagraph"/>
              <w:spacing w:before="22"/>
              <w:ind w:left="106"/>
              <w:rPr>
                <w:sz w:val="21"/>
              </w:rPr>
            </w:pPr>
            <w:r>
              <w:rPr>
                <w:spacing w:val="-3"/>
                <w:sz w:val="21"/>
              </w:rPr>
              <w:t>因子耗竭和严重出血，需要输注血浆和浓缩血小板进行治疗。须提供同时具</w:t>
            </w:r>
          </w:p>
        </w:tc>
      </w:tr>
      <w:tr>
        <w:trPr>
          <w:trHeight w:val="621"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before="22"/>
              <w:ind w:left="106"/>
              <w:rPr>
                <w:sz w:val="21"/>
              </w:rPr>
            </w:pPr>
            <w:r>
              <w:rPr>
                <w:spacing w:val="-3"/>
                <w:sz w:val="21"/>
              </w:rPr>
              <w:t>有下列条件中的至少三项的检验报告：</w:t>
            </w:r>
          </w:p>
          <w:p>
            <w:pPr>
              <w:pStyle w:val="TableParagraph"/>
              <w:spacing w:line="294" w:lineRule="exact" w:before="16"/>
              <w:ind w:left="106"/>
              <w:rPr>
                <w:sz w:val="21"/>
              </w:rPr>
            </w:pPr>
            <w:r>
              <w:rPr>
                <w:sz w:val="21"/>
              </w:rPr>
              <w:t>（</w:t>
            </w:r>
            <w:r>
              <w:rPr>
                <w:rFonts w:ascii="等线" w:hAnsi="等线" w:eastAsia="等线"/>
                <w:sz w:val="21"/>
              </w:rPr>
              <w:t>1</w:t>
            </w:r>
            <w:r>
              <w:rPr>
                <w:sz w:val="21"/>
              </w:rPr>
              <w:t>）血小板计数＜</w:t>
            </w:r>
            <w:r>
              <w:rPr>
                <w:rFonts w:ascii="等线" w:hAnsi="等线" w:eastAsia="等线"/>
                <w:sz w:val="21"/>
              </w:rPr>
              <w:t>100×10</w:t>
            </w:r>
            <w:r>
              <w:rPr>
                <w:rFonts w:ascii="等线" w:hAnsi="等线" w:eastAsia="等线"/>
                <w:position w:val="11"/>
                <w:sz w:val="11"/>
              </w:rPr>
              <w:t>9</w:t>
            </w:r>
            <w:r>
              <w:rPr>
                <w:rFonts w:ascii="等线" w:hAnsi="等线" w:eastAsia="等线"/>
                <w:sz w:val="21"/>
              </w:rPr>
              <w:t>/L</w:t>
            </w:r>
            <w:r>
              <w:rPr>
                <w:rFonts w:ascii="等线" w:hAnsi="等线" w:eastAsia="等线"/>
                <w:spacing w:val="13"/>
                <w:sz w:val="21"/>
              </w:rPr>
              <w:t> </w:t>
            </w:r>
            <w:r>
              <w:rPr>
                <w:spacing w:val="-2"/>
                <w:sz w:val="21"/>
              </w:rPr>
              <w:t>或者呈进行性下降；</w:t>
            </w:r>
          </w:p>
        </w:tc>
      </w:tr>
      <w:tr>
        <w:trPr>
          <w:trHeight w:val="311"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89" w:lineRule="exact" w:before="3"/>
              <w:ind w:left="106"/>
              <w:rPr>
                <w:sz w:val="21"/>
              </w:rPr>
            </w:pPr>
            <w:r>
              <w:rPr>
                <w:sz w:val="21"/>
              </w:rPr>
              <w:t>（</w:t>
            </w:r>
            <w:r>
              <w:rPr>
                <w:rFonts w:ascii="等线" w:eastAsia="等线"/>
                <w:sz w:val="21"/>
              </w:rPr>
              <w:t>2</w:t>
            </w:r>
            <w:r>
              <w:rPr>
                <w:sz w:val="21"/>
              </w:rPr>
              <w:t>）血浆纤维蛋白原含量＜</w:t>
            </w:r>
            <w:r>
              <w:rPr>
                <w:rFonts w:ascii="等线" w:eastAsia="等线"/>
                <w:sz w:val="21"/>
              </w:rPr>
              <w:t>1.5g/L</w:t>
            </w:r>
            <w:r>
              <w:rPr>
                <w:rFonts w:ascii="等线" w:eastAsia="等线"/>
                <w:spacing w:val="-17"/>
                <w:sz w:val="21"/>
              </w:rPr>
              <w:t> </w:t>
            </w:r>
            <w:r>
              <w:rPr>
                <w:sz w:val="21"/>
              </w:rPr>
              <w:t>或者＞</w:t>
            </w:r>
            <w:r>
              <w:rPr>
                <w:rFonts w:ascii="等线" w:eastAsia="等线"/>
                <w:sz w:val="21"/>
              </w:rPr>
              <w:t>4g/L</w:t>
            </w:r>
            <w:r>
              <w:rPr>
                <w:rFonts w:ascii="等线" w:eastAsia="等线"/>
                <w:spacing w:val="17"/>
                <w:sz w:val="21"/>
              </w:rPr>
              <w:t> </w:t>
            </w:r>
            <w:r>
              <w:rPr>
                <w:spacing w:val="-2"/>
                <w:sz w:val="21"/>
              </w:rPr>
              <w:t>或者呈进行性下降；</w:t>
            </w:r>
          </w:p>
        </w:tc>
      </w:tr>
      <w:tr>
        <w:trPr>
          <w:trHeight w:val="311"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89" w:lineRule="exact" w:before="3"/>
              <w:ind w:left="106"/>
              <w:rPr>
                <w:sz w:val="21"/>
              </w:rPr>
            </w:pPr>
            <w:r>
              <w:rPr>
                <w:spacing w:val="-2"/>
                <w:sz w:val="21"/>
              </w:rPr>
              <w:t>（</w:t>
            </w:r>
            <w:r>
              <w:rPr>
                <w:rFonts w:ascii="等线" w:eastAsia="等线"/>
                <w:spacing w:val="-2"/>
                <w:sz w:val="21"/>
              </w:rPr>
              <w:t>3</w:t>
            </w:r>
            <w:r>
              <w:rPr>
                <w:spacing w:val="-2"/>
                <w:sz w:val="21"/>
              </w:rPr>
              <w:t>）</w:t>
            </w:r>
            <w:r>
              <w:rPr>
                <w:rFonts w:ascii="等线" w:eastAsia="等线"/>
                <w:spacing w:val="-2"/>
                <w:sz w:val="21"/>
              </w:rPr>
              <w:t>3P</w:t>
            </w:r>
            <w:r>
              <w:rPr>
                <w:rFonts w:ascii="等线" w:eastAsia="等线"/>
                <w:sz w:val="21"/>
              </w:rPr>
              <w:t> </w:t>
            </w:r>
            <w:r>
              <w:rPr>
                <w:spacing w:val="-8"/>
                <w:sz w:val="21"/>
              </w:rPr>
              <w:t>试验阳性或者血浆 </w:t>
            </w:r>
            <w:r>
              <w:rPr>
                <w:rFonts w:ascii="等线" w:eastAsia="等线"/>
                <w:spacing w:val="-2"/>
                <w:sz w:val="21"/>
              </w:rPr>
              <w:t>FDP</w:t>
            </w:r>
            <w:r>
              <w:rPr>
                <w:spacing w:val="-2"/>
                <w:sz w:val="21"/>
              </w:rPr>
              <w:t>＞</w:t>
            </w:r>
            <w:r>
              <w:rPr>
                <w:rFonts w:ascii="等线" w:eastAsia="等线"/>
                <w:spacing w:val="-2"/>
                <w:sz w:val="21"/>
              </w:rPr>
              <w:t>20mg/L</w:t>
            </w:r>
            <w:r>
              <w:rPr>
                <w:spacing w:val="-2"/>
                <w:sz w:val="21"/>
              </w:rPr>
              <w:t>；</w:t>
            </w:r>
          </w:p>
        </w:tc>
      </w:tr>
      <w:tr>
        <w:trPr>
          <w:trHeight w:val="271" w:hRule="atLeast"/>
        </w:trPr>
        <w:tc>
          <w:tcPr>
            <w:tcW w:w="900" w:type="dxa"/>
          </w:tcPr>
          <w:p>
            <w:pPr>
              <w:pStyle w:val="TableParagraph"/>
              <w:rPr>
                <w:rFonts w:ascii="Times New Roman"/>
                <w:sz w:val="20"/>
              </w:rPr>
            </w:pPr>
          </w:p>
        </w:tc>
        <w:tc>
          <w:tcPr>
            <w:tcW w:w="1694" w:type="dxa"/>
          </w:tcPr>
          <w:p>
            <w:pPr>
              <w:pStyle w:val="TableParagraph"/>
              <w:rPr>
                <w:rFonts w:ascii="Times New Roman"/>
                <w:sz w:val="20"/>
              </w:rPr>
            </w:pPr>
          </w:p>
        </w:tc>
        <w:tc>
          <w:tcPr>
            <w:tcW w:w="7260" w:type="dxa"/>
          </w:tcPr>
          <w:p>
            <w:pPr>
              <w:pStyle w:val="TableParagraph"/>
              <w:spacing w:line="248" w:lineRule="exact" w:before="3"/>
              <w:ind w:left="106"/>
              <w:rPr>
                <w:sz w:val="21"/>
              </w:rPr>
            </w:pPr>
            <w:r>
              <w:rPr>
                <w:spacing w:val="-2"/>
                <w:sz w:val="21"/>
              </w:rPr>
              <w:t>（</w:t>
            </w:r>
            <w:r>
              <w:rPr>
                <w:rFonts w:ascii="等线" w:eastAsia="等线"/>
                <w:spacing w:val="-2"/>
                <w:sz w:val="21"/>
              </w:rPr>
              <w:t>4</w:t>
            </w:r>
            <w:r>
              <w:rPr>
                <w:spacing w:val="-2"/>
                <w:sz w:val="21"/>
              </w:rPr>
              <w:t>）凝血酶原时间＞</w:t>
            </w:r>
            <w:r>
              <w:rPr>
                <w:rFonts w:ascii="等线" w:eastAsia="等线"/>
                <w:spacing w:val="-2"/>
                <w:sz w:val="21"/>
              </w:rPr>
              <w:t>15</w:t>
            </w:r>
            <w:r>
              <w:rPr>
                <w:rFonts w:ascii="等线" w:eastAsia="等线"/>
                <w:spacing w:val="-3"/>
                <w:sz w:val="21"/>
              </w:rPr>
              <w:t> </w:t>
            </w:r>
            <w:r>
              <w:rPr>
                <w:spacing w:val="-7"/>
                <w:sz w:val="21"/>
              </w:rPr>
              <w:t>秒或者超过对照组 </w:t>
            </w:r>
            <w:r>
              <w:rPr>
                <w:rFonts w:ascii="等线" w:eastAsia="等线"/>
                <w:spacing w:val="-2"/>
                <w:sz w:val="21"/>
              </w:rPr>
              <w:t>3</w:t>
            </w:r>
            <w:r>
              <w:rPr>
                <w:rFonts w:ascii="等线" w:eastAsia="等线"/>
                <w:sz w:val="21"/>
              </w:rPr>
              <w:t> </w:t>
            </w:r>
            <w:r>
              <w:rPr>
                <w:spacing w:val="-4"/>
                <w:sz w:val="21"/>
              </w:rPr>
              <w:t>秒以上。</w:t>
            </w:r>
          </w:p>
        </w:tc>
      </w:tr>
    </w:tbl>
    <w:p>
      <w:pPr>
        <w:spacing w:after="0" w:line="248" w:lineRule="exact"/>
        <w:rPr>
          <w:sz w:val="21"/>
        </w:rPr>
        <w:sectPr>
          <w:pgSz w:w="11910" w:h="16840"/>
          <w:pgMar w:header="566" w:footer="664" w:top="1340" w:bottom="860" w:left="900" w:right="720"/>
        </w:sectPr>
      </w:pPr>
    </w:p>
    <w:p>
      <w:pPr>
        <w:pStyle w:val="BodyText"/>
        <w:spacing w:before="2"/>
        <w:rPr>
          <w:sz w:val="22"/>
        </w:rPr>
      </w:pPr>
    </w:p>
    <w:tbl>
      <w:tblPr>
        <w:tblW w:w="0" w:type="auto"/>
        <w:jc w:val="left"/>
        <w:tblInd w:w="1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1"/>
        <w:gridCol w:w="1628"/>
        <w:gridCol w:w="7462"/>
      </w:tblGrid>
      <w:tr>
        <w:trPr>
          <w:trHeight w:val="969" w:hRule="atLeast"/>
        </w:trPr>
        <w:tc>
          <w:tcPr>
            <w:tcW w:w="951" w:type="dxa"/>
          </w:tcPr>
          <w:p>
            <w:pPr>
              <w:pStyle w:val="TableParagraph"/>
              <w:spacing w:line="291" w:lineRule="exact"/>
              <w:ind w:left="100"/>
              <w:rPr>
                <w:rFonts w:ascii="微软雅黑"/>
                <w:b/>
                <w:sz w:val="21"/>
              </w:rPr>
            </w:pPr>
            <w:r>
              <w:rPr>
                <w:rFonts w:ascii="微软雅黑"/>
                <w:b/>
                <w:spacing w:val="-2"/>
                <w:sz w:val="21"/>
              </w:rPr>
              <w:t>8.1.119</w:t>
            </w:r>
          </w:p>
        </w:tc>
        <w:tc>
          <w:tcPr>
            <w:tcW w:w="1628" w:type="dxa"/>
          </w:tcPr>
          <w:p>
            <w:pPr>
              <w:pStyle w:val="TableParagraph"/>
              <w:spacing w:line="254" w:lineRule="exact"/>
              <w:ind w:left="107"/>
              <w:rPr>
                <w:rFonts w:ascii="微软雅黑" w:eastAsia="微软雅黑"/>
                <w:b/>
                <w:sz w:val="21"/>
              </w:rPr>
            </w:pPr>
            <w:r>
              <w:rPr>
                <w:rFonts w:ascii="微软雅黑" w:eastAsia="微软雅黑"/>
                <w:b/>
                <w:spacing w:val="-2"/>
                <w:sz w:val="21"/>
              </w:rPr>
              <w:t>严重亚急性坏</w:t>
            </w:r>
          </w:p>
          <w:p>
            <w:pPr>
              <w:pStyle w:val="TableParagraph"/>
              <w:spacing w:line="350" w:lineRule="exact"/>
              <w:ind w:left="107"/>
              <w:rPr>
                <w:rFonts w:ascii="微软雅黑" w:eastAsia="微软雅黑"/>
                <w:b/>
                <w:sz w:val="21"/>
              </w:rPr>
            </w:pPr>
            <w:r>
              <w:rPr>
                <w:rFonts w:ascii="微软雅黑" w:eastAsia="微软雅黑"/>
                <w:b/>
                <w:spacing w:val="-2"/>
                <w:sz w:val="21"/>
              </w:rPr>
              <w:t>死性脊髓炎</w:t>
            </w:r>
          </w:p>
        </w:tc>
        <w:tc>
          <w:tcPr>
            <w:tcW w:w="7462" w:type="dxa"/>
          </w:tcPr>
          <w:p>
            <w:pPr>
              <w:pStyle w:val="TableParagraph"/>
              <w:spacing w:line="241" w:lineRule="exact"/>
              <w:ind w:left="172"/>
              <w:rPr>
                <w:sz w:val="21"/>
              </w:rPr>
            </w:pPr>
            <w:r>
              <w:rPr>
                <w:spacing w:val="-3"/>
                <w:sz w:val="21"/>
              </w:rPr>
              <w:t>是一种特殊类型的慢性脊髓脊神经根炎。临床以脊髓血供障碍造成的进行性</w:t>
            </w:r>
          </w:p>
          <w:p>
            <w:pPr>
              <w:pStyle w:val="TableParagraph"/>
              <w:spacing w:line="278" w:lineRule="auto" w:before="43"/>
              <w:ind w:left="172" w:right="353"/>
              <w:rPr>
                <w:sz w:val="21"/>
              </w:rPr>
            </w:pPr>
            <w:r>
              <w:rPr>
                <w:spacing w:val="-4"/>
                <w:sz w:val="21"/>
              </w:rPr>
              <w:t>脊髓损伤为特点。须经由相关专科医生确诊疾病 </w:t>
            </w:r>
            <w:r>
              <w:rPr>
                <w:spacing w:val="-2"/>
                <w:sz w:val="21"/>
              </w:rPr>
              <w:t>180</w:t>
            </w:r>
            <w:r>
              <w:rPr>
                <w:spacing w:val="-8"/>
                <w:sz w:val="21"/>
              </w:rPr>
              <w:t> 天后自主生活能力完全</w:t>
            </w:r>
            <w:r>
              <w:rPr>
                <w:spacing w:val="-2"/>
                <w:sz w:val="21"/>
              </w:rPr>
              <w:t>丧失，无法独立完成六项基本日常生活活动中的三项或三项以上。</w:t>
            </w:r>
          </w:p>
        </w:tc>
      </w:tr>
      <w:tr>
        <w:trPr>
          <w:trHeight w:val="395" w:hRule="atLeast"/>
        </w:trPr>
        <w:tc>
          <w:tcPr>
            <w:tcW w:w="951" w:type="dxa"/>
          </w:tcPr>
          <w:p>
            <w:pPr>
              <w:pStyle w:val="TableParagraph"/>
              <w:spacing w:line="337" w:lineRule="exact" w:before="38"/>
              <w:ind w:left="100"/>
              <w:rPr>
                <w:rFonts w:ascii="微软雅黑"/>
                <w:b/>
                <w:sz w:val="21"/>
              </w:rPr>
            </w:pPr>
            <w:r>
              <w:rPr>
                <w:rFonts w:ascii="微软雅黑"/>
                <w:b/>
                <w:spacing w:val="-2"/>
                <w:sz w:val="21"/>
              </w:rPr>
              <w:t>8.1.120</w:t>
            </w:r>
          </w:p>
        </w:tc>
        <w:tc>
          <w:tcPr>
            <w:tcW w:w="1628" w:type="dxa"/>
          </w:tcPr>
          <w:p>
            <w:pPr>
              <w:pStyle w:val="TableParagraph"/>
              <w:spacing w:line="337" w:lineRule="exact" w:before="38"/>
              <w:ind w:left="107"/>
              <w:rPr>
                <w:rFonts w:ascii="微软雅黑" w:eastAsia="微软雅黑"/>
                <w:b/>
                <w:sz w:val="21"/>
              </w:rPr>
            </w:pPr>
            <w:r>
              <w:rPr>
                <w:rFonts w:ascii="微软雅黑" w:eastAsia="微软雅黑"/>
                <w:b/>
                <w:spacing w:val="-2"/>
                <w:sz w:val="21"/>
              </w:rPr>
              <w:t>大面积植皮手</w:t>
            </w:r>
          </w:p>
        </w:tc>
        <w:tc>
          <w:tcPr>
            <w:tcW w:w="7462" w:type="dxa"/>
          </w:tcPr>
          <w:p>
            <w:pPr>
              <w:pStyle w:val="TableParagraph"/>
              <w:spacing w:before="106"/>
              <w:ind w:left="172"/>
              <w:rPr>
                <w:sz w:val="21"/>
              </w:rPr>
            </w:pPr>
            <w:r>
              <w:rPr>
                <w:spacing w:val="-3"/>
                <w:sz w:val="21"/>
              </w:rPr>
              <w:t>指为修复皮肤与其下的组织缺损所进行的皮肤移植手术，要求皮肤移植的面</w:t>
            </w:r>
          </w:p>
        </w:tc>
      </w:tr>
      <w:tr>
        <w:trPr>
          <w:trHeight w:val="452" w:hRule="atLeast"/>
        </w:trPr>
        <w:tc>
          <w:tcPr>
            <w:tcW w:w="951" w:type="dxa"/>
          </w:tcPr>
          <w:p>
            <w:pPr>
              <w:pStyle w:val="TableParagraph"/>
              <w:rPr>
                <w:rFonts w:ascii="Times New Roman"/>
                <w:sz w:val="20"/>
              </w:rPr>
            </w:pPr>
          </w:p>
        </w:tc>
        <w:tc>
          <w:tcPr>
            <w:tcW w:w="1628" w:type="dxa"/>
          </w:tcPr>
          <w:p>
            <w:pPr>
              <w:pStyle w:val="TableParagraph"/>
              <w:spacing w:line="342" w:lineRule="exact"/>
              <w:ind w:left="107"/>
              <w:rPr>
                <w:rFonts w:ascii="微软雅黑" w:eastAsia="微软雅黑"/>
                <w:b/>
                <w:sz w:val="21"/>
              </w:rPr>
            </w:pPr>
            <w:r>
              <w:rPr>
                <w:rFonts w:ascii="微软雅黑" w:eastAsia="微软雅黑"/>
                <w:b/>
                <w:w w:val="100"/>
                <w:sz w:val="21"/>
              </w:rPr>
              <w:t>术</w:t>
            </w:r>
          </w:p>
        </w:tc>
        <w:tc>
          <w:tcPr>
            <w:tcW w:w="7462" w:type="dxa"/>
          </w:tcPr>
          <w:p>
            <w:pPr>
              <w:pStyle w:val="TableParagraph"/>
              <w:spacing w:before="22"/>
              <w:ind w:left="172"/>
              <w:rPr>
                <w:sz w:val="21"/>
              </w:rPr>
            </w:pPr>
            <w:r>
              <w:rPr>
                <w:spacing w:val="-6"/>
                <w:sz w:val="21"/>
              </w:rPr>
              <w:t>积达到全身体表面积的 </w:t>
            </w:r>
            <w:r>
              <w:rPr>
                <w:spacing w:val="-2"/>
                <w:sz w:val="21"/>
              </w:rPr>
              <w:t>30</w:t>
            </w:r>
            <w:r>
              <w:rPr>
                <w:spacing w:val="-15"/>
                <w:sz w:val="21"/>
              </w:rPr>
              <w:t>%或 </w:t>
            </w:r>
            <w:r>
              <w:rPr>
                <w:spacing w:val="-2"/>
                <w:sz w:val="21"/>
              </w:rPr>
              <w:t>30</w:t>
            </w:r>
            <w:r>
              <w:rPr>
                <w:spacing w:val="-16"/>
                <w:sz w:val="21"/>
              </w:rPr>
              <w:t>%以上。体表面积根据《中国新九分法》计算。</w:t>
            </w:r>
          </w:p>
        </w:tc>
      </w:tr>
      <w:tr>
        <w:trPr>
          <w:trHeight w:val="493" w:hRule="atLeast"/>
        </w:trPr>
        <w:tc>
          <w:tcPr>
            <w:tcW w:w="951" w:type="dxa"/>
          </w:tcPr>
          <w:p>
            <w:pPr>
              <w:pStyle w:val="TableParagraph"/>
              <w:spacing w:line="389" w:lineRule="exact" w:before="84"/>
              <w:ind w:left="100"/>
              <w:rPr>
                <w:rFonts w:ascii="微软雅黑" w:hAnsi="微软雅黑"/>
                <w:b/>
                <w:sz w:val="28"/>
              </w:rPr>
            </w:pPr>
            <w:r>
              <w:rPr>
                <w:rFonts w:ascii="微软雅黑" w:hAnsi="微软雅黑"/>
                <w:b/>
                <w:w w:val="100"/>
                <w:sz w:val="28"/>
              </w:rPr>
              <w:t>⒐</w:t>
            </w:r>
          </w:p>
        </w:tc>
        <w:tc>
          <w:tcPr>
            <w:tcW w:w="1628" w:type="dxa"/>
          </w:tcPr>
          <w:p>
            <w:pPr>
              <w:pStyle w:val="TableParagraph"/>
              <w:spacing w:line="394" w:lineRule="exact" w:before="80"/>
              <w:ind w:left="107"/>
              <w:rPr>
                <w:rFonts w:ascii="微软雅黑" w:eastAsia="微软雅黑"/>
                <w:b/>
                <w:sz w:val="24"/>
              </w:rPr>
            </w:pPr>
            <w:r>
              <w:rPr>
                <w:rFonts w:ascii="微软雅黑" w:eastAsia="微软雅黑"/>
                <w:b/>
                <w:spacing w:val="-3"/>
                <w:sz w:val="24"/>
              </w:rPr>
              <w:t>中症疾病</w:t>
            </w:r>
          </w:p>
        </w:tc>
        <w:tc>
          <w:tcPr>
            <w:tcW w:w="7462" w:type="dxa"/>
          </w:tcPr>
          <w:p>
            <w:pPr>
              <w:pStyle w:val="TableParagraph"/>
              <w:rPr>
                <w:rFonts w:ascii="Times New Roman"/>
                <w:sz w:val="20"/>
              </w:rPr>
            </w:pPr>
          </w:p>
        </w:tc>
      </w:tr>
      <w:tr>
        <w:trPr>
          <w:trHeight w:val="545" w:hRule="atLeast"/>
        </w:trPr>
        <w:tc>
          <w:tcPr>
            <w:tcW w:w="10041" w:type="dxa"/>
            <w:gridSpan w:val="3"/>
          </w:tcPr>
          <w:p>
            <w:pPr>
              <w:pStyle w:val="TableParagraph"/>
              <w:spacing w:before="7"/>
              <w:rPr>
                <w:sz w:val="14"/>
              </w:rPr>
            </w:pPr>
          </w:p>
          <w:p>
            <w:pPr>
              <w:pStyle w:val="TableParagraph"/>
              <w:spacing w:line="338" w:lineRule="exact" w:before="1"/>
              <w:ind w:left="1058"/>
              <w:rPr>
                <w:rFonts w:ascii="微软雅黑" w:eastAsia="微软雅黑"/>
                <w:b/>
                <w:sz w:val="21"/>
              </w:rPr>
            </w:pPr>
            <w:r>
              <w:rPr>
                <w:rFonts w:ascii="微软雅黑" w:eastAsia="微软雅黑"/>
                <w:b/>
                <w:spacing w:val="-3"/>
                <w:sz w:val="21"/>
              </w:rPr>
              <w:t>以下疾病名称仅供理解使用，具体保障范围以每项疾病具体定义为准。</w:t>
            </w:r>
          </w:p>
        </w:tc>
      </w:tr>
      <w:tr>
        <w:trPr>
          <w:trHeight w:val="423" w:hRule="atLeast"/>
        </w:trPr>
        <w:tc>
          <w:tcPr>
            <w:tcW w:w="951" w:type="dxa"/>
            <w:tcBorders>
              <w:top w:val="single" w:sz="6" w:space="0" w:color="000000"/>
            </w:tcBorders>
          </w:tcPr>
          <w:p>
            <w:pPr>
              <w:pStyle w:val="TableParagraph"/>
              <w:spacing w:line="337" w:lineRule="exact" w:before="66"/>
              <w:ind w:left="100"/>
              <w:rPr>
                <w:rFonts w:ascii="微软雅黑"/>
                <w:b/>
                <w:sz w:val="21"/>
              </w:rPr>
            </w:pPr>
            <w:r>
              <w:rPr>
                <w:rFonts w:ascii="微软雅黑"/>
                <w:b/>
                <w:spacing w:val="-5"/>
                <w:sz w:val="21"/>
              </w:rPr>
              <w:t>9.1</w:t>
            </w:r>
          </w:p>
        </w:tc>
        <w:tc>
          <w:tcPr>
            <w:tcW w:w="1628" w:type="dxa"/>
            <w:tcBorders>
              <w:top w:val="single" w:sz="6" w:space="0" w:color="000000"/>
            </w:tcBorders>
          </w:tcPr>
          <w:p>
            <w:pPr>
              <w:pStyle w:val="TableParagraph"/>
              <w:spacing w:line="337" w:lineRule="exact" w:before="66"/>
              <w:ind w:right="171"/>
              <w:jc w:val="right"/>
              <w:rPr>
                <w:rFonts w:ascii="微软雅黑" w:eastAsia="微软雅黑"/>
                <w:b/>
                <w:sz w:val="21"/>
              </w:rPr>
            </w:pPr>
            <w:r>
              <w:rPr>
                <w:rFonts w:ascii="微软雅黑" w:eastAsia="微软雅黑"/>
                <w:b/>
                <w:spacing w:val="-2"/>
                <w:sz w:val="21"/>
              </w:rPr>
              <w:t>中症疾病定义</w:t>
            </w:r>
          </w:p>
        </w:tc>
        <w:tc>
          <w:tcPr>
            <w:tcW w:w="7462" w:type="dxa"/>
            <w:tcBorders>
              <w:top w:val="single" w:sz="6" w:space="0" w:color="000000"/>
            </w:tcBorders>
          </w:tcPr>
          <w:p>
            <w:pPr>
              <w:pStyle w:val="TableParagraph"/>
              <w:spacing w:before="133"/>
              <w:ind w:left="184"/>
              <w:rPr>
                <w:sz w:val="21"/>
              </w:rPr>
            </w:pPr>
            <w:r>
              <w:rPr>
                <w:spacing w:val="-5"/>
                <w:sz w:val="21"/>
              </w:rPr>
              <w:t>本合同所指中症疾病，是被保险人经认可的医院及专科医生明确诊断，发生符</w:t>
            </w:r>
          </w:p>
        </w:tc>
      </w:tr>
      <w:tr>
        <w:trPr>
          <w:trHeight w:val="311" w:hRule="atLeast"/>
        </w:trPr>
        <w:tc>
          <w:tcPr>
            <w:tcW w:w="951" w:type="dxa"/>
          </w:tcPr>
          <w:p>
            <w:pPr>
              <w:pStyle w:val="TableParagraph"/>
              <w:rPr>
                <w:rFonts w:ascii="Times New Roman"/>
                <w:sz w:val="20"/>
              </w:rPr>
            </w:pPr>
          </w:p>
        </w:tc>
        <w:tc>
          <w:tcPr>
            <w:tcW w:w="1628" w:type="dxa"/>
          </w:tcPr>
          <w:p>
            <w:pPr>
              <w:pStyle w:val="TableParagraph"/>
              <w:rPr>
                <w:rFonts w:ascii="Times New Roman"/>
                <w:sz w:val="20"/>
              </w:rPr>
            </w:pPr>
          </w:p>
        </w:tc>
        <w:tc>
          <w:tcPr>
            <w:tcW w:w="7462" w:type="dxa"/>
          </w:tcPr>
          <w:p>
            <w:pPr>
              <w:pStyle w:val="TableParagraph"/>
              <w:spacing w:before="22"/>
              <w:ind w:left="184"/>
              <w:rPr>
                <w:sz w:val="21"/>
              </w:rPr>
            </w:pPr>
            <w:r>
              <w:rPr>
                <w:spacing w:val="-4"/>
                <w:sz w:val="21"/>
              </w:rPr>
              <w:t>合以下定义所述条件的疾病、疾病状态或手术，共计 </w:t>
            </w:r>
            <w:r>
              <w:rPr>
                <w:spacing w:val="-2"/>
                <w:sz w:val="21"/>
              </w:rPr>
              <w:t>20</w:t>
            </w:r>
            <w:r>
              <w:rPr>
                <w:spacing w:val="-10"/>
                <w:sz w:val="21"/>
              </w:rPr>
              <w:t> 种。中症疾病名称及</w:t>
            </w:r>
          </w:p>
        </w:tc>
      </w:tr>
      <w:tr>
        <w:trPr>
          <w:trHeight w:val="397" w:hRule="atLeast"/>
        </w:trPr>
        <w:tc>
          <w:tcPr>
            <w:tcW w:w="951" w:type="dxa"/>
          </w:tcPr>
          <w:p>
            <w:pPr>
              <w:pStyle w:val="TableParagraph"/>
              <w:rPr>
                <w:rFonts w:ascii="Times New Roman"/>
                <w:sz w:val="20"/>
              </w:rPr>
            </w:pPr>
          </w:p>
        </w:tc>
        <w:tc>
          <w:tcPr>
            <w:tcW w:w="1628" w:type="dxa"/>
          </w:tcPr>
          <w:p>
            <w:pPr>
              <w:pStyle w:val="TableParagraph"/>
              <w:rPr>
                <w:rFonts w:ascii="Times New Roman"/>
                <w:sz w:val="20"/>
              </w:rPr>
            </w:pPr>
          </w:p>
        </w:tc>
        <w:tc>
          <w:tcPr>
            <w:tcW w:w="7462" w:type="dxa"/>
          </w:tcPr>
          <w:p>
            <w:pPr>
              <w:pStyle w:val="TableParagraph"/>
              <w:spacing w:before="22"/>
              <w:ind w:left="184"/>
              <w:rPr>
                <w:sz w:val="21"/>
              </w:rPr>
            </w:pPr>
            <w:r>
              <w:rPr>
                <w:spacing w:val="-4"/>
                <w:sz w:val="21"/>
              </w:rPr>
              <w:t>定义如下：</w:t>
            </w:r>
          </w:p>
        </w:tc>
      </w:tr>
      <w:tr>
        <w:trPr>
          <w:trHeight w:val="397" w:hRule="atLeast"/>
        </w:trPr>
        <w:tc>
          <w:tcPr>
            <w:tcW w:w="951" w:type="dxa"/>
          </w:tcPr>
          <w:p>
            <w:pPr>
              <w:pStyle w:val="TableParagraph"/>
              <w:spacing w:line="337" w:lineRule="exact" w:before="40"/>
              <w:ind w:left="100"/>
              <w:rPr>
                <w:rFonts w:ascii="微软雅黑"/>
                <w:b/>
                <w:sz w:val="21"/>
              </w:rPr>
            </w:pPr>
            <w:r>
              <w:rPr>
                <w:rFonts w:ascii="微软雅黑"/>
                <w:b/>
                <w:spacing w:val="-2"/>
                <w:w w:val="105"/>
                <w:sz w:val="21"/>
              </w:rPr>
              <w:t>9.1.1</w:t>
            </w:r>
          </w:p>
        </w:tc>
        <w:tc>
          <w:tcPr>
            <w:tcW w:w="1628" w:type="dxa"/>
          </w:tcPr>
          <w:p>
            <w:pPr>
              <w:pStyle w:val="TableParagraph"/>
              <w:spacing w:line="337" w:lineRule="exact" w:before="40"/>
              <w:ind w:right="171"/>
              <w:jc w:val="right"/>
              <w:rPr>
                <w:rFonts w:ascii="微软雅黑" w:eastAsia="微软雅黑"/>
                <w:b/>
                <w:sz w:val="21"/>
              </w:rPr>
            </w:pPr>
            <w:r>
              <w:rPr>
                <w:rFonts w:ascii="微软雅黑" w:eastAsia="微软雅黑"/>
                <w:b/>
                <w:spacing w:val="-2"/>
                <w:sz w:val="21"/>
              </w:rPr>
              <w:t>中度肌营养不</w:t>
            </w:r>
          </w:p>
        </w:tc>
        <w:tc>
          <w:tcPr>
            <w:tcW w:w="7462" w:type="dxa"/>
          </w:tcPr>
          <w:p>
            <w:pPr>
              <w:pStyle w:val="TableParagraph"/>
              <w:spacing w:before="107"/>
              <w:ind w:left="184"/>
              <w:rPr>
                <w:sz w:val="21"/>
              </w:rPr>
            </w:pPr>
            <w:r>
              <w:rPr>
                <w:spacing w:val="-7"/>
                <w:sz w:val="21"/>
              </w:rPr>
              <w:t>指一组原发于肌肉的遗传性疾病，临床表现为与神经系统无关的肌肉无力和肌</w:t>
            </w:r>
          </w:p>
        </w:tc>
      </w:tr>
      <w:tr>
        <w:trPr>
          <w:trHeight w:val="312" w:hRule="atLeast"/>
        </w:trPr>
        <w:tc>
          <w:tcPr>
            <w:tcW w:w="951" w:type="dxa"/>
          </w:tcPr>
          <w:p>
            <w:pPr>
              <w:pStyle w:val="TableParagraph"/>
              <w:rPr>
                <w:rFonts w:ascii="Times New Roman"/>
                <w:sz w:val="20"/>
              </w:rPr>
            </w:pPr>
          </w:p>
        </w:tc>
        <w:tc>
          <w:tcPr>
            <w:tcW w:w="1628" w:type="dxa"/>
          </w:tcPr>
          <w:p>
            <w:pPr>
              <w:pStyle w:val="TableParagraph"/>
              <w:spacing w:line="292" w:lineRule="exact"/>
              <w:ind w:left="186"/>
              <w:rPr>
                <w:rFonts w:ascii="微软雅黑" w:eastAsia="微软雅黑"/>
                <w:b/>
                <w:sz w:val="21"/>
              </w:rPr>
            </w:pPr>
            <w:r>
              <w:rPr>
                <w:rFonts w:ascii="微软雅黑" w:eastAsia="微软雅黑"/>
                <w:b/>
                <w:spacing w:val="-5"/>
                <w:sz w:val="21"/>
              </w:rPr>
              <w:t>良症</w:t>
            </w:r>
          </w:p>
        </w:tc>
        <w:tc>
          <w:tcPr>
            <w:tcW w:w="7462" w:type="dxa"/>
          </w:tcPr>
          <w:p>
            <w:pPr>
              <w:pStyle w:val="TableParagraph"/>
              <w:spacing w:before="22"/>
              <w:ind w:left="184"/>
              <w:rPr>
                <w:sz w:val="21"/>
              </w:rPr>
            </w:pPr>
            <w:r>
              <w:rPr>
                <w:spacing w:val="-9"/>
                <w:sz w:val="21"/>
              </w:rPr>
              <w:t>肉萎缩。但未达到本合同所指重大疾病“严重肌营养不良症”或“瘫痪”标准。</w:t>
            </w:r>
          </w:p>
        </w:tc>
      </w:tr>
      <w:tr>
        <w:trPr>
          <w:trHeight w:val="312" w:hRule="atLeast"/>
        </w:trPr>
        <w:tc>
          <w:tcPr>
            <w:tcW w:w="951" w:type="dxa"/>
          </w:tcPr>
          <w:p>
            <w:pPr>
              <w:pStyle w:val="TableParagraph"/>
              <w:rPr>
                <w:rFonts w:ascii="Times New Roman"/>
                <w:sz w:val="20"/>
              </w:rPr>
            </w:pPr>
          </w:p>
        </w:tc>
        <w:tc>
          <w:tcPr>
            <w:tcW w:w="1628" w:type="dxa"/>
          </w:tcPr>
          <w:p>
            <w:pPr>
              <w:pStyle w:val="TableParagraph"/>
              <w:rPr>
                <w:rFonts w:ascii="Times New Roman"/>
                <w:sz w:val="20"/>
              </w:rPr>
            </w:pPr>
          </w:p>
        </w:tc>
        <w:tc>
          <w:tcPr>
            <w:tcW w:w="7462" w:type="dxa"/>
          </w:tcPr>
          <w:p>
            <w:pPr>
              <w:pStyle w:val="TableParagraph"/>
              <w:spacing w:before="22"/>
              <w:ind w:left="184"/>
              <w:rPr>
                <w:sz w:val="21"/>
              </w:rPr>
            </w:pPr>
            <w:r>
              <w:rPr>
                <w:spacing w:val="-3"/>
                <w:sz w:val="21"/>
              </w:rPr>
              <w:t>须满足下列全部条件：</w:t>
            </w:r>
          </w:p>
        </w:tc>
      </w:tr>
      <w:tr>
        <w:trPr>
          <w:trHeight w:val="312" w:hRule="atLeast"/>
        </w:trPr>
        <w:tc>
          <w:tcPr>
            <w:tcW w:w="951" w:type="dxa"/>
          </w:tcPr>
          <w:p>
            <w:pPr>
              <w:pStyle w:val="TableParagraph"/>
              <w:rPr>
                <w:rFonts w:ascii="Times New Roman"/>
                <w:sz w:val="20"/>
              </w:rPr>
            </w:pPr>
          </w:p>
        </w:tc>
        <w:tc>
          <w:tcPr>
            <w:tcW w:w="1628" w:type="dxa"/>
          </w:tcPr>
          <w:p>
            <w:pPr>
              <w:pStyle w:val="TableParagraph"/>
              <w:rPr>
                <w:rFonts w:ascii="Times New Roman"/>
                <w:sz w:val="20"/>
              </w:rPr>
            </w:pPr>
          </w:p>
        </w:tc>
        <w:tc>
          <w:tcPr>
            <w:tcW w:w="7462" w:type="dxa"/>
          </w:tcPr>
          <w:p>
            <w:pPr>
              <w:pStyle w:val="TableParagraph"/>
              <w:spacing w:before="22"/>
              <w:ind w:left="184"/>
              <w:rPr>
                <w:sz w:val="21"/>
              </w:rPr>
            </w:pPr>
            <w:r>
              <w:rPr>
                <w:spacing w:val="-4"/>
                <w:sz w:val="21"/>
              </w:rPr>
              <w:t>（1）</w:t>
            </w:r>
            <w:r>
              <w:rPr>
                <w:spacing w:val="-5"/>
                <w:sz w:val="21"/>
              </w:rPr>
              <w:t>肌肉组织活检结果满足肌营养不良症的肌肉细胞变性、坏死等阳性改变；</w:t>
            </w:r>
          </w:p>
        </w:tc>
      </w:tr>
      <w:tr>
        <w:trPr>
          <w:trHeight w:val="312" w:hRule="atLeast"/>
        </w:trPr>
        <w:tc>
          <w:tcPr>
            <w:tcW w:w="951" w:type="dxa"/>
          </w:tcPr>
          <w:p>
            <w:pPr>
              <w:pStyle w:val="TableParagraph"/>
              <w:rPr>
                <w:rFonts w:ascii="Times New Roman"/>
                <w:sz w:val="20"/>
              </w:rPr>
            </w:pPr>
          </w:p>
        </w:tc>
        <w:tc>
          <w:tcPr>
            <w:tcW w:w="1628" w:type="dxa"/>
          </w:tcPr>
          <w:p>
            <w:pPr>
              <w:pStyle w:val="TableParagraph"/>
              <w:rPr>
                <w:rFonts w:ascii="Times New Roman"/>
                <w:sz w:val="20"/>
              </w:rPr>
            </w:pPr>
          </w:p>
        </w:tc>
        <w:tc>
          <w:tcPr>
            <w:tcW w:w="7462" w:type="dxa"/>
          </w:tcPr>
          <w:p>
            <w:pPr>
              <w:pStyle w:val="TableParagraph"/>
              <w:spacing w:before="22"/>
              <w:ind w:left="184"/>
              <w:rPr>
                <w:sz w:val="21"/>
              </w:rPr>
            </w:pPr>
            <w:r>
              <w:rPr>
                <w:spacing w:val="-2"/>
                <w:sz w:val="21"/>
              </w:rPr>
              <w:t>（2）</w:t>
            </w:r>
            <w:r>
              <w:rPr>
                <w:spacing w:val="-3"/>
                <w:sz w:val="21"/>
              </w:rPr>
              <w:t>自主生活能力严重丧失，经鉴定无法独立完成六项基本日常生活活动中</w:t>
            </w:r>
          </w:p>
        </w:tc>
      </w:tr>
      <w:tr>
        <w:trPr>
          <w:trHeight w:val="309" w:hRule="atLeast"/>
        </w:trPr>
        <w:tc>
          <w:tcPr>
            <w:tcW w:w="951" w:type="dxa"/>
          </w:tcPr>
          <w:p>
            <w:pPr>
              <w:pStyle w:val="TableParagraph"/>
              <w:rPr>
                <w:rFonts w:ascii="Times New Roman"/>
                <w:sz w:val="20"/>
              </w:rPr>
            </w:pPr>
          </w:p>
        </w:tc>
        <w:tc>
          <w:tcPr>
            <w:tcW w:w="1628" w:type="dxa"/>
          </w:tcPr>
          <w:p>
            <w:pPr>
              <w:pStyle w:val="TableParagraph"/>
              <w:rPr>
                <w:rFonts w:ascii="Times New Roman"/>
                <w:sz w:val="20"/>
              </w:rPr>
            </w:pPr>
          </w:p>
        </w:tc>
        <w:tc>
          <w:tcPr>
            <w:tcW w:w="7462" w:type="dxa"/>
          </w:tcPr>
          <w:p>
            <w:pPr>
              <w:pStyle w:val="TableParagraph"/>
              <w:spacing w:line="267" w:lineRule="exact" w:before="22"/>
              <w:ind w:left="184"/>
              <w:rPr>
                <w:sz w:val="21"/>
              </w:rPr>
            </w:pPr>
            <w:r>
              <w:rPr>
                <w:spacing w:val="-3"/>
                <w:sz w:val="21"/>
              </w:rPr>
              <w:t>的两项或两项以上。</w:t>
            </w:r>
          </w:p>
        </w:tc>
      </w:tr>
      <w:tr>
        <w:trPr>
          <w:trHeight w:val="313" w:hRule="atLeast"/>
        </w:trPr>
        <w:tc>
          <w:tcPr>
            <w:tcW w:w="951" w:type="dxa"/>
          </w:tcPr>
          <w:p>
            <w:pPr>
              <w:pStyle w:val="TableParagraph"/>
              <w:rPr>
                <w:rFonts w:ascii="Times New Roman"/>
                <w:sz w:val="20"/>
              </w:rPr>
            </w:pPr>
          </w:p>
        </w:tc>
        <w:tc>
          <w:tcPr>
            <w:tcW w:w="1628" w:type="dxa"/>
          </w:tcPr>
          <w:p>
            <w:pPr>
              <w:pStyle w:val="TableParagraph"/>
              <w:rPr>
                <w:rFonts w:ascii="Times New Roman"/>
                <w:sz w:val="20"/>
              </w:rPr>
            </w:pPr>
          </w:p>
        </w:tc>
        <w:tc>
          <w:tcPr>
            <w:tcW w:w="7462" w:type="dxa"/>
          </w:tcPr>
          <w:p>
            <w:pPr>
              <w:pStyle w:val="TableParagraph"/>
              <w:spacing w:line="294" w:lineRule="exact"/>
              <w:ind w:left="184"/>
              <w:rPr>
                <w:rFonts w:ascii="微软雅黑" w:hAnsi="微软雅黑" w:eastAsia="微软雅黑"/>
                <w:b/>
                <w:sz w:val="22"/>
              </w:rPr>
            </w:pPr>
            <w:r>
              <w:rPr>
                <w:rFonts w:ascii="微软雅黑" w:hAnsi="微软雅黑" w:eastAsia="微软雅黑"/>
                <w:b/>
                <w:spacing w:val="-5"/>
                <w:sz w:val="22"/>
              </w:rPr>
              <w:t>我们承担本项疾病责任不受本合同责任免除中“遗传性疾病，先天性畸形、</w:t>
            </w:r>
          </w:p>
        </w:tc>
      </w:tr>
      <w:tr>
        <w:trPr>
          <w:trHeight w:val="398" w:hRule="atLeast"/>
        </w:trPr>
        <w:tc>
          <w:tcPr>
            <w:tcW w:w="951" w:type="dxa"/>
          </w:tcPr>
          <w:p>
            <w:pPr>
              <w:pStyle w:val="TableParagraph"/>
              <w:rPr>
                <w:rFonts w:ascii="Times New Roman"/>
                <w:sz w:val="20"/>
              </w:rPr>
            </w:pPr>
          </w:p>
        </w:tc>
        <w:tc>
          <w:tcPr>
            <w:tcW w:w="1628" w:type="dxa"/>
          </w:tcPr>
          <w:p>
            <w:pPr>
              <w:pStyle w:val="TableParagraph"/>
              <w:rPr>
                <w:rFonts w:ascii="Times New Roman"/>
                <w:sz w:val="20"/>
              </w:rPr>
            </w:pPr>
          </w:p>
        </w:tc>
        <w:tc>
          <w:tcPr>
            <w:tcW w:w="7462" w:type="dxa"/>
          </w:tcPr>
          <w:p>
            <w:pPr>
              <w:pStyle w:val="TableParagraph"/>
              <w:spacing w:line="351" w:lineRule="exact"/>
              <w:ind w:left="184"/>
              <w:rPr>
                <w:rFonts w:ascii="微软雅黑" w:hAnsi="微软雅黑" w:eastAsia="微软雅黑"/>
                <w:b/>
                <w:sz w:val="22"/>
              </w:rPr>
            </w:pPr>
            <w:r>
              <w:rPr>
                <w:rFonts w:ascii="微软雅黑" w:hAnsi="微软雅黑" w:eastAsia="微软雅黑"/>
                <w:b/>
                <w:spacing w:val="-1"/>
                <w:sz w:val="22"/>
              </w:rPr>
              <w:t>变形或染色体异常”的限制。</w:t>
            </w:r>
          </w:p>
        </w:tc>
      </w:tr>
      <w:tr>
        <w:trPr>
          <w:trHeight w:val="394" w:hRule="atLeast"/>
        </w:trPr>
        <w:tc>
          <w:tcPr>
            <w:tcW w:w="951" w:type="dxa"/>
          </w:tcPr>
          <w:p>
            <w:pPr>
              <w:pStyle w:val="TableParagraph"/>
              <w:spacing w:line="337" w:lineRule="exact" w:before="37"/>
              <w:ind w:left="100"/>
              <w:rPr>
                <w:rFonts w:ascii="微软雅黑"/>
                <w:b/>
                <w:sz w:val="21"/>
              </w:rPr>
            </w:pPr>
            <w:r>
              <w:rPr>
                <w:rFonts w:ascii="微软雅黑"/>
                <w:b/>
                <w:spacing w:val="-2"/>
                <w:w w:val="105"/>
                <w:sz w:val="21"/>
              </w:rPr>
              <w:t>9.1.2</w:t>
            </w:r>
          </w:p>
        </w:tc>
        <w:tc>
          <w:tcPr>
            <w:tcW w:w="1628" w:type="dxa"/>
          </w:tcPr>
          <w:p>
            <w:pPr>
              <w:pStyle w:val="TableParagraph"/>
              <w:spacing w:line="337" w:lineRule="exact" w:before="37"/>
              <w:ind w:right="171"/>
              <w:jc w:val="right"/>
              <w:rPr>
                <w:rFonts w:ascii="微软雅黑" w:eastAsia="微软雅黑"/>
                <w:b/>
                <w:sz w:val="21"/>
              </w:rPr>
            </w:pPr>
            <w:r>
              <w:rPr>
                <w:rFonts w:ascii="微软雅黑" w:eastAsia="微软雅黑"/>
                <w:b/>
                <w:spacing w:val="-2"/>
                <w:sz w:val="21"/>
              </w:rPr>
              <w:t>早期系统性硬</w:t>
            </w:r>
          </w:p>
        </w:tc>
        <w:tc>
          <w:tcPr>
            <w:tcW w:w="7462" w:type="dxa"/>
          </w:tcPr>
          <w:p>
            <w:pPr>
              <w:pStyle w:val="TableParagraph"/>
              <w:spacing w:before="104"/>
              <w:ind w:left="184"/>
              <w:rPr>
                <w:sz w:val="21"/>
              </w:rPr>
            </w:pPr>
            <w:r>
              <w:rPr>
                <w:spacing w:val="-3"/>
                <w:sz w:val="21"/>
              </w:rPr>
              <w:t>一种系统性胶原血管病引起进行性的皮肤、血管和内脏器官的弥漫性纤维化。</w:t>
            </w:r>
          </w:p>
        </w:tc>
      </w:tr>
      <w:tr>
        <w:trPr>
          <w:trHeight w:val="311" w:hRule="atLeast"/>
        </w:trPr>
        <w:tc>
          <w:tcPr>
            <w:tcW w:w="951" w:type="dxa"/>
          </w:tcPr>
          <w:p>
            <w:pPr>
              <w:pStyle w:val="TableParagraph"/>
              <w:rPr>
                <w:rFonts w:ascii="Times New Roman"/>
                <w:sz w:val="20"/>
              </w:rPr>
            </w:pPr>
          </w:p>
        </w:tc>
        <w:tc>
          <w:tcPr>
            <w:tcW w:w="1628" w:type="dxa"/>
          </w:tcPr>
          <w:p>
            <w:pPr>
              <w:pStyle w:val="TableParagraph"/>
              <w:spacing w:line="292" w:lineRule="exact"/>
              <w:ind w:left="186"/>
              <w:rPr>
                <w:rFonts w:ascii="微软雅黑" w:eastAsia="微软雅黑"/>
                <w:b/>
                <w:sz w:val="21"/>
              </w:rPr>
            </w:pPr>
            <w:r>
              <w:rPr>
                <w:rFonts w:ascii="微软雅黑" w:eastAsia="微软雅黑"/>
                <w:b/>
                <w:spacing w:val="-5"/>
                <w:sz w:val="21"/>
              </w:rPr>
              <w:t>皮病</w:t>
            </w:r>
          </w:p>
        </w:tc>
        <w:tc>
          <w:tcPr>
            <w:tcW w:w="7462" w:type="dxa"/>
          </w:tcPr>
          <w:p>
            <w:pPr>
              <w:pStyle w:val="TableParagraph"/>
              <w:spacing w:before="22"/>
              <w:ind w:left="184"/>
              <w:rPr>
                <w:sz w:val="21"/>
              </w:rPr>
            </w:pPr>
            <w:r>
              <w:rPr>
                <w:spacing w:val="-5"/>
                <w:sz w:val="21"/>
              </w:rPr>
              <w:t>诊断必须明确并由活检和血清学证据支持并且疾病已经影响到心脏、肺或肾脏</w:t>
            </w:r>
          </w:p>
        </w:tc>
      </w:tr>
      <w:tr>
        <w:trPr>
          <w:trHeight w:val="312" w:hRule="atLeast"/>
        </w:trPr>
        <w:tc>
          <w:tcPr>
            <w:tcW w:w="951" w:type="dxa"/>
          </w:tcPr>
          <w:p>
            <w:pPr>
              <w:pStyle w:val="TableParagraph"/>
              <w:rPr>
                <w:rFonts w:ascii="Times New Roman"/>
                <w:sz w:val="20"/>
              </w:rPr>
            </w:pPr>
          </w:p>
        </w:tc>
        <w:tc>
          <w:tcPr>
            <w:tcW w:w="1628" w:type="dxa"/>
          </w:tcPr>
          <w:p>
            <w:pPr>
              <w:pStyle w:val="TableParagraph"/>
              <w:rPr>
                <w:rFonts w:ascii="Times New Roman"/>
                <w:sz w:val="20"/>
              </w:rPr>
            </w:pPr>
          </w:p>
        </w:tc>
        <w:tc>
          <w:tcPr>
            <w:tcW w:w="7462" w:type="dxa"/>
          </w:tcPr>
          <w:p>
            <w:pPr>
              <w:pStyle w:val="TableParagraph"/>
              <w:spacing w:before="22"/>
              <w:ind w:left="184"/>
              <w:rPr>
                <w:sz w:val="21"/>
              </w:rPr>
            </w:pPr>
            <w:r>
              <w:rPr>
                <w:spacing w:val="-3"/>
                <w:sz w:val="21"/>
              </w:rPr>
              <w:t>等内脏器官并且达到下列标准之一：</w:t>
            </w:r>
          </w:p>
        </w:tc>
      </w:tr>
      <w:tr>
        <w:trPr>
          <w:trHeight w:val="312" w:hRule="atLeast"/>
        </w:trPr>
        <w:tc>
          <w:tcPr>
            <w:tcW w:w="951" w:type="dxa"/>
          </w:tcPr>
          <w:p>
            <w:pPr>
              <w:pStyle w:val="TableParagraph"/>
              <w:rPr>
                <w:rFonts w:ascii="Times New Roman"/>
                <w:sz w:val="20"/>
              </w:rPr>
            </w:pPr>
          </w:p>
        </w:tc>
        <w:tc>
          <w:tcPr>
            <w:tcW w:w="1628" w:type="dxa"/>
          </w:tcPr>
          <w:p>
            <w:pPr>
              <w:pStyle w:val="TableParagraph"/>
              <w:rPr>
                <w:rFonts w:ascii="Times New Roman"/>
                <w:sz w:val="20"/>
              </w:rPr>
            </w:pPr>
          </w:p>
        </w:tc>
        <w:tc>
          <w:tcPr>
            <w:tcW w:w="7462" w:type="dxa"/>
          </w:tcPr>
          <w:p>
            <w:pPr>
              <w:pStyle w:val="TableParagraph"/>
              <w:spacing w:before="22"/>
              <w:ind w:left="184"/>
              <w:rPr>
                <w:sz w:val="21"/>
              </w:rPr>
            </w:pPr>
            <w:r>
              <w:rPr>
                <w:spacing w:val="29"/>
                <w:sz w:val="21"/>
              </w:rPr>
              <w:t>（1</w:t>
            </w:r>
            <w:r>
              <w:rPr>
                <w:spacing w:val="-77"/>
                <w:sz w:val="21"/>
              </w:rPr>
              <w:t>）</w:t>
            </w:r>
            <w:r>
              <w:rPr>
                <w:spacing w:val="-22"/>
                <w:sz w:val="21"/>
              </w:rPr>
              <w:t>肺纤维化，已经出现肺动脉高压、且静息状态下肺动脉平均压超过 </w:t>
            </w:r>
            <w:r>
              <w:rPr>
                <w:spacing w:val="-6"/>
                <w:sz w:val="21"/>
              </w:rPr>
              <w:t>30mmHg；</w:t>
            </w:r>
          </w:p>
        </w:tc>
      </w:tr>
      <w:tr>
        <w:trPr>
          <w:trHeight w:val="312" w:hRule="atLeast"/>
        </w:trPr>
        <w:tc>
          <w:tcPr>
            <w:tcW w:w="951" w:type="dxa"/>
          </w:tcPr>
          <w:p>
            <w:pPr>
              <w:pStyle w:val="TableParagraph"/>
              <w:rPr>
                <w:rFonts w:ascii="Times New Roman"/>
                <w:sz w:val="20"/>
              </w:rPr>
            </w:pPr>
          </w:p>
        </w:tc>
        <w:tc>
          <w:tcPr>
            <w:tcW w:w="1628" w:type="dxa"/>
          </w:tcPr>
          <w:p>
            <w:pPr>
              <w:pStyle w:val="TableParagraph"/>
              <w:rPr>
                <w:rFonts w:ascii="Times New Roman"/>
                <w:sz w:val="20"/>
              </w:rPr>
            </w:pPr>
          </w:p>
        </w:tc>
        <w:tc>
          <w:tcPr>
            <w:tcW w:w="7462" w:type="dxa"/>
          </w:tcPr>
          <w:p>
            <w:pPr>
              <w:pStyle w:val="TableParagraph"/>
              <w:spacing w:before="22"/>
              <w:ind w:left="184"/>
              <w:rPr>
                <w:sz w:val="21"/>
              </w:rPr>
            </w:pPr>
            <w:r>
              <w:rPr>
                <w:spacing w:val="-2"/>
                <w:sz w:val="21"/>
              </w:rPr>
              <w:t>（2）</w:t>
            </w:r>
            <w:r>
              <w:rPr>
                <w:spacing w:val="-3"/>
                <w:sz w:val="21"/>
              </w:rPr>
              <w:t>心脏损害，心脏功能衰竭程度达到美国纽约心脏病学会心功能状态分级</w:t>
            </w:r>
          </w:p>
        </w:tc>
      </w:tr>
      <w:tr>
        <w:trPr>
          <w:trHeight w:val="573" w:hRule="atLeast"/>
        </w:trPr>
        <w:tc>
          <w:tcPr>
            <w:tcW w:w="951" w:type="dxa"/>
          </w:tcPr>
          <w:p>
            <w:pPr>
              <w:pStyle w:val="TableParagraph"/>
              <w:rPr>
                <w:rFonts w:ascii="Times New Roman"/>
                <w:sz w:val="20"/>
              </w:rPr>
            </w:pPr>
          </w:p>
        </w:tc>
        <w:tc>
          <w:tcPr>
            <w:tcW w:w="1628" w:type="dxa"/>
          </w:tcPr>
          <w:p>
            <w:pPr>
              <w:pStyle w:val="TableParagraph"/>
              <w:rPr>
                <w:rFonts w:ascii="Times New Roman"/>
                <w:sz w:val="20"/>
              </w:rPr>
            </w:pPr>
          </w:p>
        </w:tc>
        <w:tc>
          <w:tcPr>
            <w:tcW w:w="7462" w:type="dxa"/>
          </w:tcPr>
          <w:p>
            <w:pPr>
              <w:pStyle w:val="TableParagraph"/>
              <w:spacing w:before="22"/>
              <w:ind w:left="184"/>
              <w:rPr>
                <w:sz w:val="21"/>
              </w:rPr>
            </w:pPr>
            <w:r>
              <w:rPr>
                <w:spacing w:val="-2"/>
                <w:sz w:val="21"/>
              </w:rPr>
              <w:t>II</w:t>
            </w:r>
            <w:r>
              <w:rPr>
                <w:spacing w:val="-22"/>
                <w:sz w:val="21"/>
              </w:rPr>
              <w:t> 级；</w:t>
            </w:r>
          </w:p>
          <w:p>
            <w:pPr>
              <w:pStyle w:val="TableParagraph"/>
              <w:spacing w:line="230" w:lineRule="exact" w:before="33"/>
              <w:ind w:left="184"/>
              <w:rPr>
                <w:sz w:val="21"/>
              </w:rPr>
            </w:pPr>
            <w:r>
              <w:rPr>
                <w:spacing w:val="-2"/>
                <w:sz w:val="21"/>
              </w:rPr>
              <w:t>（3）肾脏损害，已经出现肾功能衰竭，肾小球滤过率＜45ml/min/1.73m</w:t>
            </w:r>
            <w:r>
              <w:rPr>
                <w:spacing w:val="-2"/>
                <w:position w:val="11"/>
                <w:sz w:val="11"/>
              </w:rPr>
              <w:t>2</w:t>
            </w:r>
            <w:r>
              <w:rPr>
                <w:spacing w:val="-10"/>
                <w:sz w:val="21"/>
              </w:rPr>
              <w:t>。</w:t>
            </w:r>
          </w:p>
        </w:tc>
      </w:tr>
    </w:tbl>
    <w:p>
      <w:pPr>
        <w:pStyle w:val="BodyText"/>
        <w:spacing w:before="6"/>
        <w:rPr>
          <w:sz w:val="5"/>
        </w:rPr>
      </w:pPr>
    </w:p>
    <w:p>
      <w:pPr>
        <w:pStyle w:val="BodyText"/>
        <w:spacing w:before="4"/>
        <w:rPr>
          <w:sz w:val="2"/>
        </w:rPr>
      </w:pPr>
    </w:p>
    <w:tbl>
      <w:tblPr>
        <w:tblW w:w="0" w:type="auto"/>
        <w:jc w:val="left"/>
        <w:tblInd w:w="2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77"/>
        <w:gridCol w:w="168"/>
        <w:gridCol w:w="276"/>
        <w:gridCol w:w="329"/>
      </w:tblGrid>
      <w:tr>
        <w:trPr>
          <w:trHeight w:val="285" w:hRule="atLeast"/>
        </w:trPr>
        <w:tc>
          <w:tcPr>
            <w:tcW w:w="2650" w:type="dxa"/>
            <w:gridSpan w:val="4"/>
            <w:tcBorders>
              <w:bottom w:val="single" w:sz="12" w:space="0" w:color="FFFFFF"/>
            </w:tcBorders>
            <w:shd w:val="clear" w:color="auto" w:fill="D9D9D9"/>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r>
      <w:tr>
        <w:trPr>
          <w:trHeight w:val="281" w:hRule="atLeast"/>
        </w:trPr>
        <w:tc>
          <w:tcPr>
            <w:tcW w:w="1877" w:type="dxa"/>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w w:val="95"/>
                <w:sz w:val="22"/>
              </w:rPr>
              <w:t>（1）</w:t>
            </w:r>
            <w:r>
              <w:rPr>
                <w:rFonts w:ascii="微软雅黑" w:eastAsia="微软雅黑"/>
                <w:b/>
                <w:w w:val="95"/>
                <w:sz w:val="22"/>
              </w:rPr>
              <w:t>局</w:t>
            </w:r>
            <w:r>
              <w:rPr>
                <w:rFonts w:ascii="微软雅黑" w:eastAsia="微软雅黑"/>
                <w:b/>
                <w:w w:val="95"/>
                <w:sz w:val="22"/>
              </w:rPr>
              <w:t>部</w:t>
            </w:r>
            <w:r>
              <w:rPr>
                <w:rFonts w:ascii="微软雅黑" w:eastAsia="微软雅黑"/>
                <w:b/>
                <w:w w:val="95"/>
                <w:sz w:val="22"/>
              </w:rPr>
              <w:t>硬</w:t>
            </w:r>
            <w:r>
              <w:rPr>
                <w:rFonts w:ascii="微软雅黑" w:eastAsia="微软雅黑"/>
                <w:b/>
                <w:w w:val="95"/>
                <w:sz w:val="22"/>
              </w:rPr>
              <w:t>皮</w:t>
            </w:r>
            <w:r>
              <w:rPr>
                <w:rFonts w:ascii="微软雅黑" w:eastAsia="微软雅黑"/>
                <w:b/>
                <w:w w:val="95"/>
                <w:sz w:val="22"/>
              </w:rPr>
              <w:t>病</w:t>
            </w:r>
            <w:r>
              <w:rPr>
                <w:rFonts w:ascii="微软雅黑" w:eastAsia="微软雅黑"/>
                <w:b/>
                <w:spacing w:val="-10"/>
                <w:w w:val="95"/>
                <w:sz w:val="22"/>
              </w:rPr>
              <w:t>；</w:t>
            </w:r>
          </w:p>
        </w:tc>
        <w:tc>
          <w:tcPr>
            <w:tcW w:w="773" w:type="dxa"/>
            <w:gridSpan w:val="3"/>
            <w:tcBorders>
              <w:top w:val="single" w:sz="12" w:space="0" w:color="FFFFFF"/>
              <w:bottom w:val="single" w:sz="12" w:space="0" w:color="FFFFFF"/>
            </w:tcBorders>
          </w:tcPr>
          <w:p>
            <w:pPr>
              <w:pStyle w:val="TableParagraph"/>
              <w:rPr>
                <w:rFonts w:ascii="Times New Roman"/>
                <w:sz w:val="20"/>
              </w:rPr>
            </w:pPr>
          </w:p>
        </w:tc>
      </w:tr>
      <w:tr>
        <w:trPr>
          <w:trHeight w:val="281" w:hRule="atLeast"/>
        </w:trPr>
        <w:tc>
          <w:tcPr>
            <w:tcW w:w="2321" w:type="dxa"/>
            <w:gridSpan w:val="3"/>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嗜</w:t>
            </w:r>
            <w:r>
              <w:rPr>
                <w:rFonts w:ascii="微软雅黑" w:eastAsia="微软雅黑"/>
                <w:b/>
                <w:w w:val="95"/>
                <w:sz w:val="22"/>
              </w:rPr>
              <w:t>酸</w:t>
            </w:r>
            <w:r>
              <w:rPr>
                <w:rFonts w:ascii="微软雅黑" w:eastAsia="微软雅黑"/>
                <w:b/>
                <w:w w:val="95"/>
                <w:sz w:val="22"/>
              </w:rPr>
              <w:t>细</w:t>
            </w:r>
            <w:r>
              <w:rPr>
                <w:rFonts w:ascii="微软雅黑" w:eastAsia="微软雅黑"/>
                <w:b/>
                <w:w w:val="95"/>
                <w:sz w:val="22"/>
              </w:rPr>
              <w:t>胞</w:t>
            </w:r>
            <w:r>
              <w:rPr>
                <w:rFonts w:ascii="微软雅黑" w:eastAsia="微软雅黑"/>
                <w:b/>
                <w:w w:val="95"/>
                <w:sz w:val="22"/>
              </w:rPr>
              <w:t>筋</w:t>
            </w:r>
            <w:r>
              <w:rPr>
                <w:rFonts w:ascii="微软雅黑" w:eastAsia="微软雅黑"/>
                <w:b/>
                <w:w w:val="95"/>
                <w:sz w:val="22"/>
              </w:rPr>
              <w:t>膜</w:t>
            </w:r>
            <w:r>
              <w:rPr>
                <w:rFonts w:ascii="微软雅黑" w:eastAsia="微软雅黑"/>
                <w:b/>
                <w:w w:val="95"/>
                <w:sz w:val="22"/>
              </w:rPr>
              <w:t>炎</w:t>
            </w:r>
            <w:r>
              <w:rPr>
                <w:rFonts w:ascii="微软雅黑" w:eastAsia="微软雅黑"/>
                <w:b/>
                <w:spacing w:val="-10"/>
                <w:w w:val="95"/>
                <w:sz w:val="22"/>
              </w:rPr>
              <w:t>；</w:t>
            </w:r>
          </w:p>
        </w:tc>
        <w:tc>
          <w:tcPr>
            <w:tcW w:w="329"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2045" w:type="dxa"/>
            <w:gridSpan w:val="2"/>
            <w:tcBorders>
              <w:top w:val="single" w:sz="12" w:space="0" w:color="FFFFFF"/>
            </w:tcBorders>
            <w:shd w:val="clear" w:color="auto" w:fill="D9D9D9"/>
          </w:tcPr>
          <w:p>
            <w:pPr>
              <w:pStyle w:val="TableParagraph"/>
              <w:spacing w:line="265" w:lineRule="exact"/>
              <w:rPr>
                <w:rFonts w:ascii="微软雅黑" w:eastAsia="微软雅黑"/>
                <w:b/>
                <w:sz w:val="22"/>
              </w:rPr>
            </w:pPr>
            <w:r>
              <w:rPr>
                <w:rFonts w:ascii="微软雅黑" w:eastAsia="微软雅黑"/>
                <w:b/>
                <w:w w:val="90"/>
                <w:sz w:val="22"/>
              </w:rPr>
              <w:t>（3）CREST</w:t>
            </w:r>
            <w:r>
              <w:rPr>
                <w:rFonts w:ascii="微软雅黑" w:eastAsia="微软雅黑"/>
                <w:b/>
                <w:spacing w:val="10"/>
                <w:sz w:val="22"/>
              </w:rPr>
              <w:t> </w:t>
            </w:r>
            <w:r>
              <w:rPr>
                <w:rFonts w:ascii="微软雅黑" w:eastAsia="微软雅黑"/>
                <w:b/>
                <w:w w:val="90"/>
                <w:sz w:val="22"/>
              </w:rPr>
              <w:t>综</w:t>
            </w:r>
            <w:r>
              <w:rPr>
                <w:rFonts w:ascii="微软雅黑" w:eastAsia="微软雅黑"/>
                <w:b/>
                <w:w w:val="90"/>
                <w:sz w:val="22"/>
              </w:rPr>
              <w:t>合</w:t>
            </w:r>
            <w:r>
              <w:rPr>
                <w:rFonts w:ascii="微软雅黑" w:eastAsia="微软雅黑"/>
                <w:b/>
                <w:w w:val="90"/>
                <w:sz w:val="22"/>
              </w:rPr>
              <w:t>征</w:t>
            </w:r>
            <w:r>
              <w:rPr>
                <w:rFonts w:ascii="微软雅黑" w:eastAsia="微软雅黑"/>
                <w:b/>
                <w:spacing w:val="-10"/>
                <w:w w:val="90"/>
                <w:sz w:val="22"/>
              </w:rPr>
              <w:t>。</w:t>
            </w:r>
          </w:p>
        </w:tc>
        <w:tc>
          <w:tcPr>
            <w:tcW w:w="605" w:type="dxa"/>
            <w:gridSpan w:val="2"/>
            <w:tcBorders>
              <w:top w:val="single" w:sz="12" w:space="0" w:color="FFFFFF"/>
            </w:tcBorders>
          </w:tcPr>
          <w:p>
            <w:pPr>
              <w:pStyle w:val="TableParagraph"/>
              <w:rPr>
                <w:rFonts w:ascii="Times New Roman"/>
                <w:sz w:val="20"/>
              </w:rPr>
            </w:pPr>
          </w:p>
        </w:tc>
      </w:tr>
    </w:tbl>
    <w:p>
      <w:pPr>
        <w:pStyle w:val="BodyText"/>
        <w:spacing w:before="7"/>
        <w:rPr>
          <w:sz w:val="10"/>
        </w:rPr>
      </w:pPr>
    </w:p>
    <w:p>
      <w:pPr>
        <w:spacing w:after="0"/>
        <w:rPr>
          <w:sz w:val="10"/>
        </w:rPr>
        <w:sectPr>
          <w:headerReference w:type="default" r:id="rId33"/>
          <w:footerReference w:type="default" r:id="rId34"/>
          <w:pgSz w:w="11910" w:h="16840"/>
          <w:pgMar w:header="566" w:footer="664" w:top="1340" w:bottom="860" w:left="900" w:right="720"/>
        </w:sectPr>
      </w:pPr>
    </w:p>
    <w:p>
      <w:pPr>
        <w:pStyle w:val="ListParagraph"/>
        <w:numPr>
          <w:ilvl w:val="2"/>
          <w:numId w:val="62"/>
        </w:numPr>
        <w:tabs>
          <w:tab w:pos="1269" w:val="left" w:leader="none"/>
          <w:tab w:pos="1270" w:val="left" w:leader="none"/>
        </w:tabs>
        <w:spacing w:line="194" w:lineRule="auto" w:before="57" w:after="0"/>
        <w:ind w:left="1270" w:right="38" w:hanging="1038"/>
        <w:jc w:val="left"/>
        <w:rPr>
          <w:rFonts w:ascii="微软雅黑" w:hAnsi="微软雅黑" w:eastAsia="微软雅黑"/>
          <w:b/>
          <w:sz w:val="21"/>
        </w:rPr>
      </w:pPr>
      <w:r>
        <w:rPr>
          <w:rFonts w:ascii="微软雅黑" w:hAnsi="微软雅黑" w:eastAsia="微软雅黑"/>
          <w:b/>
          <w:spacing w:val="-2"/>
          <w:sz w:val="21"/>
        </w:rPr>
        <w:t>中度面积Ⅲ度</w:t>
      </w:r>
      <w:r>
        <w:rPr>
          <w:rFonts w:ascii="微软雅黑" w:hAnsi="微软雅黑" w:eastAsia="微软雅黑"/>
          <w:b/>
          <w:spacing w:val="-6"/>
          <w:sz w:val="21"/>
        </w:rPr>
        <w:t>烧伤</w:t>
      </w:r>
    </w:p>
    <w:p>
      <w:pPr>
        <w:pStyle w:val="BodyText"/>
        <w:spacing w:line="278" w:lineRule="auto" w:before="72"/>
        <w:ind w:left="232" w:right="298"/>
        <w:jc w:val="both"/>
      </w:pPr>
      <w:r>
        <w:rPr/>
        <w:br w:type="column"/>
      </w:r>
      <w:r>
        <w:rPr>
          <w:spacing w:val="-2"/>
        </w:rPr>
        <w:t>指烧伤程度为Ⅲ度，即全层皮肤烧伤，包括表皮、真皮和皮下组织，且Ⅲ度烧</w:t>
      </w:r>
      <w:r>
        <w:rPr>
          <w:spacing w:val="-2"/>
        </w:rPr>
        <w:t>伤的面积达到全身体表面积的 </w:t>
      </w:r>
      <w:r>
        <w:rPr>
          <w:rFonts w:ascii="Times New Roman" w:hAnsi="Times New Roman" w:eastAsia="Times New Roman"/>
        </w:rPr>
        <w:t>15%</w:t>
      </w:r>
      <w:r>
        <w:rPr>
          <w:spacing w:val="-13"/>
        </w:rPr>
        <w:t>或 </w:t>
      </w:r>
      <w:r>
        <w:rPr>
          <w:rFonts w:ascii="Times New Roman" w:hAnsi="Times New Roman" w:eastAsia="Times New Roman"/>
        </w:rPr>
        <w:t>15%</w:t>
      </w:r>
      <w:r>
        <w:rPr/>
        <w:t>以上。</w:t>
      </w:r>
    </w:p>
    <w:p>
      <w:pPr>
        <w:pStyle w:val="Heading1"/>
        <w:spacing w:line="184" w:lineRule="auto"/>
        <w:ind w:left="232" w:right="301"/>
        <w:jc w:val="both"/>
      </w:pPr>
      <w:r>
        <w:rPr>
          <w:spacing w:val="-12"/>
        </w:rPr>
        <w:t>因同一次意外伤害原因所致的“中度面积Ⅲ度烧伤”、“意外导致的中度面</w:t>
      </w:r>
      <w:r>
        <w:rPr>
          <w:spacing w:val="-16"/>
        </w:rPr>
        <w:t>部烧伤”，我们仅赔付其中一项中症疾病保险金，赔付后另外一个病种中症</w:t>
      </w:r>
      <w:r>
        <w:rPr>
          <w:spacing w:val="-2"/>
        </w:rPr>
        <w:t>责任终止。</w:t>
      </w:r>
    </w:p>
    <w:p>
      <w:pPr>
        <w:spacing w:after="0" w:line="184" w:lineRule="auto"/>
        <w:jc w:val="both"/>
        <w:sectPr>
          <w:type w:val="continuous"/>
          <w:pgSz w:w="11910" w:h="16840"/>
          <w:pgMar w:header="566" w:footer="664" w:top="1340" w:bottom="860" w:left="900" w:right="720"/>
          <w:cols w:num="2" w:equalWidth="0">
            <w:col w:w="2578" w:space="85"/>
            <w:col w:w="7627"/>
          </w:cols>
        </w:sectPr>
      </w:pPr>
    </w:p>
    <w:p>
      <w:pPr>
        <w:pStyle w:val="ListParagraph"/>
        <w:numPr>
          <w:ilvl w:val="2"/>
          <w:numId w:val="62"/>
        </w:numPr>
        <w:tabs>
          <w:tab w:pos="1269" w:val="left" w:leader="none"/>
          <w:tab w:pos="1270" w:val="left" w:leader="none"/>
        </w:tabs>
        <w:spacing w:line="194" w:lineRule="auto" w:before="155" w:after="0"/>
        <w:ind w:left="1270" w:right="38" w:hanging="1038"/>
        <w:jc w:val="left"/>
        <w:rPr>
          <w:rFonts w:ascii="微软雅黑" w:eastAsia="微软雅黑"/>
          <w:b/>
          <w:sz w:val="21"/>
        </w:rPr>
      </w:pPr>
      <w:r>
        <w:rPr>
          <w:rFonts w:ascii="微软雅黑" w:eastAsia="微软雅黑"/>
          <w:b/>
          <w:spacing w:val="-2"/>
          <w:sz w:val="21"/>
        </w:rPr>
        <w:t>意外导致的中</w:t>
      </w:r>
      <w:r>
        <w:rPr>
          <w:rFonts w:ascii="微软雅黑" w:eastAsia="微软雅黑"/>
          <w:b/>
          <w:spacing w:val="-2"/>
          <w:sz w:val="21"/>
        </w:rPr>
        <w:t>度面部烧伤</w:t>
      </w:r>
    </w:p>
    <w:p>
      <w:pPr>
        <w:pStyle w:val="BodyText"/>
        <w:spacing w:line="278" w:lineRule="auto" w:before="170"/>
        <w:ind w:left="232" w:right="329"/>
      </w:pPr>
      <w:r>
        <w:rPr/>
        <w:br w:type="column"/>
      </w:r>
      <w:r>
        <w:rPr>
          <w:spacing w:val="-2"/>
        </w:rPr>
        <w:t>指面部Ⅲ度烧伤且烧伤面积达到面部表面积的 </w:t>
      </w:r>
      <w:r>
        <w:rPr>
          <w:rFonts w:ascii="Times New Roman" w:hAnsi="Times New Roman" w:eastAsia="Times New Roman"/>
        </w:rPr>
        <w:t>3/5 </w:t>
      </w:r>
      <w:r>
        <w:rPr>
          <w:spacing w:val="-3"/>
        </w:rPr>
        <w:t>或全身体表面积的 </w:t>
      </w:r>
      <w:r>
        <w:rPr>
          <w:rFonts w:ascii="Times New Roman" w:hAnsi="Times New Roman" w:eastAsia="Times New Roman"/>
        </w:rPr>
        <w:t>1.8%</w:t>
      </w:r>
      <w:r>
        <w:rPr/>
        <w:t>。</w:t>
      </w:r>
      <w:r>
        <w:rPr>
          <w:spacing w:val="-2"/>
        </w:rPr>
        <w:t>体表面积根据《中国新九分法》计算，面部总面积为全身体表面积的 </w:t>
      </w:r>
      <w:r>
        <w:rPr>
          <w:rFonts w:ascii="Times New Roman" w:hAnsi="Times New Roman" w:eastAsia="Times New Roman"/>
        </w:rPr>
        <w:t>3%</w:t>
      </w:r>
      <w:r>
        <w:rPr/>
        <w:t>。面</w:t>
      </w:r>
      <w:r>
        <w:rPr>
          <w:spacing w:val="-2"/>
        </w:rPr>
        <w:t>部面积不包括发部和颈部。</w:t>
      </w:r>
    </w:p>
    <w:p>
      <w:pPr>
        <w:pStyle w:val="Heading1"/>
        <w:spacing w:line="184" w:lineRule="auto"/>
        <w:ind w:left="232" w:right="301"/>
      </w:pPr>
      <w:r>
        <w:rPr>
          <w:spacing w:val="-12"/>
        </w:rPr>
        <w:t>因同一次意外伤害原因所致的“中度面积Ⅲ度烧伤”、“意外导致的中度面</w:t>
      </w:r>
      <w:r>
        <w:rPr>
          <w:spacing w:val="-16"/>
        </w:rPr>
        <w:t>部烧伤”，我们仅赔付其中一项中症疾病保险金，赔付后另外一个病种中症</w:t>
      </w:r>
    </w:p>
    <w:p>
      <w:pPr>
        <w:spacing w:after="0" w:line="184" w:lineRule="auto"/>
        <w:sectPr>
          <w:type w:val="continuous"/>
          <w:pgSz w:w="11910" w:h="16840"/>
          <w:pgMar w:header="566" w:footer="664" w:top="1340" w:bottom="860" w:left="900" w:right="720"/>
          <w:cols w:num="2" w:equalWidth="0">
            <w:col w:w="2578" w:space="85"/>
            <w:col w:w="7627"/>
          </w:cols>
        </w:sectPr>
      </w:pPr>
    </w:p>
    <w:p>
      <w:pPr>
        <w:pStyle w:val="BodyText"/>
        <w:spacing w:before="15"/>
        <w:rPr>
          <w:rFonts w:ascii="微软雅黑"/>
          <w:b/>
          <w:sz w:val="5"/>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8"/>
        <w:gridCol w:w="1645"/>
        <w:gridCol w:w="7428"/>
      </w:tblGrid>
      <w:tr>
        <w:trPr>
          <w:trHeight w:val="354"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line="305" w:lineRule="exact"/>
              <w:ind w:left="179"/>
              <w:rPr>
                <w:rFonts w:ascii="微软雅黑" w:eastAsia="微软雅黑"/>
                <w:b/>
                <w:sz w:val="22"/>
              </w:rPr>
            </w:pPr>
            <w:r>
              <w:rPr>
                <w:rFonts w:ascii="微软雅黑" w:eastAsia="微软雅黑"/>
                <w:b/>
                <w:spacing w:val="-2"/>
                <w:sz w:val="22"/>
              </w:rPr>
              <w:t>责任终止。</w:t>
            </w:r>
          </w:p>
        </w:tc>
      </w:tr>
      <w:tr>
        <w:trPr>
          <w:trHeight w:val="395" w:hRule="atLeast"/>
        </w:trPr>
        <w:tc>
          <w:tcPr>
            <w:tcW w:w="888" w:type="dxa"/>
          </w:tcPr>
          <w:p>
            <w:pPr>
              <w:pStyle w:val="TableParagraph"/>
              <w:spacing w:line="337" w:lineRule="exact" w:before="38"/>
              <w:ind w:left="50"/>
              <w:rPr>
                <w:rFonts w:ascii="微软雅黑"/>
                <w:b/>
                <w:sz w:val="21"/>
              </w:rPr>
            </w:pPr>
            <w:r>
              <w:rPr>
                <w:rFonts w:ascii="微软雅黑"/>
                <w:b/>
                <w:spacing w:val="-2"/>
                <w:w w:val="105"/>
                <w:sz w:val="21"/>
              </w:rPr>
              <w:t>9.1.5</w:t>
            </w:r>
          </w:p>
        </w:tc>
        <w:tc>
          <w:tcPr>
            <w:tcW w:w="1645" w:type="dxa"/>
          </w:tcPr>
          <w:p>
            <w:pPr>
              <w:pStyle w:val="TableParagraph"/>
              <w:spacing w:line="337" w:lineRule="exact" w:before="38"/>
              <w:ind w:left="199"/>
              <w:rPr>
                <w:rFonts w:ascii="微软雅黑" w:eastAsia="微软雅黑"/>
                <w:b/>
                <w:sz w:val="21"/>
              </w:rPr>
            </w:pPr>
            <w:r>
              <w:rPr>
                <w:rFonts w:ascii="微软雅黑" w:eastAsia="微软雅黑"/>
                <w:b/>
                <w:spacing w:val="-2"/>
                <w:sz w:val="21"/>
              </w:rPr>
              <w:t>单个肢体缺失</w:t>
            </w:r>
          </w:p>
        </w:tc>
        <w:tc>
          <w:tcPr>
            <w:tcW w:w="7428" w:type="dxa"/>
          </w:tcPr>
          <w:p>
            <w:pPr>
              <w:pStyle w:val="TableParagraph"/>
              <w:spacing w:before="105"/>
              <w:ind w:left="179"/>
              <w:rPr>
                <w:sz w:val="21"/>
              </w:rPr>
            </w:pPr>
            <w:r>
              <w:rPr>
                <w:spacing w:val="-4"/>
                <w:sz w:val="21"/>
              </w:rPr>
              <w:t>指因疾病或意外伤害导致一个肢体自腕关节或踝关节近端（靠近躯干端）</w:t>
            </w:r>
            <w:r>
              <w:rPr>
                <w:spacing w:val="-7"/>
                <w:sz w:val="21"/>
              </w:rPr>
              <w:t>以上</w:t>
            </w:r>
          </w:p>
        </w:tc>
      </w:tr>
      <w:tr>
        <w:trPr>
          <w:trHeight w:val="396"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22"/>
              <w:ind w:left="179"/>
              <w:rPr>
                <w:sz w:val="21"/>
              </w:rPr>
            </w:pPr>
            <w:r>
              <w:rPr>
                <w:spacing w:val="-4"/>
                <w:sz w:val="21"/>
              </w:rPr>
              <w:t>完全性断离。</w:t>
            </w:r>
          </w:p>
        </w:tc>
      </w:tr>
      <w:tr>
        <w:trPr>
          <w:trHeight w:val="395" w:hRule="atLeast"/>
        </w:trPr>
        <w:tc>
          <w:tcPr>
            <w:tcW w:w="888" w:type="dxa"/>
          </w:tcPr>
          <w:p>
            <w:pPr>
              <w:pStyle w:val="TableParagraph"/>
              <w:spacing w:line="337" w:lineRule="exact" w:before="38"/>
              <w:ind w:left="50"/>
              <w:rPr>
                <w:rFonts w:ascii="微软雅黑"/>
                <w:b/>
                <w:sz w:val="21"/>
              </w:rPr>
            </w:pPr>
            <w:r>
              <w:rPr>
                <w:rFonts w:ascii="微软雅黑"/>
                <w:b/>
                <w:spacing w:val="-2"/>
                <w:w w:val="105"/>
                <w:sz w:val="21"/>
              </w:rPr>
              <w:t>9.1.6</w:t>
            </w:r>
          </w:p>
        </w:tc>
        <w:tc>
          <w:tcPr>
            <w:tcW w:w="1645" w:type="dxa"/>
          </w:tcPr>
          <w:p>
            <w:pPr>
              <w:pStyle w:val="TableParagraph"/>
              <w:spacing w:line="337" w:lineRule="exact" w:before="38"/>
              <w:ind w:left="199"/>
              <w:rPr>
                <w:rFonts w:ascii="微软雅黑" w:eastAsia="微软雅黑"/>
                <w:b/>
                <w:sz w:val="21"/>
              </w:rPr>
            </w:pPr>
            <w:r>
              <w:rPr>
                <w:rFonts w:ascii="微软雅黑" w:eastAsia="微软雅黑"/>
                <w:b/>
                <w:spacing w:val="-2"/>
                <w:sz w:val="21"/>
              </w:rPr>
              <w:t>严重出血性登</w:t>
            </w:r>
          </w:p>
        </w:tc>
        <w:tc>
          <w:tcPr>
            <w:tcW w:w="7428" w:type="dxa"/>
          </w:tcPr>
          <w:p>
            <w:pPr>
              <w:pStyle w:val="TableParagraph"/>
              <w:spacing w:before="106"/>
              <w:ind w:left="179"/>
              <w:rPr>
                <w:sz w:val="21"/>
              </w:rPr>
            </w:pPr>
            <w:r>
              <w:rPr>
                <w:spacing w:val="-10"/>
                <w:sz w:val="21"/>
              </w:rPr>
              <w:t>登革热是由登革热病毒引起的急性传染病，为一种自限性疾病，通常预后良好。</w:t>
            </w:r>
          </w:p>
        </w:tc>
      </w:tr>
      <w:tr>
        <w:trPr>
          <w:trHeight w:val="312" w:hRule="atLeast"/>
        </w:trPr>
        <w:tc>
          <w:tcPr>
            <w:tcW w:w="888" w:type="dxa"/>
          </w:tcPr>
          <w:p>
            <w:pPr>
              <w:pStyle w:val="TableParagraph"/>
              <w:rPr>
                <w:rFonts w:ascii="Times New Roman"/>
                <w:sz w:val="20"/>
              </w:rPr>
            </w:pPr>
          </w:p>
        </w:tc>
        <w:tc>
          <w:tcPr>
            <w:tcW w:w="1645" w:type="dxa"/>
          </w:tcPr>
          <w:p>
            <w:pPr>
              <w:pStyle w:val="TableParagraph"/>
              <w:spacing w:line="292" w:lineRule="exact"/>
              <w:ind w:left="199"/>
              <w:rPr>
                <w:rFonts w:ascii="微软雅黑" w:eastAsia="微软雅黑"/>
                <w:b/>
                <w:sz w:val="21"/>
              </w:rPr>
            </w:pPr>
            <w:r>
              <w:rPr>
                <w:rFonts w:ascii="微软雅黑" w:eastAsia="微软雅黑"/>
                <w:b/>
                <w:spacing w:val="-5"/>
                <w:sz w:val="21"/>
              </w:rPr>
              <w:t>革热</w:t>
            </w:r>
          </w:p>
        </w:tc>
        <w:tc>
          <w:tcPr>
            <w:tcW w:w="7428" w:type="dxa"/>
          </w:tcPr>
          <w:p>
            <w:pPr>
              <w:pStyle w:val="TableParagraph"/>
              <w:spacing w:before="22"/>
              <w:ind w:left="179"/>
              <w:rPr>
                <w:sz w:val="21"/>
              </w:rPr>
            </w:pPr>
            <w:r>
              <w:rPr>
                <w:spacing w:val="-7"/>
                <w:sz w:val="21"/>
              </w:rPr>
              <w:t>本合同仅对严重的登革热给予保障，被保险人的登革热必须满足下列一种或多</w:t>
            </w:r>
          </w:p>
        </w:tc>
      </w:tr>
      <w:tr>
        <w:trPr>
          <w:trHeight w:val="312"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22"/>
              <w:ind w:left="179"/>
              <w:rPr>
                <w:sz w:val="21"/>
              </w:rPr>
            </w:pPr>
            <w:r>
              <w:rPr>
                <w:spacing w:val="-3"/>
                <w:sz w:val="21"/>
              </w:rPr>
              <w:t>种严重登革热的临床表现：</w:t>
            </w:r>
          </w:p>
        </w:tc>
      </w:tr>
      <w:tr>
        <w:trPr>
          <w:trHeight w:val="311"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22"/>
              <w:ind w:left="179"/>
              <w:rPr>
                <w:sz w:val="21"/>
              </w:rPr>
            </w:pPr>
            <w:r>
              <w:rPr>
                <w:spacing w:val="-2"/>
                <w:sz w:val="21"/>
              </w:rPr>
              <w:t>（1）</w:t>
            </w:r>
            <w:r>
              <w:rPr>
                <w:spacing w:val="-3"/>
                <w:sz w:val="21"/>
              </w:rPr>
              <w:t>血浆渗漏致休克或胸腔积液伴呼吸困难；</w:t>
            </w:r>
          </w:p>
        </w:tc>
      </w:tr>
      <w:tr>
        <w:trPr>
          <w:trHeight w:val="312"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22"/>
              <w:ind w:left="215"/>
              <w:rPr>
                <w:sz w:val="21"/>
              </w:rPr>
            </w:pPr>
            <w:r>
              <w:rPr>
                <w:spacing w:val="-2"/>
                <w:sz w:val="21"/>
              </w:rPr>
              <w:t>（2）</w:t>
            </w:r>
            <w:r>
              <w:rPr>
                <w:spacing w:val="-3"/>
                <w:sz w:val="21"/>
              </w:rPr>
              <w:t>严重出血：消化道出血、阴道大出血、颅内出血、肉眼血尿或皮下血肿</w:t>
            </w:r>
          </w:p>
        </w:tc>
      </w:tr>
      <w:tr>
        <w:trPr>
          <w:trHeight w:val="308"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line="267" w:lineRule="exact" w:before="22"/>
              <w:ind w:left="215"/>
              <w:rPr>
                <w:sz w:val="21"/>
              </w:rPr>
            </w:pPr>
            <w:r>
              <w:rPr>
                <w:spacing w:val="-2"/>
                <w:sz w:val="21"/>
              </w:rPr>
              <w:t>（不包括皮下出血点</w:t>
            </w:r>
            <w:r>
              <w:rPr>
                <w:spacing w:val="-111"/>
                <w:sz w:val="21"/>
              </w:rPr>
              <w:t>）</w:t>
            </w:r>
            <w:r>
              <w:rPr>
                <w:spacing w:val="-5"/>
                <w:sz w:val="21"/>
              </w:rPr>
              <w:t>；</w:t>
            </w:r>
          </w:p>
        </w:tc>
      </w:tr>
      <w:tr>
        <w:trPr>
          <w:trHeight w:val="1024"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25"/>
              <w:ind w:left="215"/>
              <w:rPr>
                <w:rFonts w:ascii="Times New Roman" w:eastAsia="Times New Roman"/>
                <w:sz w:val="21"/>
              </w:rPr>
            </w:pPr>
            <w:r>
              <w:rPr>
                <w:spacing w:val="-2"/>
                <w:sz w:val="21"/>
              </w:rPr>
              <w:t>（3）伴发下列一种或一种以上严重器官损害或衰竭：肝脏损伤（</w:t>
            </w:r>
            <w:r>
              <w:rPr>
                <w:rFonts w:ascii="Times New Roman" w:eastAsia="Times New Roman"/>
                <w:spacing w:val="-2"/>
                <w:sz w:val="21"/>
              </w:rPr>
              <w:t>ALT</w:t>
            </w:r>
            <w:r>
              <w:rPr>
                <w:rFonts w:ascii="Times New Roman" w:eastAsia="Times New Roman"/>
                <w:spacing w:val="17"/>
                <w:sz w:val="21"/>
              </w:rPr>
              <w:t> </w:t>
            </w:r>
            <w:r>
              <w:rPr>
                <w:spacing w:val="-2"/>
                <w:sz w:val="21"/>
              </w:rPr>
              <w:t>或</w:t>
            </w:r>
            <w:r>
              <w:rPr>
                <w:rFonts w:ascii="Times New Roman" w:eastAsia="Times New Roman"/>
                <w:spacing w:val="-5"/>
                <w:sz w:val="21"/>
              </w:rPr>
              <w:t>AST</w:t>
            </w:r>
          </w:p>
          <w:p>
            <w:pPr>
              <w:pStyle w:val="TableParagraph"/>
              <w:spacing w:line="278" w:lineRule="auto" w:before="43"/>
              <w:ind w:left="215" w:right="153"/>
              <w:rPr>
                <w:sz w:val="21"/>
              </w:rPr>
            </w:pPr>
            <w:r>
              <w:rPr>
                <w:spacing w:val="7"/>
                <w:sz w:val="21"/>
              </w:rPr>
              <w:t>＞</w:t>
            </w:r>
            <w:r>
              <w:rPr>
                <w:rFonts w:ascii="Times New Roman" w:eastAsia="Times New Roman"/>
                <w:spacing w:val="7"/>
                <w:sz w:val="21"/>
              </w:rPr>
              <w:t>1000</w:t>
            </w:r>
            <w:r>
              <w:rPr>
                <w:rFonts w:ascii="Times New Roman" w:eastAsia="Times New Roman"/>
                <w:spacing w:val="3"/>
                <w:sz w:val="21"/>
              </w:rPr>
              <w:t>I</w:t>
            </w:r>
            <w:r>
              <w:rPr>
                <w:rFonts w:ascii="Times New Roman" w:eastAsia="Times New Roman"/>
                <w:spacing w:val="7"/>
                <w:sz w:val="21"/>
              </w:rPr>
              <w:t>U</w:t>
            </w:r>
            <w:r>
              <w:rPr>
                <w:rFonts w:ascii="Times New Roman" w:eastAsia="Times New Roman"/>
                <w:spacing w:val="5"/>
                <w:sz w:val="21"/>
              </w:rPr>
              <w:t>/</w:t>
            </w:r>
            <w:r>
              <w:rPr>
                <w:rFonts w:ascii="Times New Roman" w:eastAsia="Times New Roman"/>
                <w:spacing w:val="3"/>
                <w:sz w:val="21"/>
              </w:rPr>
              <w:t>L</w:t>
            </w:r>
            <w:r>
              <w:rPr>
                <w:spacing w:val="-99"/>
                <w:sz w:val="21"/>
              </w:rPr>
              <w:t>）</w:t>
            </w:r>
            <w:r>
              <w:rPr>
                <w:spacing w:val="-4"/>
                <w:sz w:val="21"/>
              </w:rPr>
              <w:t>、</w:t>
            </w:r>
            <w:r>
              <w:rPr>
                <w:rFonts w:ascii="Times New Roman" w:eastAsia="Times New Roman"/>
                <w:spacing w:val="-4"/>
                <w:sz w:val="21"/>
              </w:rPr>
              <w:t>ARDS</w:t>
            </w:r>
            <w:r>
              <w:rPr>
                <w:spacing w:val="-4"/>
                <w:sz w:val="21"/>
              </w:rPr>
              <w:t>（急性呼吸窘迫综合征</w:t>
            </w:r>
            <w:r>
              <w:rPr>
                <w:spacing w:val="-106"/>
                <w:sz w:val="21"/>
              </w:rPr>
              <w:t>）</w:t>
            </w:r>
            <w:r>
              <w:rPr>
                <w:spacing w:val="-4"/>
                <w:sz w:val="21"/>
              </w:rPr>
              <w:t>、急性心功能衰竭、急性肾功能</w:t>
            </w:r>
            <w:r>
              <w:rPr>
                <w:spacing w:val="-2"/>
                <w:sz w:val="21"/>
              </w:rPr>
              <w:t>衰竭、脑病。</w:t>
            </w:r>
          </w:p>
        </w:tc>
      </w:tr>
      <w:tr>
        <w:trPr>
          <w:trHeight w:val="397" w:hRule="atLeast"/>
        </w:trPr>
        <w:tc>
          <w:tcPr>
            <w:tcW w:w="888" w:type="dxa"/>
          </w:tcPr>
          <w:p>
            <w:pPr>
              <w:pStyle w:val="TableParagraph"/>
              <w:spacing w:line="337" w:lineRule="exact" w:before="40"/>
              <w:ind w:left="50"/>
              <w:rPr>
                <w:rFonts w:ascii="微软雅黑"/>
                <w:b/>
                <w:sz w:val="21"/>
              </w:rPr>
            </w:pPr>
            <w:r>
              <w:rPr>
                <w:rFonts w:ascii="微软雅黑"/>
                <w:b/>
                <w:spacing w:val="-2"/>
                <w:w w:val="105"/>
                <w:sz w:val="21"/>
              </w:rPr>
              <w:t>9.1.7</w:t>
            </w:r>
          </w:p>
        </w:tc>
        <w:tc>
          <w:tcPr>
            <w:tcW w:w="1645" w:type="dxa"/>
          </w:tcPr>
          <w:p>
            <w:pPr>
              <w:pStyle w:val="TableParagraph"/>
              <w:spacing w:line="337" w:lineRule="exact" w:before="40"/>
              <w:ind w:left="199"/>
              <w:rPr>
                <w:rFonts w:ascii="微软雅黑" w:eastAsia="微软雅黑"/>
                <w:b/>
                <w:sz w:val="21"/>
              </w:rPr>
            </w:pPr>
            <w:r>
              <w:rPr>
                <w:rFonts w:ascii="微软雅黑" w:eastAsia="微软雅黑"/>
                <w:b/>
                <w:spacing w:val="-2"/>
                <w:sz w:val="21"/>
              </w:rPr>
              <w:t>中度脊髓小脑</w:t>
            </w:r>
          </w:p>
        </w:tc>
        <w:tc>
          <w:tcPr>
            <w:tcW w:w="7428" w:type="dxa"/>
          </w:tcPr>
          <w:p>
            <w:pPr>
              <w:pStyle w:val="TableParagraph"/>
              <w:spacing w:before="107"/>
              <w:ind w:left="179"/>
              <w:rPr>
                <w:sz w:val="21"/>
              </w:rPr>
            </w:pPr>
            <w:r>
              <w:rPr>
                <w:spacing w:val="-3"/>
                <w:sz w:val="21"/>
              </w:rPr>
              <w:t>脊髓小脑变性症为一组以小脑萎缩和共济失调为主要临床特点的多与遗传有</w:t>
            </w:r>
          </w:p>
        </w:tc>
      </w:tr>
      <w:tr>
        <w:trPr>
          <w:trHeight w:val="308" w:hRule="atLeast"/>
        </w:trPr>
        <w:tc>
          <w:tcPr>
            <w:tcW w:w="888" w:type="dxa"/>
          </w:tcPr>
          <w:p>
            <w:pPr>
              <w:pStyle w:val="TableParagraph"/>
              <w:rPr>
                <w:rFonts w:ascii="Times New Roman"/>
                <w:sz w:val="20"/>
              </w:rPr>
            </w:pPr>
          </w:p>
        </w:tc>
        <w:tc>
          <w:tcPr>
            <w:tcW w:w="1645" w:type="dxa"/>
          </w:tcPr>
          <w:p>
            <w:pPr>
              <w:pStyle w:val="TableParagraph"/>
              <w:spacing w:line="289" w:lineRule="exact"/>
              <w:ind w:left="199"/>
              <w:rPr>
                <w:rFonts w:ascii="微软雅黑" w:eastAsia="微软雅黑"/>
                <w:b/>
                <w:sz w:val="21"/>
              </w:rPr>
            </w:pPr>
            <w:r>
              <w:rPr>
                <w:rFonts w:ascii="微软雅黑" w:eastAsia="微软雅黑"/>
                <w:b/>
                <w:spacing w:val="-4"/>
                <w:sz w:val="21"/>
              </w:rPr>
              <w:t>变性症</w:t>
            </w:r>
          </w:p>
        </w:tc>
        <w:tc>
          <w:tcPr>
            <w:tcW w:w="7428" w:type="dxa"/>
          </w:tcPr>
          <w:p>
            <w:pPr>
              <w:pStyle w:val="TableParagraph"/>
              <w:spacing w:line="267" w:lineRule="exact" w:before="22"/>
              <w:ind w:left="179"/>
              <w:rPr>
                <w:sz w:val="21"/>
              </w:rPr>
            </w:pPr>
            <w:r>
              <w:rPr>
                <w:spacing w:val="-5"/>
                <w:sz w:val="21"/>
              </w:rPr>
              <w:t>关的疾病。脊髓小脑变性症必须由三甲医院专科医生明确诊断，影像学检查证</w:t>
            </w:r>
          </w:p>
        </w:tc>
      </w:tr>
      <w:tr>
        <w:trPr>
          <w:trHeight w:val="624"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25"/>
              <w:ind w:left="179"/>
              <w:rPr>
                <w:sz w:val="21"/>
              </w:rPr>
            </w:pPr>
            <w:r>
              <w:rPr>
                <w:spacing w:val="-12"/>
                <w:sz w:val="21"/>
              </w:rPr>
              <w:t>实存在小脑萎缩，存在持续 </w:t>
            </w:r>
            <w:r>
              <w:rPr>
                <w:rFonts w:ascii="Times New Roman" w:eastAsia="Times New Roman"/>
                <w:spacing w:val="-2"/>
                <w:sz w:val="21"/>
              </w:rPr>
              <w:t>180</w:t>
            </w:r>
            <w:r>
              <w:rPr>
                <w:rFonts w:ascii="Times New Roman" w:eastAsia="Times New Roman"/>
                <w:spacing w:val="8"/>
                <w:sz w:val="21"/>
              </w:rPr>
              <w:t> </w:t>
            </w:r>
            <w:r>
              <w:rPr>
                <w:spacing w:val="-3"/>
                <w:sz w:val="21"/>
              </w:rPr>
              <w:t>天以上的所有下列小脑共济失调和神经系统功</w:t>
            </w:r>
          </w:p>
          <w:p>
            <w:pPr>
              <w:pStyle w:val="TableParagraph"/>
              <w:spacing w:line="267" w:lineRule="exact" w:before="43"/>
              <w:ind w:left="179"/>
              <w:rPr>
                <w:sz w:val="21"/>
              </w:rPr>
            </w:pPr>
            <w:r>
              <w:rPr>
                <w:spacing w:val="-4"/>
                <w:sz w:val="21"/>
              </w:rPr>
              <w:t>能损害表现：</w:t>
            </w:r>
          </w:p>
        </w:tc>
      </w:tr>
      <w:tr>
        <w:trPr>
          <w:trHeight w:val="1562"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numPr>
                <w:ilvl w:val="0"/>
                <w:numId w:val="63"/>
              </w:numPr>
              <w:tabs>
                <w:tab w:pos="709" w:val="left" w:leader="none"/>
              </w:tabs>
              <w:spacing w:line="240" w:lineRule="auto" w:before="25" w:after="0"/>
              <w:ind w:left="708" w:right="0" w:hanging="530"/>
              <w:jc w:val="left"/>
              <w:rPr>
                <w:sz w:val="21"/>
              </w:rPr>
            </w:pPr>
            <w:r>
              <w:rPr>
                <w:spacing w:val="-3"/>
                <w:sz w:val="21"/>
              </w:rPr>
              <w:t>影像学检查证实存在小脑萎缩；</w:t>
            </w:r>
          </w:p>
          <w:p>
            <w:pPr>
              <w:pStyle w:val="TableParagraph"/>
              <w:numPr>
                <w:ilvl w:val="0"/>
                <w:numId w:val="63"/>
              </w:numPr>
              <w:tabs>
                <w:tab w:pos="709" w:val="left" w:leader="none"/>
              </w:tabs>
              <w:spacing w:line="240" w:lineRule="auto" w:before="43" w:after="0"/>
              <w:ind w:left="708" w:right="0" w:hanging="530"/>
              <w:jc w:val="left"/>
              <w:rPr>
                <w:sz w:val="21"/>
              </w:rPr>
            </w:pPr>
            <w:r>
              <w:rPr>
                <w:spacing w:val="-3"/>
                <w:sz w:val="21"/>
              </w:rPr>
              <w:t>语言不清，饮水呛咳，吞咽困难；</w:t>
            </w:r>
          </w:p>
          <w:p>
            <w:pPr>
              <w:pStyle w:val="TableParagraph"/>
              <w:numPr>
                <w:ilvl w:val="0"/>
                <w:numId w:val="63"/>
              </w:numPr>
              <w:tabs>
                <w:tab w:pos="709" w:val="left" w:leader="none"/>
              </w:tabs>
              <w:spacing w:line="240" w:lineRule="auto" w:before="43" w:after="0"/>
              <w:ind w:left="708" w:right="0" w:hanging="530"/>
              <w:jc w:val="left"/>
              <w:rPr>
                <w:sz w:val="21"/>
              </w:rPr>
            </w:pPr>
            <w:r>
              <w:rPr>
                <w:spacing w:val="-2"/>
                <w:sz w:val="21"/>
              </w:rPr>
              <w:t>运动失调，无法跑步，无法独立长距离行走（</w:t>
            </w:r>
            <w:r>
              <w:rPr>
                <w:rFonts w:ascii="Times New Roman" w:eastAsia="Times New Roman"/>
                <w:spacing w:val="-2"/>
                <w:sz w:val="21"/>
              </w:rPr>
              <w:t>6</w:t>
            </w:r>
            <w:r>
              <w:rPr>
                <w:rFonts w:ascii="Times New Roman" w:eastAsia="Times New Roman"/>
                <w:spacing w:val="17"/>
                <w:sz w:val="21"/>
              </w:rPr>
              <w:t> </w:t>
            </w:r>
            <w:r>
              <w:rPr>
                <w:spacing w:val="-2"/>
                <w:sz w:val="21"/>
              </w:rPr>
              <w:t>米</w:t>
            </w:r>
            <w:r>
              <w:rPr>
                <w:spacing w:val="-108"/>
                <w:sz w:val="21"/>
              </w:rPr>
              <w:t>）</w:t>
            </w:r>
            <w:r>
              <w:rPr>
                <w:spacing w:val="-3"/>
                <w:sz w:val="21"/>
              </w:rPr>
              <w:t>，上下楼梯困难；</w:t>
            </w:r>
          </w:p>
          <w:p>
            <w:pPr>
              <w:pStyle w:val="TableParagraph"/>
              <w:numPr>
                <w:ilvl w:val="0"/>
                <w:numId w:val="63"/>
              </w:numPr>
              <w:tabs>
                <w:tab w:pos="709" w:val="left" w:leader="none"/>
              </w:tabs>
              <w:spacing w:line="252" w:lineRule="exact" w:before="43" w:after="0"/>
              <w:ind w:left="708" w:right="0" w:hanging="530"/>
              <w:jc w:val="left"/>
              <w:rPr>
                <w:sz w:val="21"/>
              </w:rPr>
            </w:pPr>
            <w:r>
              <w:rPr>
                <w:spacing w:val="-8"/>
                <w:sz w:val="21"/>
              </w:rPr>
              <w:t>至少两肢体肌力 </w:t>
            </w:r>
            <w:r>
              <w:rPr>
                <w:rFonts w:ascii="Times New Roman" w:eastAsia="Times New Roman"/>
                <w:spacing w:val="-2"/>
                <w:sz w:val="21"/>
              </w:rPr>
              <w:t>4</w:t>
            </w:r>
            <w:r>
              <w:rPr>
                <w:rFonts w:ascii="Times New Roman" w:eastAsia="Times New Roman"/>
                <w:spacing w:val="2"/>
                <w:sz w:val="21"/>
              </w:rPr>
              <w:t> </w:t>
            </w:r>
            <w:r>
              <w:rPr>
                <w:spacing w:val="-2"/>
                <w:sz w:val="21"/>
              </w:rPr>
              <w:t>级（含）</w:t>
            </w:r>
            <w:r>
              <w:rPr>
                <w:spacing w:val="-5"/>
                <w:sz w:val="21"/>
              </w:rPr>
              <w:t>以下。</w:t>
            </w:r>
          </w:p>
          <w:p>
            <w:pPr>
              <w:pStyle w:val="TableParagraph"/>
              <w:spacing w:line="329" w:lineRule="exact"/>
              <w:ind w:left="179"/>
              <w:rPr>
                <w:rFonts w:ascii="微软雅黑" w:hAnsi="微软雅黑" w:eastAsia="微软雅黑"/>
                <w:b/>
                <w:sz w:val="22"/>
              </w:rPr>
            </w:pPr>
            <w:r>
              <w:rPr>
                <w:rFonts w:ascii="微软雅黑" w:hAnsi="微软雅黑" w:eastAsia="微软雅黑"/>
                <w:b/>
                <w:spacing w:val="-5"/>
                <w:sz w:val="22"/>
              </w:rPr>
              <w:t>我们承担本项疾病责任不受本合同责任免除中“遗传性疾病，先天性畸形、</w:t>
            </w:r>
          </w:p>
        </w:tc>
      </w:tr>
      <w:tr>
        <w:trPr>
          <w:trHeight w:val="400"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line="351" w:lineRule="exact"/>
              <w:ind w:left="179"/>
              <w:rPr>
                <w:rFonts w:ascii="微软雅黑" w:hAnsi="微软雅黑" w:eastAsia="微软雅黑"/>
                <w:b/>
                <w:sz w:val="22"/>
              </w:rPr>
            </w:pPr>
            <w:r>
              <w:rPr>
                <w:rFonts w:ascii="微软雅黑" w:hAnsi="微软雅黑" w:eastAsia="微软雅黑"/>
                <w:b/>
                <w:spacing w:val="-1"/>
                <w:sz w:val="22"/>
              </w:rPr>
              <w:t>变形或染色体异常”的限制。</w:t>
            </w:r>
          </w:p>
        </w:tc>
      </w:tr>
      <w:tr>
        <w:trPr>
          <w:trHeight w:val="395" w:hRule="atLeast"/>
        </w:trPr>
        <w:tc>
          <w:tcPr>
            <w:tcW w:w="888" w:type="dxa"/>
          </w:tcPr>
          <w:p>
            <w:pPr>
              <w:pStyle w:val="TableParagraph"/>
              <w:spacing w:line="337" w:lineRule="exact" w:before="38"/>
              <w:ind w:left="50"/>
              <w:rPr>
                <w:rFonts w:ascii="微软雅黑"/>
                <w:b/>
                <w:sz w:val="21"/>
              </w:rPr>
            </w:pPr>
            <w:r>
              <w:rPr>
                <w:rFonts w:ascii="微软雅黑"/>
                <w:b/>
                <w:spacing w:val="-2"/>
                <w:w w:val="105"/>
                <w:sz w:val="21"/>
              </w:rPr>
              <w:t>9.1.8</w:t>
            </w:r>
          </w:p>
        </w:tc>
        <w:tc>
          <w:tcPr>
            <w:tcW w:w="1645" w:type="dxa"/>
          </w:tcPr>
          <w:p>
            <w:pPr>
              <w:pStyle w:val="TableParagraph"/>
              <w:spacing w:line="337" w:lineRule="exact" w:before="38"/>
              <w:ind w:left="199"/>
              <w:rPr>
                <w:rFonts w:ascii="微软雅黑" w:eastAsia="微软雅黑"/>
                <w:b/>
                <w:sz w:val="21"/>
              </w:rPr>
            </w:pPr>
            <w:r>
              <w:rPr>
                <w:rFonts w:ascii="微软雅黑" w:eastAsia="微软雅黑"/>
                <w:b/>
                <w:spacing w:val="-2"/>
                <w:sz w:val="21"/>
              </w:rPr>
              <w:t>中度运动神经</w:t>
            </w:r>
          </w:p>
        </w:tc>
        <w:tc>
          <w:tcPr>
            <w:tcW w:w="7428" w:type="dxa"/>
          </w:tcPr>
          <w:p>
            <w:pPr>
              <w:pStyle w:val="TableParagraph"/>
              <w:spacing w:before="105"/>
              <w:ind w:left="179"/>
              <w:rPr>
                <w:sz w:val="21"/>
              </w:rPr>
            </w:pPr>
            <w:r>
              <w:rPr>
                <w:spacing w:val="-5"/>
                <w:sz w:val="21"/>
              </w:rPr>
              <w:t>是一组中枢神经系统运动神经元的进行性变性疾病，进行性脊肌萎缩症、进行</w:t>
            </w:r>
          </w:p>
        </w:tc>
      </w:tr>
      <w:tr>
        <w:trPr>
          <w:trHeight w:val="312" w:hRule="atLeast"/>
        </w:trPr>
        <w:tc>
          <w:tcPr>
            <w:tcW w:w="888" w:type="dxa"/>
          </w:tcPr>
          <w:p>
            <w:pPr>
              <w:pStyle w:val="TableParagraph"/>
              <w:rPr>
                <w:rFonts w:ascii="Times New Roman"/>
                <w:sz w:val="20"/>
              </w:rPr>
            </w:pPr>
          </w:p>
        </w:tc>
        <w:tc>
          <w:tcPr>
            <w:tcW w:w="1645" w:type="dxa"/>
          </w:tcPr>
          <w:p>
            <w:pPr>
              <w:pStyle w:val="TableParagraph"/>
              <w:spacing w:line="292" w:lineRule="exact"/>
              <w:ind w:left="199"/>
              <w:rPr>
                <w:rFonts w:ascii="微软雅黑" w:eastAsia="微软雅黑"/>
                <w:b/>
                <w:sz w:val="21"/>
              </w:rPr>
            </w:pPr>
            <w:r>
              <w:rPr>
                <w:rFonts w:ascii="微软雅黑" w:eastAsia="微软雅黑"/>
                <w:b/>
                <w:spacing w:val="-5"/>
                <w:sz w:val="21"/>
              </w:rPr>
              <w:t>元病</w:t>
            </w:r>
          </w:p>
        </w:tc>
        <w:tc>
          <w:tcPr>
            <w:tcW w:w="7428" w:type="dxa"/>
          </w:tcPr>
          <w:p>
            <w:pPr>
              <w:pStyle w:val="TableParagraph"/>
              <w:spacing w:before="22"/>
              <w:ind w:left="179"/>
              <w:rPr>
                <w:sz w:val="21"/>
              </w:rPr>
            </w:pPr>
            <w:r>
              <w:rPr>
                <w:spacing w:val="-5"/>
                <w:sz w:val="21"/>
              </w:rPr>
              <w:t>性延髓麻痹症、原发性侧索硬化症、肌萎缩性侧索硬化症。须满足自主生活能</w:t>
            </w:r>
          </w:p>
        </w:tc>
      </w:tr>
      <w:tr>
        <w:trPr>
          <w:trHeight w:val="312"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22"/>
              <w:ind w:left="179"/>
              <w:rPr>
                <w:sz w:val="21"/>
              </w:rPr>
            </w:pPr>
            <w:r>
              <w:rPr>
                <w:spacing w:val="-5"/>
                <w:sz w:val="21"/>
              </w:rPr>
              <w:t>力部分丧失，无法独立完成六项基本日常生活活动中的两项，且未达到本合同</w:t>
            </w:r>
          </w:p>
        </w:tc>
      </w:tr>
      <w:tr>
        <w:trPr>
          <w:trHeight w:val="397"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22"/>
              <w:ind w:left="179"/>
              <w:rPr>
                <w:sz w:val="21"/>
              </w:rPr>
            </w:pPr>
            <w:r>
              <w:rPr>
                <w:spacing w:val="-3"/>
                <w:sz w:val="21"/>
              </w:rPr>
              <w:t>所指重大疾病“严重运动神经元病”的给付标准。</w:t>
            </w:r>
          </w:p>
        </w:tc>
      </w:tr>
      <w:tr>
        <w:trPr>
          <w:trHeight w:val="397" w:hRule="atLeast"/>
        </w:trPr>
        <w:tc>
          <w:tcPr>
            <w:tcW w:w="888" w:type="dxa"/>
          </w:tcPr>
          <w:p>
            <w:pPr>
              <w:pStyle w:val="TableParagraph"/>
              <w:spacing w:line="337" w:lineRule="exact" w:before="40"/>
              <w:ind w:left="50"/>
              <w:rPr>
                <w:rFonts w:ascii="微软雅黑"/>
                <w:b/>
                <w:sz w:val="21"/>
              </w:rPr>
            </w:pPr>
            <w:r>
              <w:rPr>
                <w:rFonts w:ascii="微软雅黑"/>
                <w:b/>
                <w:spacing w:val="-2"/>
                <w:w w:val="105"/>
                <w:sz w:val="21"/>
              </w:rPr>
              <w:t>9.1.9</w:t>
            </w:r>
          </w:p>
        </w:tc>
        <w:tc>
          <w:tcPr>
            <w:tcW w:w="1645" w:type="dxa"/>
          </w:tcPr>
          <w:p>
            <w:pPr>
              <w:pStyle w:val="TableParagraph"/>
              <w:spacing w:line="337" w:lineRule="exact" w:before="40"/>
              <w:ind w:left="199"/>
              <w:rPr>
                <w:rFonts w:ascii="微软雅黑" w:eastAsia="微软雅黑"/>
                <w:b/>
                <w:sz w:val="21"/>
              </w:rPr>
            </w:pPr>
            <w:r>
              <w:rPr>
                <w:rFonts w:ascii="微软雅黑" w:eastAsia="微软雅黑"/>
                <w:b/>
                <w:spacing w:val="-2"/>
                <w:sz w:val="21"/>
              </w:rPr>
              <w:t>中度原发性帕</w:t>
            </w:r>
          </w:p>
        </w:tc>
        <w:tc>
          <w:tcPr>
            <w:tcW w:w="7428" w:type="dxa"/>
          </w:tcPr>
          <w:p>
            <w:pPr>
              <w:pStyle w:val="TableParagraph"/>
              <w:spacing w:before="107"/>
              <w:ind w:left="179"/>
              <w:rPr>
                <w:sz w:val="21"/>
              </w:rPr>
            </w:pPr>
            <w:r>
              <w:rPr>
                <w:spacing w:val="-5"/>
                <w:sz w:val="21"/>
              </w:rPr>
              <w:t>是一种中枢神经系统的退行性疾病，临床表现为震颤麻痹、共济失调等。须满</w:t>
            </w:r>
          </w:p>
        </w:tc>
      </w:tr>
      <w:tr>
        <w:trPr>
          <w:trHeight w:val="311" w:hRule="atLeast"/>
        </w:trPr>
        <w:tc>
          <w:tcPr>
            <w:tcW w:w="888" w:type="dxa"/>
          </w:tcPr>
          <w:p>
            <w:pPr>
              <w:pStyle w:val="TableParagraph"/>
              <w:rPr>
                <w:rFonts w:ascii="Times New Roman"/>
                <w:sz w:val="20"/>
              </w:rPr>
            </w:pPr>
          </w:p>
        </w:tc>
        <w:tc>
          <w:tcPr>
            <w:tcW w:w="1645" w:type="dxa"/>
          </w:tcPr>
          <w:p>
            <w:pPr>
              <w:pStyle w:val="TableParagraph"/>
              <w:spacing w:line="292" w:lineRule="exact"/>
              <w:ind w:left="199"/>
              <w:rPr>
                <w:rFonts w:ascii="微软雅黑" w:eastAsia="微软雅黑"/>
                <w:b/>
                <w:sz w:val="21"/>
              </w:rPr>
            </w:pPr>
            <w:r>
              <w:rPr>
                <w:rFonts w:ascii="微软雅黑" w:eastAsia="微软雅黑"/>
                <w:b/>
                <w:spacing w:val="-4"/>
                <w:sz w:val="21"/>
              </w:rPr>
              <w:t>金森病</w:t>
            </w:r>
          </w:p>
        </w:tc>
        <w:tc>
          <w:tcPr>
            <w:tcW w:w="7428" w:type="dxa"/>
          </w:tcPr>
          <w:p>
            <w:pPr>
              <w:pStyle w:val="TableParagraph"/>
              <w:spacing w:before="22"/>
              <w:ind w:left="179"/>
              <w:rPr>
                <w:sz w:val="21"/>
              </w:rPr>
            </w:pPr>
            <w:r>
              <w:rPr>
                <w:spacing w:val="-5"/>
                <w:sz w:val="21"/>
              </w:rPr>
              <w:t>足下列全部条件，且未达到本合同所指重大疾病“严重原发性帕金森病”的给</w:t>
            </w:r>
          </w:p>
        </w:tc>
      </w:tr>
      <w:tr>
        <w:trPr>
          <w:trHeight w:val="308"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line="267" w:lineRule="exact" w:before="22"/>
              <w:ind w:left="179"/>
              <w:rPr>
                <w:sz w:val="21"/>
              </w:rPr>
            </w:pPr>
            <w:r>
              <w:rPr>
                <w:spacing w:val="-4"/>
                <w:sz w:val="21"/>
              </w:rPr>
              <w:t>付标准：</w:t>
            </w:r>
          </w:p>
        </w:tc>
      </w:tr>
      <w:tr>
        <w:trPr>
          <w:trHeight w:val="1026"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numPr>
                <w:ilvl w:val="0"/>
                <w:numId w:val="64"/>
              </w:numPr>
              <w:tabs>
                <w:tab w:pos="709" w:val="left" w:leader="none"/>
              </w:tabs>
              <w:spacing w:line="240" w:lineRule="auto" w:before="25" w:after="0"/>
              <w:ind w:left="708" w:right="0" w:hanging="530"/>
              <w:jc w:val="left"/>
              <w:rPr>
                <w:sz w:val="21"/>
              </w:rPr>
            </w:pPr>
            <w:r>
              <w:rPr>
                <w:spacing w:val="-3"/>
                <w:sz w:val="21"/>
              </w:rPr>
              <w:t>药物治疗无法控制病情；</w:t>
            </w:r>
          </w:p>
          <w:p>
            <w:pPr>
              <w:pStyle w:val="TableParagraph"/>
              <w:numPr>
                <w:ilvl w:val="0"/>
                <w:numId w:val="64"/>
              </w:numPr>
              <w:tabs>
                <w:tab w:pos="709" w:val="left" w:leader="none"/>
              </w:tabs>
              <w:spacing w:line="252" w:lineRule="exact" w:before="43" w:after="0"/>
              <w:ind w:left="708" w:right="0" w:hanging="530"/>
              <w:jc w:val="left"/>
              <w:rPr>
                <w:sz w:val="21"/>
              </w:rPr>
            </w:pPr>
            <w:r>
              <w:rPr>
                <w:spacing w:val="-5"/>
                <w:sz w:val="21"/>
              </w:rPr>
              <w:t>自主生活能力完全丧失，无法独立完成六项基本日常生活活动中的两项。</w:t>
            </w:r>
          </w:p>
          <w:p>
            <w:pPr>
              <w:pStyle w:val="TableParagraph"/>
              <w:spacing w:line="388" w:lineRule="exact"/>
              <w:ind w:left="179"/>
              <w:rPr>
                <w:rFonts w:ascii="微软雅黑" w:eastAsia="微软雅黑"/>
                <w:b/>
                <w:sz w:val="22"/>
              </w:rPr>
            </w:pPr>
            <w:r>
              <w:rPr>
                <w:rFonts w:ascii="微软雅黑" w:eastAsia="微软雅黑"/>
                <w:b/>
                <w:color w:val="000000"/>
                <w:spacing w:val="-1"/>
                <w:sz w:val="22"/>
                <w:shd w:fill="D9D9D9" w:color="auto" w:val="clear"/>
              </w:rPr>
              <w:t>继发性帕金森综合征不在本保障范围内。</w:t>
            </w:r>
          </w:p>
        </w:tc>
      </w:tr>
      <w:tr>
        <w:trPr>
          <w:trHeight w:val="391" w:hRule="atLeast"/>
        </w:trPr>
        <w:tc>
          <w:tcPr>
            <w:tcW w:w="888" w:type="dxa"/>
          </w:tcPr>
          <w:p>
            <w:pPr>
              <w:pStyle w:val="TableParagraph"/>
              <w:spacing w:line="334" w:lineRule="exact" w:before="38"/>
              <w:ind w:left="50"/>
              <w:rPr>
                <w:rFonts w:ascii="微软雅黑"/>
                <w:b/>
                <w:sz w:val="21"/>
              </w:rPr>
            </w:pPr>
            <w:r>
              <w:rPr>
                <w:rFonts w:ascii="微软雅黑"/>
                <w:b/>
                <w:spacing w:val="-2"/>
                <w:sz w:val="21"/>
              </w:rPr>
              <w:t>9.1.10</w:t>
            </w:r>
          </w:p>
        </w:tc>
        <w:tc>
          <w:tcPr>
            <w:tcW w:w="1645" w:type="dxa"/>
          </w:tcPr>
          <w:p>
            <w:pPr>
              <w:pStyle w:val="TableParagraph"/>
              <w:spacing w:line="334" w:lineRule="exact" w:before="38"/>
              <w:ind w:left="199"/>
              <w:rPr>
                <w:rFonts w:ascii="微软雅黑" w:eastAsia="微软雅黑"/>
                <w:b/>
                <w:sz w:val="21"/>
              </w:rPr>
            </w:pPr>
            <w:r>
              <w:rPr>
                <w:rFonts w:ascii="微软雅黑" w:eastAsia="微软雅黑"/>
                <w:b/>
                <w:spacing w:val="-2"/>
                <w:sz w:val="21"/>
              </w:rPr>
              <w:t>结核性脊髓炎</w:t>
            </w:r>
          </w:p>
        </w:tc>
        <w:tc>
          <w:tcPr>
            <w:tcW w:w="7428" w:type="dxa"/>
          </w:tcPr>
          <w:p>
            <w:pPr>
              <w:pStyle w:val="TableParagraph"/>
              <w:spacing w:line="267" w:lineRule="exact" w:before="105"/>
              <w:ind w:left="179"/>
              <w:rPr>
                <w:sz w:val="21"/>
              </w:rPr>
            </w:pPr>
            <w:r>
              <w:rPr>
                <w:spacing w:val="-5"/>
                <w:sz w:val="21"/>
              </w:rPr>
              <w:t>指因结核杆菌引起的脊髓炎，导致永久性神经系统功能中度障碍，即：疾病首</w:t>
            </w:r>
          </w:p>
        </w:tc>
      </w:tr>
      <w:tr>
        <w:trPr>
          <w:trHeight w:val="323"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25"/>
              <w:ind w:left="179"/>
              <w:rPr>
                <w:sz w:val="21"/>
              </w:rPr>
            </w:pPr>
            <w:r>
              <w:rPr>
                <w:spacing w:val="-14"/>
                <w:sz w:val="21"/>
              </w:rPr>
              <w:t>次确诊 </w:t>
            </w:r>
            <w:r>
              <w:rPr>
                <w:rFonts w:ascii="Times New Roman" w:eastAsia="Times New Roman"/>
                <w:spacing w:val="-2"/>
                <w:sz w:val="21"/>
              </w:rPr>
              <w:t>180</w:t>
            </w:r>
            <w:r>
              <w:rPr>
                <w:rFonts w:ascii="Times New Roman" w:eastAsia="Times New Roman"/>
                <w:spacing w:val="6"/>
                <w:sz w:val="21"/>
              </w:rPr>
              <w:t> </w:t>
            </w:r>
            <w:r>
              <w:rPr>
                <w:spacing w:val="-3"/>
                <w:sz w:val="21"/>
              </w:rPr>
              <w:t>天后，仍遗留下列障碍：</w:t>
            </w:r>
          </w:p>
        </w:tc>
      </w:tr>
      <w:tr>
        <w:trPr>
          <w:trHeight w:val="304"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14"/>
              <w:ind w:left="179"/>
              <w:rPr>
                <w:sz w:val="21"/>
              </w:rPr>
            </w:pPr>
            <w:r>
              <w:rPr>
                <w:spacing w:val="-8"/>
                <w:sz w:val="21"/>
              </w:rPr>
              <w:t>自主生活能力部分丧失，无法独立完成六项基本日常生活活动中的两项或两项</w:t>
            </w:r>
          </w:p>
        </w:tc>
      </w:tr>
      <w:tr>
        <w:trPr>
          <w:trHeight w:val="311"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22"/>
              <w:ind w:left="179"/>
              <w:rPr>
                <w:sz w:val="21"/>
              </w:rPr>
            </w:pPr>
            <w:r>
              <w:rPr>
                <w:spacing w:val="-4"/>
                <w:sz w:val="21"/>
              </w:rPr>
              <w:t>以上。</w:t>
            </w:r>
          </w:p>
        </w:tc>
      </w:tr>
      <w:tr>
        <w:trPr>
          <w:trHeight w:val="312"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22"/>
              <w:ind w:left="179"/>
              <w:rPr>
                <w:sz w:val="21"/>
              </w:rPr>
            </w:pPr>
            <w:r>
              <w:rPr>
                <w:spacing w:val="-6"/>
                <w:sz w:val="21"/>
              </w:rPr>
              <w:t>该诊断必须由认可的医院内的神经专科医生证实，并必须由适当的检查证明为</w:t>
            </w:r>
          </w:p>
        </w:tc>
      </w:tr>
      <w:tr>
        <w:trPr>
          <w:trHeight w:val="397" w:hRule="atLeast"/>
        </w:trPr>
        <w:tc>
          <w:tcPr>
            <w:tcW w:w="888" w:type="dxa"/>
          </w:tcPr>
          <w:p>
            <w:pPr>
              <w:pStyle w:val="TableParagraph"/>
              <w:rPr>
                <w:rFonts w:ascii="Times New Roman"/>
                <w:sz w:val="20"/>
              </w:rPr>
            </w:pPr>
          </w:p>
        </w:tc>
        <w:tc>
          <w:tcPr>
            <w:tcW w:w="1645" w:type="dxa"/>
          </w:tcPr>
          <w:p>
            <w:pPr>
              <w:pStyle w:val="TableParagraph"/>
              <w:rPr>
                <w:rFonts w:ascii="Times New Roman"/>
                <w:sz w:val="20"/>
              </w:rPr>
            </w:pPr>
          </w:p>
        </w:tc>
        <w:tc>
          <w:tcPr>
            <w:tcW w:w="7428" w:type="dxa"/>
          </w:tcPr>
          <w:p>
            <w:pPr>
              <w:pStyle w:val="TableParagraph"/>
              <w:spacing w:before="22"/>
              <w:ind w:left="179"/>
              <w:rPr>
                <w:sz w:val="21"/>
              </w:rPr>
            </w:pPr>
            <w:r>
              <w:rPr>
                <w:spacing w:val="-4"/>
                <w:sz w:val="21"/>
              </w:rPr>
              <w:t>结核性脊髓炎。</w:t>
            </w:r>
          </w:p>
        </w:tc>
      </w:tr>
      <w:tr>
        <w:trPr>
          <w:trHeight w:val="397" w:hRule="atLeast"/>
        </w:trPr>
        <w:tc>
          <w:tcPr>
            <w:tcW w:w="888" w:type="dxa"/>
          </w:tcPr>
          <w:p>
            <w:pPr>
              <w:pStyle w:val="TableParagraph"/>
              <w:spacing w:line="337" w:lineRule="exact" w:before="40"/>
              <w:ind w:left="50"/>
              <w:rPr>
                <w:rFonts w:ascii="微软雅黑"/>
                <w:b/>
                <w:sz w:val="21"/>
              </w:rPr>
            </w:pPr>
            <w:r>
              <w:rPr>
                <w:rFonts w:ascii="微软雅黑"/>
                <w:b/>
                <w:spacing w:val="-2"/>
                <w:sz w:val="21"/>
              </w:rPr>
              <w:t>9.1.11</w:t>
            </w:r>
          </w:p>
        </w:tc>
        <w:tc>
          <w:tcPr>
            <w:tcW w:w="1645" w:type="dxa"/>
          </w:tcPr>
          <w:p>
            <w:pPr>
              <w:pStyle w:val="TableParagraph"/>
              <w:spacing w:line="337" w:lineRule="exact" w:before="40"/>
              <w:ind w:left="199"/>
              <w:rPr>
                <w:rFonts w:ascii="微软雅黑" w:eastAsia="微软雅黑"/>
                <w:b/>
                <w:sz w:val="21"/>
              </w:rPr>
            </w:pPr>
            <w:r>
              <w:rPr>
                <w:rFonts w:ascii="微软雅黑" w:eastAsia="微软雅黑"/>
                <w:b/>
                <w:spacing w:val="-2"/>
                <w:sz w:val="21"/>
              </w:rPr>
              <w:t>中度脊髓灰质</w:t>
            </w:r>
          </w:p>
        </w:tc>
        <w:tc>
          <w:tcPr>
            <w:tcW w:w="7428" w:type="dxa"/>
          </w:tcPr>
          <w:p>
            <w:pPr>
              <w:pStyle w:val="TableParagraph"/>
              <w:spacing w:before="107"/>
              <w:ind w:left="179"/>
              <w:rPr>
                <w:sz w:val="21"/>
              </w:rPr>
            </w:pPr>
            <w:r>
              <w:rPr>
                <w:spacing w:val="-5"/>
                <w:sz w:val="21"/>
              </w:rPr>
              <w:t>脊髓灰质炎是由于脊髓灰质炎病毒感染所致的瘫痪性疾病，临床表现为运动功</w:t>
            </w:r>
          </w:p>
        </w:tc>
      </w:tr>
      <w:tr>
        <w:trPr>
          <w:trHeight w:val="311" w:hRule="atLeast"/>
        </w:trPr>
        <w:tc>
          <w:tcPr>
            <w:tcW w:w="888" w:type="dxa"/>
          </w:tcPr>
          <w:p>
            <w:pPr>
              <w:pStyle w:val="TableParagraph"/>
              <w:rPr>
                <w:rFonts w:ascii="Times New Roman"/>
                <w:sz w:val="20"/>
              </w:rPr>
            </w:pPr>
          </w:p>
        </w:tc>
        <w:tc>
          <w:tcPr>
            <w:tcW w:w="1645" w:type="dxa"/>
          </w:tcPr>
          <w:p>
            <w:pPr>
              <w:pStyle w:val="TableParagraph"/>
              <w:spacing w:line="292" w:lineRule="exact"/>
              <w:ind w:left="199"/>
              <w:rPr>
                <w:rFonts w:ascii="微软雅黑" w:eastAsia="微软雅黑"/>
                <w:b/>
                <w:sz w:val="21"/>
              </w:rPr>
            </w:pPr>
            <w:r>
              <w:rPr>
                <w:rFonts w:ascii="微软雅黑" w:eastAsia="微软雅黑"/>
                <w:b/>
                <w:w w:val="100"/>
                <w:sz w:val="21"/>
              </w:rPr>
              <w:t>炎</w:t>
            </w:r>
          </w:p>
        </w:tc>
        <w:tc>
          <w:tcPr>
            <w:tcW w:w="7428" w:type="dxa"/>
          </w:tcPr>
          <w:p>
            <w:pPr>
              <w:pStyle w:val="TableParagraph"/>
              <w:spacing w:before="22"/>
              <w:ind w:left="179"/>
              <w:rPr>
                <w:sz w:val="21"/>
              </w:rPr>
            </w:pPr>
            <w:r>
              <w:rPr>
                <w:spacing w:val="-5"/>
                <w:sz w:val="21"/>
              </w:rPr>
              <w:t>能损害或呼吸无力。脊髓灰质炎必须明确诊断。本合同仅对脊髓灰质炎造成的</w:t>
            </w:r>
          </w:p>
        </w:tc>
      </w:tr>
      <w:tr>
        <w:trPr>
          <w:trHeight w:val="261" w:hRule="atLeast"/>
        </w:trPr>
        <w:tc>
          <w:tcPr>
            <w:tcW w:w="888" w:type="dxa"/>
          </w:tcPr>
          <w:p>
            <w:pPr>
              <w:pStyle w:val="TableParagraph"/>
              <w:rPr>
                <w:rFonts w:ascii="Times New Roman"/>
                <w:sz w:val="18"/>
              </w:rPr>
            </w:pPr>
          </w:p>
        </w:tc>
        <w:tc>
          <w:tcPr>
            <w:tcW w:w="1645" w:type="dxa"/>
          </w:tcPr>
          <w:p>
            <w:pPr>
              <w:pStyle w:val="TableParagraph"/>
              <w:rPr>
                <w:rFonts w:ascii="Times New Roman"/>
                <w:sz w:val="18"/>
              </w:rPr>
            </w:pPr>
          </w:p>
        </w:tc>
        <w:tc>
          <w:tcPr>
            <w:tcW w:w="7428" w:type="dxa"/>
          </w:tcPr>
          <w:p>
            <w:pPr>
              <w:pStyle w:val="TableParagraph"/>
              <w:spacing w:line="220" w:lineRule="exact" w:before="22"/>
              <w:ind w:left="179"/>
              <w:rPr>
                <w:sz w:val="21"/>
              </w:rPr>
            </w:pPr>
            <w:r>
              <w:rPr>
                <w:spacing w:val="-3"/>
                <w:sz w:val="21"/>
              </w:rPr>
              <w:t>神经系统功能损害导致被保险人一肢肢体机能永久完全丧失的情况予以理赔。</w:t>
            </w:r>
          </w:p>
        </w:tc>
      </w:tr>
    </w:tbl>
    <w:p>
      <w:pPr>
        <w:spacing w:after="0" w:line="220" w:lineRule="exact"/>
        <w:rPr>
          <w:sz w:val="21"/>
        </w:rPr>
        <w:sectPr>
          <w:headerReference w:type="default" r:id="rId35"/>
          <w:footerReference w:type="default" r:id="rId36"/>
          <w:pgSz w:w="11910" w:h="16840"/>
          <w:pgMar w:header="566" w:footer="664" w:top="1340" w:bottom="860" w:left="900" w:right="720"/>
          <w:pgNumType w:start="1"/>
        </w:sectPr>
      </w:pPr>
    </w:p>
    <w:p>
      <w:pPr>
        <w:pStyle w:val="BodyText"/>
        <w:spacing w:line="278" w:lineRule="auto" w:before="85"/>
        <w:ind w:left="2895" w:right="298"/>
      </w:pPr>
      <w:r>
        <w:rPr>
          <w:spacing w:val="-5"/>
        </w:rPr>
        <w:t>肢体机能永久完全丧失，指疾病确诊 </w:t>
      </w:r>
      <w:r>
        <w:rPr>
          <w:rFonts w:ascii="Times New Roman" w:eastAsia="Times New Roman"/>
          <w:spacing w:val="-2"/>
        </w:rPr>
        <w:t>180</w:t>
      </w:r>
      <w:r>
        <w:rPr>
          <w:rFonts w:ascii="Times New Roman" w:eastAsia="Times New Roman"/>
          <w:spacing w:val="-12"/>
        </w:rPr>
        <w:t> </w:t>
      </w:r>
      <w:r>
        <w:rPr>
          <w:spacing w:val="-2"/>
        </w:rPr>
        <w:t>天后，该肢三大关节中的至少一个大</w:t>
      </w:r>
      <w:r>
        <w:rPr>
          <w:spacing w:val="-2"/>
        </w:rPr>
        <w:t>关节仍然完全僵硬，或不能随意识活动。</w:t>
      </w:r>
    </w:p>
    <w:p>
      <w:pPr>
        <w:spacing w:after="0" w:line="278" w:lineRule="auto"/>
        <w:sectPr>
          <w:pgSz w:w="11910" w:h="16840"/>
          <w:pgMar w:header="566" w:footer="664" w:top="1340" w:bottom="860" w:left="900" w:right="720"/>
        </w:sectPr>
      </w:pPr>
    </w:p>
    <w:p>
      <w:pPr>
        <w:pStyle w:val="ListParagraph"/>
        <w:numPr>
          <w:ilvl w:val="2"/>
          <w:numId w:val="65"/>
        </w:numPr>
        <w:tabs>
          <w:tab w:pos="1269" w:val="left" w:leader="none"/>
          <w:tab w:pos="1270" w:val="left" w:leader="none"/>
        </w:tabs>
        <w:spacing w:line="350" w:lineRule="exact" w:before="103" w:after="0"/>
        <w:ind w:left="1270" w:right="0" w:hanging="1038"/>
        <w:jc w:val="left"/>
        <w:rPr>
          <w:rFonts w:ascii="微软雅黑" w:eastAsia="微软雅黑"/>
          <w:b/>
          <w:sz w:val="21"/>
        </w:rPr>
      </w:pPr>
      <w:r>
        <w:rPr>
          <w:rFonts w:ascii="微软雅黑" w:eastAsia="微软雅黑"/>
          <w:b/>
          <w:spacing w:val="-2"/>
          <w:sz w:val="21"/>
        </w:rPr>
        <w:t>中度肠道疾病</w:t>
      </w:r>
    </w:p>
    <w:p>
      <w:pPr>
        <w:spacing w:line="350" w:lineRule="exact" w:before="0"/>
        <w:ind w:left="1270" w:right="0" w:firstLine="0"/>
        <w:jc w:val="left"/>
        <w:rPr>
          <w:rFonts w:ascii="微软雅黑" w:eastAsia="微软雅黑"/>
          <w:b/>
          <w:sz w:val="21"/>
        </w:rPr>
      </w:pPr>
      <w:r>
        <w:rPr>
          <w:rFonts w:ascii="微软雅黑" w:eastAsia="微软雅黑"/>
          <w:b/>
          <w:spacing w:val="-4"/>
          <w:sz w:val="21"/>
        </w:rPr>
        <w:t>并发症</w:t>
      </w:r>
    </w:p>
    <w:p>
      <w:pPr>
        <w:pStyle w:val="BodyText"/>
        <w:spacing w:before="171"/>
        <w:ind w:left="232"/>
      </w:pPr>
      <w:r>
        <w:rPr/>
        <w:br w:type="column"/>
      </w:r>
      <w:r>
        <w:rPr>
          <w:spacing w:val="-3"/>
        </w:rPr>
        <w:t>严重肠道疾病或外伤导致小肠损害并发症，本疾病须满足以下全部条件：</w:t>
      </w:r>
    </w:p>
    <w:p>
      <w:pPr>
        <w:pStyle w:val="ListParagraph"/>
        <w:numPr>
          <w:ilvl w:val="0"/>
          <w:numId w:val="66"/>
        </w:numPr>
        <w:tabs>
          <w:tab w:pos="762" w:val="left" w:leader="none"/>
        </w:tabs>
        <w:spacing w:line="240" w:lineRule="auto" w:before="42" w:after="0"/>
        <w:ind w:left="761" w:right="0" w:hanging="530"/>
        <w:jc w:val="left"/>
        <w:rPr>
          <w:sz w:val="21"/>
        </w:rPr>
      </w:pPr>
      <w:r>
        <w:rPr>
          <w:spacing w:val="-3"/>
          <w:sz w:val="21"/>
        </w:rPr>
        <w:t>至少切除了二分之一小肠；</w:t>
      </w:r>
    </w:p>
    <w:p>
      <w:pPr>
        <w:pStyle w:val="ListParagraph"/>
        <w:numPr>
          <w:ilvl w:val="0"/>
          <w:numId w:val="66"/>
        </w:numPr>
        <w:tabs>
          <w:tab w:pos="762" w:val="left" w:leader="none"/>
        </w:tabs>
        <w:spacing w:line="240" w:lineRule="auto" w:before="43" w:after="0"/>
        <w:ind w:left="761" w:right="0" w:hanging="530"/>
        <w:jc w:val="left"/>
        <w:rPr>
          <w:sz w:val="21"/>
        </w:rPr>
      </w:pPr>
      <w:r>
        <w:rPr>
          <w:spacing w:val="-3"/>
          <w:sz w:val="21"/>
        </w:rPr>
        <w:t>完全肠外营养支持二个月以上。</w:t>
      </w:r>
    </w:p>
    <w:p>
      <w:pPr>
        <w:spacing w:after="0" w:line="240" w:lineRule="auto"/>
        <w:jc w:val="left"/>
        <w:rPr>
          <w:sz w:val="21"/>
        </w:rPr>
        <w:sectPr>
          <w:type w:val="continuous"/>
          <w:pgSz w:w="11910" w:h="16840"/>
          <w:pgMar w:header="566" w:footer="664" w:top="1340" w:bottom="860" w:left="900" w:right="720"/>
          <w:cols w:num="2" w:equalWidth="0">
            <w:col w:w="2578" w:space="85"/>
            <w:col w:w="7627"/>
          </w:cols>
        </w:sectPr>
      </w:pPr>
    </w:p>
    <w:p>
      <w:pPr>
        <w:pStyle w:val="BodyText"/>
        <w:spacing w:before="7"/>
        <w:rPr>
          <w:sz w:val="2"/>
        </w:rPr>
      </w:pPr>
    </w:p>
    <w:p>
      <w:pPr>
        <w:pStyle w:val="BodyText"/>
        <w:ind w:left="2895"/>
        <w:rPr>
          <w:sz w:val="20"/>
        </w:rPr>
      </w:pPr>
      <w:r>
        <w:rPr>
          <w:sz w:val="20"/>
        </w:rPr>
        <w:pict>
          <v:shape style="width:298.150pt;height:14.4pt;mso-position-horizontal-relative:char;mso-position-vertical-relative:line" type="#_x0000_t202" id="docshape70" filled="true" fillcolor="#d9d9d9" stroked="false">
            <w10:anchorlock/>
            <v:textbox inset="0,0,0,0">
              <w:txbxContent>
                <w:p>
                  <w:pPr>
                    <w:spacing w:line="288" w:lineRule="exact" w:before="0"/>
                    <w:ind w:left="0" w:right="0" w:firstLine="0"/>
                    <w:jc w:val="left"/>
                    <w:rPr>
                      <w:rFonts w:ascii="微软雅黑" w:hAnsi="微软雅黑" w:eastAsia="微软雅黑"/>
                      <w:b/>
                      <w:color w:val="000000"/>
                      <w:sz w:val="22"/>
                    </w:rPr>
                  </w:pPr>
                  <w:r>
                    <w:rPr>
                      <w:rFonts w:ascii="微软雅黑" w:hAnsi="微软雅黑" w:eastAsia="微软雅黑"/>
                      <w:b/>
                      <w:color w:val="000000"/>
                      <w:spacing w:val="-3"/>
                      <w:sz w:val="22"/>
                    </w:rPr>
                    <w:t>因克罗恩病所致“中度肠道疾病并发症”不在本保障范围内。</w:t>
                  </w:r>
                </w:p>
              </w:txbxContent>
            </v:textbox>
            <v:fill type="solid"/>
          </v:shape>
        </w:pict>
      </w:r>
      <w:r>
        <w:rPr>
          <w:sz w:val="20"/>
        </w:rPr>
      </w:r>
    </w:p>
    <w:p>
      <w:pPr>
        <w:pStyle w:val="BodyText"/>
        <w:ind w:left="2895"/>
        <w:rPr>
          <w:sz w:val="20"/>
        </w:rPr>
      </w:pPr>
      <w:r>
        <w:rPr>
          <w:sz w:val="20"/>
        </w:rPr>
        <w:pict>
          <v:shape style="width:353.35pt;height:14.4pt;mso-position-horizontal-relative:char;mso-position-vertical-relative:line" type="#_x0000_t202" id="docshape71" filled="true" fillcolor="#d9d9d9" stroked="false">
            <w10:anchorlock/>
            <v:textbox inset="0,0,0,0">
              <w:txbxContent>
                <w:p>
                  <w:pPr>
                    <w:spacing w:line="288" w:lineRule="exact" w:before="0"/>
                    <w:ind w:left="0" w:right="0" w:firstLine="0"/>
                    <w:jc w:val="left"/>
                    <w:rPr>
                      <w:rFonts w:ascii="微软雅黑" w:hAnsi="微软雅黑" w:eastAsia="微软雅黑"/>
                      <w:b/>
                      <w:color w:val="000000"/>
                      <w:sz w:val="22"/>
                    </w:rPr>
                  </w:pPr>
                  <w:r>
                    <w:rPr>
                      <w:rFonts w:ascii="微软雅黑" w:hAnsi="微软雅黑" w:eastAsia="微软雅黑"/>
                      <w:b/>
                      <w:color w:val="000000"/>
                      <w:spacing w:val="-3"/>
                      <w:sz w:val="22"/>
                    </w:rPr>
                    <w:t>被保险人已达到本合同所指的重大疾病“严重肠道疾病并发症”标准的，</w:t>
                  </w:r>
                </w:p>
              </w:txbxContent>
            </v:textbox>
            <v:fill type="solid"/>
          </v:shape>
        </w:pict>
      </w:r>
      <w:r>
        <w:rPr>
          <w:sz w:val="20"/>
        </w:rPr>
      </w:r>
    </w:p>
    <w:p>
      <w:pPr>
        <w:pStyle w:val="BodyText"/>
        <w:ind w:left="2895"/>
        <w:rPr>
          <w:sz w:val="20"/>
        </w:rPr>
      </w:pPr>
      <w:r>
        <w:rPr>
          <w:sz w:val="20"/>
        </w:rPr>
        <w:pict>
          <v:shape style="width:176.7pt;height:14.4pt;mso-position-horizontal-relative:char;mso-position-vertical-relative:line" type="#_x0000_t202" id="docshape72"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3"/>
                      <w:sz w:val="22"/>
                    </w:rPr>
                    <w:t>我们不承担本项中症疾病保险责任。</w:t>
                  </w:r>
                </w:p>
              </w:txbxContent>
            </v:textbox>
            <v:fill type="solid"/>
          </v:shape>
        </w:pict>
      </w:r>
      <w:r>
        <w:rPr>
          <w:sz w:val="20"/>
        </w:rPr>
      </w:r>
    </w:p>
    <w:p>
      <w:pPr>
        <w:pStyle w:val="BodyText"/>
        <w:spacing w:before="8"/>
        <w:rPr>
          <w:sz w:val="7"/>
        </w:rPr>
      </w:pPr>
    </w:p>
    <w:p>
      <w:pPr>
        <w:pStyle w:val="ListParagraph"/>
        <w:numPr>
          <w:ilvl w:val="2"/>
          <w:numId w:val="65"/>
        </w:numPr>
        <w:tabs>
          <w:tab w:pos="1269" w:val="left" w:leader="none"/>
          <w:tab w:pos="1270" w:val="left" w:leader="none"/>
          <w:tab w:pos="2895" w:val="left" w:leader="none"/>
        </w:tabs>
        <w:spacing w:line="240" w:lineRule="auto" w:before="5" w:after="0"/>
        <w:ind w:left="1270" w:right="0" w:hanging="1038"/>
        <w:jc w:val="left"/>
        <w:rPr>
          <w:sz w:val="21"/>
        </w:rPr>
      </w:pPr>
      <w:r>
        <w:rPr/>
        <w:pict>
          <v:shape style="position:absolute;margin-left:189.770004pt;margin-top:34.26815pt;width:44.2pt;height:14.4pt;mso-position-horizontal-relative:page;mso-position-vertical-relative:paragraph;z-index:15769088" type="#_x0000_t202" id="docshape73" filled="true" fillcolor="#d9d9d9" stroked="false">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3"/>
                      <w:sz w:val="22"/>
                    </w:rPr>
                    <w:t>范围内。</w:t>
                  </w:r>
                </w:p>
              </w:txbxContent>
            </v:textbox>
            <v:fill type="solid"/>
            <w10:wrap type="none"/>
          </v:shape>
        </w:pict>
      </w:r>
      <w:r>
        <w:rPr>
          <w:rFonts w:ascii="微软雅黑" w:eastAsia="微软雅黑"/>
          <w:b/>
          <w:sz w:val="21"/>
        </w:rPr>
        <w:t>单侧肺脏切</w:t>
      </w:r>
      <w:r>
        <w:rPr>
          <w:rFonts w:ascii="微软雅黑" w:eastAsia="微软雅黑"/>
          <w:b/>
          <w:spacing w:val="-10"/>
          <w:sz w:val="21"/>
        </w:rPr>
        <w:t>除</w:t>
      </w:r>
      <w:r>
        <w:rPr>
          <w:rFonts w:ascii="微软雅黑" w:eastAsia="微软雅黑"/>
          <w:b/>
          <w:sz w:val="21"/>
        </w:rPr>
        <w:tab/>
      </w:r>
      <w:r>
        <w:rPr>
          <w:spacing w:val="-2"/>
          <w:sz w:val="21"/>
        </w:rPr>
        <w:t>指</w:t>
      </w:r>
      <w:r>
        <w:rPr>
          <w:spacing w:val="-2"/>
          <w:sz w:val="21"/>
        </w:rPr>
        <w:t>因</w:t>
      </w:r>
      <w:r>
        <w:rPr>
          <w:spacing w:val="-2"/>
          <w:sz w:val="21"/>
        </w:rPr>
        <w:t>疾病或意外伤害实际</w:t>
      </w:r>
      <w:r>
        <w:rPr>
          <w:spacing w:val="-2"/>
          <w:sz w:val="21"/>
        </w:rPr>
        <w:t>实</w:t>
      </w:r>
      <w:r>
        <w:rPr>
          <w:spacing w:val="-2"/>
          <w:sz w:val="21"/>
        </w:rPr>
        <w:t>施</w:t>
      </w:r>
      <w:r>
        <w:rPr>
          <w:spacing w:val="-2"/>
          <w:sz w:val="21"/>
        </w:rPr>
        <w:t>的一侧肺脏切除</w:t>
      </w:r>
      <w:r>
        <w:rPr>
          <w:spacing w:val="-2"/>
          <w:sz w:val="21"/>
        </w:rPr>
        <w:t>术</w:t>
      </w:r>
      <w:r>
        <w:rPr>
          <w:spacing w:val="-10"/>
          <w:sz w:val="21"/>
        </w:rPr>
        <w:t>。</w:t>
      </w:r>
    </w:p>
    <w:p>
      <w:pPr>
        <w:pStyle w:val="BodyText"/>
        <w:ind w:left="2895"/>
        <w:rPr>
          <w:sz w:val="20"/>
        </w:rPr>
      </w:pPr>
      <w:r>
        <w:rPr>
          <w:sz w:val="20"/>
        </w:rPr>
        <w:pict>
          <v:shape style="width:353.35pt;height:14.4pt;mso-position-horizontal-relative:char;mso-position-vertical-relative:line" type="#_x0000_t202" id="docshape74"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3"/>
                      <w:sz w:val="22"/>
                    </w:rPr>
                    <w:t>因药物滥用、酗酒、肺脏部分切除手术、肺脏捐献引起的手术不在本保障</w:t>
                  </w:r>
                </w:p>
              </w:txbxContent>
            </v:textbox>
            <v:fill type="solid"/>
          </v:shape>
        </w:pict>
      </w:r>
      <w:r>
        <w:rPr>
          <w:sz w:val="20"/>
        </w:rPr>
      </w:r>
    </w:p>
    <w:p>
      <w:pPr>
        <w:pStyle w:val="BodyText"/>
        <w:spacing w:before="10"/>
        <w:rPr>
          <w:sz w:val="20"/>
        </w:rPr>
      </w:pPr>
      <w:r>
        <w:rPr/>
        <w:pict>
          <v:shape style="position:absolute;margin-left:189.770004pt;margin-top:14.523252pt;width:276.05pt;height:14.4pt;mso-position-horizontal-relative:page;mso-position-vertical-relative:paragraph;z-index:-15691264;mso-wrap-distance-left:0;mso-wrap-distance-right:0" type="#_x0000_t202" id="docshape75" filled="true" fillcolor="#d9d9d9"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1"/>
                      <w:sz w:val="22"/>
                    </w:rPr>
                    <w:t>因恶性肿瘤进行的单侧肺脏切除手术不在本保障范围内。</w:t>
                  </w:r>
                </w:p>
              </w:txbxContent>
            </v:textbox>
            <v:fill type="solid"/>
            <w10:wrap type="topAndBottom"/>
          </v:shape>
        </w:pict>
      </w:r>
    </w:p>
    <w:p>
      <w:pPr>
        <w:pStyle w:val="BodyText"/>
        <w:spacing w:before="6"/>
        <w:rPr>
          <w:sz w:val="10"/>
        </w:rPr>
      </w:pPr>
    </w:p>
    <w:p>
      <w:pPr>
        <w:spacing w:after="0"/>
        <w:rPr>
          <w:sz w:val="10"/>
        </w:rPr>
        <w:sectPr>
          <w:type w:val="continuous"/>
          <w:pgSz w:w="11910" w:h="16840"/>
          <w:pgMar w:header="566" w:footer="664" w:top="1340" w:bottom="860" w:left="900" w:right="720"/>
        </w:sectPr>
      </w:pPr>
    </w:p>
    <w:p>
      <w:pPr>
        <w:pStyle w:val="ListParagraph"/>
        <w:numPr>
          <w:ilvl w:val="2"/>
          <w:numId w:val="65"/>
        </w:numPr>
        <w:tabs>
          <w:tab w:pos="1269" w:val="left" w:leader="none"/>
          <w:tab w:pos="1270" w:val="left" w:leader="none"/>
        </w:tabs>
        <w:spacing w:line="194" w:lineRule="auto" w:before="57" w:after="0"/>
        <w:ind w:left="1270" w:right="38" w:hanging="1038"/>
        <w:jc w:val="left"/>
        <w:rPr>
          <w:rFonts w:ascii="微软雅黑" w:eastAsia="微软雅黑"/>
          <w:b/>
          <w:sz w:val="21"/>
        </w:rPr>
      </w:pPr>
      <w:r>
        <w:rPr>
          <w:rFonts w:ascii="微软雅黑" w:eastAsia="微软雅黑"/>
          <w:b/>
          <w:spacing w:val="-2"/>
          <w:sz w:val="21"/>
        </w:rPr>
        <w:t>中度溃疡性结</w:t>
      </w:r>
      <w:r>
        <w:rPr>
          <w:rFonts w:ascii="微软雅黑" w:eastAsia="微软雅黑"/>
          <w:b/>
          <w:spacing w:val="-6"/>
          <w:sz w:val="21"/>
        </w:rPr>
        <w:t>肠炎</w:t>
      </w:r>
    </w:p>
    <w:p>
      <w:pPr>
        <w:pStyle w:val="BodyText"/>
        <w:spacing w:line="278" w:lineRule="auto" w:before="71"/>
        <w:ind w:left="232" w:right="298"/>
        <w:jc w:val="both"/>
      </w:pPr>
      <w:r>
        <w:rPr/>
        <w:br w:type="column"/>
      </w:r>
      <w:r>
        <w:rPr>
          <w:spacing w:val="-2"/>
        </w:rPr>
        <w:t>溃疡性结肠炎是指伴有致命性电解质紊乱的大肠（结肠及直肠）粘膜炎症，病</w:t>
      </w:r>
      <w:r>
        <w:rPr>
          <w:spacing w:val="-2"/>
        </w:rPr>
        <w:t>变累及全大肠。须满足下列全部条件，但未达到本合同所指重大疾病“严重溃</w:t>
      </w:r>
      <w:r>
        <w:rPr>
          <w:spacing w:val="-2"/>
        </w:rPr>
        <w:t>疡性结肠炎”的给付标准：</w:t>
      </w:r>
    </w:p>
    <w:p>
      <w:pPr>
        <w:pStyle w:val="ListParagraph"/>
        <w:numPr>
          <w:ilvl w:val="0"/>
          <w:numId w:val="67"/>
        </w:numPr>
        <w:tabs>
          <w:tab w:pos="762" w:val="left" w:leader="none"/>
        </w:tabs>
        <w:spacing w:line="278" w:lineRule="auto" w:before="0" w:after="0"/>
        <w:ind w:left="232" w:right="348" w:firstLine="0"/>
        <w:jc w:val="left"/>
        <w:rPr>
          <w:sz w:val="21"/>
        </w:rPr>
      </w:pPr>
      <w:r>
        <w:rPr>
          <w:spacing w:val="-2"/>
          <w:sz w:val="21"/>
        </w:rPr>
        <w:t>须经由内窥镜检查证实该疾病侵犯全部结肠及直肠，并经病理学组织切</w:t>
      </w:r>
      <w:r>
        <w:rPr>
          <w:spacing w:val="-2"/>
          <w:sz w:val="21"/>
        </w:rPr>
        <w:t>片检查证实为溃疡性结肠炎；</w:t>
      </w:r>
    </w:p>
    <w:p>
      <w:pPr>
        <w:pStyle w:val="ListParagraph"/>
        <w:numPr>
          <w:ilvl w:val="0"/>
          <w:numId w:val="67"/>
        </w:numPr>
        <w:tabs>
          <w:tab w:pos="762" w:val="left" w:leader="none"/>
        </w:tabs>
        <w:spacing w:line="269" w:lineRule="exact" w:before="0" w:after="0"/>
        <w:ind w:left="761" w:right="0" w:hanging="530"/>
        <w:jc w:val="left"/>
        <w:rPr>
          <w:sz w:val="21"/>
        </w:rPr>
      </w:pPr>
      <w:r>
        <w:rPr>
          <w:spacing w:val="-5"/>
          <w:sz w:val="21"/>
        </w:rPr>
        <w:t>经专科医生以类固醇或免疫抑制剂连续治疗 </w:t>
      </w:r>
      <w:r>
        <w:rPr>
          <w:rFonts w:ascii="Times New Roman" w:eastAsia="Times New Roman"/>
          <w:spacing w:val="-2"/>
          <w:sz w:val="21"/>
        </w:rPr>
        <w:t>6</w:t>
      </w:r>
      <w:r>
        <w:rPr>
          <w:rFonts w:ascii="Times New Roman" w:eastAsia="Times New Roman"/>
          <w:spacing w:val="6"/>
          <w:sz w:val="21"/>
        </w:rPr>
        <w:t> </w:t>
      </w:r>
      <w:r>
        <w:rPr>
          <w:spacing w:val="-5"/>
          <w:sz w:val="21"/>
        </w:rPr>
        <w:t>个月。</w:t>
      </w:r>
    </w:p>
    <w:p>
      <w:pPr>
        <w:pStyle w:val="BodyText"/>
        <w:spacing w:before="43"/>
        <w:ind w:left="232"/>
      </w:pPr>
      <w:r>
        <w:rPr>
          <w:spacing w:val="-3"/>
        </w:rPr>
        <w:t>诊断及治疗均须在认可的医院内由专科医生认为是医疗必需的情况下进行。</w:t>
      </w:r>
    </w:p>
    <w:p>
      <w:pPr>
        <w:spacing w:after="0"/>
        <w:sectPr>
          <w:type w:val="continuous"/>
          <w:pgSz w:w="11910" w:h="16840"/>
          <w:pgMar w:header="566" w:footer="664" w:top="1340" w:bottom="860" w:left="900" w:right="720"/>
          <w:cols w:num="2" w:equalWidth="0">
            <w:col w:w="2578" w:space="85"/>
            <w:col w:w="7627"/>
          </w:cols>
        </w:sectPr>
      </w:pPr>
    </w:p>
    <w:p>
      <w:pPr>
        <w:pStyle w:val="BodyText"/>
        <w:spacing w:before="1"/>
        <w:rPr>
          <w:sz w:val="11"/>
        </w:rPr>
      </w:pPr>
    </w:p>
    <w:p>
      <w:pPr>
        <w:spacing w:after="0"/>
        <w:rPr>
          <w:sz w:val="11"/>
        </w:rPr>
        <w:sectPr>
          <w:type w:val="continuous"/>
          <w:pgSz w:w="11910" w:h="16840"/>
          <w:pgMar w:header="566" w:footer="664" w:top="1340" w:bottom="860" w:left="900" w:right="720"/>
        </w:sectPr>
      </w:pPr>
    </w:p>
    <w:p>
      <w:pPr>
        <w:pStyle w:val="ListParagraph"/>
        <w:numPr>
          <w:ilvl w:val="2"/>
          <w:numId w:val="65"/>
        </w:numPr>
        <w:tabs>
          <w:tab w:pos="1269" w:val="left" w:leader="none"/>
          <w:tab w:pos="1270" w:val="left" w:leader="none"/>
        </w:tabs>
        <w:spacing w:line="350" w:lineRule="exact" w:before="4" w:after="0"/>
        <w:ind w:left="1270" w:right="0" w:hanging="1038"/>
        <w:jc w:val="left"/>
        <w:rPr>
          <w:rFonts w:ascii="微软雅黑" w:eastAsia="微软雅黑"/>
          <w:b/>
          <w:sz w:val="21"/>
        </w:rPr>
      </w:pPr>
      <w:r>
        <w:rPr>
          <w:rFonts w:ascii="微软雅黑" w:eastAsia="微软雅黑"/>
          <w:b/>
          <w:spacing w:val="-2"/>
          <w:sz w:val="21"/>
        </w:rPr>
        <w:t>中度进行性核</w:t>
      </w:r>
    </w:p>
    <w:p>
      <w:pPr>
        <w:spacing w:line="350" w:lineRule="exact" w:before="0"/>
        <w:ind w:left="1270" w:right="0" w:firstLine="0"/>
        <w:jc w:val="left"/>
        <w:rPr>
          <w:rFonts w:ascii="微软雅黑" w:eastAsia="微软雅黑"/>
          <w:b/>
          <w:sz w:val="21"/>
        </w:rPr>
      </w:pPr>
      <w:r>
        <w:rPr>
          <w:rFonts w:ascii="微软雅黑" w:eastAsia="微软雅黑"/>
          <w:b/>
          <w:spacing w:val="-3"/>
          <w:sz w:val="21"/>
        </w:rPr>
        <w:t>上性麻痹</w:t>
      </w:r>
    </w:p>
    <w:p>
      <w:pPr>
        <w:pStyle w:val="BodyText"/>
        <w:spacing w:line="278" w:lineRule="auto" w:before="71"/>
        <w:ind w:left="232" w:right="298"/>
      </w:pPr>
      <w:r>
        <w:rPr/>
        <w:br w:type="column"/>
      </w:r>
      <w:r>
        <w:rPr>
          <w:spacing w:val="-2"/>
        </w:rPr>
        <w:t>指一种少见的神经系统变性疾病，以假球麻痹、垂直性核上性眼肌麻痹、锥体</w:t>
      </w:r>
      <w:r>
        <w:rPr>
          <w:spacing w:val="-2"/>
        </w:rPr>
        <w:t>外系肌僵直、步态共济失调和轻度痴呆为主要临床特征。</w:t>
      </w:r>
    </w:p>
    <w:p>
      <w:pPr>
        <w:pStyle w:val="BodyText"/>
        <w:spacing w:line="278" w:lineRule="auto"/>
        <w:ind w:left="232" w:right="298"/>
      </w:pPr>
      <w:r>
        <w:rPr>
          <w:spacing w:val="-2"/>
        </w:rPr>
        <w:t>须由认可的医院的专科医生确诊，且满足自主生活能力完全丧失，无法独立完</w:t>
      </w:r>
      <w:r>
        <w:rPr>
          <w:spacing w:val="-2"/>
        </w:rPr>
        <w:t>成六项基本日常生活活动中的两项。</w:t>
      </w:r>
    </w:p>
    <w:p>
      <w:pPr>
        <w:spacing w:after="0" w:line="278" w:lineRule="auto"/>
        <w:sectPr>
          <w:type w:val="continuous"/>
          <w:pgSz w:w="11910" w:h="16840"/>
          <w:pgMar w:header="566" w:footer="664" w:top="1340" w:bottom="860" w:left="900" w:right="720"/>
          <w:cols w:num="2" w:equalWidth="0">
            <w:col w:w="2578" w:space="85"/>
            <w:col w:w="7627"/>
          </w:cols>
        </w:sectPr>
      </w:pPr>
    </w:p>
    <w:p>
      <w:pPr>
        <w:pStyle w:val="ListParagraph"/>
        <w:numPr>
          <w:ilvl w:val="2"/>
          <w:numId w:val="65"/>
        </w:numPr>
        <w:tabs>
          <w:tab w:pos="1270" w:val="left" w:leader="none"/>
        </w:tabs>
        <w:spacing w:line="256" w:lineRule="auto" w:before="104" w:after="0"/>
        <w:ind w:left="2895" w:right="298" w:hanging="2663"/>
        <w:jc w:val="both"/>
        <w:rPr>
          <w:sz w:val="21"/>
        </w:rPr>
      </w:pPr>
      <w:r>
        <w:rPr>
          <w:rFonts w:ascii="微软雅黑" w:eastAsia="微软雅黑"/>
          <w:b/>
          <w:spacing w:val="31"/>
          <w:sz w:val="21"/>
        </w:rPr>
        <w:t>中度克雅氏症 </w:t>
      </w:r>
      <w:r>
        <w:rPr>
          <w:sz w:val="21"/>
        </w:rPr>
        <w:t>是一种传染性海绵状脑病，临床表现为快速进行性痴呆、肌阵挛和特征性脑电</w:t>
      </w:r>
      <w:r>
        <w:rPr>
          <w:spacing w:val="2"/>
          <w:sz w:val="21"/>
        </w:rPr>
        <w:t>图变化。须由认可的医院的专科医生根据</w:t>
      </w:r>
      <w:r>
        <w:rPr>
          <w:rFonts w:ascii="Times New Roman" w:eastAsia="Times New Roman"/>
          <w:sz w:val="21"/>
        </w:rPr>
        <w:t>WHO</w:t>
      </w:r>
      <w:r>
        <w:rPr>
          <w:rFonts w:ascii="Times New Roman" w:eastAsia="Times New Roman"/>
          <w:spacing w:val="-14"/>
          <w:sz w:val="21"/>
        </w:rPr>
        <w:t> </w:t>
      </w:r>
      <w:r>
        <w:rPr>
          <w:sz w:val="21"/>
        </w:rPr>
        <w:t>诊断标准明确诊断，并且自主</w:t>
      </w:r>
      <w:r>
        <w:rPr>
          <w:spacing w:val="-2"/>
          <w:sz w:val="21"/>
        </w:rPr>
        <w:t>生活能力完全丧失，无法独立完成六项基本日常生活活动中的两项。</w:t>
      </w:r>
    </w:p>
    <w:p>
      <w:pPr>
        <w:pStyle w:val="ListParagraph"/>
        <w:numPr>
          <w:ilvl w:val="2"/>
          <w:numId w:val="65"/>
        </w:numPr>
        <w:tabs>
          <w:tab w:pos="1270" w:val="left" w:leader="none"/>
        </w:tabs>
        <w:spacing w:line="312" w:lineRule="exact" w:before="144" w:after="0"/>
        <w:ind w:left="2895" w:right="298" w:hanging="2663"/>
        <w:jc w:val="both"/>
        <w:rPr>
          <w:sz w:val="21"/>
        </w:rPr>
      </w:pPr>
      <w:r>
        <w:rPr>
          <w:rFonts w:ascii="微软雅黑" w:hAnsi="微软雅黑" w:eastAsia="微软雅黑"/>
          <w:b/>
          <w:spacing w:val="31"/>
          <w:sz w:val="21"/>
        </w:rPr>
        <w:t>中度克罗恩病 </w:t>
      </w:r>
      <w:r>
        <w:rPr>
          <w:sz w:val="21"/>
        </w:rPr>
        <w:t>是一种慢性肉芽肿性肠炎，具有特征性的克罗恩病病理组织学变化。诊断必须</w:t>
      </w:r>
      <w:r>
        <w:rPr>
          <w:spacing w:val="-6"/>
          <w:sz w:val="21"/>
        </w:rPr>
        <w:t>由专科医生经过病理检查结果证实，被保险人所患的克隆症须经肠胃科专科医</w:t>
      </w:r>
      <w:r>
        <w:rPr>
          <w:spacing w:val="-4"/>
          <w:sz w:val="21"/>
        </w:rPr>
        <w:t>生以类固醇或免疫抑制剂连续治疗 </w:t>
      </w:r>
      <w:r>
        <w:rPr>
          <w:rFonts w:ascii="Times New Roman" w:hAnsi="Times New Roman" w:eastAsia="Times New Roman"/>
          <w:spacing w:val="-2"/>
          <w:sz w:val="21"/>
        </w:rPr>
        <w:t>180</w:t>
      </w:r>
      <w:r>
        <w:rPr>
          <w:rFonts w:ascii="Times New Roman" w:hAnsi="Times New Roman" w:eastAsia="Times New Roman"/>
          <w:spacing w:val="10"/>
          <w:sz w:val="21"/>
        </w:rPr>
        <w:t> </w:t>
      </w:r>
      <w:r>
        <w:rPr>
          <w:spacing w:val="-10"/>
          <w:sz w:val="21"/>
        </w:rPr>
        <w:t>天以上，且未达到本合同所指重大疾病</w:t>
      </w:r>
      <w:r>
        <w:rPr>
          <w:spacing w:val="-2"/>
          <w:sz w:val="21"/>
        </w:rPr>
        <w:t> “严重克罗恩病”的给付标准。</w:t>
      </w:r>
    </w:p>
    <w:p>
      <w:pPr>
        <w:pStyle w:val="BodyText"/>
        <w:spacing w:before="10"/>
        <w:rPr>
          <w:sz w:val="10"/>
        </w:rPr>
      </w:pPr>
    </w:p>
    <w:p>
      <w:pPr>
        <w:spacing w:after="0"/>
        <w:rPr>
          <w:sz w:val="10"/>
        </w:rPr>
        <w:sectPr>
          <w:type w:val="continuous"/>
          <w:pgSz w:w="11910" w:h="16840"/>
          <w:pgMar w:header="566" w:footer="664" w:top="1340" w:bottom="860" w:left="900" w:right="720"/>
        </w:sectPr>
      </w:pPr>
    </w:p>
    <w:p>
      <w:pPr>
        <w:pStyle w:val="ListParagraph"/>
        <w:numPr>
          <w:ilvl w:val="2"/>
          <w:numId w:val="65"/>
        </w:numPr>
        <w:tabs>
          <w:tab w:pos="1269" w:val="left" w:leader="none"/>
          <w:tab w:pos="1270" w:val="left" w:leader="none"/>
        </w:tabs>
        <w:spacing w:line="194" w:lineRule="auto" w:before="57" w:after="0"/>
        <w:ind w:left="1270" w:right="38" w:hanging="1038"/>
        <w:jc w:val="left"/>
        <w:rPr>
          <w:rFonts w:ascii="微软雅黑" w:eastAsia="微软雅黑"/>
          <w:b/>
          <w:sz w:val="21"/>
        </w:rPr>
      </w:pPr>
      <w:r>
        <w:rPr>
          <w:rFonts w:ascii="微软雅黑" w:eastAsia="微软雅黑"/>
          <w:b/>
          <w:spacing w:val="-2"/>
          <w:sz w:val="21"/>
        </w:rPr>
        <w:t>外伤半肝切除</w:t>
      </w:r>
      <w:r>
        <w:rPr>
          <w:rFonts w:ascii="微软雅黑" w:eastAsia="微软雅黑"/>
          <w:b/>
          <w:spacing w:val="-6"/>
          <w:sz w:val="21"/>
        </w:rPr>
        <w:t>手术</w:t>
      </w:r>
    </w:p>
    <w:p>
      <w:pPr>
        <w:pStyle w:val="BodyText"/>
        <w:spacing w:line="278" w:lineRule="auto" w:before="71"/>
        <w:ind w:left="232" w:right="298"/>
      </w:pPr>
      <w:r>
        <w:rPr/>
        <w:br w:type="column"/>
      </w:r>
      <w:r>
        <w:rPr>
          <w:spacing w:val="-6"/>
        </w:rPr>
        <w:t>指因意外伤害导致肝脏严重损害，已经实际接受了整个左肝切除手术或右肝切</w:t>
      </w:r>
      <w:r>
        <w:rPr>
          <w:spacing w:val="-4"/>
        </w:rPr>
        <w:t>除手术。</w:t>
      </w:r>
    </w:p>
    <w:p>
      <w:pPr>
        <w:spacing w:after="0" w:line="278" w:lineRule="auto"/>
        <w:sectPr>
          <w:type w:val="continuous"/>
          <w:pgSz w:w="11910" w:h="16840"/>
          <w:pgMar w:header="566" w:footer="664" w:top="1340" w:bottom="860" w:left="900" w:right="720"/>
          <w:cols w:num="2" w:equalWidth="0">
            <w:col w:w="2578" w:space="85"/>
            <w:col w:w="7627"/>
          </w:cols>
        </w:sectPr>
      </w:pPr>
    </w:p>
    <w:p>
      <w:pPr>
        <w:pStyle w:val="BodyText"/>
        <w:ind w:left="2895"/>
        <w:rPr>
          <w:sz w:val="20"/>
        </w:rPr>
      </w:pPr>
      <w:r>
        <w:rPr>
          <w:sz w:val="20"/>
        </w:rPr>
        <w:pict>
          <v:shape style="width:132.5pt;height:14.4pt;mso-position-horizontal-relative:char;mso-position-vertical-relative:line" type="#_x0000_t202" id="docshape76"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3"/>
                      <w:sz w:val="22"/>
                    </w:rPr>
                    <w:t>下列情况不在保障范围内：</w:t>
                  </w:r>
                </w:p>
              </w:txbxContent>
            </v:textbox>
            <v:fill type="solid"/>
          </v:shape>
        </w:pict>
      </w:r>
      <w:r>
        <w:rPr>
          <w:sz w:val="20"/>
        </w:rPr>
      </w:r>
    </w:p>
    <w:p>
      <w:pPr>
        <w:pStyle w:val="BodyText"/>
        <w:ind w:left="2895"/>
        <w:rPr>
          <w:sz w:val="20"/>
        </w:rPr>
      </w:pPr>
      <w:r>
        <w:rPr>
          <w:sz w:val="20"/>
        </w:rPr>
        <w:pict>
          <v:shape style="width:160.25pt;height:14.45pt;mso-position-horizontal-relative:char;mso-position-vertical-relative:line" type="#_x0000_t202" id="docshape77"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（1）</w:t>
                  </w:r>
                  <w:r>
                    <w:rPr>
                      <w:rFonts w:ascii="微软雅黑" w:eastAsia="微软雅黑"/>
                      <w:b/>
                      <w:color w:val="000000"/>
                      <w:spacing w:val="-1"/>
                      <w:w w:val="95"/>
                      <w:sz w:val="22"/>
                    </w:rPr>
                    <w:t>肝叶切除、肝段切除手术；</w:t>
                  </w:r>
                </w:p>
              </w:txbxContent>
            </v:textbox>
            <v:fill type="solid"/>
          </v:shape>
        </w:pict>
      </w:r>
      <w:r>
        <w:rPr>
          <w:sz w:val="20"/>
        </w:rPr>
      </w:r>
    </w:p>
    <w:p>
      <w:pPr>
        <w:pStyle w:val="BodyText"/>
        <w:ind w:left="2895"/>
        <w:rPr>
          <w:sz w:val="20"/>
        </w:rPr>
      </w:pPr>
      <w:r>
        <w:rPr>
          <w:sz w:val="20"/>
        </w:rPr>
        <w:pict>
          <v:shape style="width:182.3pt;height:14.4pt;mso-position-horizontal-relative:char;mso-position-vertical-relative:line" type="#_x0000_t202" id="docshape78"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（2）</w:t>
                  </w:r>
                  <w:r>
                    <w:rPr>
                      <w:rFonts w:ascii="微软雅黑" w:eastAsia="微软雅黑"/>
                      <w:b/>
                      <w:color w:val="000000"/>
                      <w:spacing w:val="-1"/>
                      <w:w w:val="95"/>
                      <w:sz w:val="22"/>
                    </w:rPr>
                    <w:t>因恶性肿瘤进行的肝切除手术；</w:t>
                  </w:r>
                </w:p>
              </w:txbxContent>
            </v:textbox>
            <v:fill type="solid"/>
          </v:shape>
        </w:pict>
      </w:r>
      <w:r>
        <w:rPr>
          <w:sz w:val="20"/>
        </w:rPr>
      </w:r>
    </w:p>
    <w:p>
      <w:pPr>
        <w:pStyle w:val="BodyText"/>
        <w:ind w:left="2895"/>
        <w:rPr>
          <w:sz w:val="20"/>
        </w:rPr>
      </w:pPr>
      <w:r>
        <w:rPr>
          <w:sz w:val="20"/>
        </w:rPr>
        <w:pict>
          <v:shape style="width:138.15pt;height:14.4pt;mso-position-horizontal-relative:char;mso-position-vertical-relative:line" type="#_x0000_t202" id="docshape79"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（3）</w:t>
                  </w:r>
                  <w:r>
                    <w:rPr>
                      <w:rFonts w:ascii="微软雅黑" w:eastAsia="微软雅黑"/>
                      <w:b/>
                      <w:color w:val="000000"/>
                      <w:spacing w:val="-1"/>
                      <w:w w:val="95"/>
                      <w:sz w:val="22"/>
                    </w:rPr>
                    <w:t>肝移植接受者肝切除；</w:t>
                  </w:r>
                </w:p>
              </w:txbxContent>
            </v:textbox>
            <v:fill type="solid"/>
          </v:shape>
        </w:pict>
      </w:r>
      <w:r>
        <w:rPr>
          <w:sz w:val="20"/>
        </w:rPr>
      </w:r>
    </w:p>
    <w:p>
      <w:pPr>
        <w:pStyle w:val="BodyText"/>
        <w:rPr>
          <w:sz w:val="20"/>
        </w:rPr>
      </w:pPr>
    </w:p>
    <w:p>
      <w:pPr>
        <w:spacing w:after="0"/>
        <w:rPr>
          <w:sz w:val="20"/>
        </w:rPr>
        <w:sectPr>
          <w:type w:val="continuous"/>
          <w:pgSz w:w="11910" w:h="16840"/>
          <w:pgMar w:header="566" w:footer="664" w:top="1340" w:bottom="860" w:left="900" w:right="720"/>
        </w:sectPr>
      </w:pPr>
    </w:p>
    <w:p>
      <w:pPr>
        <w:pStyle w:val="BodyText"/>
        <w:spacing w:before="6"/>
        <w:rPr>
          <w:sz w:val="15"/>
        </w:rPr>
      </w:pPr>
    </w:p>
    <w:p>
      <w:pPr>
        <w:pStyle w:val="ListParagraph"/>
        <w:numPr>
          <w:ilvl w:val="2"/>
          <w:numId w:val="65"/>
        </w:numPr>
        <w:tabs>
          <w:tab w:pos="1269" w:val="left" w:leader="none"/>
          <w:tab w:pos="1270" w:val="left" w:leader="none"/>
        </w:tabs>
        <w:spacing w:line="194" w:lineRule="auto" w:before="0" w:after="0"/>
        <w:ind w:left="1270" w:right="38" w:hanging="1038"/>
        <w:jc w:val="left"/>
        <w:rPr>
          <w:rFonts w:ascii="微软雅黑" w:eastAsia="微软雅黑"/>
          <w:b/>
          <w:sz w:val="21"/>
        </w:rPr>
      </w:pPr>
      <w:r>
        <w:rPr/>
        <w:pict>
          <v:shape style="position:absolute;margin-left:189.770004pt;margin-top:-23.814896pt;width:215.45pt;height:14.4pt;mso-position-horizontal-relative:page;mso-position-vertical-relative:paragraph;z-index:15768576" type="#_x0000_t202" id="docshape80" filled="true" fillcolor="#d9d9d9"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（4）</w:t>
                  </w:r>
                  <w:r>
                    <w:rPr>
                      <w:rFonts w:ascii="微软雅黑" w:eastAsia="微软雅黑"/>
                      <w:b/>
                      <w:color w:val="000000"/>
                      <w:w w:val="95"/>
                      <w:sz w:val="22"/>
                    </w:rPr>
                    <w:t>作</w:t>
                  </w:r>
                  <w:r>
                    <w:rPr>
                      <w:rFonts w:ascii="微软雅黑" w:eastAsia="微软雅黑"/>
                      <w:b/>
                      <w:color w:val="000000"/>
                      <w:w w:val="95"/>
                      <w:sz w:val="22"/>
                    </w:rPr>
                    <w:t>为</w:t>
                  </w:r>
                  <w:r>
                    <w:rPr>
                      <w:rFonts w:ascii="微软雅黑" w:eastAsia="微软雅黑"/>
                      <w:b/>
                      <w:color w:val="000000"/>
                      <w:w w:val="95"/>
                      <w:sz w:val="22"/>
                    </w:rPr>
                    <w:t>器</w:t>
                  </w:r>
                  <w:r>
                    <w:rPr>
                      <w:rFonts w:ascii="微软雅黑" w:eastAsia="微软雅黑"/>
                      <w:b/>
                      <w:color w:val="000000"/>
                      <w:w w:val="95"/>
                      <w:sz w:val="22"/>
                    </w:rPr>
                    <w:t>官</w:t>
                  </w:r>
                  <w:r>
                    <w:rPr>
                      <w:rFonts w:ascii="微软雅黑" w:eastAsia="微软雅黑"/>
                      <w:b/>
                      <w:color w:val="000000"/>
                      <w:w w:val="95"/>
                      <w:sz w:val="22"/>
                    </w:rPr>
                    <w:t>捐</w:t>
                  </w:r>
                  <w:r>
                    <w:rPr>
                      <w:rFonts w:ascii="微软雅黑" w:eastAsia="微软雅黑"/>
                      <w:b/>
                      <w:color w:val="000000"/>
                      <w:w w:val="95"/>
                      <w:sz w:val="22"/>
                    </w:rPr>
                    <w:t>献</w:t>
                  </w:r>
                  <w:r>
                    <w:rPr>
                      <w:rFonts w:ascii="微软雅黑" w:eastAsia="微软雅黑"/>
                      <w:b/>
                      <w:color w:val="000000"/>
                      <w:w w:val="95"/>
                      <w:sz w:val="22"/>
                    </w:rPr>
                    <w:t>者</w:t>
                  </w:r>
                  <w:r>
                    <w:rPr>
                      <w:rFonts w:ascii="微软雅黑" w:eastAsia="微软雅黑"/>
                      <w:b/>
                      <w:color w:val="000000"/>
                      <w:w w:val="95"/>
                      <w:sz w:val="22"/>
                    </w:rPr>
                    <w:t>而</w:t>
                  </w:r>
                  <w:r>
                    <w:rPr>
                      <w:rFonts w:ascii="微软雅黑" w:eastAsia="微软雅黑"/>
                      <w:b/>
                      <w:color w:val="000000"/>
                      <w:w w:val="95"/>
                      <w:sz w:val="22"/>
                    </w:rPr>
                    <w:t>实</w:t>
                  </w:r>
                  <w:r>
                    <w:rPr>
                      <w:rFonts w:ascii="微软雅黑" w:eastAsia="微软雅黑"/>
                      <w:b/>
                      <w:color w:val="000000"/>
                      <w:w w:val="95"/>
                      <w:sz w:val="22"/>
                    </w:rPr>
                    <w:t>施</w:t>
                  </w:r>
                  <w:r>
                    <w:rPr>
                      <w:rFonts w:ascii="微软雅黑" w:eastAsia="微软雅黑"/>
                      <w:b/>
                      <w:color w:val="000000"/>
                      <w:w w:val="95"/>
                      <w:sz w:val="22"/>
                    </w:rPr>
                    <w:t>的</w:t>
                  </w:r>
                  <w:r>
                    <w:rPr>
                      <w:rFonts w:ascii="微软雅黑" w:eastAsia="微软雅黑"/>
                      <w:b/>
                      <w:color w:val="000000"/>
                      <w:w w:val="95"/>
                      <w:sz w:val="22"/>
                    </w:rPr>
                    <w:t>肝</w:t>
                  </w:r>
                  <w:r>
                    <w:rPr>
                      <w:rFonts w:ascii="微软雅黑" w:eastAsia="微软雅黑"/>
                      <w:b/>
                      <w:color w:val="000000"/>
                      <w:w w:val="95"/>
                      <w:sz w:val="22"/>
                    </w:rPr>
                    <w:t>切</w:t>
                  </w:r>
                  <w:r>
                    <w:rPr>
                      <w:rFonts w:ascii="微软雅黑" w:eastAsia="微软雅黑"/>
                      <w:b/>
                      <w:color w:val="000000"/>
                      <w:w w:val="95"/>
                      <w:sz w:val="22"/>
                    </w:rPr>
                    <w:t>除</w:t>
                  </w:r>
                  <w:r>
                    <w:rPr>
                      <w:rFonts w:ascii="微软雅黑" w:eastAsia="微软雅黑"/>
                      <w:b/>
                      <w:color w:val="000000"/>
                      <w:w w:val="95"/>
                      <w:sz w:val="22"/>
                    </w:rPr>
                    <w:t>手</w:t>
                  </w:r>
                  <w:r>
                    <w:rPr>
                      <w:rFonts w:ascii="微软雅黑" w:eastAsia="微软雅黑"/>
                      <w:b/>
                      <w:color w:val="000000"/>
                      <w:w w:val="95"/>
                      <w:sz w:val="22"/>
                    </w:rPr>
                    <w:t>术</w:t>
                  </w:r>
                  <w:r>
                    <w:rPr>
                      <w:rFonts w:ascii="微软雅黑" w:eastAsia="微软雅黑"/>
                      <w:b/>
                      <w:color w:val="000000"/>
                      <w:spacing w:val="-10"/>
                      <w:w w:val="95"/>
                      <w:sz w:val="22"/>
                    </w:rPr>
                    <w:t>。</w:t>
                  </w:r>
                </w:p>
              </w:txbxContent>
            </v:textbox>
            <v:fill type="solid"/>
            <w10:wrap type="none"/>
          </v:shape>
        </w:pict>
      </w:r>
      <w:r>
        <w:rPr>
          <w:rFonts w:ascii="微软雅黑" w:eastAsia="微软雅黑"/>
          <w:b/>
          <w:spacing w:val="-2"/>
          <w:sz w:val="21"/>
        </w:rPr>
        <w:t>中度强直性脊</w:t>
      </w:r>
      <w:r>
        <w:rPr>
          <w:rFonts w:ascii="微软雅黑" w:eastAsia="微软雅黑"/>
          <w:b/>
          <w:spacing w:val="-6"/>
          <w:sz w:val="21"/>
        </w:rPr>
        <w:t>柱炎</w:t>
      </w:r>
    </w:p>
    <w:p>
      <w:pPr>
        <w:spacing w:line="240" w:lineRule="auto" w:before="10"/>
        <w:rPr>
          <w:rFonts w:ascii="微软雅黑"/>
          <w:b/>
          <w:sz w:val="11"/>
        </w:rPr>
      </w:pPr>
      <w:r>
        <w:rPr/>
        <w:br w:type="column"/>
      </w:r>
      <w:r>
        <w:rPr>
          <w:rFonts w:ascii="微软雅黑"/>
          <w:b/>
          <w:sz w:val="11"/>
        </w:rPr>
      </w:r>
    </w:p>
    <w:p>
      <w:pPr>
        <w:pStyle w:val="BodyText"/>
        <w:spacing w:line="278" w:lineRule="auto"/>
        <w:ind w:left="232" w:right="298"/>
      </w:pPr>
      <w:r>
        <w:rPr>
          <w:spacing w:val="-2"/>
        </w:rPr>
        <w:t>是一种慢性全身性炎性疾病，主要侵犯脊柱导致脊柱畸形。必须明确诊断并且</w:t>
      </w:r>
      <w:r>
        <w:rPr>
          <w:spacing w:val="-2"/>
        </w:rPr>
        <w:t>满足下列全部条件：</w:t>
      </w:r>
    </w:p>
    <w:p>
      <w:pPr>
        <w:pStyle w:val="ListParagraph"/>
        <w:numPr>
          <w:ilvl w:val="0"/>
          <w:numId w:val="68"/>
        </w:numPr>
        <w:tabs>
          <w:tab w:pos="762" w:val="left" w:leader="none"/>
        </w:tabs>
        <w:spacing w:line="269" w:lineRule="exact" w:before="0" w:after="0"/>
        <w:ind w:left="761" w:right="0" w:hanging="530"/>
        <w:jc w:val="left"/>
        <w:rPr>
          <w:sz w:val="21"/>
        </w:rPr>
      </w:pPr>
      <w:r>
        <w:rPr>
          <w:spacing w:val="-4"/>
          <w:sz w:val="21"/>
        </w:rPr>
        <w:t>严重脊柱畸形；</w:t>
      </w:r>
    </w:p>
    <w:p>
      <w:pPr>
        <w:pStyle w:val="ListParagraph"/>
        <w:numPr>
          <w:ilvl w:val="0"/>
          <w:numId w:val="68"/>
        </w:numPr>
        <w:tabs>
          <w:tab w:pos="762" w:val="left" w:leader="none"/>
        </w:tabs>
        <w:spacing w:line="240" w:lineRule="auto" w:before="43" w:after="0"/>
        <w:ind w:left="761" w:right="0" w:hanging="530"/>
        <w:jc w:val="left"/>
        <w:rPr>
          <w:sz w:val="21"/>
        </w:rPr>
      </w:pPr>
      <w:r>
        <w:rPr>
          <w:spacing w:val="-3"/>
          <w:sz w:val="21"/>
        </w:rPr>
        <w:t>自主生活能力完全丧失，无法独立完成六项基本日常生活活动中的两项</w:t>
      </w:r>
    </w:p>
    <w:p>
      <w:pPr>
        <w:spacing w:after="0" w:line="240" w:lineRule="auto"/>
        <w:jc w:val="left"/>
        <w:rPr>
          <w:sz w:val="21"/>
        </w:rPr>
        <w:sectPr>
          <w:type w:val="continuous"/>
          <w:pgSz w:w="11910" w:h="16840"/>
          <w:pgMar w:header="566" w:footer="664" w:top="1340" w:bottom="860" w:left="900" w:right="720"/>
          <w:cols w:num="2" w:equalWidth="0">
            <w:col w:w="2578" w:space="85"/>
            <w:col w:w="7627"/>
          </w:cols>
        </w:sectPr>
      </w:pPr>
    </w:p>
    <w:p>
      <w:pPr>
        <w:pStyle w:val="BodyText"/>
        <w:spacing w:before="11"/>
        <w:rPr>
          <w:sz w:val="8"/>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7"/>
        <w:gridCol w:w="1647"/>
        <w:gridCol w:w="7426"/>
      </w:tblGrid>
      <w:tr>
        <w:trPr>
          <w:trHeight w:val="347" w:hRule="atLeast"/>
        </w:trPr>
        <w:tc>
          <w:tcPr>
            <w:tcW w:w="2534" w:type="dxa"/>
            <w:gridSpan w:val="2"/>
          </w:tcPr>
          <w:p>
            <w:pPr>
              <w:pStyle w:val="TableParagraph"/>
              <w:rPr>
                <w:rFonts w:ascii="Times New Roman"/>
                <w:sz w:val="20"/>
              </w:rPr>
            </w:pPr>
          </w:p>
        </w:tc>
        <w:tc>
          <w:tcPr>
            <w:tcW w:w="7426" w:type="dxa"/>
          </w:tcPr>
          <w:p>
            <w:pPr>
              <w:pStyle w:val="TableParagraph"/>
              <w:spacing w:line="241" w:lineRule="exact"/>
              <w:ind w:left="178"/>
              <w:rPr>
                <w:sz w:val="21"/>
              </w:rPr>
            </w:pPr>
            <w:r>
              <w:rPr>
                <w:spacing w:val="-4"/>
                <w:sz w:val="21"/>
              </w:rPr>
              <w:t>或两项以上。</w:t>
            </w:r>
          </w:p>
        </w:tc>
      </w:tr>
      <w:tr>
        <w:trPr>
          <w:trHeight w:val="397" w:hRule="atLeast"/>
        </w:trPr>
        <w:tc>
          <w:tcPr>
            <w:tcW w:w="887" w:type="dxa"/>
          </w:tcPr>
          <w:p>
            <w:pPr>
              <w:pStyle w:val="TableParagraph"/>
              <w:spacing w:line="337" w:lineRule="exact" w:before="40"/>
              <w:ind w:left="50"/>
              <w:rPr>
                <w:rFonts w:ascii="微软雅黑"/>
                <w:b/>
                <w:sz w:val="21"/>
              </w:rPr>
            </w:pPr>
            <w:r>
              <w:rPr>
                <w:rFonts w:ascii="微软雅黑"/>
                <w:b/>
                <w:spacing w:val="-2"/>
                <w:sz w:val="21"/>
              </w:rPr>
              <w:t>9.1.20</w:t>
            </w:r>
          </w:p>
        </w:tc>
        <w:tc>
          <w:tcPr>
            <w:tcW w:w="1647" w:type="dxa"/>
          </w:tcPr>
          <w:p>
            <w:pPr>
              <w:pStyle w:val="TableParagraph"/>
              <w:spacing w:line="337" w:lineRule="exact" w:before="40"/>
              <w:ind w:left="200"/>
              <w:rPr>
                <w:rFonts w:ascii="微软雅黑" w:eastAsia="微软雅黑"/>
                <w:b/>
                <w:sz w:val="21"/>
              </w:rPr>
            </w:pPr>
            <w:r>
              <w:rPr>
                <w:rFonts w:ascii="微软雅黑" w:eastAsia="微软雅黑"/>
                <w:b/>
                <w:spacing w:val="-2"/>
                <w:sz w:val="21"/>
              </w:rPr>
              <w:t>较重多发性硬</w:t>
            </w:r>
          </w:p>
        </w:tc>
        <w:tc>
          <w:tcPr>
            <w:tcW w:w="7426" w:type="dxa"/>
          </w:tcPr>
          <w:p>
            <w:pPr>
              <w:pStyle w:val="TableParagraph"/>
              <w:spacing w:before="107"/>
              <w:ind w:left="178"/>
              <w:rPr>
                <w:sz w:val="21"/>
              </w:rPr>
            </w:pPr>
            <w:r>
              <w:rPr>
                <w:spacing w:val="-5"/>
                <w:sz w:val="21"/>
              </w:rPr>
              <w:t>多发性硬化为中枢神经系统白质多灶性脱髓鞘病变，病变有时累及灰质。多发</w:t>
            </w:r>
          </w:p>
        </w:tc>
      </w:tr>
      <w:tr>
        <w:trPr>
          <w:trHeight w:val="312" w:hRule="atLeast"/>
        </w:trPr>
        <w:tc>
          <w:tcPr>
            <w:tcW w:w="887" w:type="dxa"/>
          </w:tcPr>
          <w:p>
            <w:pPr>
              <w:pStyle w:val="TableParagraph"/>
              <w:rPr>
                <w:rFonts w:ascii="Times New Roman"/>
                <w:sz w:val="20"/>
              </w:rPr>
            </w:pPr>
          </w:p>
        </w:tc>
        <w:tc>
          <w:tcPr>
            <w:tcW w:w="1647" w:type="dxa"/>
          </w:tcPr>
          <w:p>
            <w:pPr>
              <w:pStyle w:val="TableParagraph"/>
              <w:spacing w:line="292" w:lineRule="exact"/>
              <w:ind w:left="200"/>
              <w:rPr>
                <w:rFonts w:ascii="微软雅黑" w:eastAsia="微软雅黑"/>
                <w:b/>
                <w:sz w:val="21"/>
              </w:rPr>
            </w:pPr>
            <w:r>
              <w:rPr>
                <w:rFonts w:ascii="微软雅黑" w:eastAsia="微软雅黑"/>
                <w:b/>
                <w:spacing w:val="-5"/>
                <w:sz w:val="21"/>
              </w:rPr>
              <w:t>化症</w:t>
            </w:r>
          </w:p>
        </w:tc>
        <w:tc>
          <w:tcPr>
            <w:tcW w:w="7426" w:type="dxa"/>
          </w:tcPr>
          <w:p>
            <w:pPr>
              <w:pStyle w:val="TableParagraph"/>
              <w:spacing w:before="22"/>
              <w:ind w:left="178"/>
              <w:rPr>
                <w:sz w:val="21"/>
              </w:rPr>
            </w:pPr>
            <w:r>
              <w:rPr>
                <w:spacing w:val="-3"/>
                <w:sz w:val="21"/>
              </w:rPr>
              <w:t>性硬化症必须明确诊断，并且满足下列所有条件：</w:t>
            </w:r>
          </w:p>
        </w:tc>
      </w:tr>
      <w:tr>
        <w:trPr>
          <w:trHeight w:val="312" w:hRule="atLeast"/>
        </w:trPr>
        <w:tc>
          <w:tcPr>
            <w:tcW w:w="887" w:type="dxa"/>
          </w:tcPr>
          <w:p>
            <w:pPr>
              <w:pStyle w:val="TableParagraph"/>
              <w:rPr>
                <w:rFonts w:ascii="Times New Roman"/>
                <w:sz w:val="20"/>
              </w:rPr>
            </w:pPr>
          </w:p>
        </w:tc>
        <w:tc>
          <w:tcPr>
            <w:tcW w:w="1647" w:type="dxa"/>
          </w:tcPr>
          <w:p>
            <w:pPr>
              <w:pStyle w:val="TableParagraph"/>
              <w:rPr>
                <w:rFonts w:ascii="Times New Roman"/>
                <w:sz w:val="20"/>
              </w:rPr>
            </w:pPr>
          </w:p>
        </w:tc>
        <w:tc>
          <w:tcPr>
            <w:tcW w:w="7426" w:type="dxa"/>
          </w:tcPr>
          <w:p>
            <w:pPr>
              <w:pStyle w:val="TableParagraph"/>
              <w:spacing w:before="22"/>
              <w:ind w:left="178"/>
              <w:rPr>
                <w:sz w:val="21"/>
              </w:rPr>
            </w:pPr>
            <w:r>
              <w:rPr>
                <w:spacing w:val="-10"/>
                <w:sz w:val="21"/>
              </w:rPr>
              <w:t>（1）</w:t>
            </w:r>
            <w:r>
              <w:rPr>
                <w:spacing w:val="-18"/>
                <w:sz w:val="21"/>
              </w:rPr>
              <w:t>计算机断层扫描</w:t>
            </w:r>
            <w:r>
              <w:rPr>
                <w:spacing w:val="17"/>
                <w:sz w:val="21"/>
              </w:rPr>
              <w:t>（</w:t>
            </w:r>
            <w:r>
              <w:rPr>
                <w:spacing w:val="14"/>
                <w:sz w:val="21"/>
              </w:rPr>
              <w:t>C</w:t>
            </w:r>
            <w:r>
              <w:rPr>
                <w:spacing w:val="17"/>
                <w:sz w:val="21"/>
              </w:rPr>
              <w:t>T</w:t>
            </w:r>
            <w:r>
              <w:rPr>
                <w:spacing w:val="-91"/>
                <w:sz w:val="21"/>
              </w:rPr>
              <w:t>）</w:t>
            </w:r>
            <w:r>
              <w:rPr>
                <w:spacing w:val="-27"/>
                <w:sz w:val="21"/>
              </w:rPr>
              <w:t>、核磁共振检查</w:t>
            </w:r>
            <w:r>
              <w:rPr>
                <w:spacing w:val="-10"/>
                <w:sz w:val="21"/>
              </w:rPr>
              <w:t>（MRI）</w:t>
            </w:r>
            <w:r>
              <w:rPr>
                <w:spacing w:val="-16"/>
                <w:sz w:val="21"/>
              </w:rPr>
              <w:t>或正电子发射断层扫描</w:t>
            </w:r>
            <w:r>
              <w:rPr>
                <w:spacing w:val="-10"/>
                <w:sz w:val="21"/>
              </w:rPr>
              <w:t>（PET）</w:t>
            </w:r>
          </w:p>
        </w:tc>
      </w:tr>
      <w:tr>
        <w:trPr>
          <w:trHeight w:val="312" w:hRule="atLeast"/>
        </w:trPr>
        <w:tc>
          <w:tcPr>
            <w:tcW w:w="887" w:type="dxa"/>
          </w:tcPr>
          <w:p>
            <w:pPr>
              <w:pStyle w:val="TableParagraph"/>
              <w:rPr>
                <w:rFonts w:ascii="Times New Roman"/>
                <w:sz w:val="20"/>
              </w:rPr>
            </w:pPr>
          </w:p>
        </w:tc>
        <w:tc>
          <w:tcPr>
            <w:tcW w:w="1647" w:type="dxa"/>
          </w:tcPr>
          <w:p>
            <w:pPr>
              <w:pStyle w:val="TableParagraph"/>
              <w:rPr>
                <w:rFonts w:ascii="Times New Roman"/>
                <w:sz w:val="20"/>
              </w:rPr>
            </w:pPr>
          </w:p>
        </w:tc>
        <w:tc>
          <w:tcPr>
            <w:tcW w:w="7426" w:type="dxa"/>
          </w:tcPr>
          <w:p>
            <w:pPr>
              <w:pStyle w:val="TableParagraph"/>
              <w:spacing w:before="22"/>
              <w:ind w:left="178"/>
              <w:rPr>
                <w:sz w:val="21"/>
              </w:rPr>
            </w:pPr>
            <w:r>
              <w:rPr>
                <w:spacing w:val="-3"/>
                <w:sz w:val="21"/>
              </w:rPr>
              <w:t>等影像学检查证实存在中枢神经系统白质内多发病灶；</w:t>
            </w:r>
          </w:p>
        </w:tc>
      </w:tr>
      <w:tr>
        <w:trPr>
          <w:trHeight w:val="308" w:hRule="atLeast"/>
        </w:trPr>
        <w:tc>
          <w:tcPr>
            <w:tcW w:w="887" w:type="dxa"/>
          </w:tcPr>
          <w:p>
            <w:pPr>
              <w:pStyle w:val="TableParagraph"/>
              <w:rPr>
                <w:rFonts w:ascii="Times New Roman"/>
                <w:sz w:val="20"/>
              </w:rPr>
            </w:pPr>
          </w:p>
        </w:tc>
        <w:tc>
          <w:tcPr>
            <w:tcW w:w="1647" w:type="dxa"/>
          </w:tcPr>
          <w:p>
            <w:pPr>
              <w:pStyle w:val="TableParagraph"/>
              <w:rPr>
                <w:rFonts w:ascii="Times New Roman"/>
                <w:sz w:val="20"/>
              </w:rPr>
            </w:pPr>
          </w:p>
        </w:tc>
        <w:tc>
          <w:tcPr>
            <w:tcW w:w="7426" w:type="dxa"/>
          </w:tcPr>
          <w:p>
            <w:pPr>
              <w:pStyle w:val="TableParagraph"/>
              <w:spacing w:line="267" w:lineRule="exact" w:before="22"/>
              <w:ind w:left="178"/>
              <w:rPr>
                <w:sz w:val="21"/>
              </w:rPr>
            </w:pPr>
            <w:r>
              <w:rPr>
                <w:spacing w:val="-2"/>
                <w:sz w:val="21"/>
              </w:rPr>
              <w:t>（2）</w:t>
            </w:r>
            <w:r>
              <w:rPr>
                <w:spacing w:val="-3"/>
                <w:sz w:val="21"/>
              </w:rPr>
              <w:t>完整的医疗记录证实被保险人的疾病呈缓解复发和进展加重病程；</w:t>
            </w:r>
          </w:p>
        </w:tc>
      </w:tr>
      <w:tr>
        <w:trPr>
          <w:trHeight w:val="775" w:hRule="atLeast"/>
        </w:trPr>
        <w:tc>
          <w:tcPr>
            <w:tcW w:w="887" w:type="dxa"/>
          </w:tcPr>
          <w:p>
            <w:pPr>
              <w:pStyle w:val="TableParagraph"/>
              <w:rPr>
                <w:rFonts w:ascii="Times New Roman"/>
                <w:sz w:val="20"/>
              </w:rPr>
            </w:pPr>
          </w:p>
        </w:tc>
        <w:tc>
          <w:tcPr>
            <w:tcW w:w="1647" w:type="dxa"/>
          </w:tcPr>
          <w:p>
            <w:pPr>
              <w:pStyle w:val="TableParagraph"/>
              <w:rPr>
                <w:rFonts w:ascii="Times New Roman"/>
                <w:sz w:val="20"/>
              </w:rPr>
            </w:pPr>
          </w:p>
        </w:tc>
        <w:tc>
          <w:tcPr>
            <w:tcW w:w="7426" w:type="dxa"/>
          </w:tcPr>
          <w:p>
            <w:pPr>
              <w:pStyle w:val="TableParagraph"/>
              <w:spacing w:line="278" w:lineRule="auto" w:before="25"/>
              <w:ind w:left="178" w:right="155"/>
              <w:rPr>
                <w:sz w:val="21"/>
              </w:rPr>
            </w:pPr>
            <w:r>
              <w:rPr>
                <w:spacing w:val="-2"/>
                <w:sz w:val="21"/>
              </w:rPr>
              <w:t>（</w:t>
            </w:r>
            <w:r>
              <w:rPr>
                <w:rFonts w:ascii="Times New Roman" w:eastAsia="Times New Roman"/>
                <w:spacing w:val="-2"/>
                <w:sz w:val="21"/>
              </w:rPr>
              <w:t>3</w:t>
            </w:r>
            <w:r>
              <w:rPr>
                <w:spacing w:val="-2"/>
                <w:sz w:val="21"/>
              </w:rPr>
              <w:t>）存在持续</w:t>
            </w:r>
            <w:r>
              <w:rPr>
                <w:rFonts w:ascii="Times New Roman" w:eastAsia="Times New Roman"/>
                <w:spacing w:val="-2"/>
                <w:sz w:val="21"/>
              </w:rPr>
              <w:t>180</w:t>
            </w:r>
            <w:r>
              <w:rPr>
                <w:spacing w:val="-2"/>
                <w:sz w:val="21"/>
              </w:rPr>
              <w:t>天以上的永久不可逆的以运动功能障碍为表现的神经系统功</w:t>
            </w:r>
            <w:r>
              <w:rPr>
                <w:spacing w:val="-2"/>
                <w:sz w:val="21"/>
              </w:rPr>
              <w:t>能损害，二肢或二肢以上肢体肌力</w:t>
            </w:r>
            <w:r>
              <w:rPr>
                <w:rFonts w:ascii="Times New Roman" w:eastAsia="Times New Roman"/>
                <w:spacing w:val="-2"/>
                <w:sz w:val="21"/>
              </w:rPr>
              <w:t>3</w:t>
            </w:r>
            <w:r>
              <w:rPr>
                <w:spacing w:val="-2"/>
                <w:sz w:val="21"/>
              </w:rPr>
              <w:t>级（含）以下。</w:t>
            </w:r>
          </w:p>
        </w:tc>
      </w:tr>
      <w:tr>
        <w:trPr>
          <w:trHeight w:val="483" w:hRule="atLeast"/>
        </w:trPr>
        <w:tc>
          <w:tcPr>
            <w:tcW w:w="887" w:type="dxa"/>
          </w:tcPr>
          <w:p>
            <w:pPr>
              <w:pStyle w:val="TableParagraph"/>
              <w:spacing w:line="389" w:lineRule="exact" w:before="74"/>
              <w:ind w:left="50"/>
              <w:rPr>
                <w:rFonts w:ascii="微软雅黑" w:hAnsi="微软雅黑"/>
                <w:b/>
                <w:sz w:val="28"/>
              </w:rPr>
            </w:pPr>
            <w:r>
              <w:rPr>
                <w:rFonts w:ascii="微软雅黑" w:hAnsi="微软雅黑"/>
                <w:b/>
                <w:w w:val="100"/>
                <w:sz w:val="28"/>
              </w:rPr>
              <w:t>⒑</w:t>
            </w:r>
          </w:p>
        </w:tc>
        <w:tc>
          <w:tcPr>
            <w:tcW w:w="1647" w:type="dxa"/>
          </w:tcPr>
          <w:p>
            <w:pPr>
              <w:pStyle w:val="TableParagraph"/>
              <w:spacing w:line="391" w:lineRule="exact" w:before="72"/>
              <w:ind w:left="200"/>
              <w:rPr>
                <w:rFonts w:ascii="微软雅黑" w:eastAsia="微软雅黑"/>
                <w:b/>
                <w:sz w:val="24"/>
              </w:rPr>
            </w:pPr>
            <w:r>
              <w:rPr>
                <w:rFonts w:ascii="微软雅黑" w:eastAsia="微软雅黑"/>
                <w:b/>
                <w:spacing w:val="-3"/>
                <w:sz w:val="24"/>
              </w:rPr>
              <w:t>轻症疾病</w:t>
            </w:r>
          </w:p>
        </w:tc>
        <w:tc>
          <w:tcPr>
            <w:tcW w:w="7426" w:type="dxa"/>
          </w:tcPr>
          <w:p>
            <w:pPr>
              <w:pStyle w:val="TableParagraph"/>
              <w:rPr>
                <w:rFonts w:ascii="Times New Roman"/>
                <w:sz w:val="20"/>
              </w:rPr>
            </w:pPr>
          </w:p>
        </w:tc>
      </w:tr>
    </w:tbl>
    <w:p>
      <w:pPr>
        <w:pStyle w:val="BodyText"/>
        <w:spacing w:before="5"/>
        <w:rPr>
          <w:sz w:val="14"/>
        </w:rPr>
      </w:pPr>
    </w:p>
    <w:p>
      <w:pPr>
        <w:spacing w:before="4"/>
        <w:ind w:left="1270" w:right="0" w:firstLine="0"/>
        <w:jc w:val="left"/>
        <w:rPr>
          <w:rFonts w:ascii="微软雅黑" w:eastAsia="微软雅黑"/>
          <w:b/>
          <w:sz w:val="21"/>
        </w:rPr>
      </w:pPr>
      <w:r>
        <w:rPr>
          <w:rFonts w:ascii="微软雅黑" w:eastAsia="微软雅黑"/>
          <w:b/>
          <w:spacing w:val="-3"/>
          <w:sz w:val="21"/>
        </w:rPr>
        <w:t>以下疾病名称仅供理解使用，具体保障范围以每项疾病具体定义为准。</w:t>
      </w:r>
    </w:p>
    <w:p>
      <w:pPr>
        <w:pStyle w:val="BodyText"/>
        <w:spacing w:before="7"/>
        <w:rPr>
          <w:rFonts w:ascii="微软雅黑"/>
          <w:b/>
          <w:sz w:val="3"/>
        </w:rPr>
      </w:pPr>
      <w:r>
        <w:rPr/>
        <w:drawing>
          <wp:anchor distT="0" distB="0" distL="0" distR="0" allowOverlap="1" layoutInCell="1" locked="0" behindDoc="0" simplePos="0" relativeHeight="80">
            <wp:simplePos x="0" y="0"/>
            <wp:positionH relativeFrom="page">
              <wp:posOffset>649223</wp:posOffset>
            </wp:positionH>
            <wp:positionV relativeFrom="paragraph">
              <wp:posOffset>55397</wp:posOffset>
            </wp:positionV>
            <wp:extent cx="6375399" cy="9144"/>
            <wp:effectExtent l="0" t="0" r="0" b="0"/>
            <wp:wrapTopAndBottom/>
            <wp:docPr id="73" name="image18.png"/>
            <wp:cNvGraphicFramePr>
              <a:graphicFrameLocks noChangeAspect="1"/>
            </wp:cNvGraphicFramePr>
            <a:graphic>
              <a:graphicData uri="http://schemas.openxmlformats.org/drawingml/2006/picture">
                <pic:pic>
                  <pic:nvPicPr>
                    <pic:cNvPr id="74" name="image18.png"/>
                    <pic:cNvPicPr/>
                  </pic:nvPicPr>
                  <pic:blipFill>
                    <a:blip r:embed="rId37" cstate="print"/>
                    <a:stretch>
                      <a:fillRect/>
                    </a:stretch>
                  </pic:blipFill>
                  <pic:spPr>
                    <a:xfrm>
                      <a:off x="0" y="0"/>
                      <a:ext cx="6375399" cy="9144"/>
                    </a:xfrm>
                    <a:prstGeom prst="rect">
                      <a:avLst/>
                    </a:prstGeom>
                  </pic:spPr>
                </pic:pic>
              </a:graphicData>
            </a:graphic>
          </wp:anchor>
        </w:drawing>
      </w:r>
    </w:p>
    <w:p>
      <w:pPr>
        <w:pStyle w:val="BodyText"/>
        <w:spacing w:before="15"/>
        <w:rPr>
          <w:rFonts w:ascii="微软雅黑"/>
          <w:b/>
          <w:sz w:val="11"/>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6"/>
        <w:gridCol w:w="1647"/>
        <w:gridCol w:w="7423"/>
      </w:tblGrid>
      <w:tr>
        <w:trPr>
          <w:trHeight w:val="1282" w:hRule="atLeast"/>
        </w:trPr>
        <w:tc>
          <w:tcPr>
            <w:tcW w:w="886" w:type="dxa"/>
          </w:tcPr>
          <w:p>
            <w:pPr>
              <w:pStyle w:val="TableParagraph"/>
              <w:spacing w:line="291" w:lineRule="exact"/>
              <w:ind w:left="50"/>
              <w:rPr>
                <w:rFonts w:ascii="微软雅黑"/>
                <w:b/>
                <w:sz w:val="21"/>
              </w:rPr>
            </w:pPr>
            <w:r>
              <w:rPr>
                <w:rFonts w:ascii="微软雅黑"/>
                <w:b/>
                <w:spacing w:val="-4"/>
                <w:sz w:val="21"/>
              </w:rPr>
              <w:t>10.1</w:t>
            </w:r>
          </w:p>
        </w:tc>
        <w:tc>
          <w:tcPr>
            <w:tcW w:w="1647" w:type="dxa"/>
          </w:tcPr>
          <w:p>
            <w:pPr>
              <w:pStyle w:val="TableParagraph"/>
              <w:spacing w:line="291" w:lineRule="exact"/>
              <w:ind w:left="201"/>
              <w:rPr>
                <w:rFonts w:ascii="微软雅黑" w:eastAsia="微软雅黑"/>
                <w:b/>
                <w:sz w:val="21"/>
              </w:rPr>
            </w:pPr>
            <w:r>
              <w:rPr>
                <w:rFonts w:ascii="微软雅黑" w:eastAsia="微软雅黑"/>
                <w:b/>
                <w:spacing w:val="-2"/>
                <w:sz w:val="21"/>
              </w:rPr>
              <w:t>轻症疾病定义</w:t>
            </w:r>
          </w:p>
        </w:tc>
        <w:tc>
          <w:tcPr>
            <w:tcW w:w="7423" w:type="dxa"/>
          </w:tcPr>
          <w:p>
            <w:pPr>
              <w:pStyle w:val="TableParagraph"/>
              <w:spacing w:line="241" w:lineRule="exact"/>
              <w:ind w:left="179"/>
              <w:rPr>
                <w:sz w:val="21"/>
              </w:rPr>
            </w:pPr>
            <w:r>
              <w:rPr>
                <w:spacing w:val="-5"/>
                <w:sz w:val="21"/>
              </w:rPr>
              <w:t>本合同所指轻症疾病，是被保险人发生经认可的医院的专科医生明确诊断，符</w:t>
            </w:r>
          </w:p>
          <w:p>
            <w:pPr>
              <w:pStyle w:val="TableParagraph"/>
              <w:spacing w:before="43"/>
              <w:ind w:left="179"/>
              <w:rPr>
                <w:sz w:val="21"/>
              </w:rPr>
            </w:pPr>
            <w:r>
              <w:rPr>
                <w:spacing w:val="-4"/>
                <w:sz w:val="21"/>
              </w:rPr>
              <w:t>合以下定义所述条件的疾病、疾病状态或手术，共 </w:t>
            </w:r>
            <w:r>
              <w:rPr>
                <w:spacing w:val="-2"/>
                <w:sz w:val="21"/>
              </w:rPr>
              <w:t>35</w:t>
            </w:r>
            <w:r>
              <w:rPr>
                <w:spacing w:val="-22"/>
                <w:sz w:val="21"/>
              </w:rPr>
              <w:t> 种</w:t>
            </w:r>
            <w:r>
              <w:rPr>
                <w:spacing w:val="-2"/>
                <w:sz w:val="21"/>
              </w:rPr>
              <w:t>（</w:t>
            </w:r>
            <w:r>
              <w:rPr>
                <w:spacing w:val="-3"/>
                <w:sz w:val="21"/>
              </w:rPr>
              <w:t>轻症疾病定义中的</w:t>
            </w:r>
          </w:p>
          <w:p>
            <w:pPr>
              <w:pStyle w:val="TableParagraph"/>
              <w:spacing w:line="278" w:lineRule="auto" w:before="43"/>
              <w:ind w:left="179" w:right="150"/>
              <w:rPr>
                <w:sz w:val="21"/>
              </w:rPr>
            </w:pPr>
            <w:r>
              <w:rPr>
                <w:spacing w:val="-28"/>
                <w:sz w:val="21"/>
              </w:rPr>
              <w:t>第 </w:t>
            </w:r>
            <w:r>
              <w:rPr>
                <w:spacing w:val="-2"/>
                <w:sz w:val="21"/>
              </w:rPr>
              <w:t>10.1.1</w:t>
            </w:r>
            <w:r>
              <w:rPr>
                <w:spacing w:val="-24"/>
                <w:sz w:val="21"/>
              </w:rPr>
              <w:t> 项至第 </w:t>
            </w:r>
            <w:r>
              <w:rPr>
                <w:spacing w:val="-2"/>
                <w:sz w:val="21"/>
              </w:rPr>
              <w:t>10.1.3</w:t>
            </w:r>
            <w:r>
              <w:rPr>
                <w:spacing w:val="-10"/>
                <w:sz w:val="21"/>
              </w:rPr>
              <w:t> 项采用了《重大疾病保险的疾病定义使用规范</w:t>
            </w:r>
            <w:r>
              <w:rPr>
                <w:spacing w:val="-2"/>
                <w:sz w:val="21"/>
              </w:rPr>
              <w:t>（2020</w:t>
            </w:r>
            <w:r>
              <w:rPr>
                <w:spacing w:val="-2"/>
                <w:sz w:val="21"/>
              </w:rPr>
              <w:t>年修订版）》中的轻度疾病定义）。轻症疾病的名称及定义如下：</w:t>
            </w:r>
          </w:p>
        </w:tc>
      </w:tr>
      <w:tr>
        <w:trPr>
          <w:trHeight w:val="397" w:hRule="atLeast"/>
        </w:trPr>
        <w:tc>
          <w:tcPr>
            <w:tcW w:w="886" w:type="dxa"/>
          </w:tcPr>
          <w:p>
            <w:pPr>
              <w:pStyle w:val="TableParagraph"/>
              <w:spacing w:line="337" w:lineRule="exact" w:before="40"/>
              <w:ind w:left="50"/>
              <w:rPr>
                <w:rFonts w:ascii="微软雅黑"/>
                <w:b/>
                <w:sz w:val="21"/>
              </w:rPr>
            </w:pPr>
            <w:r>
              <w:rPr>
                <w:rFonts w:ascii="微软雅黑"/>
                <w:b/>
                <w:spacing w:val="-2"/>
                <w:sz w:val="21"/>
              </w:rPr>
              <w:t>10.1.1</w:t>
            </w:r>
          </w:p>
        </w:tc>
        <w:tc>
          <w:tcPr>
            <w:tcW w:w="1647" w:type="dxa"/>
          </w:tcPr>
          <w:p>
            <w:pPr>
              <w:pStyle w:val="TableParagraph"/>
              <w:spacing w:line="337" w:lineRule="exact" w:before="40"/>
              <w:ind w:left="201"/>
              <w:rPr>
                <w:rFonts w:ascii="微软雅黑" w:hAnsi="微软雅黑" w:eastAsia="微软雅黑"/>
                <w:b/>
                <w:sz w:val="21"/>
              </w:rPr>
            </w:pP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spacing w:val="-5"/>
                <w:w w:val="95"/>
                <w:sz w:val="21"/>
              </w:rPr>
              <w:t>——</w:t>
            </w:r>
          </w:p>
        </w:tc>
        <w:tc>
          <w:tcPr>
            <w:tcW w:w="7423" w:type="dxa"/>
          </w:tcPr>
          <w:p>
            <w:pPr>
              <w:pStyle w:val="TableParagraph"/>
              <w:spacing w:before="107"/>
              <w:ind w:left="179"/>
              <w:rPr>
                <w:sz w:val="21"/>
              </w:rPr>
            </w:pPr>
            <w:r>
              <w:rPr>
                <w:spacing w:val="-5"/>
                <w:sz w:val="21"/>
              </w:rPr>
              <w:t>指恶性细胞不受控制的进行性增长和扩散，浸润和破坏周围正常组织，可以经</w:t>
            </w:r>
          </w:p>
        </w:tc>
      </w:tr>
      <w:tr>
        <w:trPr>
          <w:trHeight w:val="308" w:hRule="atLeast"/>
        </w:trPr>
        <w:tc>
          <w:tcPr>
            <w:tcW w:w="886" w:type="dxa"/>
          </w:tcPr>
          <w:p>
            <w:pPr>
              <w:pStyle w:val="TableParagraph"/>
              <w:rPr>
                <w:rFonts w:ascii="Times New Roman"/>
                <w:sz w:val="20"/>
              </w:rPr>
            </w:pPr>
          </w:p>
        </w:tc>
        <w:tc>
          <w:tcPr>
            <w:tcW w:w="1647" w:type="dxa"/>
          </w:tcPr>
          <w:p>
            <w:pPr>
              <w:pStyle w:val="TableParagraph"/>
              <w:spacing w:line="289" w:lineRule="exact"/>
              <w:ind w:left="201"/>
              <w:rPr>
                <w:rFonts w:ascii="微软雅黑" w:eastAsia="微软雅黑"/>
                <w:b/>
                <w:sz w:val="21"/>
              </w:rPr>
            </w:pPr>
            <w:r>
              <w:rPr>
                <w:rFonts w:ascii="微软雅黑" w:eastAsia="微软雅黑"/>
                <w:b/>
                <w:spacing w:val="-5"/>
                <w:sz w:val="21"/>
              </w:rPr>
              <w:t>轻度</w:t>
            </w:r>
          </w:p>
        </w:tc>
        <w:tc>
          <w:tcPr>
            <w:tcW w:w="7423" w:type="dxa"/>
          </w:tcPr>
          <w:p>
            <w:pPr>
              <w:pStyle w:val="TableParagraph"/>
              <w:spacing w:line="267" w:lineRule="exact" w:before="22"/>
              <w:ind w:left="179"/>
              <w:rPr>
                <w:sz w:val="21"/>
              </w:rPr>
            </w:pPr>
            <w:r>
              <w:rPr>
                <w:spacing w:val="-4"/>
                <w:sz w:val="21"/>
              </w:rPr>
              <w:t>血管、淋巴管和体腔扩散转移到身体其他部位，病灶经组织病理学检查（</w:t>
            </w:r>
            <w:r>
              <w:rPr>
                <w:spacing w:val="-7"/>
                <w:sz w:val="21"/>
              </w:rPr>
              <w:t>涵盖</w:t>
            </w:r>
          </w:p>
        </w:tc>
      </w:tr>
      <w:tr>
        <w:trPr>
          <w:trHeight w:val="319" w:hRule="atLeast"/>
        </w:trPr>
        <w:tc>
          <w:tcPr>
            <w:tcW w:w="2533" w:type="dxa"/>
            <w:gridSpan w:val="2"/>
            <w:vMerge w:val="restart"/>
          </w:tcPr>
          <w:p>
            <w:pPr>
              <w:pStyle w:val="TableParagraph"/>
              <w:rPr>
                <w:rFonts w:ascii="Times New Roman"/>
                <w:sz w:val="20"/>
              </w:rPr>
            </w:pPr>
          </w:p>
        </w:tc>
        <w:tc>
          <w:tcPr>
            <w:tcW w:w="7423" w:type="dxa"/>
          </w:tcPr>
          <w:p>
            <w:pPr>
              <w:pStyle w:val="TableParagraph"/>
              <w:spacing w:before="25"/>
              <w:ind w:left="179"/>
              <w:rPr>
                <w:rFonts w:ascii="Times New Roman" w:eastAsia="Times New Roman"/>
                <w:sz w:val="21"/>
              </w:rPr>
            </w:pPr>
            <w:r>
              <w:rPr>
                <w:spacing w:val="-4"/>
                <w:sz w:val="21"/>
              </w:rPr>
              <w:t>骨髓病理学检查）结果明确诊断，临床诊断属于世界卫生组织（</w:t>
            </w:r>
            <w:r>
              <w:rPr>
                <w:rFonts w:ascii="Times New Roman" w:eastAsia="Times New Roman"/>
                <w:spacing w:val="-4"/>
                <w:sz w:val="21"/>
              </w:rPr>
              <w:t>WHO</w:t>
            </w:r>
            <w:r>
              <w:rPr>
                <w:spacing w:val="-4"/>
                <w:sz w:val="21"/>
              </w:rPr>
              <w:t>，</w:t>
            </w:r>
            <w:r>
              <w:rPr>
                <w:rFonts w:ascii="Times New Roman" w:eastAsia="Times New Roman"/>
                <w:spacing w:val="-4"/>
                <w:sz w:val="21"/>
              </w:rPr>
              <w:t>World</w:t>
            </w:r>
          </w:p>
        </w:tc>
      </w:tr>
      <w:tr>
        <w:trPr>
          <w:trHeight w:val="311" w:hRule="atLeast"/>
        </w:trPr>
        <w:tc>
          <w:tcPr>
            <w:tcW w:w="2533" w:type="dxa"/>
            <w:gridSpan w:val="2"/>
            <w:vMerge/>
            <w:tcBorders>
              <w:top w:val="nil"/>
            </w:tcBorders>
          </w:tcPr>
          <w:p>
            <w:pPr>
              <w:rPr>
                <w:sz w:val="2"/>
                <w:szCs w:val="2"/>
              </w:rPr>
            </w:pPr>
          </w:p>
        </w:tc>
        <w:tc>
          <w:tcPr>
            <w:tcW w:w="7423" w:type="dxa"/>
          </w:tcPr>
          <w:p>
            <w:pPr>
              <w:pStyle w:val="TableParagraph"/>
              <w:spacing w:before="17"/>
              <w:ind w:left="179"/>
              <w:rPr>
                <w:sz w:val="21"/>
              </w:rPr>
            </w:pPr>
            <w:r>
              <w:rPr>
                <w:rFonts w:ascii="Times New Roman" w:eastAsia="Times New Roman"/>
                <w:spacing w:val="-4"/>
                <w:sz w:val="21"/>
              </w:rPr>
              <w:t>Health</w:t>
            </w:r>
            <w:r>
              <w:rPr>
                <w:rFonts w:ascii="Times New Roman" w:eastAsia="Times New Roman"/>
                <w:spacing w:val="9"/>
                <w:sz w:val="21"/>
              </w:rPr>
              <w:t> </w:t>
            </w:r>
            <w:r>
              <w:rPr>
                <w:rFonts w:ascii="Times New Roman" w:eastAsia="Times New Roman"/>
                <w:spacing w:val="5"/>
                <w:sz w:val="21"/>
              </w:rPr>
              <w:t>O</w:t>
            </w:r>
            <w:r>
              <w:rPr>
                <w:rFonts w:ascii="Times New Roman" w:eastAsia="Times New Roman"/>
                <w:spacing w:val="-1"/>
                <w:sz w:val="21"/>
              </w:rPr>
              <w:t>r</w:t>
            </w:r>
            <w:r>
              <w:rPr>
                <w:rFonts w:ascii="Times New Roman" w:eastAsia="Times New Roman"/>
                <w:spacing w:val="5"/>
                <w:sz w:val="21"/>
              </w:rPr>
              <w:t>gan</w:t>
            </w:r>
            <w:r>
              <w:rPr>
                <w:rFonts w:ascii="Times New Roman" w:eastAsia="Times New Roman"/>
                <w:spacing w:val="3"/>
                <w:sz w:val="21"/>
              </w:rPr>
              <w:t>i</w:t>
            </w:r>
            <w:r>
              <w:rPr>
                <w:rFonts w:ascii="Times New Roman" w:eastAsia="Times New Roman"/>
                <w:spacing w:val="5"/>
                <w:sz w:val="21"/>
              </w:rPr>
              <w:t>za</w:t>
            </w:r>
            <w:r>
              <w:rPr>
                <w:rFonts w:ascii="Times New Roman" w:eastAsia="Times New Roman"/>
                <w:spacing w:val="3"/>
                <w:sz w:val="21"/>
              </w:rPr>
              <w:t>ti</w:t>
            </w:r>
            <w:r>
              <w:rPr>
                <w:rFonts w:ascii="Times New Roman" w:eastAsia="Times New Roman"/>
                <w:spacing w:val="5"/>
                <w:sz w:val="21"/>
              </w:rPr>
              <w:t>on</w:t>
            </w:r>
            <w:r>
              <w:rPr>
                <w:spacing w:val="-101"/>
                <w:sz w:val="21"/>
              </w:rPr>
              <w:t>）</w:t>
            </w:r>
            <w:r>
              <w:rPr>
                <w:spacing w:val="-5"/>
                <w:sz w:val="21"/>
              </w:rPr>
              <w:t>《疾病和有关健康问题的国际统计分类》第十次修订版</w:t>
            </w:r>
          </w:p>
        </w:tc>
      </w:tr>
      <w:tr>
        <w:trPr>
          <w:trHeight w:val="311" w:hRule="atLeast"/>
        </w:trPr>
        <w:tc>
          <w:tcPr>
            <w:tcW w:w="2533" w:type="dxa"/>
            <w:gridSpan w:val="2"/>
            <w:vMerge/>
            <w:tcBorders>
              <w:top w:val="nil"/>
            </w:tcBorders>
          </w:tcPr>
          <w:p>
            <w:pPr>
              <w:rPr>
                <w:sz w:val="2"/>
                <w:szCs w:val="2"/>
              </w:rPr>
            </w:pPr>
          </w:p>
        </w:tc>
        <w:tc>
          <w:tcPr>
            <w:tcW w:w="7423" w:type="dxa"/>
          </w:tcPr>
          <w:p>
            <w:pPr>
              <w:pStyle w:val="TableParagraph"/>
              <w:spacing w:before="17"/>
              <w:ind w:left="179"/>
              <w:rPr>
                <w:sz w:val="21"/>
              </w:rPr>
            </w:pPr>
            <w:r>
              <w:rPr>
                <w:spacing w:val="-4"/>
                <w:sz w:val="21"/>
              </w:rPr>
              <w:t>（</w:t>
            </w:r>
            <w:r>
              <w:rPr>
                <w:rFonts w:ascii="Times New Roman" w:eastAsia="Times New Roman"/>
                <w:spacing w:val="-4"/>
                <w:sz w:val="21"/>
              </w:rPr>
              <w:t>ICD-10</w:t>
            </w:r>
            <w:r>
              <w:rPr>
                <w:spacing w:val="-4"/>
                <w:sz w:val="21"/>
              </w:rPr>
              <w:t>）的恶性肿瘤类别及《国际疾病分类肿瘤学专辑》第三版（</w:t>
            </w:r>
            <w:r>
              <w:rPr>
                <w:rFonts w:ascii="Times New Roman" w:eastAsia="Times New Roman"/>
                <w:spacing w:val="-4"/>
                <w:sz w:val="21"/>
              </w:rPr>
              <w:t>ICD-0-</w:t>
            </w:r>
            <w:r>
              <w:rPr>
                <w:rFonts w:ascii="Times New Roman" w:eastAsia="Times New Roman"/>
                <w:spacing w:val="-5"/>
                <w:sz w:val="21"/>
              </w:rPr>
              <w:t>3</w:t>
            </w:r>
            <w:r>
              <w:rPr>
                <w:spacing w:val="-5"/>
                <w:sz w:val="21"/>
              </w:rPr>
              <w:t>）</w:t>
            </w:r>
          </w:p>
        </w:tc>
      </w:tr>
      <w:tr>
        <w:trPr>
          <w:trHeight w:val="315" w:hRule="atLeast"/>
        </w:trPr>
        <w:tc>
          <w:tcPr>
            <w:tcW w:w="2533" w:type="dxa"/>
            <w:gridSpan w:val="2"/>
            <w:vMerge/>
            <w:tcBorders>
              <w:top w:val="nil"/>
            </w:tcBorders>
          </w:tcPr>
          <w:p>
            <w:pPr>
              <w:rPr>
                <w:sz w:val="2"/>
                <w:szCs w:val="2"/>
              </w:rPr>
            </w:pPr>
          </w:p>
        </w:tc>
        <w:tc>
          <w:tcPr>
            <w:tcW w:w="7423" w:type="dxa"/>
          </w:tcPr>
          <w:p>
            <w:pPr>
              <w:pStyle w:val="TableParagraph"/>
              <w:spacing w:before="17"/>
              <w:ind w:left="179"/>
              <w:rPr>
                <w:sz w:val="21"/>
              </w:rPr>
            </w:pPr>
            <w:r>
              <w:rPr>
                <w:spacing w:val="-5"/>
                <w:sz w:val="21"/>
              </w:rPr>
              <w:t>的肿瘤形态学编码属于 </w:t>
            </w:r>
            <w:r>
              <w:rPr>
                <w:rFonts w:ascii="Times New Roman" w:hAnsi="Times New Roman" w:eastAsia="Times New Roman"/>
                <w:spacing w:val="-2"/>
                <w:sz w:val="21"/>
              </w:rPr>
              <w:t>3</w:t>
            </w:r>
            <w:r>
              <w:rPr>
                <w:spacing w:val="-2"/>
                <w:sz w:val="21"/>
              </w:rPr>
              <w:t>、</w:t>
            </w:r>
            <w:r>
              <w:rPr>
                <w:rFonts w:ascii="Times New Roman" w:hAnsi="Times New Roman" w:eastAsia="Times New Roman"/>
                <w:spacing w:val="-2"/>
                <w:sz w:val="21"/>
              </w:rPr>
              <w:t>6</w:t>
            </w:r>
            <w:r>
              <w:rPr>
                <w:spacing w:val="-2"/>
                <w:sz w:val="21"/>
              </w:rPr>
              <w:t>、</w:t>
            </w:r>
            <w:r>
              <w:rPr>
                <w:rFonts w:ascii="Times New Roman" w:hAnsi="Times New Roman" w:eastAsia="Times New Roman"/>
                <w:spacing w:val="-2"/>
                <w:sz w:val="21"/>
              </w:rPr>
              <w:t>9</w:t>
            </w:r>
            <w:r>
              <w:rPr>
                <w:spacing w:val="-2"/>
                <w:sz w:val="21"/>
              </w:rPr>
              <w:t>（恶性肿瘤）</w:t>
            </w:r>
            <w:r>
              <w:rPr>
                <w:spacing w:val="-3"/>
                <w:sz w:val="21"/>
              </w:rPr>
              <w:t>范畴，但不在“恶性肿瘤——重</w:t>
            </w:r>
          </w:p>
        </w:tc>
      </w:tr>
      <w:tr>
        <w:trPr>
          <w:trHeight w:val="300" w:hRule="atLeast"/>
        </w:trPr>
        <w:tc>
          <w:tcPr>
            <w:tcW w:w="2533" w:type="dxa"/>
            <w:gridSpan w:val="2"/>
            <w:vMerge/>
            <w:tcBorders>
              <w:top w:val="nil"/>
            </w:tcBorders>
          </w:tcPr>
          <w:p>
            <w:pPr>
              <w:rPr>
                <w:sz w:val="2"/>
                <w:szCs w:val="2"/>
              </w:rPr>
            </w:pPr>
          </w:p>
        </w:tc>
        <w:tc>
          <w:tcPr>
            <w:tcW w:w="7423" w:type="dxa"/>
          </w:tcPr>
          <w:p>
            <w:pPr>
              <w:pStyle w:val="TableParagraph"/>
              <w:spacing w:line="267" w:lineRule="exact" w:before="14"/>
              <w:ind w:left="179"/>
              <w:rPr>
                <w:sz w:val="21"/>
              </w:rPr>
            </w:pPr>
            <w:r>
              <w:rPr>
                <w:spacing w:val="-3"/>
                <w:sz w:val="21"/>
              </w:rPr>
              <w:t>度”保障范围的疾病。且特指下列六项之一：</w:t>
            </w:r>
          </w:p>
        </w:tc>
      </w:tr>
      <w:tr>
        <w:trPr>
          <w:trHeight w:val="320" w:hRule="atLeast"/>
        </w:trPr>
        <w:tc>
          <w:tcPr>
            <w:tcW w:w="2533" w:type="dxa"/>
            <w:gridSpan w:val="2"/>
            <w:vMerge/>
            <w:tcBorders>
              <w:top w:val="nil"/>
            </w:tcBorders>
          </w:tcPr>
          <w:p>
            <w:pPr>
              <w:rPr>
                <w:sz w:val="2"/>
                <w:szCs w:val="2"/>
              </w:rPr>
            </w:pPr>
          </w:p>
        </w:tc>
        <w:tc>
          <w:tcPr>
            <w:tcW w:w="7423" w:type="dxa"/>
          </w:tcPr>
          <w:p>
            <w:pPr>
              <w:pStyle w:val="TableParagraph"/>
              <w:spacing w:before="25"/>
              <w:ind w:left="179"/>
              <w:rPr>
                <w:sz w:val="21"/>
              </w:rPr>
            </w:pPr>
            <w:r>
              <w:rPr>
                <w:sz w:val="21"/>
              </w:rPr>
              <w:t>（</w:t>
            </w:r>
            <w:r>
              <w:rPr>
                <w:rFonts w:ascii="Times New Roman" w:hAnsi="Times New Roman" w:eastAsia="Times New Roman"/>
                <w:sz w:val="21"/>
              </w:rPr>
              <w:t>1</w:t>
            </w:r>
            <w:r>
              <w:rPr>
                <w:sz w:val="21"/>
              </w:rPr>
              <w:t>）</w:t>
            </w:r>
            <w:r>
              <w:rPr>
                <w:rFonts w:ascii="Times New Roman" w:hAnsi="Times New Roman" w:eastAsia="Times New Roman"/>
                <w:sz w:val="21"/>
              </w:rPr>
              <w:t>TNM</w:t>
            </w:r>
            <w:r>
              <w:rPr>
                <w:rFonts w:ascii="Times New Roman" w:hAnsi="Times New Roman" w:eastAsia="Times New Roman"/>
                <w:spacing w:val="-13"/>
                <w:sz w:val="21"/>
              </w:rPr>
              <w:t> </w:t>
            </w:r>
            <w:r>
              <w:rPr>
                <w:sz w:val="21"/>
              </w:rPr>
              <w:t>分期为Ⅰ期的甲状腺癌（</w:t>
            </w:r>
            <w:r>
              <w:rPr>
                <w:spacing w:val="7"/>
                <w:sz w:val="21"/>
              </w:rPr>
              <w:t>甲状腺癌的</w:t>
            </w:r>
            <w:r>
              <w:rPr>
                <w:rFonts w:ascii="Times New Roman" w:hAnsi="Times New Roman" w:eastAsia="Times New Roman"/>
                <w:sz w:val="21"/>
              </w:rPr>
              <w:t>TNM</w:t>
            </w:r>
            <w:r>
              <w:rPr>
                <w:rFonts w:ascii="Times New Roman" w:hAnsi="Times New Roman" w:eastAsia="Times New Roman"/>
                <w:spacing w:val="-12"/>
                <w:sz w:val="21"/>
              </w:rPr>
              <w:t> </w:t>
            </w:r>
            <w:r>
              <w:rPr>
                <w:sz w:val="21"/>
              </w:rPr>
              <w:t>分期见附表</w:t>
            </w:r>
            <w:r>
              <w:rPr>
                <w:spacing w:val="-113"/>
                <w:sz w:val="21"/>
              </w:rPr>
              <w:t>）</w:t>
            </w:r>
            <w:r>
              <w:rPr>
                <w:spacing w:val="-5"/>
                <w:sz w:val="21"/>
              </w:rPr>
              <w:t>；</w:t>
            </w:r>
          </w:p>
        </w:tc>
      </w:tr>
      <w:tr>
        <w:trPr>
          <w:trHeight w:val="623" w:hRule="atLeast"/>
        </w:trPr>
        <w:tc>
          <w:tcPr>
            <w:tcW w:w="2533" w:type="dxa"/>
            <w:gridSpan w:val="2"/>
            <w:vMerge/>
            <w:tcBorders>
              <w:top w:val="nil"/>
            </w:tcBorders>
          </w:tcPr>
          <w:p>
            <w:pPr>
              <w:rPr>
                <w:sz w:val="2"/>
                <w:szCs w:val="2"/>
              </w:rPr>
            </w:pPr>
          </w:p>
        </w:tc>
        <w:tc>
          <w:tcPr>
            <w:tcW w:w="7423" w:type="dxa"/>
          </w:tcPr>
          <w:p>
            <w:pPr>
              <w:pStyle w:val="TableParagraph"/>
              <w:numPr>
                <w:ilvl w:val="0"/>
                <w:numId w:val="69"/>
              </w:numPr>
              <w:tabs>
                <w:tab w:pos="709" w:val="left" w:leader="none"/>
              </w:tabs>
              <w:spacing w:line="240" w:lineRule="auto" w:before="16" w:after="0"/>
              <w:ind w:left="708" w:right="0" w:hanging="530"/>
              <w:jc w:val="left"/>
              <w:rPr>
                <w:sz w:val="21"/>
              </w:rPr>
            </w:pPr>
            <w:r>
              <w:rPr>
                <w:rFonts w:ascii="Times New Roman" w:eastAsia="Times New Roman"/>
                <w:position w:val="2"/>
                <w:sz w:val="21"/>
              </w:rPr>
              <w:t>TNM</w:t>
            </w:r>
            <w:r>
              <w:rPr>
                <w:rFonts w:ascii="Times New Roman" w:eastAsia="Times New Roman"/>
                <w:spacing w:val="-14"/>
                <w:position w:val="2"/>
                <w:sz w:val="21"/>
              </w:rPr>
              <w:t> </w:t>
            </w:r>
            <w:r>
              <w:rPr>
                <w:spacing w:val="-14"/>
                <w:position w:val="2"/>
                <w:sz w:val="21"/>
              </w:rPr>
              <w:t>分期为 </w:t>
            </w:r>
            <w:r>
              <w:rPr>
                <w:rFonts w:ascii="Times New Roman" w:eastAsia="Times New Roman"/>
                <w:position w:val="2"/>
                <w:sz w:val="21"/>
              </w:rPr>
              <w:t>T</w:t>
            </w:r>
            <w:r>
              <w:rPr>
                <w:rFonts w:ascii="Times New Roman" w:eastAsia="Times New Roman"/>
                <w:sz w:val="14"/>
              </w:rPr>
              <w:t>1</w:t>
            </w:r>
            <w:r>
              <w:rPr>
                <w:rFonts w:ascii="Times New Roman" w:eastAsia="Times New Roman"/>
                <w:position w:val="2"/>
                <w:sz w:val="21"/>
              </w:rPr>
              <w:t>N</w:t>
            </w:r>
            <w:r>
              <w:rPr>
                <w:rFonts w:ascii="Times New Roman" w:eastAsia="Times New Roman"/>
                <w:sz w:val="14"/>
              </w:rPr>
              <w:t>0</w:t>
            </w:r>
            <w:r>
              <w:rPr>
                <w:rFonts w:ascii="Times New Roman" w:eastAsia="Times New Roman"/>
                <w:position w:val="2"/>
                <w:sz w:val="21"/>
              </w:rPr>
              <w:t>M</w:t>
            </w:r>
            <w:r>
              <w:rPr>
                <w:rFonts w:ascii="Times New Roman" w:eastAsia="Times New Roman"/>
                <w:sz w:val="14"/>
              </w:rPr>
              <w:t>0</w:t>
            </w:r>
            <w:r>
              <w:rPr>
                <w:rFonts w:ascii="Times New Roman" w:eastAsia="Times New Roman"/>
                <w:spacing w:val="-8"/>
                <w:sz w:val="14"/>
              </w:rPr>
              <w:t> </w:t>
            </w:r>
            <w:r>
              <w:rPr>
                <w:spacing w:val="-2"/>
                <w:position w:val="2"/>
                <w:sz w:val="21"/>
              </w:rPr>
              <w:t>期的前列腺癌；</w:t>
            </w:r>
          </w:p>
          <w:p>
            <w:pPr>
              <w:pStyle w:val="TableParagraph"/>
              <w:numPr>
                <w:ilvl w:val="0"/>
                <w:numId w:val="69"/>
              </w:numPr>
              <w:tabs>
                <w:tab w:pos="709" w:val="left" w:leader="none"/>
              </w:tabs>
              <w:spacing w:line="240" w:lineRule="auto" w:before="44" w:after="0"/>
              <w:ind w:left="708" w:right="0" w:hanging="530"/>
              <w:jc w:val="left"/>
              <w:rPr>
                <w:sz w:val="21"/>
              </w:rPr>
            </w:pPr>
            <w:r>
              <w:rPr>
                <w:spacing w:val="-3"/>
                <w:sz w:val="21"/>
              </w:rPr>
              <w:t>黑色素瘤以外的未发生淋巴结和远处转移的皮肤恶性肿瘤；</w:t>
            </w:r>
          </w:p>
        </w:tc>
      </w:tr>
      <w:tr>
        <w:trPr>
          <w:trHeight w:val="312" w:hRule="atLeast"/>
        </w:trPr>
        <w:tc>
          <w:tcPr>
            <w:tcW w:w="2533" w:type="dxa"/>
            <w:gridSpan w:val="2"/>
            <w:vMerge/>
            <w:tcBorders>
              <w:top w:val="nil"/>
            </w:tcBorders>
          </w:tcPr>
          <w:p>
            <w:pPr>
              <w:rPr>
                <w:sz w:val="2"/>
                <w:szCs w:val="2"/>
              </w:rPr>
            </w:pPr>
          </w:p>
        </w:tc>
        <w:tc>
          <w:tcPr>
            <w:tcW w:w="7423" w:type="dxa"/>
          </w:tcPr>
          <w:p>
            <w:pPr>
              <w:pStyle w:val="TableParagraph"/>
              <w:spacing w:before="17"/>
              <w:ind w:left="179"/>
              <w:rPr>
                <w:sz w:val="21"/>
              </w:rPr>
            </w:pPr>
            <w:r>
              <w:rPr>
                <w:sz w:val="21"/>
              </w:rPr>
              <w:t>（</w:t>
            </w:r>
            <w:r>
              <w:rPr>
                <w:rFonts w:ascii="Times New Roman" w:eastAsia="Times New Roman"/>
                <w:sz w:val="21"/>
              </w:rPr>
              <w:t>4</w:t>
            </w:r>
            <w:r>
              <w:rPr>
                <w:sz w:val="21"/>
              </w:rPr>
              <w:t>）</w:t>
            </w:r>
            <w:r>
              <w:rPr>
                <w:spacing w:val="-14"/>
                <w:sz w:val="21"/>
              </w:rPr>
              <w:t>相当于 </w:t>
            </w:r>
            <w:r>
              <w:rPr>
                <w:rFonts w:ascii="Times New Roman" w:eastAsia="Times New Roman"/>
                <w:sz w:val="21"/>
              </w:rPr>
              <w:t>Binet</w:t>
            </w:r>
            <w:r>
              <w:rPr>
                <w:rFonts w:ascii="Times New Roman" w:eastAsia="Times New Roman"/>
                <w:spacing w:val="-14"/>
                <w:sz w:val="21"/>
              </w:rPr>
              <w:t> </w:t>
            </w:r>
            <w:r>
              <w:rPr>
                <w:spacing w:val="10"/>
                <w:sz w:val="21"/>
              </w:rPr>
              <w:t>分期方案</w:t>
            </w:r>
            <w:r>
              <w:rPr>
                <w:rFonts w:ascii="Times New Roman" w:eastAsia="Times New Roman"/>
                <w:sz w:val="21"/>
              </w:rPr>
              <w:t>A</w:t>
            </w:r>
            <w:r>
              <w:rPr>
                <w:rFonts w:ascii="Times New Roman" w:eastAsia="Times New Roman"/>
                <w:spacing w:val="-11"/>
                <w:sz w:val="21"/>
              </w:rPr>
              <w:t> </w:t>
            </w:r>
            <w:r>
              <w:rPr>
                <w:spacing w:val="-1"/>
                <w:sz w:val="21"/>
              </w:rPr>
              <w:t>期程度的慢性淋巴细胞白血病；</w:t>
            </w:r>
          </w:p>
        </w:tc>
      </w:tr>
      <w:tr>
        <w:trPr>
          <w:trHeight w:val="312" w:hRule="atLeast"/>
        </w:trPr>
        <w:tc>
          <w:tcPr>
            <w:tcW w:w="2533" w:type="dxa"/>
            <w:gridSpan w:val="2"/>
            <w:vMerge/>
            <w:tcBorders>
              <w:top w:val="nil"/>
            </w:tcBorders>
          </w:tcPr>
          <w:p>
            <w:pPr>
              <w:rPr>
                <w:sz w:val="2"/>
                <w:szCs w:val="2"/>
              </w:rPr>
            </w:pPr>
          </w:p>
        </w:tc>
        <w:tc>
          <w:tcPr>
            <w:tcW w:w="7423" w:type="dxa"/>
          </w:tcPr>
          <w:p>
            <w:pPr>
              <w:pStyle w:val="TableParagraph"/>
              <w:spacing w:before="17"/>
              <w:ind w:left="179"/>
              <w:rPr>
                <w:sz w:val="21"/>
              </w:rPr>
            </w:pPr>
            <w:r>
              <w:rPr>
                <w:sz w:val="21"/>
              </w:rPr>
              <w:t>（</w:t>
            </w:r>
            <w:r>
              <w:rPr>
                <w:rFonts w:ascii="Times New Roman" w:hAnsi="Times New Roman" w:eastAsia="Times New Roman"/>
                <w:sz w:val="21"/>
              </w:rPr>
              <w:t>5</w:t>
            </w:r>
            <w:r>
              <w:rPr>
                <w:sz w:val="21"/>
              </w:rPr>
              <w:t>）</w:t>
            </w:r>
            <w:r>
              <w:rPr>
                <w:spacing w:val="11"/>
                <w:sz w:val="21"/>
              </w:rPr>
              <w:t>相当于</w:t>
            </w:r>
            <w:r>
              <w:rPr>
                <w:rFonts w:ascii="Times New Roman" w:hAnsi="Times New Roman" w:eastAsia="Times New Roman"/>
                <w:sz w:val="21"/>
              </w:rPr>
              <w:t>Ann</w:t>
            </w:r>
            <w:r>
              <w:rPr>
                <w:rFonts w:ascii="Times New Roman" w:hAnsi="Times New Roman" w:eastAsia="Times New Roman"/>
                <w:spacing w:val="-17"/>
                <w:sz w:val="21"/>
              </w:rPr>
              <w:t> </w:t>
            </w:r>
            <w:r>
              <w:rPr>
                <w:rFonts w:ascii="Times New Roman" w:hAnsi="Times New Roman" w:eastAsia="Times New Roman"/>
                <w:sz w:val="21"/>
              </w:rPr>
              <w:t>Arbor</w:t>
            </w:r>
            <w:r>
              <w:rPr>
                <w:rFonts w:ascii="Times New Roman" w:hAnsi="Times New Roman" w:eastAsia="Times New Roman"/>
                <w:spacing w:val="-12"/>
                <w:sz w:val="21"/>
              </w:rPr>
              <w:t> </w:t>
            </w:r>
            <w:r>
              <w:rPr>
                <w:spacing w:val="-1"/>
                <w:sz w:val="21"/>
              </w:rPr>
              <w:t>分期方案Ⅰ期程度的何杰金氏病；</w:t>
            </w:r>
          </w:p>
        </w:tc>
      </w:tr>
      <w:tr>
        <w:trPr>
          <w:trHeight w:val="312" w:hRule="atLeast"/>
        </w:trPr>
        <w:tc>
          <w:tcPr>
            <w:tcW w:w="2533" w:type="dxa"/>
            <w:gridSpan w:val="2"/>
            <w:vMerge/>
            <w:tcBorders>
              <w:top w:val="nil"/>
            </w:tcBorders>
          </w:tcPr>
          <w:p>
            <w:pPr>
              <w:rPr>
                <w:sz w:val="2"/>
                <w:szCs w:val="2"/>
              </w:rPr>
            </w:pPr>
          </w:p>
        </w:tc>
        <w:tc>
          <w:tcPr>
            <w:tcW w:w="7423" w:type="dxa"/>
          </w:tcPr>
          <w:p>
            <w:pPr>
              <w:pStyle w:val="TableParagraph"/>
              <w:spacing w:before="17"/>
              <w:ind w:left="179"/>
              <w:rPr>
                <w:rFonts w:ascii="Times New Roman" w:eastAsia="Times New Roman"/>
                <w:sz w:val="21"/>
              </w:rPr>
            </w:pPr>
            <w:r>
              <w:rPr>
                <w:spacing w:val="-4"/>
                <w:sz w:val="21"/>
              </w:rPr>
              <w:t>（</w:t>
            </w:r>
            <w:r>
              <w:rPr>
                <w:rFonts w:ascii="Times New Roman" w:eastAsia="Times New Roman"/>
                <w:spacing w:val="-4"/>
                <w:sz w:val="21"/>
              </w:rPr>
              <w:t>6</w:t>
            </w:r>
            <w:r>
              <w:rPr>
                <w:spacing w:val="-4"/>
                <w:sz w:val="21"/>
              </w:rPr>
              <w:t>）</w:t>
            </w:r>
            <w:r>
              <w:rPr>
                <w:spacing w:val="-8"/>
                <w:sz w:val="21"/>
              </w:rPr>
              <w:t>未发生淋巴结和远处转移且 </w:t>
            </w:r>
            <w:r>
              <w:rPr>
                <w:rFonts w:ascii="Times New Roman" w:eastAsia="Times New Roman"/>
                <w:spacing w:val="-4"/>
                <w:sz w:val="21"/>
              </w:rPr>
              <w:t>WHO</w:t>
            </w:r>
            <w:r>
              <w:rPr>
                <w:rFonts w:ascii="Times New Roman" w:eastAsia="Times New Roman"/>
                <w:spacing w:val="5"/>
                <w:sz w:val="21"/>
              </w:rPr>
              <w:t> </w:t>
            </w:r>
            <w:r>
              <w:rPr>
                <w:spacing w:val="-16"/>
                <w:sz w:val="21"/>
              </w:rPr>
              <w:t>分级为 </w:t>
            </w:r>
            <w:r>
              <w:rPr>
                <w:rFonts w:ascii="Times New Roman" w:eastAsia="Times New Roman"/>
                <w:spacing w:val="-4"/>
                <w:sz w:val="21"/>
              </w:rPr>
              <w:t>G1</w:t>
            </w:r>
            <w:r>
              <w:rPr>
                <w:rFonts w:ascii="Times New Roman" w:eastAsia="Times New Roman"/>
                <w:spacing w:val="4"/>
                <w:sz w:val="21"/>
              </w:rPr>
              <w:t> </w:t>
            </w:r>
            <w:r>
              <w:rPr>
                <w:spacing w:val="-41"/>
                <w:sz w:val="21"/>
              </w:rPr>
              <w:t>级别</w:t>
            </w:r>
            <w:r>
              <w:rPr>
                <w:spacing w:val="-4"/>
                <w:sz w:val="21"/>
              </w:rPr>
              <w:t>（核分裂像＜</w:t>
            </w:r>
            <w:r>
              <w:rPr>
                <w:rFonts w:ascii="Times New Roman" w:eastAsia="Times New Roman"/>
                <w:spacing w:val="-4"/>
                <w:sz w:val="21"/>
              </w:rPr>
              <w:t>10/50</w:t>
            </w:r>
            <w:r>
              <w:rPr>
                <w:rFonts w:ascii="Times New Roman" w:eastAsia="Times New Roman"/>
                <w:spacing w:val="2"/>
                <w:sz w:val="21"/>
              </w:rPr>
              <w:t> </w:t>
            </w:r>
            <w:r>
              <w:rPr>
                <w:rFonts w:ascii="Times New Roman" w:eastAsia="Times New Roman"/>
                <w:spacing w:val="-5"/>
                <w:sz w:val="21"/>
              </w:rPr>
              <w:t>HPF</w:t>
            </w:r>
          </w:p>
        </w:tc>
      </w:tr>
      <w:tr>
        <w:trPr>
          <w:trHeight w:val="272" w:hRule="atLeast"/>
        </w:trPr>
        <w:tc>
          <w:tcPr>
            <w:tcW w:w="2533" w:type="dxa"/>
            <w:gridSpan w:val="2"/>
            <w:vMerge/>
            <w:tcBorders>
              <w:top w:val="nil"/>
            </w:tcBorders>
          </w:tcPr>
          <w:p>
            <w:pPr>
              <w:rPr>
                <w:sz w:val="2"/>
                <w:szCs w:val="2"/>
              </w:rPr>
            </w:pPr>
          </w:p>
        </w:tc>
        <w:tc>
          <w:tcPr>
            <w:tcW w:w="7423" w:type="dxa"/>
          </w:tcPr>
          <w:p>
            <w:pPr>
              <w:pStyle w:val="TableParagraph"/>
              <w:spacing w:line="236" w:lineRule="exact" w:before="17"/>
              <w:ind w:left="179"/>
              <w:rPr>
                <w:sz w:val="21"/>
              </w:rPr>
            </w:pPr>
            <w:r>
              <w:rPr>
                <w:spacing w:val="-22"/>
                <w:sz w:val="21"/>
              </w:rPr>
              <w:t>和 </w:t>
            </w:r>
            <w:r>
              <w:rPr>
                <w:rFonts w:ascii="Times New Roman" w:hAnsi="Times New Roman" w:eastAsia="Times New Roman"/>
                <w:spacing w:val="-2"/>
                <w:sz w:val="21"/>
              </w:rPr>
              <w:t>ki-67</w:t>
            </w:r>
            <w:r>
              <w:rPr>
                <w:spacing w:val="-2"/>
                <w:sz w:val="21"/>
              </w:rPr>
              <w:t>≤</w:t>
            </w:r>
            <w:r>
              <w:rPr>
                <w:rFonts w:ascii="Times New Roman" w:hAnsi="Times New Roman" w:eastAsia="Times New Roman"/>
                <w:spacing w:val="-2"/>
                <w:sz w:val="21"/>
              </w:rPr>
              <w:t>2%</w:t>
            </w:r>
            <w:r>
              <w:rPr>
                <w:spacing w:val="-2"/>
                <w:sz w:val="21"/>
              </w:rPr>
              <w:t>）</w:t>
            </w:r>
            <w:r>
              <w:rPr>
                <w:spacing w:val="-3"/>
                <w:sz w:val="21"/>
              </w:rPr>
              <w:t>的神经内分泌肿瘤。</w:t>
            </w:r>
          </w:p>
        </w:tc>
      </w:tr>
    </w:tbl>
    <w:p>
      <w:pPr>
        <w:pStyle w:val="BodyText"/>
        <w:spacing w:before="16"/>
        <w:rPr>
          <w:rFonts w:ascii="微软雅黑"/>
          <w:b/>
          <w:sz w:val="2"/>
        </w:rPr>
      </w:pPr>
    </w:p>
    <w:p>
      <w:pPr>
        <w:pStyle w:val="BodyText"/>
        <w:rPr>
          <w:rFonts w:ascii="微软雅黑"/>
          <w:b/>
          <w:sz w:val="2"/>
        </w:rPr>
      </w:pPr>
    </w:p>
    <w:tbl>
      <w:tblPr>
        <w:tblW w:w="0" w:type="auto"/>
        <w:jc w:val="left"/>
        <w:tblInd w:w="2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33"/>
        <w:gridCol w:w="221"/>
        <w:gridCol w:w="1878"/>
        <w:gridCol w:w="1457"/>
      </w:tblGrid>
      <w:tr>
        <w:trPr>
          <w:trHeight w:val="285" w:hRule="atLeast"/>
        </w:trPr>
        <w:tc>
          <w:tcPr>
            <w:tcW w:w="5632" w:type="dxa"/>
            <w:gridSpan w:val="3"/>
            <w:tcBorders>
              <w:bottom w:val="single" w:sz="12" w:space="0" w:color="FFFFFF"/>
            </w:tcBorders>
            <w:shd w:val="clear" w:color="auto" w:fill="D9D9D9"/>
          </w:tcPr>
          <w:p>
            <w:pPr>
              <w:pStyle w:val="TableParagraph"/>
              <w:spacing w:line="265" w:lineRule="exact"/>
              <w:rPr>
                <w:rFonts w:ascii="微软雅黑" w:hAnsi="微软雅黑" w:eastAsia="微软雅黑"/>
                <w:b/>
                <w:sz w:val="22"/>
              </w:rPr>
            </w:pPr>
            <w:r>
              <w:rPr>
                <w:rFonts w:ascii="微软雅黑" w:hAnsi="微软雅黑" w:eastAsia="微软雅黑"/>
                <w:b/>
                <w:w w:val="95"/>
                <w:sz w:val="22"/>
              </w:rPr>
              <w:t>下</w:t>
            </w:r>
            <w:r>
              <w:rPr>
                <w:rFonts w:ascii="微软雅黑" w:hAnsi="微软雅黑" w:eastAsia="微软雅黑"/>
                <w:b/>
                <w:w w:val="95"/>
                <w:sz w:val="22"/>
              </w:rPr>
              <w:t>列</w:t>
            </w:r>
            <w:r>
              <w:rPr>
                <w:rFonts w:ascii="微软雅黑" w:hAnsi="微软雅黑" w:eastAsia="微软雅黑"/>
                <w:b/>
                <w:w w:val="95"/>
                <w:sz w:val="22"/>
              </w:rPr>
              <w:t>疾</w:t>
            </w:r>
            <w:r>
              <w:rPr>
                <w:rFonts w:ascii="微软雅黑" w:hAnsi="微软雅黑" w:eastAsia="微软雅黑"/>
                <w:b/>
                <w:w w:val="95"/>
                <w:sz w:val="22"/>
              </w:rPr>
              <w:t>病</w:t>
            </w:r>
            <w:r>
              <w:rPr>
                <w:rFonts w:ascii="微软雅黑" w:hAnsi="微软雅黑" w:eastAsia="微软雅黑"/>
                <w:b/>
                <w:w w:val="95"/>
                <w:sz w:val="22"/>
              </w:rPr>
              <w:t>不</w:t>
            </w:r>
            <w:r>
              <w:rPr>
                <w:rFonts w:ascii="微软雅黑" w:hAnsi="微软雅黑" w:eastAsia="微软雅黑"/>
                <w:b/>
                <w:w w:val="95"/>
                <w:sz w:val="22"/>
              </w:rPr>
              <w:t>属</w:t>
            </w:r>
            <w:r>
              <w:rPr>
                <w:rFonts w:ascii="微软雅黑" w:hAnsi="微软雅黑" w:eastAsia="微软雅黑"/>
                <w:b/>
                <w:w w:val="95"/>
                <w:sz w:val="22"/>
              </w:rPr>
              <w:t>于</w:t>
            </w:r>
            <w:r>
              <w:rPr>
                <w:rFonts w:ascii="微软雅黑" w:hAnsi="微软雅黑" w:eastAsia="微软雅黑"/>
                <w:b/>
                <w:w w:val="95"/>
                <w:sz w:val="22"/>
              </w:rPr>
              <w:t>“</w:t>
            </w:r>
            <w:r>
              <w:rPr>
                <w:rFonts w:ascii="微软雅黑" w:hAnsi="微软雅黑" w:eastAsia="微软雅黑"/>
                <w:b/>
                <w:w w:val="95"/>
                <w:sz w:val="22"/>
              </w:rPr>
              <w:t>恶</w:t>
            </w:r>
            <w:r>
              <w:rPr>
                <w:rFonts w:ascii="微软雅黑" w:hAnsi="微软雅黑" w:eastAsia="微软雅黑"/>
                <w:b/>
                <w:w w:val="95"/>
                <w:sz w:val="22"/>
              </w:rPr>
              <w:t>性</w:t>
            </w:r>
            <w:r>
              <w:rPr>
                <w:rFonts w:ascii="微软雅黑" w:hAnsi="微软雅黑" w:eastAsia="微软雅黑"/>
                <w:b/>
                <w:w w:val="95"/>
                <w:sz w:val="22"/>
              </w:rPr>
              <w:t>肿</w:t>
            </w:r>
            <w:r>
              <w:rPr>
                <w:rFonts w:ascii="微软雅黑" w:hAnsi="微软雅黑" w:eastAsia="微软雅黑"/>
                <w:b/>
                <w:w w:val="95"/>
                <w:sz w:val="22"/>
              </w:rPr>
              <w:t>瘤</w:t>
            </w:r>
            <w:r>
              <w:rPr>
                <w:rFonts w:ascii="微软雅黑" w:hAnsi="微软雅黑" w:eastAsia="微软雅黑"/>
                <w:b/>
                <w:w w:val="95"/>
                <w:sz w:val="22"/>
              </w:rPr>
              <w:t>——</w:t>
            </w:r>
            <w:r>
              <w:rPr>
                <w:rFonts w:ascii="微软雅黑" w:hAnsi="微软雅黑" w:eastAsia="微软雅黑"/>
                <w:b/>
                <w:w w:val="95"/>
                <w:sz w:val="22"/>
              </w:rPr>
              <w:t>轻</w:t>
            </w:r>
            <w:r>
              <w:rPr>
                <w:rFonts w:ascii="微软雅黑" w:hAnsi="微软雅黑" w:eastAsia="微软雅黑"/>
                <w:b/>
                <w:w w:val="95"/>
                <w:sz w:val="22"/>
              </w:rPr>
              <w:t>度</w:t>
            </w:r>
            <w:r>
              <w:rPr>
                <w:rFonts w:ascii="微软雅黑" w:hAnsi="微软雅黑" w:eastAsia="微软雅黑"/>
                <w:b/>
                <w:spacing w:val="-56"/>
                <w:w w:val="95"/>
                <w:sz w:val="22"/>
              </w:rPr>
              <w:t>”，</w:t>
            </w:r>
            <w:r>
              <w:rPr>
                <w:rFonts w:ascii="微软雅黑" w:hAnsi="微软雅黑" w:eastAsia="微软雅黑"/>
                <w:b/>
                <w:w w:val="95"/>
                <w:sz w:val="22"/>
              </w:rPr>
              <w:t>不</w:t>
            </w:r>
            <w:r>
              <w:rPr>
                <w:rFonts w:ascii="微软雅黑" w:hAnsi="微软雅黑" w:eastAsia="微软雅黑"/>
                <w:b/>
                <w:w w:val="95"/>
                <w:sz w:val="22"/>
              </w:rPr>
              <w:t>在</w:t>
            </w:r>
            <w:r>
              <w:rPr>
                <w:rFonts w:ascii="微软雅黑" w:hAnsi="微软雅黑" w:eastAsia="微软雅黑"/>
                <w:b/>
                <w:w w:val="95"/>
                <w:sz w:val="22"/>
              </w:rPr>
              <w:t>保</w:t>
            </w:r>
            <w:r>
              <w:rPr>
                <w:rFonts w:ascii="微软雅黑" w:hAnsi="微软雅黑" w:eastAsia="微软雅黑"/>
                <w:b/>
                <w:w w:val="95"/>
                <w:sz w:val="22"/>
              </w:rPr>
              <w:t>障</w:t>
            </w:r>
            <w:r>
              <w:rPr>
                <w:rFonts w:ascii="微软雅黑" w:hAnsi="微软雅黑" w:eastAsia="微软雅黑"/>
                <w:b/>
                <w:w w:val="95"/>
                <w:sz w:val="22"/>
              </w:rPr>
              <w:t>范</w:t>
            </w:r>
            <w:r>
              <w:rPr>
                <w:rFonts w:ascii="微软雅黑" w:hAnsi="微软雅黑" w:eastAsia="微软雅黑"/>
                <w:b/>
                <w:w w:val="95"/>
                <w:sz w:val="22"/>
              </w:rPr>
              <w:t>围</w:t>
            </w:r>
            <w:r>
              <w:rPr>
                <w:rFonts w:ascii="微软雅黑" w:hAnsi="微软雅黑" w:eastAsia="微软雅黑"/>
                <w:b/>
                <w:w w:val="95"/>
                <w:sz w:val="22"/>
              </w:rPr>
              <w:t>内</w:t>
            </w:r>
            <w:r>
              <w:rPr>
                <w:rFonts w:ascii="微软雅黑" w:hAnsi="微软雅黑" w:eastAsia="微软雅黑"/>
                <w:b/>
                <w:spacing w:val="-10"/>
                <w:w w:val="95"/>
                <w:sz w:val="22"/>
              </w:rPr>
              <w:t>：</w:t>
            </w:r>
          </w:p>
        </w:tc>
        <w:tc>
          <w:tcPr>
            <w:tcW w:w="1457" w:type="dxa"/>
            <w:tcBorders>
              <w:bottom w:val="single" w:sz="12" w:space="0" w:color="FFFFFF"/>
            </w:tcBorders>
          </w:tcPr>
          <w:p>
            <w:pPr>
              <w:pStyle w:val="TableParagraph"/>
              <w:rPr>
                <w:rFonts w:ascii="Times New Roman"/>
                <w:sz w:val="20"/>
              </w:rPr>
            </w:pPr>
          </w:p>
        </w:tc>
      </w:tr>
      <w:tr>
        <w:trPr>
          <w:trHeight w:val="281" w:hRule="atLeast"/>
        </w:trPr>
        <w:tc>
          <w:tcPr>
            <w:tcW w:w="7089" w:type="dxa"/>
            <w:gridSpan w:val="4"/>
            <w:tcBorders>
              <w:top w:val="single" w:sz="12" w:space="0" w:color="FFFFFF"/>
              <w:bottom w:val="single" w:sz="12" w:space="0" w:color="FFFFFF"/>
            </w:tcBorders>
            <w:shd w:val="clear" w:color="auto" w:fill="D9D9D9"/>
          </w:tcPr>
          <w:p>
            <w:pPr>
              <w:pStyle w:val="TableParagraph"/>
              <w:spacing w:line="262" w:lineRule="exact"/>
              <w:ind w:right="-15"/>
              <w:rPr>
                <w:rFonts w:ascii="微软雅黑" w:eastAsia="微软雅黑"/>
                <w:b/>
                <w:sz w:val="22"/>
              </w:rPr>
            </w:pPr>
            <w:r>
              <w:rPr>
                <w:rFonts w:ascii="微软雅黑" w:eastAsia="微软雅黑"/>
                <w:b/>
                <w:w w:val="95"/>
                <w:sz w:val="22"/>
              </w:rPr>
              <w:t>ICD-O-3</w:t>
            </w:r>
            <w:r>
              <w:rPr>
                <w:rFonts w:ascii="微软雅黑" w:eastAsia="微软雅黑"/>
                <w:b/>
                <w:spacing w:val="18"/>
                <w:sz w:val="22"/>
              </w:rPr>
              <w:t> </w:t>
            </w:r>
            <w:r>
              <w:rPr>
                <w:rFonts w:ascii="微软雅黑" w:eastAsia="微软雅黑"/>
                <w:b/>
                <w:w w:val="95"/>
                <w:sz w:val="22"/>
              </w:rPr>
              <w:t>肿</w:t>
            </w:r>
            <w:r>
              <w:rPr>
                <w:rFonts w:ascii="微软雅黑" w:eastAsia="微软雅黑"/>
                <w:b/>
                <w:w w:val="95"/>
                <w:sz w:val="22"/>
              </w:rPr>
              <w:t>瘤</w:t>
            </w:r>
            <w:r>
              <w:rPr>
                <w:rFonts w:ascii="微软雅黑" w:eastAsia="微软雅黑"/>
                <w:b/>
                <w:w w:val="95"/>
                <w:sz w:val="22"/>
              </w:rPr>
              <w:t>形</w:t>
            </w:r>
            <w:r>
              <w:rPr>
                <w:rFonts w:ascii="微软雅黑" w:eastAsia="微软雅黑"/>
                <w:b/>
                <w:w w:val="95"/>
                <w:sz w:val="22"/>
              </w:rPr>
              <w:t>态</w:t>
            </w:r>
            <w:r>
              <w:rPr>
                <w:rFonts w:ascii="微软雅黑" w:eastAsia="微软雅黑"/>
                <w:b/>
                <w:w w:val="95"/>
                <w:sz w:val="22"/>
              </w:rPr>
              <w:t>学</w:t>
            </w:r>
            <w:r>
              <w:rPr>
                <w:rFonts w:ascii="微软雅黑" w:eastAsia="微软雅黑"/>
                <w:b/>
                <w:w w:val="95"/>
                <w:sz w:val="22"/>
              </w:rPr>
              <w:t>编</w:t>
            </w:r>
            <w:r>
              <w:rPr>
                <w:rFonts w:ascii="微软雅黑" w:eastAsia="微软雅黑"/>
                <w:b/>
                <w:w w:val="95"/>
                <w:sz w:val="22"/>
              </w:rPr>
              <w:t>码</w:t>
            </w:r>
            <w:r>
              <w:rPr>
                <w:rFonts w:ascii="微软雅黑" w:eastAsia="微软雅黑"/>
                <w:b/>
                <w:w w:val="95"/>
                <w:sz w:val="22"/>
              </w:rPr>
              <w:t>属</w:t>
            </w:r>
            <w:r>
              <w:rPr>
                <w:rFonts w:ascii="微软雅黑" w:eastAsia="微软雅黑"/>
                <w:b/>
                <w:w w:val="95"/>
                <w:sz w:val="22"/>
              </w:rPr>
              <w:t>于</w:t>
            </w:r>
            <w:r>
              <w:rPr>
                <w:rFonts w:ascii="微软雅黑" w:eastAsia="微软雅黑"/>
                <w:b/>
                <w:spacing w:val="20"/>
                <w:sz w:val="22"/>
              </w:rPr>
              <w:t> </w:t>
            </w:r>
            <w:r>
              <w:rPr>
                <w:rFonts w:ascii="微软雅黑" w:eastAsia="微软雅黑"/>
                <w:b/>
                <w:w w:val="95"/>
                <w:sz w:val="22"/>
              </w:rPr>
              <w:t>0（良</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11"/>
                <w:w w:val="95"/>
                <w:sz w:val="22"/>
              </w:rPr>
              <w:t>）</w:t>
            </w:r>
            <w:r>
              <w:rPr>
                <w:rFonts w:ascii="微软雅黑" w:eastAsia="微软雅黑"/>
                <w:b/>
                <w:w w:val="95"/>
                <w:sz w:val="22"/>
              </w:rPr>
              <w:t>、1（</w:t>
            </w:r>
            <w:r>
              <w:rPr>
                <w:rFonts w:ascii="微软雅黑" w:eastAsia="微软雅黑"/>
                <w:b/>
                <w:w w:val="95"/>
                <w:sz w:val="22"/>
              </w:rPr>
              <w:t>动</w:t>
            </w:r>
            <w:r>
              <w:rPr>
                <w:rFonts w:ascii="微软雅黑" w:eastAsia="微软雅黑"/>
                <w:b/>
                <w:w w:val="95"/>
                <w:sz w:val="22"/>
              </w:rPr>
              <w:t>态</w:t>
            </w:r>
            <w:r>
              <w:rPr>
                <w:rFonts w:ascii="微软雅黑" w:eastAsia="微软雅黑"/>
                <w:b/>
                <w:w w:val="95"/>
                <w:sz w:val="22"/>
              </w:rPr>
              <w:t>未</w:t>
            </w:r>
            <w:r>
              <w:rPr>
                <w:rFonts w:ascii="微软雅黑" w:eastAsia="微软雅黑"/>
                <w:b/>
                <w:w w:val="95"/>
                <w:sz w:val="22"/>
              </w:rPr>
              <w:t>定</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11"/>
                <w:w w:val="95"/>
                <w:sz w:val="22"/>
              </w:rPr>
              <w:t>）</w:t>
            </w:r>
            <w:r>
              <w:rPr>
                <w:rFonts w:ascii="微软雅黑" w:eastAsia="微软雅黑"/>
                <w:b/>
                <w:w w:val="95"/>
                <w:sz w:val="22"/>
              </w:rPr>
              <w:t>、2（</w:t>
            </w:r>
            <w:r>
              <w:rPr>
                <w:rFonts w:ascii="微软雅黑" w:eastAsia="微软雅黑"/>
                <w:b/>
                <w:spacing w:val="-10"/>
                <w:w w:val="95"/>
                <w:sz w:val="22"/>
              </w:rPr>
              <w:t>原</w:t>
            </w:r>
          </w:p>
        </w:tc>
      </w:tr>
      <w:tr>
        <w:trPr>
          <w:trHeight w:val="281" w:hRule="atLeast"/>
        </w:trPr>
        <w:tc>
          <w:tcPr>
            <w:tcW w:w="3754" w:type="dxa"/>
            <w:gridSpan w:val="2"/>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sz w:val="22"/>
              </w:rPr>
              <w:t>位癌和非侵袭性癌）</w:t>
            </w:r>
            <w:r>
              <w:rPr>
                <w:rFonts w:ascii="微软雅黑" w:eastAsia="微软雅黑"/>
                <w:b/>
                <w:spacing w:val="-2"/>
                <w:sz w:val="22"/>
              </w:rPr>
              <w:t>范畴的疾病，如：</w:t>
            </w:r>
          </w:p>
        </w:tc>
        <w:tc>
          <w:tcPr>
            <w:tcW w:w="3335" w:type="dxa"/>
            <w:gridSpan w:val="2"/>
            <w:tcBorders>
              <w:top w:val="single" w:sz="12" w:space="0" w:color="FFFFFF"/>
              <w:bottom w:val="single" w:sz="12" w:space="0" w:color="FFFFFF"/>
            </w:tcBorders>
          </w:tcPr>
          <w:p>
            <w:pPr>
              <w:pStyle w:val="TableParagraph"/>
              <w:rPr>
                <w:rFonts w:ascii="Times New Roman"/>
                <w:sz w:val="20"/>
              </w:rPr>
            </w:pPr>
          </w:p>
        </w:tc>
      </w:tr>
      <w:tr>
        <w:trPr>
          <w:trHeight w:val="281" w:hRule="atLeast"/>
        </w:trPr>
        <w:tc>
          <w:tcPr>
            <w:tcW w:w="7089" w:type="dxa"/>
            <w:gridSpan w:val="4"/>
            <w:tcBorders>
              <w:top w:val="single" w:sz="12" w:space="0" w:color="FFFFFF"/>
              <w:bottom w:val="single" w:sz="12" w:space="0" w:color="FFFFFF"/>
            </w:tcBorders>
            <w:shd w:val="clear" w:color="auto" w:fill="D9D9D9"/>
          </w:tcPr>
          <w:p>
            <w:pPr>
              <w:pStyle w:val="TableParagraph"/>
              <w:spacing w:line="262" w:lineRule="exact"/>
              <w:ind w:right="-116"/>
              <w:rPr>
                <w:rFonts w:ascii="微软雅黑" w:eastAsia="微软雅黑"/>
                <w:b/>
                <w:sz w:val="22"/>
              </w:rPr>
            </w:pPr>
            <w:r>
              <w:rPr>
                <w:rFonts w:ascii="微软雅黑" w:eastAsia="微软雅黑"/>
                <w:b/>
                <w:spacing w:val="-2"/>
                <w:sz w:val="22"/>
              </w:rPr>
              <w:t>a.</w:t>
            </w:r>
            <w:r>
              <w:rPr>
                <w:rFonts w:ascii="微软雅黑" w:eastAsia="微软雅黑"/>
                <w:b/>
                <w:spacing w:val="-3"/>
                <w:sz w:val="22"/>
              </w:rPr>
              <w:t>原位癌，癌前病变，非浸润性癌，非侵袭性癌，肿瘤细胞未侵犯基底层，</w:t>
            </w:r>
          </w:p>
        </w:tc>
      </w:tr>
      <w:tr>
        <w:trPr>
          <w:trHeight w:val="282" w:hRule="atLeast"/>
        </w:trPr>
        <w:tc>
          <w:tcPr>
            <w:tcW w:w="3533" w:type="dxa"/>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spacing w:val="-1"/>
                <w:sz w:val="22"/>
              </w:rPr>
              <w:t>上皮内瘤变，细胞不典型性增生等；</w:t>
            </w:r>
          </w:p>
        </w:tc>
        <w:tc>
          <w:tcPr>
            <w:tcW w:w="3556" w:type="dxa"/>
            <w:gridSpan w:val="3"/>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7089" w:type="dxa"/>
            <w:gridSpan w:val="4"/>
            <w:tcBorders>
              <w:top w:val="single" w:sz="12" w:space="0" w:color="FFFFFF"/>
            </w:tcBorders>
            <w:shd w:val="clear" w:color="auto" w:fill="D9D9D9"/>
          </w:tcPr>
          <w:p>
            <w:pPr>
              <w:pStyle w:val="TableParagraph"/>
              <w:spacing w:line="266" w:lineRule="exact"/>
              <w:ind w:right="-116"/>
              <w:rPr>
                <w:rFonts w:ascii="微软雅黑" w:eastAsia="微软雅黑"/>
                <w:b/>
                <w:sz w:val="22"/>
              </w:rPr>
            </w:pPr>
            <w:r>
              <w:rPr>
                <w:rFonts w:ascii="微软雅黑" w:eastAsia="微软雅黑"/>
                <w:b/>
                <w:spacing w:val="-4"/>
                <w:sz w:val="22"/>
              </w:rPr>
              <w:t>b.</w:t>
            </w:r>
            <w:r>
              <w:rPr>
                <w:rFonts w:ascii="微软雅黑" w:eastAsia="微软雅黑"/>
                <w:b/>
                <w:spacing w:val="-5"/>
                <w:sz w:val="22"/>
              </w:rPr>
              <w:t>交界性肿瘤，交界恶性肿瘤，肿瘤低度恶性潜能，潜在低度恶性肿瘤等。</w:t>
            </w:r>
          </w:p>
        </w:tc>
      </w:tr>
    </w:tbl>
    <w:p>
      <w:pPr>
        <w:pStyle w:val="BodyText"/>
        <w:spacing w:before="6"/>
        <w:rPr>
          <w:rFonts w:ascii="微软雅黑"/>
          <w:b/>
          <w:sz w:val="7"/>
        </w:rPr>
      </w:pPr>
    </w:p>
    <w:p>
      <w:pPr>
        <w:spacing w:after="0"/>
        <w:rPr>
          <w:rFonts w:ascii="微软雅黑"/>
          <w:sz w:val="7"/>
        </w:rPr>
        <w:sectPr>
          <w:pgSz w:w="11910" w:h="16840"/>
          <w:pgMar w:header="566" w:footer="664" w:top="1340" w:bottom="860" w:left="900" w:right="720"/>
        </w:sectPr>
      </w:pPr>
    </w:p>
    <w:p>
      <w:pPr>
        <w:pStyle w:val="ListParagraph"/>
        <w:numPr>
          <w:ilvl w:val="2"/>
          <w:numId w:val="70"/>
        </w:numPr>
        <w:tabs>
          <w:tab w:pos="1269" w:val="left" w:leader="none"/>
          <w:tab w:pos="1270" w:val="left" w:leader="none"/>
        </w:tabs>
        <w:spacing w:line="194" w:lineRule="auto" w:before="57" w:after="0"/>
        <w:ind w:left="1270" w:right="38" w:hanging="1038"/>
        <w:jc w:val="left"/>
        <w:rPr>
          <w:rFonts w:ascii="微软雅黑" w:eastAsia="微软雅黑"/>
          <w:b/>
          <w:sz w:val="21"/>
        </w:rPr>
      </w:pPr>
      <w:r>
        <w:rPr>
          <w:rFonts w:ascii="微软雅黑" w:eastAsia="微软雅黑"/>
          <w:b/>
          <w:spacing w:val="-2"/>
          <w:sz w:val="21"/>
        </w:rPr>
        <w:t>较轻急性心肌</w:t>
      </w:r>
      <w:r>
        <w:rPr>
          <w:rFonts w:ascii="微软雅黑" w:eastAsia="微软雅黑"/>
          <w:b/>
          <w:spacing w:val="-6"/>
          <w:sz w:val="21"/>
        </w:rPr>
        <w:t>梗死</w:t>
      </w:r>
    </w:p>
    <w:p>
      <w:pPr>
        <w:pStyle w:val="BodyText"/>
        <w:spacing w:line="278" w:lineRule="auto" w:before="72"/>
        <w:ind w:left="232" w:right="192"/>
      </w:pPr>
      <w:r>
        <w:rPr/>
        <w:br w:type="column"/>
      </w:r>
      <w:r>
        <w:rPr>
          <w:spacing w:val="-3"/>
          <w:w w:val="100"/>
        </w:rPr>
        <w:t>急性心肌梗死指由于冠状动脉闭塞或梗阻引起部分心肌严重的持久性缺血造</w:t>
      </w:r>
      <w:r>
        <w:rPr>
          <w:spacing w:val="-3"/>
          <w:w w:val="100"/>
        </w:rPr>
        <w:t> </w:t>
      </w:r>
      <w:r>
        <w:rPr>
          <w:spacing w:val="-8"/>
          <w:w w:val="100"/>
        </w:rPr>
        <w:t>成急性心肌坏死。急性心肌梗死的诊断必须依据国际国内诊断标准，符合</w:t>
      </w:r>
      <w:r>
        <w:rPr>
          <w:w w:val="100"/>
        </w:rPr>
        <w:t>（</w:t>
      </w:r>
      <w:r>
        <w:rPr>
          <w:spacing w:val="-3"/>
          <w:w w:val="100"/>
        </w:rPr>
        <w:t>1</w:t>
      </w:r>
      <w:r>
        <w:rPr>
          <w:w w:val="100"/>
        </w:rPr>
        <w:t>）</w:t>
      </w:r>
      <w:r>
        <w:rPr>
          <w:spacing w:val="-3"/>
          <w:w w:val="100"/>
        </w:rPr>
        <w:t>检测到肌酸激酶同工酶（C</w:t>
      </w:r>
      <w:r>
        <w:rPr>
          <w:w w:val="100"/>
        </w:rPr>
        <w:t>K-MB</w:t>
      </w:r>
      <w:r>
        <w:rPr>
          <w:spacing w:val="-3"/>
          <w:w w:val="100"/>
        </w:rPr>
        <w:t>）或肌钙蛋白（</w:t>
      </w:r>
      <w:r>
        <w:rPr>
          <w:w w:val="100"/>
        </w:rPr>
        <w:t>cT</w:t>
      </w:r>
      <w:r>
        <w:rPr>
          <w:spacing w:val="-3"/>
          <w:w w:val="100"/>
        </w:rPr>
        <w:t>n）升高和/或降低的动态变</w:t>
      </w:r>
      <w:r>
        <w:rPr>
          <w:spacing w:val="-6"/>
          <w:w w:val="100"/>
        </w:rPr>
        <w:t>化，至少一次达到或超过心肌梗死的临床诊断标准</w:t>
      </w:r>
      <w:r>
        <w:rPr>
          <w:spacing w:val="-125"/>
          <w:w w:val="100"/>
        </w:rPr>
        <w:t>；</w:t>
      </w:r>
      <w:r>
        <w:rPr>
          <w:spacing w:val="-1"/>
          <w:w w:val="100"/>
        </w:rPr>
        <w:t>（</w:t>
      </w:r>
      <w:r>
        <w:rPr>
          <w:spacing w:val="-2"/>
          <w:w w:val="100"/>
        </w:rPr>
        <w:t>2</w:t>
      </w:r>
      <w:r>
        <w:rPr>
          <w:spacing w:val="-17"/>
          <w:w w:val="100"/>
        </w:rPr>
        <w:t>）</w:t>
      </w:r>
      <w:r>
        <w:rPr>
          <w:spacing w:val="-3"/>
          <w:w w:val="100"/>
        </w:rPr>
        <w:t>同时存在下列之一的</w:t>
      </w:r>
      <w:r>
        <w:rPr>
          <w:spacing w:val="-9"/>
          <w:w w:val="100"/>
        </w:rPr>
        <w:t>证据，包括：缺血性胸痛症状、新发生的缺血性心电图改变、新生成的病理性 Q</w:t>
      </w:r>
      <w:r>
        <w:rPr>
          <w:spacing w:val="-53"/>
        </w:rPr>
        <w:t> </w:t>
      </w:r>
      <w:r>
        <w:rPr>
          <w:spacing w:val="-4"/>
          <w:w w:val="100"/>
        </w:rPr>
        <w:t>波、影像学证据显示有新出现的心肌活性丧失或新出现局部室壁运动异常、</w:t>
      </w:r>
      <w:r>
        <w:rPr>
          <w:spacing w:val="-3"/>
          <w:w w:val="100"/>
        </w:rPr>
        <w:t>冠脉造影证实存在冠状动脉血栓。</w:t>
      </w:r>
    </w:p>
    <w:p>
      <w:pPr>
        <w:spacing w:after="0" w:line="278" w:lineRule="auto"/>
        <w:sectPr>
          <w:type w:val="continuous"/>
          <w:pgSz w:w="11910" w:h="16840"/>
          <w:pgMar w:header="566" w:footer="664" w:top="1340" w:bottom="860" w:left="900" w:right="720"/>
          <w:cols w:num="2" w:equalWidth="0">
            <w:col w:w="2578" w:space="85"/>
            <w:col w:w="7627"/>
          </w:cols>
        </w:sectPr>
      </w:pPr>
    </w:p>
    <w:p>
      <w:pPr>
        <w:pStyle w:val="BodyText"/>
        <w:spacing w:line="278" w:lineRule="auto" w:before="85"/>
        <w:ind w:left="2895" w:right="298"/>
      </w:pPr>
      <w:r>
        <w:rPr>
          <w:spacing w:val="-2"/>
        </w:rPr>
        <w:t>较轻急性心肌梗死指依照上述标准被明确诊断为急性心肌梗死，但未达到“较</w:t>
      </w:r>
      <w:r>
        <w:rPr>
          <w:spacing w:val="-2"/>
        </w:rPr>
        <w:t>重急性心肌梗死”的给付标准。</w:t>
      </w:r>
    </w:p>
    <w:p>
      <w:pPr>
        <w:pStyle w:val="Heading1"/>
        <w:spacing w:line="328" w:lineRule="exact"/>
        <w:ind w:left="2895"/>
      </w:pPr>
      <w:r>
        <w:rPr>
          <w:color w:val="000000"/>
          <w:w w:val="95"/>
          <w:shd w:fill="D9D9D9" w:color="auto" w:val="clear"/>
        </w:rPr>
        <w:t>其</w:t>
      </w:r>
      <w:r>
        <w:rPr>
          <w:color w:val="000000"/>
          <w:w w:val="95"/>
          <w:shd w:fill="D9D9D9" w:color="auto" w:val="clear"/>
        </w:rPr>
        <w:t>他</w:t>
      </w:r>
      <w:r>
        <w:rPr>
          <w:color w:val="000000"/>
          <w:w w:val="95"/>
          <w:shd w:fill="D9D9D9" w:color="auto" w:val="clear"/>
        </w:rPr>
        <w:t>非</w:t>
      </w:r>
      <w:r>
        <w:rPr>
          <w:color w:val="000000"/>
          <w:w w:val="95"/>
          <w:shd w:fill="D9D9D9" w:color="auto" w:val="clear"/>
        </w:rPr>
        <w:t>冠</w:t>
      </w:r>
      <w:r>
        <w:rPr>
          <w:color w:val="000000"/>
          <w:w w:val="95"/>
          <w:shd w:fill="D9D9D9" w:color="auto" w:val="clear"/>
        </w:rPr>
        <w:t>状</w:t>
      </w:r>
      <w:r>
        <w:rPr>
          <w:color w:val="000000"/>
          <w:w w:val="95"/>
          <w:shd w:fill="D9D9D9" w:color="auto" w:val="clear"/>
        </w:rPr>
        <w:t>动</w:t>
      </w:r>
      <w:r>
        <w:rPr>
          <w:color w:val="000000"/>
          <w:w w:val="95"/>
          <w:shd w:fill="D9D9D9" w:color="auto" w:val="clear"/>
        </w:rPr>
        <w:t>脉</w:t>
      </w:r>
      <w:r>
        <w:rPr>
          <w:color w:val="000000"/>
          <w:w w:val="95"/>
          <w:shd w:fill="D9D9D9" w:color="auto" w:val="clear"/>
        </w:rPr>
        <w:t>阻</w:t>
      </w:r>
      <w:r>
        <w:rPr>
          <w:color w:val="000000"/>
          <w:w w:val="95"/>
          <w:shd w:fill="D9D9D9" w:color="auto" w:val="clear"/>
        </w:rPr>
        <w:t>塞</w:t>
      </w:r>
      <w:r>
        <w:rPr>
          <w:color w:val="000000"/>
          <w:w w:val="95"/>
          <w:shd w:fill="D9D9D9" w:color="auto" w:val="clear"/>
        </w:rPr>
        <w:t>性</w:t>
      </w:r>
      <w:r>
        <w:rPr>
          <w:color w:val="000000"/>
          <w:w w:val="95"/>
          <w:shd w:fill="D9D9D9" w:color="auto" w:val="clear"/>
        </w:rPr>
        <w:t>疾</w:t>
      </w:r>
      <w:r>
        <w:rPr>
          <w:color w:val="000000"/>
          <w:w w:val="95"/>
          <w:shd w:fill="D9D9D9" w:color="auto" w:val="clear"/>
        </w:rPr>
        <w:t>病</w:t>
      </w:r>
      <w:r>
        <w:rPr>
          <w:color w:val="000000"/>
          <w:w w:val="95"/>
          <w:shd w:fill="D9D9D9" w:color="auto" w:val="clear"/>
        </w:rPr>
        <w:t>引</w:t>
      </w:r>
      <w:r>
        <w:rPr>
          <w:color w:val="000000"/>
          <w:w w:val="95"/>
          <w:shd w:fill="D9D9D9" w:color="auto" w:val="clear"/>
        </w:rPr>
        <w:t>起</w:t>
      </w:r>
      <w:r>
        <w:rPr>
          <w:color w:val="000000"/>
          <w:w w:val="95"/>
          <w:shd w:fill="D9D9D9" w:color="auto" w:val="clear"/>
        </w:rPr>
        <w:t>的</w:t>
      </w:r>
      <w:r>
        <w:rPr>
          <w:color w:val="000000"/>
          <w:w w:val="95"/>
          <w:shd w:fill="D9D9D9" w:color="auto" w:val="clear"/>
        </w:rPr>
        <w:t>肌</w:t>
      </w:r>
      <w:r>
        <w:rPr>
          <w:color w:val="000000"/>
          <w:w w:val="95"/>
          <w:shd w:fill="D9D9D9" w:color="auto" w:val="clear"/>
        </w:rPr>
        <w:t>钙</w:t>
      </w:r>
      <w:r>
        <w:rPr>
          <w:color w:val="000000"/>
          <w:w w:val="95"/>
          <w:shd w:fill="D9D9D9" w:color="auto" w:val="clear"/>
        </w:rPr>
        <w:t>蛋</w:t>
      </w:r>
      <w:r>
        <w:rPr>
          <w:color w:val="000000"/>
          <w:w w:val="95"/>
          <w:shd w:fill="D9D9D9" w:color="auto" w:val="clear"/>
        </w:rPr>
        <w:t>白</w:t>
      </w:r>
      <w:r>
        <w:rPr>
          <w:color w:val="000000"/>
          <w:w w:val="95"/>
          <w:shd w:fill="D9D9D9" w:color="auto" w:val="clear"/>
        </w:rPr>
        <w:t>（cTn）</w:t>
      </w:r>
      <w:r>
        <w:rPr>
          <w:color w:val="000000"/>
          <w:w w:val="95"/>
          <w:shd w:fill="D9D9D9" w:color="auto" w:val="clear"/>
        </w:rPr>
        <w:t>升</w:t>
      </w:r>
      <w:r>
        <w:rPr>
          <w:color w:val="000000"/>
          <w:w w:val="95"/>
          <w:shd w:fill="D9D9D9" w:color="auto" w:val="clear"/>
        </w:rPr>
        <w:t>高</w:t>
      </w:r>
      <w:r>
        <w:rPr>
          <w:color w:val="000000"/>
          <w:w w:val="95"/>
          <w:shd w:fill="D9D9D9" w:color="auto" w:val="clear"/>
        </w:rPr>
        <w:t>不</w:t>
      </w:r>
      <w:r>
        <w:rPr>
          <w:color w:val="000000"/>
          <w:w w:val="95"/>
          <w:shd w:fill="D9D9D9" w:color="auto" w:val="clear"/>
        </w:rPr>
        <w:t>在</w:t>
      </w:r>
      <w:r>
        <w:rPr>
          <w:color w:val="000000"/>
          <w:w w:val="95"/>
          <w:shd w:fill="D9D9D9" w:color="auto" w:val="clear"/>
        </w:rPr>
        <w:t>保</w:t>
      </w:r>
      <w:r>
        <w:rPr>
          <w:color w:val="000000"/>
          <w:w w:val="95"/>
          <w:shd w:fill="D9D9D9" w:color="auto" w:val="clear"/>
        </w:rPr>
        <w:t>障</w:t>
      </w:r>
      <w:r>
        <w:rPr>
          <w:color w:val="000000"/>
          <w:w w:val="95"/>
          <w:shd w:fill="D9D9D9" w:color="auto" w:val="clear"/>
        </w:rPr>
        <w:t>范</w:t>
      </w:r>
      <w:r>
        <w:rPr>
          <w:color w:val="000000"/>
          <w:w w:val="95"/>
          <w:shd w:fill="D9D9D9" w:color="auto" w:val="clear"/>
        </w:rPr>
        <w:t>围</w:t>
      </w:r>
      <w:r>
        <w:rPr>
          <w:color w:val="000000"/>
          <w:w w:val="95"/>
          <w:shd w:fill="D9D9D9" w:color="auto" w:val="clear"/>
        </w:rPr>
        <w:t>内</w:t>
      </w:r>
      <w:r>
        <w:rPr>
          <w:color w:val="000000"/>
          <w:spacing w:val="-10"/>
          <w:w w:val="95"/>
          <w:shd w:fill="D9D9D9" w:color="auto" w:val="clear"/>
        </w:rPr>
        <w:t>。</w:t>
      </w:r>
    </w:p>
    <w:p>
      <w:pPr>
        <w:spacing w:after="0" w:line="328" w:lineRule="exact"/>
        <w:sectPr>
          <w:pgSz w:w="11910" w:h="16840"/>
          <w:pgMar w:header="566" w:footer="664" w:top="1340" w:bottom="860" w:left="900" w:right="720"/>
        </w:sectPr>
      </w:pPr>
    </w:p>
    <w:p>
      <w:pPr>
        <w:pStyle w:val="ListParagraph"/>
        <w:numPr>
          <w:ilvl w:val="2"/>
          <w:numId w:val="70"/>
        </w:numPr>
        <w:tabs>
          <w:tab w:pos="1269" w:val="left" w:leader="none"/>
          <w:tab w:pos="1270" w:val="left" w:leader="none"/>
        </w:tabs>
        <w:spacing w:line="194" w:lineRule="auto" w:before="140" w:after="0"/>
        <w:ind w:left="1270" w:right="38" w:hanging="1038"/>
        <w:jc w:val="left"/>
        <w:rPr>
          <w:rFonts w:ascii="微软雅黑" w:eastAsia="微软雅黑"/>
          <w:b/>
          <w:sz w:val="21"/>
        </w:rPr>
      </w:pPr>
      <w:r>
        <w:rPr>
          <w:rFonts w:ascii="微软雅黑" w:eastAsia="微软雅黑"/>
          <w:b/>
          <w:spacing w:val="-2"/>
          <w:sz w:val="21"/>
        </w:rPr>
        <w:t>轻度脑中风后</w:t>
      </w:r>
      <w:r>
        <w:rPr>
          <w:rFonts w:ascii="微软雅黑" w:eastAsia="微软雅黑"/>
          <w:b/>
          <w:spacing w:val="-6"/>
          <w:sz w:val="21"/>
        </w:rPr>
        <w:t>遗症</w:t>
      </w:r>
    </w:p>
    <w:p>
      <w:pPr>
        <w:pStyle w:val="BodyText"/>
        <w:spacing w:line="278" w:lineRule="auto" w:before="155"/>
        <w:ind w:left="232" w:right="194"/>
      </w:pPr>
      <w:r>
        <w:rPr/>
        <w:br w:type="column"/>
      </w:r>
      <w:r>
        <w:rPr>
          <w:spacing w:val="-14"/>
        </w:rPr>
        <w:t>指因脑血管的突发病变引起脑血管出血、栓塞或梗塞，须由头颅断层扫描</w:t>
      </w:r>
      <w:r>
        <w:rPr>
          <w:spacing w:val="24"/>
        </w:rPr>
        <w:t>（</w:t>
      </w:r>
      <w:r>
        <w:rPr>
          <w:spacing w:val="25"/>
        </w:rPr>
        <w:t>CT</w:t>
      </w:r>
      <w:r>
        <w:rPr>
          <w:spacing w:val="-83"/>
        </w:rPr>
        <w:t>）</w:t>
      </w:r>
      <w:r>
        <w:rPr>
          <w:spacing w:val="-108"/>
        </w:rPr>
        <w:t>、</w:t>
      </w:r>
      <w:r>
        <w:rPr>
          <w:spacing w:val="-2"/>
        </w:rPr>
        <w:t>核磁共振检查（MRI）等影像学检查证实，并导致神经系统永久性的功能障碍，</w:t>
      </w:r>
      <w:r>
        <w:rPr>
          <w:spacing w:val="-2"/>
        </w:rPr>
        <w:t>但未达到“严重脑中风后遗症”的给付标准，在疾病确诊 </w:t>
      </w:r>
      <w:r>
        <w:rPr/>
        <w:t>180</w:t>
      </w:r>
      <w:r>
        <w:rPr>
          <w:spacing w:val="-7"/>
        </w:rPr>
        <w:t> 天后，仍遗留下</w:t>
      </w:r>
      <w:r>
        <w:rPr>
          <w:spacing w:val="-2"/>
        </w:rPr>
        <w:t>列至少一种障碍：</w:t>
      </w:r>
    </w:p>
    <w:p>
      <w:pPr>
        <w:pStyle w:val="ListParagraph"/>
        <w:numPr>
          <w:ilvl w:val="0"/>
          <w:numId w:val="71"/>
        </w:numPr>
        <w:tabs>
          <w:tab w:pos="762" w:val="left" w:leader="none"/>
        </w:tabs>
        <w:spacing w:line="269" w:lineRule="exact" w:before="0" w:after="0"/>
        <w:ind w:left="761" w:right="0" w:hanging="530"/>
        <w:jc w:val="left"/>
        <w:rPr>
          <w:sz w:val="21"/>
        </w:rPr>
      </w:pPr>
      <w:r>
        <w:rPr>
          <w:spacing w:val="-2"/>
          <w:sz w:val="21"/>
        </w:rPr>
        <w:t>一肢（含）</w:t>
      </w:r>
      <w:r>
        <w:rPr>
          <w:spacing w:val="-9"/>
          <w:sz w:val="21"/>
        </w:rPr>
        <w:t>以上肢体肌力为 </w:t>
      </w:r>
      <w:r>
        <w:rPr>
          <w:spacing w:val="-2"/>
          <w:sz w:val="21"/>
        </w:rPr>
        <w:t>3</w:t>
      </w:r>
      <w:r>
        <w:rPr>
          <w:spacing w:val="-21"/>
          <w:sz w:val="21"/>
        </w:rPr>
        <w:t> 级；</w:t>
      </w:r>
    </w:p>
    <w:p>
      <w:pPr>
        <w:pStyle w:val="ListParagraph"/>
        <w:numPr>
          <w:ilvl w:val="0"/>
          <w:numId w:val="71"/>
        </w:numPr>
        <w:tabs>
          <w:tab w:pos="762" w:val="left" w:leader="none"/>
        </w:tabs>
        <w:spacing w:line="240" w:lineRule="auto" w:before="43" w:after="0"/>
        <w:ind w:left="761" w:right="0" w:hanging="530"/>
        <w:jc w:val="left"/>
        <w:rPr>
          <w:sz w:val="21"/>
        </w:rPr>
      </w:pPr>
      <w:r>
        <w:rPr>
          <w:spacing w:val="-5"/>
          <w:sz w:val="21"/>
        </w:rPr>
        <w:t>自主生活能力部分丧失，无法独立完成六项基本日常生活活动中的两项。</w:t>
      </w:r>
    </w:p>
    <w:p>
      <w:pPr>
        <w:spacing w:after="0" w:line="240" w:lineRule="auto"/>
        <w:jc w:val="left"/>
        <w:rPr>
          <w:sz w:val="21"/>
        </w:rPr>
        <w:sectPr>
          <w:type w:val="continuous"/>
          <w:pgSz w:w="11910" w:h="16840"/>
          <w:pgMar w:header="566" w:footer="664" w:top="1340" w:bottom="860" w:left="900" w:right="720"/>
          <w:cols w:num="2" w:equalWidth="0">
            <w:col w:w="2578" w:space="85"/>
            <w:col w:w="7627"/>
          </w:cols>
        </w:sectPr>
      </w:pPr>
    </w:p>
    <w:p>
      <w:pPr>
        <w:pStyle w:val="BodyText"/>
        <w:spacing w:before="11"/>
        <w:rPr>
          <w:sz w:val="10"/>
        </w:rPr>
      </w:pPr>
    </w:p>
    <w:p>
      <w:pPr>
        <w:spacing w:after="0"/>
        <w:rPr>
          <w:sz w:val="10"/>
        </w:rPr>
        <w:sectPr>
          <w:type w:val="continuous"/>
          <w:pgSz w:w="11910" w:h="16840"/>
          <w:pgMar w:header="566" w:footer="664" w:top="1340" w:bottom="860" w:left="900" w:right="720"/>
        </w:sectPr>
      </w:pPr>
    </w:p>
    <w:p>
      <w:pPr>
        <w:pStyle w:val="ListParagraph"/>
        <w:numPr>
          <w:ilvl w:val="2"/>
          <w:numId w:val="70"/>
        </w:numPr>
        <w:tabs>
          <w:tab w:pos="1269" w:val="left" w:leader="none"/>
          <w:tab w:pos="1270" w:val="left" w:leader="none"/>
        </w:tabs>
        <w:spacing w:line="350" w:lineRule="exact" w:before="4" w:after="0"/>
        <w:ind w:left="1270" w:right="0" w:hanging="1038"/>
        <w:jc w:val="left"/>
        <w:rPr>
          <w:rFonts w:ascii="微软雅黑" w:eastAsia="微软雅黑"/>
          <w:b/>
          <w:sz w:val="21"/>
        </w:rPr>
      </w:pPr>
      <w:r>
        <w:rPr>
          <w:rFonts w:ascii="微软雅黑" w:eastAsia="微软雅黑"/>
          <w:b/>
          <w:spacing w:val="-2"/>
          <w:sz w:val="21"/>
        </w:rPr>
        <w:t>坏死性筋膜炎</w:t>
      </w:r>
    </w:p>
    <w:p>
      <w:pPr>
        <w:spacing w:line="194" w:lineRule="auto" w:before="16"/>
        <w:ind w:left="1270" w:right="38" w:firstLine="0"/>
        <w:jc w:val="left"/>
        <w:rPr>
          <w:rFonts w:ascii="微软雅黑" w:eastAsia="微软雅黑"/>
          <w:b/>
          <w:sz w:val="21"/>
        </w:rPr>
      </w:pPr>
      <w:r>
        <w:rPr>
          <w:rFonts w:ascii="微软雅黑" w:eastAsia="微软雅黑"/>
          <w:b/>
          <w:spacing w:val="-2"/>
          <w:sz w:val="21"/>
        </w:rPr>
        <w:t>组织肌肉切除</w:t>
      </w:r>
      <w:r>
        <w:rPr>
          <w:rFonts w:ascii="微软雅黑" w:eastAsia="微软雅黑"/>
          <w:b/>
          <w:spacing w:val="-10"/>
          <w:sz w:val="21"/>
        </w:rPr>
        <w:t>术</w:t>
      </w:r>
    </w:p>
    <w:p>
      <w:pPr>
        <w:pStyle w:val="BodyText"/>
        <w:spacing w:line="278" w:lineRule="auto" w:before="72"/>
        <w:ind w:left="232" w:right="298"/>
        <w:jc w:val="both"/>
      </w:pPr>
      <w:r>
        <w:rPr/>
        <w:br w:type="column"/>
      </w:r>
      <w:r>
        <w:rPr>
          <w:spacing w:val="-4"/>
        </w:rPr>
        <w:t>是一种由细菌侵入皮下组织和筋膜引起的急性坏死性软组织感染，可伴有毒血</w:t>
      </w:r>
      <w:r>
        <w:rPr>
          <w:spacing w:val="-2"/>
        </w:rPr>
        <w:t>症、败血症、中毒性休克、弥漫性血管内凝血及多器官衰竭。必须满足下列全</w:t>
      </w:r>
      <w:r>
        <w:rPr>
          <w:spacing w:val="-4"/>
        </w:rPr>
        <w:t>部条件：</w:t>
      </w:r>
    </w:p>
    <w:p>
      <w:pPr>
        <w:pStyle w:val="ListParagraph"/>
        <w:numPr>
          <w:ilvl w:val="0"/>
          <w:numId w:val="72"/>
        </w:numPr>
        <w:tabs>
          <w:tab w:pos="762" w:val="left" w:leader="none"/>
        </w:tabs>
        <w:spacing w:line="240" w:lineRule="auto" w:before="0" w:after="0"/>
        <w:ind w:left="761" w:right="0" w:hanging="530"/>
        <w:jc w:val="left"/>
        <w:rPr>
          <w:sz w:val="21"/>
        </w:rPr>
      </w:pPr>
      <w:r>
        <w:rPr>
          <w:spacing w:val="-3"/>
          <w:sz w:val="21"/>
        </w:rPr>
        <w:t>细菌培养和临床表现符合坏死性筋膜炎诊断标准；</w:t>
      </w:r>
    </w:p>
    <w:p>
      <w:pPr>
        <w:pStyle w:val="ListParagraph"/>
        <w:numPr>
          <w:ilvl w:val="0"/>
          <w:numId w:val="72"/>
        </w:numPr>
        <w:tabs>
          <w:tab w:pos="762" w:val="left" w:leader="none"/>
        </w:tabs>
        <w:spacing w:line="240" w:lineRule="auto" w:before="43" w:after="0"/>
        <w:ind w:left="761" w:right="0" w:hanging="530"/>
        <w:jc w:val="left"/>
        <w:rPr>
          <w:sz w:val="21"/>
        </w:rPr>
      </w:pPr>
      <w:r>
        <w:rPr>
          <w:spacing w:val="-3"/>
          <w:sz w:val="21"/>
        </w:rPr>
        <w:t>病情迅速恶化，有脓毒血症表现；</w:t>
      </w:r>
    </w:p>
    <w:p>
      <w:pPr>
        <w:pStyle w:val="ListParagraph"/>
        <w:numPr>
          <w:ilvl w:val="0"/>
          <w:numId w:val="72"/>
        </w:numPr>
        <w:tabs>
          <w:tab w:pos="762" w:val="left" w:leader="none"/>
        </w:tabs>
        <w:spacing w:line="278" w:lineRule="auto" w:before="43" w:after="0"/>
        <w:ind w:left="232" w:right="348" w:firstLine="0"/>
        <w:jc w:val="left"/>
        <w:rPr>
          <w:sz w:val="21"/>
        </w:rPr>
      </w:pPr>
      <w:r>
        <w:rPr>
          <w:spacing w:val="-2"/>
          <w:sz w:val="21"/>
        </w:rPr>
        <w:t>出现广泛的软组织坏死，实际接受了坏死组织、筋膜及近旁受累肌肉的</w:t>
      </w:r>
      <w:r>
        <w:rPr>
          <w:spacing w:val="-2"/>
          <w:sz w:val="21"/>
        </w:rPr>
        <w:t>广泛切除手术。</w:t>
      </w:r>
    </w:p>
    <w:p>
      <w:pPr>
        <w:spacing w:after="0" w:line="278" w:lineRule="auto"/>
        <w:jc w:val="left"/>
        <w:rPr>
          <w:sz w:val="21"/>
        </w:rPr>
        <w:sectPr>
          <w:type w:val="continuous"/>
          <w:pgSz w:w="11910" w:h="16840"/>
          <w:pgMar w:header="566" w:footer="664" w:top="1340" w:bottom="860" w:left="900" w:right="720"/>
          <w:cols w:num="2" w:equalWidth="0">
            <w:col w:w="2578" w:space="85"/>
            <w:col w:w="7627"/>
          </w:cols>
        </w:sectPr>
      </w:pPr>
    </w:p>
    <w:p>
      <w:pPr>
        <w:pStyle w:val="ListParagraph"/>
        <w:numPr>
          <w:ilvl w:val="2"/>
          <w:numId w:val="70"/>
        </w:numPr>
        <w:tabs>
          <w:tab w:pos="1269" w:val="left" w:leader="none"/>
          <w:tab w:pos="1270" w:val="left" w:leader="none"/>
        </w:tabs>
        <w:spacing w:line="350" w:lineRule="exact" w:before="103" w:after="0"/>
        <w:ind w:left="1270" w:right="0" w:hanging="1038"/>
        <w:jc w:val="left"/>
        <w:rPr>
          <w:rFonts w:ascii="微软雅黑" w:eastAsia="微软雅黑"/>
          <w:b/>
          <w:sz w:val="21"/>
        </w:rPr>
      </w:pPr>
      <w:r>
        <w:rPr>
          <w:rFonts w:ascii="微软雅黑" w:eastAsia="微软雅黑"/>
          <w:b/>
          <w:spacing w:val="-2"/>
          <w:sz w:val="21"/>
        </w:rPr>
        <w:t>微创冠状动脉</w:t>
      </w:r>
    </w:p>
    <w:p>
      <w:pPr>
        <w:spacing w:line="194" w:lineRule="auto" w:before="15"/>
        <w:ind w:left="1270" w:right="0" w:firstLine="0"/>
        <w:jc w:val="left"/>
        <w:rPr>
          <w:rFonts w:ascii="微软雅黑" w:eastAsia="微软雅黑"/>
          <w:b/>
          <w:sz w:val="21"/>
        </w:rPr>
      </w:pPr>
      <w:r>
        <w:rPr>
          <w:rFonts w:ascii="微软雅黑" w:eastAsia="微软雅黑"/>
          <w:b/>
          <w:spacing w:val="-19"/>
          <w:sz w:val="21"/>
        </w:rPr>
        <w:t>介入手术</w:t>
      </w:r>
      <w:r>
        <w:rPr>
          <w:rFonts w:ascii="微软雅黑" w:eastAsia="微软雅黑"/>
          <w:b/>
          <w:spacing w:val="-2"/>
          <w:sz w:val="21"/>
        </w:rPr>
        <w:t>（非开</w:t>
      </w:r>
      <w:r>
        <w:rPr>
          <w:rFonts w:ascii="微软雅黑" w:eastAsia="微软雅黑"/>
          <w:b/>
          <w:spacing w:val="-4"/>
          <w:sz w:val="21"/>
        </w:rPr>
        <w:t>胸手术）</w:t>
      </w:r>
    </w:p>
    <w:p>
      <w:pPr>
        <w:pStyle w:val="BodyText"/>
        <w:spacing w:line="278" w:lineRule="auto" w:before="170"/>
        <w:ind w:left="174" w:right="245"/>
      </w:pPr>
      <w:r>
        <w:rPr/>
        <w:br w:type="column"/>
      </w:r>
      <w:r>
        <w:rPr>
          <w:spacing w:val="-5"/>
        </w:rPr>
        <w:t>为了治疗明显的冠状动脉狭窄性疾病，首次实际实施了冠状动脉球囊扩张成形</w:t>
      </w:r>
      <w:r>
        <w:rPr>
          <w:spacing w:val="-2"/>
        </w:rPr>
        <w:t>术、冠状动脉支架植入术、冠状动脉粥样斑块切除术或激光冠状动脉成形术。</w:t>
      </w:r>
    </w:p>
    <w:p>
      <w:pPr>
        <w:pStyle w:val="Heading1"/>
        <w:spacing w:line="184" w:lineRule="auto"/>
        <w:ind w:left="174" w:right="323"/>
        <w:jc w:val="both"/>
      </w:pPr>
      <w:r>
        <w:rPr>
          <w:spacing w:val="-2"/>
        </w:rPr>
        <w:t>如被保险人同时或先后达到“较轻急性心肌梗死”、“微创冠状动脉介入</w:t>
      </w:r>
      <w:r>
        <w:rPr>
          <w:spacing w:val="-2"/>
        </w:rPr>
        <w:t>手术（非开胸手术）”和“激光心肌血运重建”的赔付标准，我们仅赔付</w:t>
      </w:r>
      <w:r>
        <w:rPr>
          <w:spacing w:val="-2"/>
        </w:rPr>
        <w:t>其中一项轻症疾病保险金，赔付后另外两个病种轻症责任终止。</w:t>
      </w:r>
    </w:p>
    <w:p>
      <w:pPr>
        <w:spacing w:after="0" w:line="184" w:lineRule="auto"/>
        <w:jc w:val="both"/>
        <w:sectPr>
          <w:type w:val="continuous"/>
          <w:pgSz w:w="11910" w:h="16840"/>
          <w:pgMar w:header="566" w:footer="664" w:top="1340" w:bottom="860" w:left="900" w:right="720"/>
          <w:cols w:num="2" w:equalWidth="0">
            <w:col w:w="2682" w:space="40"/>
            <w:col w:w="7568"/>
          </w:cols>
        </w:sectPr>
      </w:pPr>
    </w:p>
    <w:p>
      <w:pPr>
        <w:pStyle w:val="BodyText"/>
        <w:spacing w:before="10"/>
        <w:rPr>
          <w:rFonts w:ascii="微软雅黑"/>
          <w:b/>
          <w:sz w:val="8"/>
        </w:rPr>
      </w:pPr>
    </w:p>
    <w:p>
      <w:pPr>
        <w:spacing w:after="0"/>
        <w:rPr>
          <w:rFonts w:ascii="微软雅黑"/>
          <w:sz w:val="8"/>
        </w:rPr>
        <w:sectPr>
          <w:type w:val="continuous"/>
          <w:pgSz w:w="11910" w:h="16840"/>
          <w:pgMar w:header="566" w:footer="664" w:top="1340" w:bottom="860" w:left="900" w:right="720"/>
        </w:sectPr>
      </w:pPr>
    </w:p>
    <w:p>
      <w:pPr>
        <w:pStyle w:val="ListParagraph"/>
        <w:numPr>
          <w:ilvl w:val="2"/>
          <w:numId w:val="70"/>
        </w:numPr>
        <w:tabs>
          <w:tab w:pos="1269" w:val="left" w:leader="none"/>
          <w:tab w:pos="1270" w:val="left" w:leader="none"/>
        </w:tabs>
        <w:spacing w:line="194" w:lineRule="auto" w:before="57" w:after="0"/>
        <w:ind w:left="1270" w:right="38" w:hanging="1038"/>
        <w:jc w:val="left"/>
        <w:rPr>
          <w:rFonts w:ascii="微软雅黑" w:eastAsia="微软雅黑"/>
          <w:b/>
          <w:sz w:val="21"/>
        </w:rPr>
      </w:pPr>
      <w:r>
        <w:rPr>
          <w:rFonts w:ascii="微软雅黑" w:eastAsia="微软雅黑"/>
          <w:b/>
          <w:spacing w:val="-2"/>
          <w:sz w:val="21"/>
        </w:rPr>
        <w:t>激光心肌血运</w:t>
      </w:r>
      <w:r>
        <w:rPr>
          <w:rFonts w:ascii="微软雅黑" w:eastAsia="微软雅黑"/>
          <w:b/>
          <w:spacing w:val="-6"/>
          <w:sz w:val="21"/>
        </w:rPr>
        <w:t>重建</w:t>
      </w:r>
    </w:p>
    <w:p>
      <w:pPr>
        <w:pStyle w:val="BodyText"/>
        <w:spacing w:line="278" w:lineRule="auto" w:before="72"/>
        <w:ind w:left="232" w:right="298"/>
        <w:jc w:val="both"/>
      </w:pPr>
      <w:r>
        <w:rPr/>
        <w:br w:type="column"/>
      </w:r>
      <w:r>
        <w:rPr>
          <w:spacing w:val="-2"/>
        </w:rPr>
        <w:t>指患有顽固性心绞痛，经持续药物治疗后无改善，冠状动脉搭桥手术及经皮血</w:t>
      </w:r>
      <w:r>
        <w:rPr>
          <w:spacing w:val="-5"/>
        </w:rPr>
        <w:t>管成形手术已失败或者被认为不适合，在认可的医院内实际进行了开胸手术下</w:t>
      </w:r>
      <w:r>
        <w:rPr>
          <w:spacing w:val="-2"/>
        </w:rPr>
        <w:t>或者胸腔镜下的激光心肌血运重建。</w:t>
      </w:r>
    </w:p>
    <w:p>
      <w:pPr>
        <w:pStyle w:val="Heading1"/>
        <w:spacing w:line="184" w:lineRule="auto"/>
        <w:ind w:left="232" w:right="299"/>
        <w:jc w:val="both"/>
      </w:pPr>
      <w:r>
        <w:rPr>
          <w:spacing w:val="-12"/>
        </w:rPr>
        <w:t>如被保险人同时或先后达到“较轻急性心肌梗死”、“微创冠状动脉介入手</w:t>
      </w:r>
      <w:r>
        <w:rPr>
          <w:spacing w:val="-2"/>
        </w:rPr>
        <w:t>术（非开胸手术</w:t>
      </w:r>
      <w:r>
        <w:rPr>
          <w:spacing w:val="-64"/>
        </w:rPr>
        <w:t>）</w:t>
      </w:r>
      <w:r>
        <w:rPr>
          <w:spacing w:val="-11"/>
        </w:rPr>
        <w:t>”和“激光心肌血运重建”的赔付标准，我们仅赔付其中</w:t>
      </w:r>
      <w:r>
        <w:rPr>
          <w:spacing w:val="-2"/>
        </w:rPr>
        <w:t>一项轻症疾病保险金，赔付后另外两个病种轻症责任终止。</w:t>
      </w:r>
    </w:p>
    <w:p>
      <w:pPr>
        <w:spacing w:after="0" w:line="184" w:lineRule="auto"/>
        <w:jc w:val="both"/>
        <w:sectPr>
          <w:type w:val="continuous"/>
          <w:pgSz w:w="11910" w:h="16840"/>
          <w:pgMar w:header="566" w:footer="664" w:top="1340" w:bottom="860" w:left="900" w:right="720"/>
          <w:cols w:num="2" w:equalWidth="0">
            <w:col w:w="2578" w:space="85"/>
            <w:col w:w="7627"/>
          </w:cols>
        </w:sectPr>
      </w:pPr>
    </w:p>
    <w:p>
      <w:pPr>
        <w:pStyle w:val="ListParagraph"/>
        <w:numPr>
          <w:ilvl w:val="2"/>
          <w:numId w:val="70"/>
        </w:numPr>
        <w:tabs>
          <w:tab w:pos="1269" w:val="left" w:leader="none"/>
          <w:tab w:pos="1270" w:val="left" w:leader="none"/>
        </w:tabs>
        <w:spacing w:line="350" w:lineRule="exact" w:before="102" w:after="0"/>
        <w:ind w:left="1270" w:right="0" w:hanging="1038"/>
        <w:jc w:val="left"/>
        <w:rPr>
          <w:rFonts w:ascii="微软雅黑" w:eastAsia="微软雅黑"/>
          <w:b/>
          <w:sz w:val="21"/>
        </w:rPr>
      </w:pPr>
      <w:r>
        <w:rPr>
          <w:rFonts w:ascii="微软雅黑" w:eastAsia="微软雅黑"/>
          <w:b/>
          <w:spacing w:val="-2"/>
          <w:sz w:val="21"/>
        </w:rPr>
        <w:t>轻度脑炎或脑</w:t>
      </w:r>
    </w:p>
    <w:p>
      <w:pPr>
        <w:spacing w:line="350" w:lineRule="exact" w:before="0"/>
        <w:ind w:left="1270" w:right="0" w:firstLine="0"/>
        <w:jc w:val="left"/>
        <w:rPr>
          <w:rFonts w:ascii="微软雅黑" w:eastAsia="微软雅黑"/>
          <w:b/>
          <w:sz w:val="21"/>
        </w:rPr>
      </w:pPr>
      <w:r>
        <w:rPr>
          <w:rFonts w:ascii="微软雅黑" w:eastAsia="微软雅黑"/>
          <w:b/>
          <w:spacing w:val="-2"/>
          <w:sz w:val="21"/>
        </w:rPr>
        <w:t>膜炎后遗症</w:t>
      </w:r>
    </w:p>
    <w:p>
      <w:pPr>
        <w:pStyle w:val="BodyText"/>
        <w:spacing w:line="278" w:lineRule="auto" w:before="170"/>
        <w:ind w:left="232" w:right="298"/>
        <w:jc w:val="both"/>
      </w:pPr>
      <w:r>
        <w:rPr/>
        <w:br w:type="column"/>
      </w:r>
      <w:r>
        <w:rPr>
          <w:spacing w:val="-2"/>
        </w:rPr>
        <w:t>指因患脑炎或脑膜炎导致的神经系统的功能障碍。神经系统的功能障碍，指疾</w:t>
      </w:r>
      <w:r>
        <w:rPr>
          <w:spacing w:val="-9"/>
        </w:rPr>
        <w:t>病确诊 </w:t>
      </w:r>
      <w:r>
        <w:rPr>
          <w:spacing w:val="-4"/>
        </w:rPr>
        <w:t>180</w:t>
      </w:r>
      <w:r>
        <w:rPr>
          <w:spacing w:val="-8"/>
        </w:rPr>
        <w:t> 天后，仍存在自主活动能力完全丧失，经鉴定无法独立完成六项基</w:t>
      </w:r>
      <w:r>
        <w:rPr>
          <w:spacing w:val="-2"/>
        </w:rPr>
        <w:t>本日常生活活动中的两项，但未达到本合同所指重大疾病“严重脑炎后遗症或</w:t>
      </w:r>
      <w:r>
        <w:rPr>
          <w:spacing w:val="-2"/>
        </w:rPr>
        <w:t>严重脑膜炎后遗症”或“瘫痪”的给付标准。</w:t>
      </w:r>
    </w:p>
    <w:p>
      <w:pPr>
        <w:spacing w:after="0" w:line="278" w:lineRule="auto"/>
        <w:jc w:val="both"/>
        <w:sectPr>
          <w:type w:val="continuous"/>
          <w:pgSz w:w="11910" w:h="16840"/>
          <w:pgMar w:header="566" w:footer="664" w:top="1340" w:bottom="860" w:left="900" w:right="720"/>
          <w:cols w:num="2" w:equalWidth="0">
            <w:col w:w="2578" w:space="85"/>
            <w:col w:w="7627"/>
          </w:cols>
        </w:sectPr>
      </w:pPr>
    </w:p>
    <w:p>
      <w:pPr>
        <w:pStyle w:val="ListParagraph"/>
        <w:numPr>
          <w:ilvl w:val="2"/>
          <w:numId w:val="70"/>
        </w:numPr>
        <w:tabs>
          <w:tab w:pos="1269" w:val="left" w:leader="none"/>
          <w:tab w:pos="1270" w:val="left" w:leader="none"/>
          <w:tab w:pos="2895" w:val="left" w:leader="none"/>
        </w:tabs>
        <w:spacing w:line="235" w:lineRule="auto" w:before="108" w:after="0"/>
        <w:ind w:left="2895" w:right="298" w:hanging="2663"/>
        <w:jc w:val="left"/>
        <w:rPr>
          <w:sz w:val="21"/>
        </w:rPr>
      </w:pPr>
      <w:r>
        <w:rPr>
          <w:rFonts w:ascii="微软雅黑" w:eastAsia="微软雅黑"/>
          <w:b/>
          <w:spacing w:val="-2"/>
          <w:sz w:val="21"/>
        </w:rPr>
        <w:t>主</w:t>
      </w:r>
      <w:r>
        <w:rPr>
          <w:rFonts w:ascii="微软雅黑" w:eastAsia="微软雅黑"/>
          <w:b/>
          <w:spacing w:val="-2"/>
          <w:sz w:val="21"/>
        </w:rPr>
        <w:t>动</w:t>
      </w:r>
      <w:r>
        <w:rPr>
          <w:rFonts w:ascii="微软雅黑" w:eastAsia="微软雅黑"/>
          <w:b/>
          <w:spacing w:val="-2"/>
          <w:sz w:val="21"/>
        </w:rPr>
        <w:t>脉</w:t>
      </w:r>
      <w:r>
        <w:rPr>
          <w:rFonts w:ascii="微软雅黑" w:eastAsia="微软雅黑"/>
          <w:b/>
          <w:spacing w:val="-2"/>
          <w:sz w:val="21"/>
        </w:rPr>
        <w:t>内</w:t>
      </w:r>
      <w:r>
        <w:rPr>
          <w:rFonts w:ascii="微软雅黑" w:eastAsia="微软雅黑"/>
          <w:b/>
          <w:spacing w:val="-2"/>
          <w:sz w:val="21"/>
        </w:rPr>
        <w:t>手</w:t>
      </w:r>
      <w:r>
        <w:rPr>
          <w:rFonts w:ascii="微软雅黑" w:eastAsia="微软雅黑"/>
          <w:b/>
          <w:spacing w:val="-2"/>
          <w:sz w:val="21"/>
        </w:rPr>
        <w:t>术</w:t>
      </w:r>
      <w:r>
        <w:rPr>
          <w:rFonts w:ascii="微软雅黑" w:eastAsia="微软雅黑"/>
          <w:b/>
          <w:sz w:val="21"/>
        </w:rPr>
        <w:tab/>
      </w:r>
      <w:r>
        <w:rPr>
          <w:spacing w:val="-2"/>
          <w:sz w:val="21"/>
        </w:rPr>
        <w:t>为</w:t>
      </w:r>
      <w:r>
        <w:rPr>
          <w:spacing w:val="-2"/>
          <w:sz w:val="21"/>
        </w:rPr>
        <w:t>了</w:t>
      </w:r>
      <w:r>
        <w:rPr>
          <w:spacing w:val="-2"/>
          <w:sz w:val="21"/>
        </w:rPr>
        <w:t>治疗主动脉疾病实际</w:t>
      </w:r>
      <w:r>
        <w:rPr>
          <w:spacing w:val="-2"/>
          <w:sz w:val="21"/>
        </w:rPr>
        <w:t>实</w:t>
      </w:r>
      <w:r>
        <w:rPr>
          <w:spacing w:val="-2"/>
          <w:sz w:val="21"/>
        </w:rPr>
        <w:t>施</w:t>
      </w:r>
      <w:r>
        <w:rPr>
          <w:spacing w:val="-2"/>
          <w:sz w:val="21"/>
        </w:rPr>
        <w:t>了经皮经导管进行的</w:t>
      </w:r>
      <w:r>
        <w:rPr>
          <w:spacing w:val="-2"/>
          <w:sz w:val="21"/>
        </w:rPr>
        <w:t>动</w:t>
      </w:r>
      <w:r>
        <w:rPr>
          <w:spacing w:val="-2"/>
          <w:sz w:val="21"/>
        </w:rPr>
        <w:t>脉</w:t>
      </w:r>
      <w:r>
        <w:rPr>
          <w:spacing w:val="-2"/>
          <w:sz w:val="21"/>
        </w:rPr>
        <w:t>内手术</w:t>
      </w:r>
      <w:r>
        <w:rPr>
          <w:spacing w:val="-53"/>
          <w:sz w:val="21"/>
        </w:rPr>
        <w:t>。</w:t>
      </w:r>
      <w:r>
        <w:rPr>
          <w:spacing w:val="-2"/>
          <w:sz w:val="21"/>
        </w:rPr>
        <w:t>主动脉指胸主</w:t>
      </w:r>
      <w:r>
        <w:rPr>
          <w:spacing w:val="-2"/>
          <w:sz w:val="21"/>
        </w:rPr>
        <w:t>动</w:t>
      </w:r>
      <w:r>
        <w:rPr>
          <w:spacing w:val="-2"/>
          <w:sz w:val="21"/>
        </w:rPr>
        <w:t>脉</w:t>
      </w:r>
      <w:r>
        <w:rPr>
          <w:spacing w:val="-2"/>
          <w:sz w:val="21"/>
        </w:rPr>
        <w:t>和腹主动脉，不包括</w:t>
      </w:r>
      <w:r>
        <w:rPr>
          <w:spacing w:val="-2"/>
          <w:sz w:val="21"/>
        </w:rPr>
        <w:t>胸</w:t>
      </w:r>
      <w:r>
        <w:rPr>
          <w:spacing w:val="-2"/>
          <w:sz w:val="21"/>
        </w:rPr>
        <w:t>主</w:t>
      </w:r>
      <w:r>
        <w:rPr>
          <w:spacing w:val="-2"/>
          <w:sz w:val="21"/>
        </w:rPr>
        <w:t>动脉和腹主动脉的分</w:t>
      </w:r>
      <w:r>
        <w:rPr>
          <w:spacing w:val="-2"/>
          <w:sz w:val="21"/>
        </w:rPr>
        <w:t>支</w:t>
      </w:r>
      <w:r>
        <w:rPr>
          <w:spacing w:val="-2"/>
          <w:sz w:val="21"/>
        </w:rPr>
        <w:t>血</w:t>
      </w:r>
      <w:r>
        <w:rPr>
          <w:spacing w:val="-2"/>
          <w:sz w:val="21"/>
        </w:rPr>
        <w:t>管。</w:t>
      </w:r>
    </w:p>
    <w:p>
      <w:pPr>
        <w:pStyle w:val="BodyText"/>
        <w:spacing w:before="1"/>
        <w:rPr>
          <w:sz w:val="11"/>
        </w:rPr>
      </w:pPr>
    </w:p>
    <w:p>
      <w:pPr>
        <w:spacing w:after="0"/>
        <w:rPr>
          <w:sz w:val="11"/>
        </w:rPr>
        <w:sectPr>
          <w:type w:val="continuous"/>
          <w:pgSz w:w="11910" w:h="16840"/>
          <w:pgMar w:header="566" w:footer="664" w:top="1340" w:bottom="860" w:left="900" w:right="720"/>
        </w:sectPr>
      </w:pPr>
    </w:p>
    <w:p>
      <w:pPr>
        <w:pStyle w:val="ListParagraph"/>
        <w:numPr>
          <w:ilvl w:val="2"/>
          <w:numId w:val="70"/>
        </w:numPr>
        <w:tabs>
          <w:tab w:pos="1269" w:val="left" w:leader="none"/>
          <w:tab w:pos="1270" w:val="left" w:leader="none"/>
        </w:tabs>
        <w:spacing w:line="350" w:lineRule="exact" w:before="4" w:after="0"/>
        <w:ind w:left="1270" w:right="0" w:hanging="1038"/>
        <w:jc w:val="left"/>
        <w:rPr>
          <w:rFonts w:ascii="微软雅黑" w:eastAsia="微软雅黑"/>
          <w:b/>
          <w:sz w:val="21"/>
        </w:rPr>
      </w:pPr>
      <w:r>
        <w:rPr>
          <w:rFonts w:ascii="微软雅黑" w:eastAsia="微软雅黑"/>
          <w:b/>
          <w:spacing w:val="-12"/>
          <w:sz w:val="21"/>
        </w:rPr>
        <w:t>脑垂体瘤、脑囊</w:t>
      </w:r>
    </w:p>
    <w:p>
      <w:pPr>
        <w:spacing w:line="194" w:lineRule="auto" w:before="16"/>
        <w:ind w:left="1270" w:right="0" w:firstLine="0"/>
        <w:jc w:val="left"/>
        <w:rPr>
          <w:rFonts w:ascii="微软雅黑" w:eastAsia="微软雅黑"/>
          <w:b/>
          <w:sz w:val="21"/>
        </w:rPr>
      </w:pPr>
      <w:r>
        <w:rPr>
          <w:rFonts w:ascii="微软雅黑" w:eastAsia="微软雅黑"/>
          <w:b/>
          <w:spacing w:val="-14"/>
          <w:sz w:val="21"/>
        </w:rPr>
        <w:t>肿、脑动脉瘤及</w:t>
      </w:r>
      <w:r>
        <w:rPr>
          <w:rFonts w:ascii="微软雅黑" w:eastAsia="微软雅黑"/>
          <w:b/>
          <w:spacing w:val="-4"/>
          <w:sz w:val="21"/>
        </w:rPr>
        <w:t>脑血管瘤</w:t>
      </w:r>
    </w:p>
    <w:p>
      <w:pPr>
        <w:pStyle w:val="BodyText"/>
        <w:spacing w:line="278" w:lineRule="auto" w:before="72"/>
        <w:ind w:left="174" w:right="298"/>
      </w:pPr>
      <w:r>
        <w:rPr/>
        <w:br w:type="column"/>
      </w:r>
      <w:r>
        <w:rPr>
          <w:spacing w:val="-6"/>
        </w:rPr>
        <w:t>指经头颅断层扫描</w:t>
      </w:r>
      <w:r>
        <w:rPr>
          <w:spacing w:val="21"/>
        </w:rPr>
        <w:t>（</w:t>
      </w:r>
      <w:r>
        <w:rPr>
          <w:spacing w:val="22"/>
        </w:rPr>
        <w:t>C</w:t>
      </w:r>
      <w:r>
        <w:rPr>
          <w:spacing w:val="19"/>
        </w:rPr>
        <w:t>T</w:t>
      </w:r>
      <w:r>
        <w:rPr>
          <w:spacing w:val="-86"/>
        </w:rPr>
        <w:t>）</w:t>
      </w:r>
      <w:r>
        <w:rPr>
          <w:spacing w:val="-6"/>
        </w:rPr>
        <w:t>、核磁共振检查（MRI）或其他影像学检查被确诊为下</w:t>
      </w:r>
      <w:r>
        <w:rPr>
          <w:spacing w:val="-2"/>
        </w:rPr>
        <w:t>列病变，并实际接受了手术或放射治疗。</w:t>
      </w:r>
    </w:p>
    <w:p>
      <w:pPr>
        <w:pStyle w:val="ListParagraph"/>
        <w:numPr>
          <w:ilvl w:val="0"/>
          <w:numId w:val="73"/>
        </w:numPr>
        <w:tabs>
          <w:tab w:pos="704" w:val="left" w:leader="none"/>
        </w:tabs>
        <w:spacing w:line="269" w:lineRule="exact" w:before="0" w:after="0"/>
        <w:ind w:left="703" w:right="0" w:hanging="530"/>
        <w:jc w:val="left"/>
        <w:rPr>
          <w:sz w:val="21"/>
        </w:rPr>
      </w:pPr>
      <w:r>
        <w:rPr>
          <w:spacing w:val="-4"/>
          <w:sz w:val="21"/>
        </w:rPr>
        <w:t>脑垂体瘤；</w:t>
      </w:r>
    </w:p>
    <w:p>
      <w:pPr>
        <w:pStyle w:val="ListParagraph"/>
        <w:numPr>
          <w:ilvl w:val="0"/>
          <w:numId w:val="73"/>
        </w:numPr>
        <w:tabs>
          <w:tab w:pos="704" w:val="left" w:leader="none"/>
        </w:tabs>
        <w:spacing w:line="240" w:lineRule="auto" w:before="42" w:after="0"/>
        <w:ind w:left="703" w:right="0" w:hanging="530"/>
        <w:jc w:val="left"/>
        <w:rPr>
          <w:sz w:val="21"/>
        </w:rPr>
      </w:pPr>
      <w:r>
        <w:rPr>
          <w:spacing w:val="-4"/>
          <w:sz w:val="21"/>
        </w:rPr>
        <w:t>脑囊肿；</w:t>
      </w:r>
    </w:p>
    <w:p>
      <w:pPr>
        <w:pStyle w:val="ListParagraph"/>
        <w:numPr>
          <w:ilvl w:val="0"/>
          <w:numId w:val="73"/>
        </w:numPr>
        <w:tabs>
          <w:tab w:pos="704" w:val="left" w:leader="none"/>
        </w:tabs>
        <w:spacing w:line="252" w:lineRule="exact" w:before="43" w:after="0"/>
        <w:ind w:left="703" w:right="0" w:hanging="530"/>
        <w:jc w:val="left"/>
        <w:rPr>
          <w:sz w:val="21"/>
        </w:rPr>
      </w:pPr>
      <w:r>
        <w:rPr>
          <w:spacing w:val="-3"/>
          <w:sz w:val="21"/>
        </w:rPr>
        <w:t>脑动脉瘤、脑血管瘤。</w:t>
      </w:r>
    </w:p>
    <w:p>
      <w:pPr>
        <w:pStyle w:val="Heading1"/>
        <w:spacing w:line="184" w:lineRule="auto" w:before="50"/>
        <w:ind w:left="174" w:right="323"/>
        <w:jc w:val="both"/>
      </w:pPr>
      <w:r>
        <w:rPr>
          <w:spacing w:val="-2"/>
        </w:rPr>
        <w:t>如被保险人同时或先后达到“脑垂体瘤、脑囊肿、脑动脉瘤及脑血管瘤”</w:t>
      </w:r>
      <w:r>
        <w:rPr>
          <w:spacing w:val="-2"/>
        </w:rPr>
        <w:t>和“微创颅脑手术”的赔付标准，我们仅赔付其中一项轻症疾病保险金，</w:t>
      </w:r>
      <w:r>
        <w:rPr>
          <w:spacing w:val="-2"/>
        </w:rPr>
        <w:t>赔付后另外一个病种轻症责任终止。</w:t>
      </w:r>
    </w:p>
    <w:p>
      <w:pPr>
        <w:spacing w:after="0" w:line="184" w:lineRule="auto"/>
        <w:jc w:val="both"/>
        <w:sectPr>
          <w:type w:val="continuous"/>
          <w:pgSz w:w="11910" w:h="16840"/>
          <w:pgMar w:header="566" w:footer="664" w:top="1340" w:bottom="860" w:left="900" w:right="720"/>
          <w:cols w:num="2" w:equalWidth="0">
            <w:col w:w="2682" w:space="40"/>
            <w:col w:w="7568"/>
          </w:cols>
        </w:sectPr>
      </w:pPr>
    </w:p>
    <w:p>
      <w:pPr>
        <w:pStyle w:val="BodyText"/>
        <w:spacing w:before="8"/>
        <w:rPr>
          <w:rFonts w:ascii="微软雅黑"/>
          <w:b/>
          <w:sz w:val="15"/>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40"/>
        <w:gridCol w:w="1594"/>
        <w:gridCol w:w="7373"/>
      </w:tblGrid>
      <w:tr>
        <w:trPr>
          <w:trHeight w:val="1595" w:hRule="atLeast"/>
        </w:trPr>
        <w:tc>
          <w:tcPr>
            <w:tcW w:w="940" w:type="dxa"/>
          </w:tcPr>
          <w:p>
            <w:pPr>
              <w:pStyle w:val="TableParagraph"/>
              <w:spacing w:line="291" w:lineRule="exact"/>
              <w:ind w:left="50"/>
              <w:rPr>
                <w:rFonts w:ascii="微软雅黑"/>
                <w:b/>
                <w:sz w:val="21"/>
              </w:rPr>
            </w:pPr>
            <w:r>
              <w:rPr>
                <w:rFonts w:ascii="微软雅黑"/>
                <w:b/>
                <w:spacing w:val="-2"/>
                <w:sz w:val="21"/>
              </w:rPr>
              <w:t>10.1.10</w:t>
            </w:r>
          </w:p>
        </w:tc>
        <w:tc>
          <w:tcPr>
            <w:tcW w:w="1594" w:type="dxa"/>
          </w:tcPr>
          <w:p>
            <w:pPr>
              <w:pStyle w:val="TableParagraph"/>
              <w:spacing w:line="291" w:lineRule="exact"/>
              <w:ind w:left="147"/>
              <w:rPr>
                <w:rFonts w:ascii="微软雅黑" w:eastAsia="微软雅黑"/>
                <w:b/>
                <w:sz w:val="21"/>
              </w:rPr>
            </w:pPr>
            <w:r>
              <w:rPr>
                <w:rFonts w:ascii="微软雅黑" w:eastAsia="微软雅黑"/>
                <w:b/>
                <w:spacing w:val="-2"/>
                <w:sz w:val="21"/>
              </w:rPr>
              <w:t>微创颅脑手术</w:t>
            </w:r>
          </w:p>
        </w:tc>
        <w:tc>
          <w:tcPr>
            <w:tcW w:w="7373" w:type="dxa"/>
          </w:tcPr>
          <w:p>
            <w:pPr>
              <w:pStyle w:val="TableParagraph"/>
              <w:spacing w:line="223" w:lineRule="exact"/>
              <w:ind w:left="178"/>
              <w:rPr>
                <w:sz w:val="21"/>
              </w:rPr>
            </w:pPr>
            <w:r>
              <w:rPr>
                <w:spacing w:val="-3"/>
                <w:sz w:val="21"/>
              </w:rPr>
              <w:t>因疾病被保险人确已实施全身麻醉下的颅骨钻孔手术或者经鼻蝶窦入颅手术。</w:t>
            </w:r>
          </w:p>
          <w:p>
            <w:pPr>
              <w:pStyle w:val="TableParagraph"/>
              <w:spacing w:line="341" w:lineRule="exact"/>
              <w:ind w:left="178"/>
              <w:rPr>
                <w:rFonts w:ascii="微软雅黑" w:eastAsia="微软雅黑"/>
                <w:b/>
                <w:sz w:val="22"/>
              </w:rPr>
            </w:pPr>
            <w:r>
              <w:rPr>
                <w:rFonts w:ascii="微软雅黑" w:eastAsia="微软雅黑"/>
                <w:b/>
                <w:color w:val="000000"/>
                <w:spacing w:val="-1"/>
                <w:sz w:val="22"/>
                <w:shd w:fill="D9D9D9" w:color="auto" w:val="clear"/>
              </w:rPr>
              <w:t>因外伤而实施的脑外科手术不在本保障范围内。</w:t>
            </w:r>
          </w:p>
          <w:p>
            <w:pPr>
              <w:pStyle w:val="TableParagraph"/>
              <w:spacing w:line="184" w:lineRule="auto" w:before="20"/>
              <w:ind w:left="178" w:right="126"/>
              <w:jc w:val="both"/>
              <w:rPr>
                <w:rFonts w:ascii="微软雅黑" w:hAnsi="微软雅黑" w:eastAsia="微软雅黑"/>
                <w:b/>
                <w:sz w:val="22"/>
              </w:rPr>
            </w:pPr>
            <w:r>
              <w:rPr>
                <w:rFonts w:ascii="微软雅黑" w:hAnsi="微软雅黑" w:eastAsia="微软雅黑"/>
                <w:b/>
                <w:spacing w:val="-2"/>
                <w:sz w:val="22"/>
              </w:rPr>
              <w:t>如被保险人同时或先后达到“脑垂体瘤、脑囊肿、脑动脉瘤及脑血管瘤”</w:t>
            </w:r>
            <w:r>
              <w:rPr>
                <w:rFonts w:ascii="微软雅黑" w:hAnsi="微软雅黑" w:eastAsia="微软雅黑"/>
                <w:b/>
                <w:spacing w:val="-2"/>
                <w:sz w:val="22"/>
              </w:rPr>
              <w:t>和“微创颅脑手术”的赔付标准，我们仅赔付其中一项轻症疾病保险金，</w:t>
            </w:r>
            <w:r>
              <w:rPr>
                <w:rFonts w:ascii="微软雅黑" w:hAnsi="微软雅黑" w:eastAsia="微软雅黑"/>
                <w:b/>
                <w:spacing w:val="-2"/>
                <w:sz w:val="22"/>
              </w:rPr>
              <w:t>赔付后另外一个病种轻症责任终止。</w:t>
            </w:r>
          </w:p>
        </w:tc>
      </w:tr>
      <w:tr>
        <w:trPr>
          <w:trHeight w:val="394" w:hRule="atLeast"/>
        </w:trPr>
        <w:tc>
          <w:tcPr>
            <w:tcW w:w="940" w:type="dxa"/>
          </w:tcPr>
          <w:p>
            <w:pPr>
              <w:pStyle w:val="TableParagraph"/>
              <w:spacing w:line="337" w:lineRule="exact" w:before="37"/>
              <w:ind w:left="50"/>
              <w:rPr>
                <w:rFonts w:ascii="微软雅黑"/>
                <w:b/>
                <w:sz w:val="21"/>
              </w:rPr>
            </w:pPr>
            <w:r>
              <w:rPr>
                <w:rFonts w:ascii="微软雅黑"/>
                <w:b/>
                <w:spacing w:val="-2"/>
                <w:sz w:val="21"/>
              </w:rPr>
              <w:t>10.1.11</w:t>
            </w:r>
          </w:p>
        </w:tc>
        <w:tc>
          <w:tcPr>
            <w:tcW w:w="1594" w:type="dxa"/>
          </w:tcPr>
          <w:p>
            <w:pPr>
              <w:pStyle w:val="TableParagraph"/>
              <w:spacing w:line="337" w:lineRule="exact" w:before="37"/>
              <w:ind w:left="147"/>
              <w:rPr>
                <w:rFonts w:ascii="微软雅黑" w:eastAsia="微软雅黑"/>
                <w:b/>
                <w:sz w:val="21"/>
              </w:rPr>
            </w:pPr>
            <w:r>
              <w:rPr>
                <w:rFonts w:ascii="微软雅黑" w:eastAsia="微软雅黑"/>
                <w:b/>
                <w:spacing w:val="-2"/>
                <w:sz w:val="21"/>
              </w:rPr>
              <w:t>慢性肝功能衰</w:t>
            </w:r>
          </w:p>
        </w:tc>
        <w:tc>
          <w:tcPr>
            <w:tcW w:w="7373" w:type="dxa"/>
          </w:tcPr>
          <w:p>
            <w:pPr>
              <w:pStyle w:val="TableParagraph"/>
              <w:spacing w:before="104"/>
              <w:ind w:left="178"/>
              <w:rPr>
                <w:sz w:val="21"/>
              </w:rPr>
            </w:pPr>
            <w:r>
              <w:rPr>
                <w:spacing w:val="-2"/>
                <w:sz w:val="21"/>
              </w:rPr>
              <w:t>指因慢性肝脏疾病导致持续180</w:t>
            </w:r>
            <w:r>
              <w:rPr>
                <w:spacing w:val="-3"/>
                <w:sz w:val="21"/>
              </w:rPr>
              <w:t>天肝功能衰竭，须满足下列全部条件：</w:t>
            </w:r>
          </w:p>
        </w:tc>
      </w:tr>
      <w:tr>
        <w:trPr>
          <w:trHeight w:val="311" w:hRule="atLeast"/>
        </w:trPr>
        <w:tc>
          <w:tcPr>
            <w:tcW w:w="940" w:type="dxa"/>
          </w:tcPr>
          <w:p>
            <w:pPr>
              <w:pStyle w:val="TableParagraph"/>
              <w:rPr>
                <w:rFonts w:ascii="Times New Roman"/>
                <w:sz w:val="20"/>
              </w:rPr>
            </w:pPr>
          </w:p>
        </w:tc>
        <w:tc>
          <w:tcPr>
            <w:tcW w:w="1594" w:type="dxa"/>
          </w:tcPr>
          <w:p>
            <w:pPr>
              <w:pStyle w:val="TableParagraph"/>
              <w:spacing w:line="292" w:lineRule="exact"/>
              <w:ind w:left="147"/>
              <w:rPr>
                <w:rFonts w:ascii="微软雅黑" w:eastAsia="微软雅黑"/>
                <w:b/>
                <w:sz w:val="21"/>
              </w:rPr>
            </w:pPr>
            <w:r>
              <w:rPr>
                <w:rFonts w:ascii="微软雅黑" w:eastAsia="微软雅黑"/>
                <w:b/>
                <w:spacing w:val="-2"/>
                <w:sz w:val="21"/>
              </w:rPr>
              <w:t>竭失代偿早期</w:t>
            </w:r>
          </w:p>
        </w:tc>
        <w:tc>
          <w:tcPr>
            <w:tcW w:w="7373" w:type="dxa"/>
          </w:tcPr>
          <w:p>
            <w:pPr>
              <w:pStyle w:val="TableParagraph"/>
              <w:spacing w:before="22"/>
              <w:ind w:left="178"/>
              <w:rPr>
                <w:sz w:val="21"/>
              </w:rPr>
            </w:pPr>
            <w:r>
              <w:rPr>
                <w:spacing w:val="-2"/>
                <w:sz w:val="21"/>
              </w:rPr>
              <w:t>（1）持续性黄疸，胆红素＞50umol/L；</w:t>
            </w:r>
          </w:p>
        </w:tc>
      </w:tr>
      <w:tr>
        <w:trPr>
          <w:trHeight w:val="312"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before="22"/>
              <w:ind w:left="178"/>
              <w:rPr>
                <w:sz w:val="21"/>
              </w:rPr>
            </w:pPr>
            <w:r>
              <w:rPr>
                <w:spacing w:val="-2"/>
                <w:sz w:val="21"/>
              </w:rPr>
              <w:t>（2）白蛋白＜27g/L；</w:t>
            </w:r>
          </w:p>
        </w:tc>
      </w:tr>
      <w:tr>
        <w:trPr>
          <w:trHeight w:val="711"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line="252" w:lineRule="exact" w:before="22"/>
              <w:ind w:left="178"/>
              <w:rPr>
                <w:sz w:val="21"/>
              </w:rPr>
            </w:pPr>
            <w:r>
              <w:rPr>
                <w:spacing w:val="-2"/>
                <w:sz w:val="21"/>
              </w:rPr>
              <w:t>（3）凝血酶原时间延长＞4</w:t>
            </w:r>
            <w:r>
              <w:rPr>
                <w:spacing w:val="-6"/>
                <w:sz w:val="21"/>
              </w:rPr>
              <w:t>秒。</w:t>
            </w:r>
          </w:p>
          <w:p>
            <w:pPr>
              <w:pStyle w:val="TableParagraph"/>
              <w:spacing w:line="388" w:lineRule="exact"/>
              <w:ind w:left="178"/>
              <w:rPr>
                <w:rFonts w:ascii="微软雅黑" w:eastAsia="微软雅黑"/>
                <w:b/>
                <w:sz w:val="22"/>
              </w:rPr>
            </w:pPr>
            <w:r>
              <w:rPr>
                <w:rFonts w:ascii="微软雅黑" w:eastAsia="微软雅黑"/>
                <w:b/>
                <w:color w:val="000000"/>
                <w:spacing w:val="-1"/>
                <w:sz w:val="22"/>
                <w:shd w:fill="D9D9D9" w:color="auto" w:val="clear"/>
              </w:rPr>
              <w:t>因酗酒或药物滥用导致的肝功能衰竭不在本保障范围内。</w:t>
            </w:r>
          </w:p>
        </w:tc>
      </w:tr>
      <w:tr>
        <w:trPr>
          <w:trHeight w:val="395" w:hRule="atLeast"/>
        </w:trPr>
        <w:tc>
          <w:tcPr>
            <w:tcW w:w="940" w:type="dxa"/>
          </w:tcPr>
          <w:p>
            <w:pPr>
              <w:pStyle w:val="TableParagraph"/>
              <w:spacing w:line="338" w:lineRule="exact" w:before="38"/>
              <w:ind w:left="50"/>
              <w:rPr>
                <w:rFonts w:ascii="微软雅黑"/>
                <w:b/>
                <w:sz w:val="21"/>
              </w:rPr>
            </w:pPr>
            <w:r>
              <w:rPr>
                <w:rFonts w:ascii="微软雅黑"/>
                <w:b/>
                <w:spacing w:val="-2"/>
                <w:sz w:val="21"/>
              </w:rPr>
              <w:t>10.1.12</w:t>
            </w:r>
          </w:p>
        </w:tc>
        <w:tc>
          <w:tcPr>
            <w:tcW w:w="1594" w:type="dxa"/>
          </w:tcPr>
          <w:p>
            <w:pPr>
              <w:pStyle w:val="TableParagraph"/>
              <w:spacing w:line="338" w:lineRule="exact" w:before="38"/>
              <w:ind w:left="147"/>
              <w:rPr>
                <w:rFonts w:ascii="微软雅黑" w:eastAsia="微软雅黑"/>
                <w:b/>
                <w:sz w:val="21"/>
              </w:rPr>
            </w:pPr>
            <w:r>
              <w:rPr>
                <w:rFonts w:ascii="微软雅黑" w:eastAsia="微软雅黑"/>
                <w:b/>
                <w:spacing w:val="-2"/>
                <w:sz w:val="21"/>
              </w:rPr>
              <w:t>急性坏死性胰</w:t>
            </w:r>
          </w:p>
        </w:tc>
        <w:tc>
          <w:tcPr>
            <w:tcW w:w="7373" w:type="dxa"/>
          </w:tcPr>
          <w:p>
            <w:pPr>
              <w:pStyle w:val="TableParagraph"/>
              <w:spacing w:before="105"/>
              <w:ind w:left="178"/>
              <w:rPr>
                <w:sz w:val="21"/>
              </w:rPr>
            </w:pPr>
            <w:r>
              <w:rPr>
                <w:spacing w:val="-5"/>
                <w:sz w:val="21"/>
              </w:rPr>
              <w:t>指被保险人被确诊为急性坏死性胰腺炎，并实际接受了腹腔镜手术治疗，以进</w:t>
            </w:r>
          </w:p>
        </w:tc>
      </w:tr>
      <w:tr>
        <w:trPr>
          <w:trHeight w:val="711" w:hRule="atLeast"/>
        </w:trPr>
        <w:tc>
          <w:tcPr>
            <w:tcW w:w="940" w:type="dxa"/>
          </w:tcPr>
          <w:p>
            <w:pPr>
              <w:pStyle w:val="TableParagraph"/>
              <w:rPr>
                <w:rFonts w:ascii="Times New Roman"/>
                <w:sz w:val="20"/>
              </w:rPr>
            </w:pPr>
          </w:p>
        </w:tc>
        <w:tc>
          <w:tcPr>
            <w:tcW w:w="1594" w:type="dxa"/>
          </w:tcPr>
          <w:p>
            <w:pPr>
              <w:pStyle w:val="TableParagraph"/>
              <w:spacing w:line="194" w:lineRule="auto" w:before="7"/>
              <w:ind w:left="147" w:right="177"/>
              <w:rPr>
                <w:rFonts w:ascii="微软雅黑" w:eastAsia="微软雅黑"/>
                <w:b/>
                <w:sz w:val="21"/>
              </w:rPr>
            </w:pPr>
            <w:r>
              <w:rPr>
                <w:rFonts w:ascii="微软雅黑" w:eastAsia="微软雅黑"/>
                <w:b/>
                <w:spacing w:val="-2"/>
                <w:sz w:val="21"/>
              </w:rPr>
              <w:t>腺炎腹腔镜手</w:t>
            </w:r>
            <w:r>
              <w:rPr>
                <w:rFonts w:ascii="微软雅黑" w:eastAsia="微软雅黑"/>
                <w:b/>
                <w:spacing w:val="-10"/>
                <w:sz w:val="21"/>
              </w:rPr>
              <w:t>术</w:t>
            </w:r>
          </w:p>
        </w:tc>
        <w:tc>
          <w:tcPr>
            <w:tcW w:w="7373" w:type="dxa"/>
          </w:tcPr>
          <w:p>
            <w:pPr>
              <w:pStyle w:val="TableParagraph"/>
              <w:spacing w:line="252" w:lineRule="exact" w:before="22"/>
              <w:ind w:left="178"/>
              <w:rPr>
                <w:sz w:val="21"/>
              </w:rPr>
            </w:pPr>
            <w:r>
              <w:rPr>
                <w:spacing w:val="-3"/>
                <w:sz w:val="21"/>
              </w:rPr>
              <w:t>行坏死组织清除、坏死病灶切除或胰腺切除。</w:t>
            </w:r>
          </w:p>
          <w:p>
            <w:pPr>
              <w:pStyle w:val="TableParagraph"/>
              <w:spacing w:line="388" w:lineRule="exact"/>
              <w:ind w:left="178"/>
              <w:rPr>
                <w:rFonts w:ascii="微软雅黑" w:eastAsia="微软雅黑"/>
                <w:b/>
                <w:sz w:val="22"/>
              </w:rPr>
            </w:pPr>
            <w:r>
              <w:rPr>
                <w:rFonts w:ascii="微软雅黑" w:eastAsia="微软雅黑"/>
                <w:b/>
                <w:color w:val="000000"/>
                <w:spacing w:val="-1"/>
                <w:sz w:val="22"/>
                <w:shd w:fill="D9D9D9" w:color="auto" w:val="clear"/>
              </w:rPr>
              <w:t>因酗酒或饮酒过量所致的急性坏死性胰腺炎不在本保障范围内。</w:t>
            </w:r>
            <w:r>
              <w:rPr>
                <w:rFonts w:ascii="微软雅黑" w:eastAsia="微软雅黑"/>
                <w:b/>
                <w:color w:val="000000"/>
                <w:spacing w:val="80"/>
                <w:sz w:val="22"/>
                <w:shd w:fill="D9D9D9" w:color="auto" w:val="clear"/>
              </w:rPr>
              <w:t> </w:t>
            </w:r>
          </w:p>
        </w:tc>
      </w:tr>
      <w:tr>
        <w:trPr>
          <w:trHeight w:val="395" w:hRule="atLeast"/>
        </w:trPr>
        <w:tc>
          <w:tcPr>
            <w:tcW w:w="940" w:type="dxa"/>
          </w:tcPr>
          <w:p>
            <w:pPr>
              <w:pStyle w:val="TableParagraph"/>
              <w:spacing w:line="337" w:lineRule="exact" w:before="38"/>
              <w:ind w:left="50"/>
              <w:rPr>
                <w:rFonts w:ascii="微软雅黑"/>
                <w:b/>
                <w:sz w:val="21"/>
              </w:rPr>
            </w:pPr>
            <w:r>
              <w:rPr>
                <w:rFonts w:ascii="微软雅黑"/>
                <w:b/>
                <w:spacing w:val="-2"/>
                <w:sz w:val="21"/>
              </w:rPr>
              <w:t>10.1.13</w:t>
            </w:r>
          </w:p>
        </w:tc>
        <w:tc>
          <w:tcPr>
            <w:tcW w:w="1594" w:type="dxa"/>
          </w:tcPr>
          <w:p>
            <w:pPr>
              <w:pStyle w:val="TableParagraph"/>
              <w:spacing w:line="337" w:lineRule="exact" w:before="38"/>
              <w:ind w:left="147"/>
              <w:rPr>
                <w:rFonts w:ascii="微软雅黑" w:eastAsia="微软雅黑"/>
                <w:b/>
                <w:sz w:val="21"/>
              </w:rPr>
            </w:pPr>
            <w:r>
              <w:rPr>
                <w:rFonts w:ascii="微软雅黑" w:eastAsia="微软雅黑"/>
                <w:b/>
                <w:spacing w:val="-2"/>
                <w:sz w:val="21"/>
              </w:rPr>
              <w:t>慢性肾功能损</w:t>
            </w:r>
          </w:p>
        </w:tc>
        <w:tc>
          <w:tcPr>
            <w:tcW w:w="7373" w:type="dxa"/>
          </w:tcPr>
          <w:p>
            <w:pPr>
              <w:pStyle w:val="TableParagraph"/>
              <w:spacing w:before="105"/>
              <w:ind w:left="178"/>
              <w:rPr>
                <w:sz w:val="21"/>
              </w:rPr>
            </w:pPr>
            <w:r>
              <w:rPr>
                <w:spacing w:val="-6"/>
                <w:sz w:val="21"/>
              </w:rPr>
              <w:t>指被保险人因双肾功能慢性不可逆性损害，持续 </w:t>
            </w:r>
            <w:r>
              <w:rPr>
                <w:spacing w:val="-4"/>
                <w:sz w:val="21"/>
              </w:rPr>
              <w:t>180</w:t>
            </w:r>
            <w:r>
              <w:rPr>
                <w:spacing w:val="-10"/>
                <w:sz w:val="21"/>
              </w:rPr>
              <w:t> 天达到肾功能衰竭期，诊</w:t>
            </w:r>
          </w:p>
        </w:tc>
      </w:tr>
      <w:tr>
        <w:trPr>
          <w:trHeight w:val="311" w:hRule="atLeast"/>
        </w:trPr>
        <w:tc>
          <w:tcPr>
            <w:tcW w:w="940" w:type="dxa"/>
          </w:tcPr>
          <w:p>
            <w:pPr>
              <w:pStyle w:val="TableParagraph"/>
              <w:rPr>
                <w:rFonts w:ascii="Times New Roman"/>
                <w:sz w:val="20"/>
              </w:rPr>
            </w:pPr>
          </w:p>
        </w:tc>
        <w:tc>
          <w:tcPr>
            <w:tcW w:w="1594" w:type="dxa"/>
          </w:tcPr>
          <w:p>
            <w:pPr>
              <w:pStyle w:val="TableParagraph"/>
              <w:spacing w:line="292" w:lineRule="exact"/>
              <w:ind w:left="147"/>
              <w:rPr>
                <w:rFonts w:ascii="微软雅黑" w:eastAsia="微软雅黑"/>
                <w:b/>
                <w:sz w:val="21"/>
              </w:rPr>
            </w:pPr>
            <w:r>
              <w:rPr>
                <w:rFonts w:ascii="微软雅黑" w:eastAsia="微软雅黑"/>
                <w:b/>
                <w:sz w:val="21"/>
              </w:rPr>
              <w:t>害-</w:t>
            </w:r>
            <w:r>
              <w:rPr>
                <w:rFonts w:ascii="微软雅黑" w:eastAsia="微软雅黑"/>
                <w:b/>
                <w:spacing w:val="-3"/>
                <w:sz w:val="21"/>
              </w:rPr>
              <w:t>肾衰竭期</w:t>
            </w:r>
          </w:p>
        </w:tc>
        <w:tc>
          <w:tcPr>
            <w:tcW w:w="7373" w:type="dxa"/>
          </w:tcPr>
          <w:p>
            <w:pPr>
              <w:pStyle w:val="TableParagraph"/>
              <w:spacing w:before="22"/>
              <w:ind w:left="178"/>
              <w:rPr>
                <w:sz w:val="21"/>
              </w:rPr>
            </w:pPr>
            <w:r>
              <w:rPr>
                <w:spacing w:val="-3"/>
                <w:sz w:val="21"/>
              </w:rPr>
              <w:t>断必须满足所有以下标准：</w:t>
            </w:r>
          </w:p>
        </w:tc>
      </w:tr>
      <w:tr>
        <w:trPr>
          <w:trHeight w:val="311"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before="22"/>
              <w:ind w:left="178"/>
              <w:rPr>
                <w:sz w:val="21"/>
              </w:rPr>
            </w:pPr>
            <w:r>
              <w:rPr>
                <w:spacing w:val="-2"/>
                <w:sz w:val="21"/>
              </w:rPr>
              <w:t>（1）肾小球滤过率（GFR）＜25ml/min</w:t>
            </w:r>
            <w:r>
              <w:rPr>
                <w:spacing w:val="-8"/>
                <w:sz w:val="21"/>
              </w:rPr>
              <w:t> 或肌酐清除率</w:t>
            </w:r>
            <w:r>
              <w:rPr>
                <w:spacing w:val="-2"/>
                <w:sz w:val="21"/>
              </w:rPr>
              <w:t>（Ccr）＜25ml/min；</w:t>
            </w:r>
          </w:p>
        </w:tc>
      </w:tr>
      <w:tr>
        <w:trPr>
          <w:trHeight w:val="397"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before="22"/>
              <w:ind w:left="178"/>
              <w:rPr>
                <w:sz w:val="21"/>
              </w:rPr>
            </w:pPr>
            <w:r>
              <w:rPr>
                <w:spacing w:val="-2"/>
                <w:sz w:val="21"/>
              </w:rPr>
              <w:t>（2）血肌酐（Scr）＞5mg/dl</w:t>
            </w:r>
            <w:r>
              <w:rPr>
                <w:spacing w:val="-15"/>
                <w:sz w:val="21"/>
              </w:rPr>
              <w:t> 或</w:t>
            </w:r>
            <w:r>
              <w:rPr>
                <w:spacing w:val="-2"/>
                <w:sz w:val="21"/>
              </w:rPr>
              <w:t>＞442umol/L</w:t>
            </w:r>
            <w:r>
              <w:rPr>
                <w:spacing w:val="-10"/>
                <w:sz w:val="21"/>
              </w:rPr>
              <w:t>。</w:t>
            </w:r>
          </w:p>
        </w:tc>
      </w:tr>
      <w:tr>
        <w:trPr>
          <w:trHeight w:val="397" w:hRule="atLeast"/>
        </w:trPr>
        <w:tc>
          <w:tcPr>
            <w:tcW w:w="940" w:type="dxa"/>
          </w:tcPr>
          <w:p>
            <w:pPr>
              <w:pStyle w:val="TableParagraph"/>
              <w:spacing w:line="337" w:lineRule="exact" w:before="40"/>
              <w:ind w:left="50"/>
              <w:rPr>
                <w:rFonts w:ascii="微软雅黑"/>
                <w:b/>
                <w:sz w:val="21"/>
              </w:rPr>
            </w:pPr>
            <w:r>
              <w:rPr>
                <w:rFonts w:ascii="微软雅黑"/>
                <w:b/>
                <w:spacing w:val="-2"/>
                <w:sz w:val="21"/>
              </w:rPr>
              <w:t>10.1.14</w:t>
            </w:r>
          </w:p>
        </w:tc>
        <w:tc>
          <w:tcPr>
            <w:tcW w:w="1594" w:type="dxa"/>
          </w:tcPr>
          <w:p>
            <w:pPr>
              <w:pStyle w:val="TableParagraph"/>
              <w:spacing w:line="337" w:lineRule="exact" w:before="40"/>
              <w:ind w:left="147"/>
              <w:rPr>
                <w:rFonts w:ascii="微软雅黑" w:eastAsia="微软雅黑"/>
                <w:b/>
                <w:sz w:val="21"/>
              </w:rPr>
            </w:pPr>
            <w:r>
              <w:rPr>
                <w:rFonts w:ascii="微软雅黑" w:eastAsia="微软雅黑"/>
                <w:b/>
                <w:spacing w:val="-2"/>
                <w:sz w:val="21"/>
              </w:rPr>
              <w:t>轻度特发性肺</w:t>
            </w:r>
          </w:p>
        </w:tc>
        <w:tc>
          <w:tcPr>
            <w:tcW w:w="7373" w:type="dxa"/>
          </w:tcPr>
          <w:p>
            <w:pPr>
              <w:pStyle w:val="TableParagraph"/>
              <w:spacing w:before="107"/>
              <w:ind w:left="178"/>
              <w:rPr>
                <w:sz w:val="21"/>
              </w:rPr>
            </w:pPr>
            <w:r>
              <w:rPr>
                <w:spacing w:val="-6"/>
                <w:sz w:val="21"/>
              </w:rPr>
              <w:t>指由于原发性肺动脉高压进行性发展而导致右心室肥厚，已经造成永久不可逆</w:t>
            </w:r>
          </w:p>
        </w:tc>
      </w:tr>
      <w:tr>
        <w:trPr>
          <w:trHeight w:val="312" w:hRule="atLeast"/>
        </w:trPr>
        <w:tc>
          <w:tcPr>
            <w:tcW w:w="940" w:type="dxa"/>
          </w:tcPr>
          <w:p>
            <w:pPr>
              <w:pStyle w:val="TableParagraph"/>
              <w:rPr>
                <w:rFonts w:ascii="Times New Roman"/>
                <w:sz w:val="20"/>
              </w:rPr>
            </w:pPr>
          </w:p>
        </w:tc>
        <w:tc>
          <w:tcPr>
            <w:tcW w:w="1594" w:type="dxa"/>
          </w:tcPr>
          <w:p>
            <w:pPr>
              <w:pStyle w:val="TableParagraph"/>
              <w:spacing w:line="292" w:lineRule="exact"/>
              <w:ind w:left="147"/>
              <w:rPr>
                <w:rFonts w:ascii="微软雅黑" w:eastAsia="微软雅黑"/>
                <w:b/>
                <w:sz w:val="21"/>
              </w:rPr>
            </w:pPr>
            <w:r>
              <w:rPr>
                <w:rFonts w:ascii="微软雅黑" w:eastAsia="微软雅黑"/>
                <w:b/>
                <w:spacing w:val="-3"/>
                <w:sz w:val="21"/>
              </w:rPr>
              <w:t>动脉高压</w:t>
            </w:r>
          </w:p>
        </w:tc>
        <w:tc>
          <w:tcPr>
            <w:tcW w:w="7373" w:type="dxa"/>
          </w:tcPr>
          <w:p>
            <w:pPr>
              <w:pStyle w:val="TableParagraph"/>
              <w:spacing w:before="22"/>
              <w:ind w:left="178"/>
              <w:rPr>
                <w:sz w:val="21"/>
              </w:rPr>
            </w:pPr>
            <w:r>
              <w:rPr>
                <w:spacing w:val="-5"/>
                <w:sz w:val="21"/>
              </w:rPr>
              <w:t>性的体力活动能力受限，达到美国纽约心脏病学会心功能状态分级Ⅲ级，且静</w:t>
            </w:r>
          </w:p>
        </w:tc>
      </w:tr>
      <w:tr>
        <w:trPr>
          <w:trHeight w:val="397"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before="22"/>
              <w:ind w:left="178"/>
              <w:rPr>
                <w:sz w:val="21"/>
              </w:rPr>
            </w:pPr>
            <w:r>
              <w:rPr>
                <w:spacing w:val="-6"/>
                <w:sz w:val="21"/>
              </w:rPr>
              <w:t>息状态下肺动脉平均压超过 </w:t>
            </w:r>
            <w:r>
              <w:rPr>
                <w:spacing w:val="-2"/>
                <w:sz w:val="21"/>
              </w:rPr>
              <w:t>25mmHg</w:t>
            </w:r>
            <w:r>
              <w:rPr>
                <w:spacing w:val="-10"/>
                <w:sz w:val="21"/>
              </w:rPr>
              <w:t>、不超过 </w:t>
            </w:r>
            <w:r>
              <w:rPr>
                <w:spacing w:val="-2"/>
                <w:sz w:val="21"/>
              </w:rPr>
              <w:t>36mmHg</w:t>
            </w:r>
            <w:r>
              <w:rPr>
                <w:spacing w:val="-10"/>
                <w:sz w:val="21"/>
              </w:rPr>
              <w:t>。</w:t>
            </w:r>
          </w:p>
        </w:tc>
      </w:tr>
      <w:tr>
        <w:trPr>
          <w:trHeight w:val="397" w:hRule="atLeast"/>
        </w:trPr>
        <w:tc>
          <w:tcPr>
            <w:tcW w:w="940" w:type="dxa"/>
          </w:tcPr>
          <w:p>
            <w:pPr>
              <w:pStyle w:val="TableParagraph"/>
              <w:spacing w:line="337" w:lineRule="exact" w:before="40"/>
              <w:ind w:left="50"/>
              <w:rPr>
                <w:rFonts w:ascii="微软雅黑"/>
                <w:b/>
                <w:sz w:val="21"/>
              </w:rPr>
            </w:pPr>
            <w:r>
              <w:rPr>
                <w:rFonts w:ascii="微软雅黑"/>
                <w:b/>
                <w:spacing w:val="-2"/>
                <w:sz w:val="21"/>
              </w:rPr>
              <w:t>10.1.15</w:t>
            </w:r>
          </w:p>
        </w:tc>
        <w:tc>
          <w:tcPr>
            <w:tcW w:w="1594" w:type="dxa"/>
          </w:tcPr>
          <w:p>
            <w:pPr>
              <w:pStyle w:val="TableParagraph"/>
              <w:spacing w:line="337" w:lineRule="exact" w:before="40"/>
              <w:ind w:left="147"/>
              <w:rPr>
                <w:rFonts w:ascii="微软雅黑" w:eastAsia="微软雅黑"/>
                <w:b/>
                <w:sz w:val="21"/>
              </w:rPr>
            </w:pPr>
            <w:r>
              <w:rPr>
                <w:rFonts w:ascii="微软雅黑" w:eastAsia="微软雅黑"/>
                <w:b/>
                <w:spacing w:val="-2"/>
                <w:sz w:val="21"/>
              </w:rPr>
              <w:t>轻度视力受损</w:t>
            </w:r>
          </w:p>
        </w:tc>
        <w:tc>
          <w:tcPr>
            <w:tcW w:w="7373" w:type="dxa"/>
          </w:tcPr>
          <w:p>
            <w:pPr>
              <w:pStyle w:val="TableParagraph"/>
              <w:spacing w:before="107"/>
              <w:ind w:left="178"/>
              <w:rPr>
                <w:sz w:val="21"/>
              </w:rPr>
            </w:pPr>
            <w:r>
              <w:rPr>
                <w:spacing w:val="-3"/>
                <w:sz w:val="21"/>
              </w:rPr>
              <w:t>指因疾病或意外伤害导致双目视力永久不可逆性丧失，虽然未达到重大疾病</w:t>
            </w:r>
          </w:p>
        </w:tc>
      </w:tr>
      <w:tr>
        <w:trPr>
          <w:trHeight w:val="312"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before="22"/>
              <w:ind w:left="178"/>
              <w:rPr>
                <w:sz w:val="21"/>
              </w:rPr>
            </w:pPr>
            <w:r>
              <w:rPr>
                <w:spacing w:val="-3"/>
                <w:sz w:val="21"/>
              </w:rPr>
              <w:t>“双目失明”的给付标准，但满足下列全部条件：</w:t>
            </w:r>
          </w:p>
        </w:tc>
      </w:tr>
      <w:tr>
        <w:trPr>
          <w:trHeight w:val="312"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before="22"/>
              <w:ind w:left="178"/>
              <w:rPr>
                <w:sz w:val="21"/>
              </w:rPr>
            </w:pPr>
            <w:r>
              <w:rPr>
                <w:spacing w:val="-6"/>
                <w:sz w:val="21"/>
              </w:rPr>
              <w:t>（1）</w:t>
            </w:r>
            <w:r>
              <w:rPr>
                <w:spacing w:val="-5"/>
                <w:sz w:val="21"/>
              </w:rPr>
              <w:t>双眼中较好眼矫正视力低于 </w:t>
            </w:r>
            <w:r>
              <w:rPr>
                <w:spacing w:val="-6"/>
                <w:sz w:val="21"/>
              </w:rPr>
              <w:t>0.1（</w:t>
            </w:r>
            <w:r>
              <w:rPr>
                <w:spacing w:val="-7"/>
                <w:sz w:val="21"/>
              </w:rPr>
              <w:t>采用国际标准视力表，如果使用其他视</w:t>
            </w:r>
          </w:p>
        </w:tc>
      </w:tr>
      <w:tr>
        <w:trPr>
          <w:trHeight w:val="311"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before="22"/>
              <w:ind w:left="178"/>
              <w:rPr>
                <w:sz w:val="21"/>
              </w:rPr>
            </w:pPr>
            <w:r>
              <w:rPr>
                <w:spacing w:val="-2"/>
                <w:sz w:val="21"/>
              </w:rPr>
              <w:t>力表应进行换算</w:t>
            </w:r>
            <w:r>
              <w:rPr>
                <w:spacing w:val="-111"/>
                <w:sz w:val="21"/>
              </w:rPr>
              <w:t>）</w:t>
            </w:r>
            <w:r>
              <w:rPr>
                <w:spacing w:val="-5"/>
                <w:sz w:val="21"/>
              </w:rPr>
              <w:t>；</w:t>
            </w:r>
          </w:p>
        </w:tc>
      </w:tr>
      <w:tr>
        <w:trPr>
          <w:trHeight w:val="1647"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line="252" w:lineRule="exact" w:before="22"/>
              <w:ind w:left="178"/>
              <w:jc w:val="both"/>
              <w:rPr>
                <w:sz w:val="21"/>
              </w:rPr>
            </w:pPr>
            <w:r>
              <w:rPr>
                <w:spacing w:val="-2"/>
                <w:sz w:val="21"/>
              </w:rPr>
              <w:t>（2）</w:t>
            </w:r>
            <w:r>
              <w:rPr>
                <w:spacing w:val="-10"/>
                <w:sz w:val="21"/>
              </w:rPr>
              <w:t>视野半径小于 </w:t>
            </w:r>
            <w:r>
              <w:rPr>
                <w:spacing w:val="-2"/>
                <w:sz w:val="21"/>
              </w:rPr>
              <w:t>20</w:t>
            </w:r>
            <w:r>
              <w:rPr>
                <w:spacing w:val="-20"/>
                <w:sz w:val="21"/>
              </w:rPr>
              <w:t> 度。</w:t>
            </w:r>
          </w:p>
          <w:p>
            <w:pPr>
              <w:pStyle w:val="TableParagraph"/>
              <w:spacing w:line="341" w:lineRule="exact"/>
              <w:ind w:left="178"/>
              <w:jc w:val="both"/>
              <w:rPr>
                <w:rFonts w:ascii="微软雅黑" w:eastAsia="微软雅黑"/>
                <w:b/>
                <w:sz w:val="22"/>
              </w:rPr>
            </w:pPr>
            <w:r>
              <w:rPr>
                <w:rFonts w:ascii="微软雅黑" w:eastAsia="微软雅黑"/>
                <w:b/>
                <w:color w:val="000000"/>
                <w:w w:val="95"/>
                <w:sz w:val="22"/>
                <w:shd w:fill="E4E4E4" w:color="auto" w:val="clear"/>
              </w:rPr>
              <w:t>在</w:t>
            </w:r>
            <w:r>
              <w:rPr>
                <w:rFonts w:ascii="微软雅黑" w:eastAsia="微软雅黑"/>
                <w:b/>
                <w:color w:val="000000"/>
                <w:spacing w:val="47"/>
                <w:sz w:val="22"/>
                <w:shd w:fill="E4E4E4" w:color="auto" w:val="clear"/>
              </w:rPr>
              <w:t> </w:t>
            </w:r>
            <w:r>
              <w:rPr>
                <w:rFonts w:ascii="微软雅黑" w:eastAsia="微软雅黑"/>
                <w:b/>
                <w:color w:val="000000"/>
                <w:w w:val="95"/>
                <w:sz w:val="22"/>
                <w:shd w:fill="E4E4E4" w:color="auto" w:val="clear"/>
              </w:rPr>
              <w:t>0</w:t>
            </w:r>
            <w:r>
              <w:rPr>
                <w:rFonts w:ascii="微软雅黑" w:eastAsia="微软雅黑"/>
                <w:b/>
                <w:color w:val="000000"/>
                <w:spacing w:val="47"/>
                <w:sz w:val="22"/>
                <w:shd w:fill="E4E4E4" w:color="auto" w:val="clear"/>
              </w:rPr>
              <w:t> </w:t>
            </w:r>
            <w:r>
              <w:rPr>
                <w:rFonts w:ascii="微软雅黑" w:eastAsia="微软雅黑"/>
                <w:b/>
                <w:color w:val="000000"/>
                <w:w w:val="95"/>
                <w:sz w:val="22"/>
                <w:shd w:fill="E4E4E4" w:color="auto" w:val="clear"/>
              </w:rPr>
              <w:t>周</w:t>
            </w:r>
            <w:r>
              <w:rPr>
                <w:rFonts w:ascii="微软雅黑" w:eastAsia="微软雅黑"/>
                <w:b/>
                <w:color w:val="000000"/>
                <w:w w:val="95"/>
                <w:sz w:val="22"/>
                <w:shd w:fill="E4E4E4" w:color="auto" w:val="clear"/>
              </w:rPr>
              <w:t>岁</w:t>
            </w:r>
            <w:r>
              <w:rPr>
                <w:rFonts w:ascii="微软雅黑" w:eastAsia="微软雅黑"/>
                <w:b/>
                <w:color w:val="000000"/>
                <w:w w:val="95"/>
                <w:sz w:val="22"/>
                <w:shd w:fill="E4E4E4" w:color="auto" w:val="clear"/>
              </w:rPr>
              <w:t>至</w:t>
            </w:r>
            <w:r>
              <w:rPr>
                <w:rFonts w:ascii="微软雅黑" w:eastAsia="微软雅黑"/>
                <w:b/>
                <w:color w:val="000000"/>
                <w:spacing w:val="54"/>
                <w:sz w:val="22"/>
                <w:shd w:fill="E4E4E4" w:color="auto" w:val="clear"/>
              </w:rPr>
              <w:t> </w:t>
            </w:r>
            <w:r>
              <w:rPr>
                <w:rFonts w:ascii="微软雅黑" w:eastAsia="微软雅黑"/>
                <w:b/>
                <w:color w:val="000000"/>
                <w:w w:val="95"/>
                <w:sz w:val="22"/>
                <w:shd w:fill="E4E4E4" w:color="auto" w:val="clear"/>
              </w:rPr>
              <w:t>3</w:t>
            </w:r>
            <w:r>
              <w:rPr>
                <w:rFonts w:ascii="微软雅黑" w:eastAsia="微软雅黑"/>
                <w:b/>
                <w:color w:val="000000"/>
                <w:spacing w:val="48"/>
                <w:sz w:val="22"/>
                <w:shd w:fill="E4E4E4" w:color="auto" w:val="clear"/>
              </w:rPr>
              <w:t> </w:t>
            </w:r>
            <w:r>
              <w:rPr>
                <w:rFonts w:ascii="微软雅黑" w:eastAsia="微软雅黑"/>
                <w:b/>
                <w:color w:val="000000"/>
                <w:w w:val="95"/>
                <w:sz w:val="22"/>
                <w:shd w:fill="E4E4E4" w:color="auto" w:val="clear"/>
              </w:rPr>
              <w:t>周</w:t>
            </w:r>
            <w:r>
              <w:rPr>
                <w:rFonts w:ascii="微软雅黑" w:eastAsia="微软雅黑"/>
                <w:b/>
                <w:color w:val="000000"/>
                <w:w w:val="95"/>
                <w:sz w:val="22"/>
                <w:shd w:fill="E4E4E4" w:color="auto" w:val="clear"/>
              </w:rPr>
              <w:t>岁</w:t>
            </w:r>
            <w:r>
              <w:rPr>
                <w:rFonts w:ascii="微软雅黑" w:eastAsia="微软雅黑"/>
                <w:b/>
                <w:color w:val="000000"/>
                <w:w w:val="95"/>
                <w:sz w:val="22"/>
                <w:shd w:fill="E4E4E4" w:color="auto" w:val="clear"/>
              </w:rPr>
              <w:t>期</w:t>
            </w:r>
            <w:r>
              <w:rPr>
                <w:rFonts w:ascii="微软雅黑" w:eastAsia="微软雅黑"/>
                <w:b/>
                <w:color w:val="000000"/>
                <w:w w:val="95"/>
                <w:sz w:val="22"/>
                <w:shd w:fill="E4E4E4" w:color="auto" w:val="clear"/>
              </w:rPr>
              <w:t>间</w:t>
            </w:r>
            <w:r>
              <w:rPr>
                <w:rFonts w:ascii="微软雅黑" w:eastAsia="微软雅黑"/>
                <w:b/>
                <w:color w:val="000000"/>
                <w:w w:val="95"/>
                <w:sz w:val="22"/>
                <w:shd w:fill="E4E4E4" w:color="auto" w:val="clear"/>
              </w:rPr>
              <w:t>，</w:t>
            </w:r>
            <w:r>
              <w:rPr>
                <w:rFonts w:ascii="微软雅黑" w:eastAsia="微软雅黑"/>
                <w:b/>
                <w:color w:val="000000"/>
                <w:w w:val="95"/>
                <w:sz w:val="22"/>
                <w:shd w:fill="E4E4E4" w:color="auto" w:val="clear"/>
              </w:rPr>
              <w:t>被</w:t>
            </w:r>
            <w:r>
              <w:rPr>
                <w:rFonts w:ascii="微软雅黑" w:eastAsia="微软雅黑"/>
                <w:b/>
                <w:color w:val="000000"/>
                <w:w w:val="95"/>
                <w:sz w:val="22"/>
                <w:shd w:fill="E4E4E4" w:color="auto" w:val="clear"/>
              </w:rPr>
              <w:t>保</w:t>
            </w:r>
            <w:r>
              <w:rPr>
                <w:rFonts w:ascii="微软雅黑" w:eastAsia="微软雅黑"/>
                <w:b/>
                <w:color w:val="000000"/>
                <w:w w:val="95"/>
                <w:sz w:val="22"/>
                <w:shd w:fill="E4E4E4" w:color="auto" w:val="clear"/>
              </w:rPr>
              <w:t>险</w:t>
            </w:r>
            <w:r>
              <w:rPr>
                <w:rFonts w:ascii="微软雅黑" w:eastAsia="微软雅黑"/>
                <w:b/>
                <w:color w:val="000000"/>
                <w:w w:val="95"/>
                <w:sz w:val="22"/>
                <w:shd w:fill="E4E4E4" w:color="auto" w:val="clear"/>
              </w:rPr>
              <w:t>人</w:t>
            </w:r>
            <w:r>
              <w:rPr>
                <w:rFonts w:ascii="微软雅黑" w:eastAsia="微软雅黑"/>
                <w:b/>
                <w:color w:val="000000"/>
                <w:w w:val="95"/>
                <w:sz w:val="22"/>
                <w:shd w:fill="E4E4E4" w:color="auto" w:val="clear"/>
              </w:rPr>
              <w:t>首</w:t>
            </w:r>
            <w:r>
              <w:rPr>
                <w:rFonts w:ascii="微软雅黑" w:eastAsia="微软雅黑"/>
                <w:b/>
                <w:color w:val="000000"/>
                <w:w w:val="95"/>
                <w:sz w:val="22"/>
                <w:shd w:fill="E4E4E4" w:color="auto" w:val="clear"/>
              </w:rPr>
              <w:t>次</w:t>
            </w:r>
            <w:r>
              <w:rPr>
                <w:rFonts w:ascii="微软雅黑" w:eastAsia="微软雅黑"/>
                <w:b/>
                <w:color w:val="000000"/>
                <w:w w:val="95"/>
                <w:sz w:val="22"/>
                <w:shd w:fill="E4E4E4" w:color="auto" w:val="clear"/>
              </w:rPr>
              <w:t>患</w:t>
            </w:r>
            <w:r>
              <w:rPr>
                <w:rFonts w:ascii="微软雅黑" w:eastAsia="微软雅黑"/>
                <w:b/>
                <w:color w:val="000000"/>
                <w:w w:val="95"/>
                <w:sz w:val="22"/>
                <w:shd w:fill="E4E4E4" w:color="auto" w:val="clear"/>
              </w:rPr>
              <w:t>有</w:t>
            </w:r>
            <w:r>
              <w:rPr>
                <w:rFonts w:ascii="微软雅黑" w:eastAsia="微软雅黑"/>
                <w:b/>
                <w:color w:val="000000"/>
                <w:w w:val="95"/>
                <w:sz w:val="22"/>
                <w:shd w:fill="E4E4E4" w:color="auto" w:val="clear"/>
              </w:rPr>
              <w:t>轻</w:t>
            </w:r>
            <w:r>
              <w:rPr>
                <w:rFonts w:ascii="微软雅黑" w:eastAsia="微软雅黑"/>
                <w:b/>
                <w:color w:val="000000"/>
                <w:w w:val="95"/>
                <w:sz w:val="22"/>
                <w:shd w:fill="E4E4E4" w:color="auto" w:val="clear"/>
              </w:rPr>
              <w:t>度</w:t>
            </w:r>
            <w:r>
              <w:rPr>
                <w:rFonts w:ascii="微软雅黑" w:eastAsia="微软雅黑"/>
                <w:b/>
                <w:color w:val="000000"/>
                <w:w w:val="95"/>
                <w:sz w:val="22"/>
                <w:shd w:fill="E4E4E4" w:color="auto" w:val="clear"/>
              </w:rPr>
              <w:t>视</w:t>
            </w:r>
            <w:r>
              <w:rPr>
                <w:rFonts w:ascii="微软雅黑" w:eastAsia="微软雅黑"/>
                <w:b/>
                <w:color w:val="000000"/>
                <w:w w:val="95"/>
                <w:sz w:val="22"/>
                <w:shd w:fill="E4E4E4" w:color="auto" w:val="clear"/>
              </w:rPr>
              <w:t>力</w:t>
            </w:r>
            <w:r>
              <w:rPr>
                <w:rFonts w:ascii="微软雅黑" w:eastAsia="微软雅黑"/>
                <w:b/>
                <w:color w:val="000000"/>
                <w:w w:val="95"/>
                <w:sz w:val="22"/>
                <w:shd w:fill="E4E4E4" w:color="auto" w:val="clear"/>
              </w:rPr>
              <w:t>受</w:t>
            </w:r>
            <w:r>
              <w:rPr>
                <w:rFonts w:ascii="微软雅黑" w:eastAsia="微软雅黑"/>
                <w:b/>
                <w:color w:val="000000"/>
                <w:w w:val="95"/>
                <w:sz w:val="22"/>
                <w:shd w:fill="E4E4E4" w:color="auto" w:val="clear"/>
              </w:rPr>
              <w:t>损</w:t>
            </w:r>
            <w:r>
              <w:rPr>
                <w:rFonts w:ascii="微软雅黑" w:eastAsia="微软雅黑"/>
                <w:b/>
                <w:color w:val="000000"/>
                <w:w w:val="95"/>
                <w:sz w:val="22"/>
                <w:shd w:fill="E4E4E4" w:color="auto" w:val="clear"/>
              </w:rPr>
              <w:t>除</w:t>
            </w:r>
            <w:r>
              <w:rPr>
                <w:rFonts w:ascii="微软雅黑" w:eastAsia="微软雅黑"/>
                <w:b/>
                <w:color w:val="000000"/>
                <w:w w:val="95"/>
                <w:sz w:val="22"/>
                <w:shd w:fill="E4E4E4" w:color="auto" w:val="clear"/>
              </w:rPr>
              <w:t>外</w:t>
            </w:r>
            <w:r>
              <w:rPr>
                <w:rFonts w:ascii="微软雅黑" w:eastAsia="微软雅黑"/>
                <w:b/>
                <w:color w:val="000000"/>
                <w:spacing w:val="-10"/>
                <w:w w:val="95"/>
                <w:sz w:val="22"/>
                <w:shd w:fill="E4E4E4" w:color="auto" w:val="clear"/>
              </w:rPr>
              <w:t>。</w:t>
            </w:r>
          </w:p>
          <w:p>
            <w:pPr>
              <w:pStyle w:val="TableParagraph"/>
              <w:spacing w:line="184" w:lineRule="auto" w:before="20"/>
              <w:ind w:left="178" w:right="126"/>
              <w:jc w:val="both"/>
              <w:rPr>
                <w:rFonts w:ascii="微软雅黑" w:hAnsi="微软雅黑" w:eastAsia="微软雅黑"/>
                <w:b/>
                <w:sz w:val="22"/>
              </w:rPr>
            </w:pPr>
            <w:r>
              <w:rPr>
                <w:rFonts w:ascii="微软雅黑" w:hAnsi="微软雅黑" w:eastAsia="微软雅黑"/>
                <w:b/>
                <w:spacing w:val="-2"/>
                <w:sz w:val="22"/>
              </w:rPr>
              <w:t>如被保险人同时或先后达到“轻度视力受损”、“单眼失明”和“角膜移</w:t>
            </w:r>
            <w:r>
              <w:rPr>
                <w:rFonts w:ascii="微软雅黑" w:hAnsi="微软雅黑" w:eastAsia="微软雅黑"/>
                <w:b/>
                <w:spacing w:val="-2"/>
                <w:sz w:val="22"/>
              </w:rPr>
              <w:t>植”的赔付标准，我们仅赔付其中一项轻症疾病保险金，赔付后另外两个</w:t>
            </w:r>
            <w:r>
              <w:rPr>
                <w:rFonts w:ascii="微软雅黑" w:hAnsi="微软雅黑" w:eastAsia="微软雅黑"/>
                <w:b/>
                <w:spacing w:val="-2"/>
                <w:sz w:val="22"/>
              </w:rPr>
              <w:t>病种轻症责任终止。</w:t>
            </w:r>
          </w:p>
        </w:tc>
      </w:tr>
      <w:tr>
        <w:trPr>
          <w:trHeight w:val="395" w:hRule="atLeast"/>
        </w:trPr>
        <w:tc>
          <w:tcPr>
            <w:tcW w:w="940" w:type="dxa"/>
          </w:tcPr>
          <w:p>
            <w:pPr>
              <w:pStyle w:val="TableParagraph"/>
              <w:spacing w:line="337" w:lineRule="exact" w:before="38"/>
              <w:ind w:left="50"/>
              <w:rPr>
                <w:rFonts w:ascii="微软雅黑"/>
                <w:b/>
                <w:sz w:val="21"/>
              </w:rPr>
            </w:pPr>
            <w:r>
              <w:rPr>
                <w:rFonts w:ascii="微软雅黑"/>
                <w:b/>
                <w:spacing w:val="-2"/>
                <w:sz w:val="21"/>
              </w:rPr>
              <w:t>10.1.16</w:t>
            </w:r>
          </w:p>
        </w:tc>
        <w:tc>
          <w:tcPr>
            <w:tcW w:w="1594" w:type="dxa"/>
          </w:tcPr>
          <w:p>
            <w:pPr>
              <w:pStyle w:val="TableParagraph"/>
              <w:spacing w:line="337" w:lineRule="exact" w:before="38"/>
              <w:ind w:left="147"/>
              <w:rPr>
                <w:rFonts w:ascii="微软雅黑" w:eastAsia="微软雅黑"/>
                <w:b/>
                <w:sz w:val="21"/>
              </w:rPr>
            </w:pPr>
            <w:r>
              <w:rPr>
                <w:rFonts w:ascii="微软雅黑" w:eastAsia="微软雅黑"/>
                <w:b/>
                <w:spacing w:val="-3"/>
                <w:sz w:val="21"/>
              </w:rPr>
              <w:t>单眼失明</w:t>
            </w:r>
          </w:p>
        </w:tc>
        <w:tc>
          <w:tcPr>
            <w:tcW w:w="7373" w:type="dxa"/>
          </w:tcPr>
          <w:p>
            <w:pPr>
              <w:pStyle w:val="TableParagraph"/>
              <w:spacing w:before="105"/>
              <w:ind w:left="178"/>
              <w:rPr>
                <w:sz w:val="21"/>
              </w:rPr>
            </w:pPr>
            <w:r>
              <w:rPr>
                <w:spacing w:val="-6"/>
                <w:sz w:val="21"/>
              </w:rPr>
              <w:t>指因疾病或意外伤害导致单眼视力永久不可逆性丧失，须满足下列至少一项条</w:t>
            </w:r>
          </w:p>
        </w:tc>
      </w:tr>
      <w:tr>
        <w:trPr>
          <w:trHeight w:val="312"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before="22"/>
              <w:ind w:left="178"/>
              <w:rPr>
                <w:sz w:val="21"/>
              </w:rPr>
            </w:pPr>
            <w:r>
              <w:rPr>
                <w:spacing w:val="-5"/>
                <w:sz w:val="21"/>
              </w:rPr>
              <w:t>件：</w:t>
            </w:r>
          </w:p>
        </w:tc>
      </w:tr>
      <w:tr>
        <w:trPr>
          <w:trHeight w:val="312"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before="22"/>
              <w:ind w:left="178"/>
              <w:rPr>
                <w:sz w:val="21"/>
              </w:rPr>
            </w:pPr>
            <w:r>
              <w:rPr>
                <w:spacing w:val="-2"/>
                <w:sz w:val="21"/>
              </w:rPr>
              <w:t>（1）</w:t>
            </w:r>
            <w:r>
              <w:rPr>
                <w:spacing w:val="-4"/>
                <w:sz w:val="21"/>
              </w:rPr>
              <w:t>眼球缺失或摘除；</w:t>
            </w:r>
          </w:p>
        </w:tc>
      </w:tr>
      <w:tr>
        <w:trPr>
          <w:trHeight w:val="312"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before="22"/>
              <w:ind w:left="178"/>
              <w:rPr>
                <w:sz w:val="21"/>
              </w:rPr>
            </w:pPr>
            <w:r>
              <w:rPr>
                <w:spacing w:val="-2"/>
                <w:sz w:val="21"/>
              </w:rPr>
              <w:t>（2）矫正视力低于0.02（</w:t>
            </w:r>
            <w:r>
              <w:rPr>
                <w:spacing w:val="-3"/>
                <w:sz w:val="21"/>
              </w:rPr>
              <w:t>采用国际标准视力表，如果使用其他视力表应进行</w:t>
            </w:r>
          </w:p>
        </w:tc>
      </w:tr>
      <w:tr>
        <w:trPr>
          <w:trHeight w:val="312"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before="22"/>
              <w:ind w:left="178"/>
              <w:rPr>
                <w:sz w:val="21"/>
              </w:rPr>
            </w:pPr>
            <w:r>
              <w:rPr>
                <w:sz w:val="21"/>
              </w:rPr>
              <w:t>换算</w:t>
            </w:r>
            <w:r>
              <w:rPr>
                <w:spacing w:val="-113"/>
                <w:sz w:val="21"/>
              </w:rPr>
              <w:t>）</w:t>
            </w:r>
            <w:r>
              <w:rPr>
                <w:spacing w:val="-5"/>
                <w:sz w:val="21"/>
              </w:rPr>
              <w:t>；</w:t>
            </w:r>
          </w:p>
        </w:tc>
      </w:tr>
      <w:tr>
        <w:trPr>
          <w:trHeight w:val="1645" w:hRule="atLeast"/>
        </w:trPr>
        <w:tc>
          <w:tcPr>
            <w:tcW w:w="940" w:type="dxa"/>
          </w:tcPr>
          <w:p>
            <w:pPr>
              <w:pStyle w:val="TableParagraph"/>
              <w:rPr>
                <w:rFonts w:ascii="Times New Roman"/>
                <w:sz w:val="20"/>
              </w:rPr>
            </w:pPr>
          </w:p>
        </w:tc>
        <w:tc>
          <w:tcPr>
            <w:tcW w:w="1594" w:type="dxa"/>
          </w:tcPr>
          <w:p>
            <w:pPr>
              <w:pStyle w:val="TableParagraph"/>
              <w:rPr>
                <w:rFonts w:ascii="Times New Roman"/>
                <w:sz w:val="20"/>
              </w:rPr>
            </w:pPr>
          </w:p>
        </w:tc>
        <w:tc>
          <w:tcPr>
            <w:tcW w:w="7373" w:type="dxa"/>
          </w:tcPr>
          <w:p>
            <w:pPr>
              <w:pStyle w:val="TableParagraph"/>
              <w:spacing w:line="252" w:lineRule="exact" w:before="22"/>
              <w:ind w:left="178"/>
              <w:rPr>
                <w:sz w:val="21"/>
              </w:rPr>
            </w:pPr>
            <w:r>
              <w:rPr>
                <w:spacing w:val="-2"/>
                <w:sz w:val="21"/>
              </w:rPr>
              <w:t>（3）视野半径小于5</w:t>
            </w:r>
            <w:r>
              <w:rPr>
                <w:spacing w:val="-6"/>
                <w:sz w:val="21"/>
              </w:rPr>
              <w:t>度。</w:t>
            </w:r>
          </w:p>
          <w:p>
            <w:pPr>
              <w:pStyle w:val="TableParagraph"/>
              <w:spacing w:line="341" w:lineRule="exact"/>
              <w:ind w:left="178"/>
              <w:rPr>
                <w:rFonts w:ascii="微软雅黑" w:eastAsia="微软雅黑"/>
                <w:b/>
                <w:sz w:val="22"/>
              </w:rPr>
            </w:pPr>
            <w:r>
              <w:rPr>
                <w:rFonts w:ascii="微软雅黑" w:eastAsia="微软雅黑"/>
                <w:b/>
                <w:color w:val="000000"/>
                <w:w w:val="95"/>
                <w:sz w:val="22"/>
                <w:shd w:fill="D9D9D9" w:color="auto" w:val="clear"/>
              </w:rPr>
              <w:t>在0</w:t>
            </w:r>
            <w:r>
              <w:rPr>
                <w:rFonts w:ascii="微软雅黑" w:eastAsia="微软雅黑"/>
                <w:b/>
                <w:color w:val="000000"/>
                <w:w w:val="95"/>
                <w:sz w:val="22"/>
                <w:shd w:fill="D9D9D9" w:color="auto" w:val="clear"/>
              </w:rPr>
              <w:t>周</w:t>
            </w:r>
            <w:r>
              <w:rPr>
                <w:rFonts w:ascii="微软雅黑" w:eastAsia="微软雅黑"/>
                <w:b/>
                <w:color w:val="000000"/>
                <w:w w:val="95"/>
                <w:sz w:val="22"/>
                <w:shd w:fill="D9D9D9" w:color="auto" w:val="clear"/>
              </w:rPr>
              <w:t>岁</w:t>
            </w:r>
            <w:r>
              <w:rPr>
                <w:rFonts w:ascii="微软雅黑" w:eastAsia="微软雅黑"/>
                <w:b/>
                <w:color w:val="000000"/>
                <w:w w:val="95"/>
                <w:sz w:val="22"/>
                <w:shd w:fill="D9D9D9" w:color="auto" w:val="clear"/>
              </w:rPr>
              <w:t>至3</w:t>
            </w:r>
            <w:r>
              <w:rPr>
                <w:rFonts w:ascii="微软雅黑" w:eastAsia="微软雅黑"/>
                <w:b/>
                <w:color w:val="000000"/>
                <w:w w:val="95"/>
                <w:sz w:val="22"/>
                <w:shd w:fill="D9D9D9" w:color="auto" w:val="clear"/>
              </w:rPr>
              <w:t>周</w:t>
            </w:r>
            <w:r>
              <w:rPr>
                <w:rFonts w:ascii="微软雅黑" w:eastAsia="微软雅黑"/>
                <w:b/>
                <w:color w:val="000000"/>
                <w:w w:val="95"/>
                <w:sz w:val="22"/>
                <w:shd w:fill="D9D9D9" w:color="auto" w:val="clear"/>
              </w:rPr>
              <w:t>岁</w:t>
            </w:r>
            <w:r>
              <w:rPr>
                <w:rFonts w:ascii="微软雅黑" w:eastAsia="微软雅黑"/>
                <w:b/>
                <w:color w:val="000000"/>
                <w:w w:val="95"/>
                <w:sz w:val="22"/>
                <w:shd w:fill="D9D9D9" w:color="auto" w:val="clear"/>
              </w:rPr>
              <w:t>期</w:t>
            </w:r>
            <w:r>
              <w:rPr>
                <w:rFonts w:ascii="微软雅黑" w:eastAsia="微软雅黑"/>
                <w:b/>
                <w:color w:val="000000"/>
                <w:w w:val="95"/>
                <w:sz w:val="22"/>
                <w:shd w:fill="D9D9D9" w:color="auto" w:val="clear"/>
              </w:rPr>
              <w:t>间</w:t>
            </w:r>
            <w:r>
              <w:rPr>
                <w:rFonts w:ascii="微软雅黑" w:eastAsia="微软雅黑"/>
                <w:b/>
                <w:color w:val="000000"/>
                <w:w w:val="95"/>
                <w:sz w:val="22"/>
                <w:shd w:fill="D9D9D9" w:color="auto" w:val="clear"/>
              </w:rPr>
              <w:t>，</w:t>
            </w:r>
            <w:r>
              <w:rPr>
                <w:rFonts w:ascii="微软雅黑" w:eastAsia="微软雅黑"/>
                <w:b/>
                <w:color w:val="000000"/>
                <w:w w:val="95"/>
                <w:sz w:val="22"/>
                <w:shd w:fill="D9D9D9" w:color="auto" w:val="clear"/>
              </w:rPr>
              <w:t>被</w:t>
            </w:r>
            <w:r>
              <w:rPr>
                <w:rFonts w:ascii="微软雅黑" w:eastAsia="微软雅黑"/>
                <w:b/>
                <w:color w:val="000000"/>
                <w:w w:val="95"/>
                <w:sz w:val="22"/>
                <w:shd w:fill="D9D9D9" w:color="auto" w:val="clear"/>
              </w:rPr>
              <w:t>保</w:t>
            </w:r>
            <w:r>
              <w:rPr>
                <w:rFonts w:ascii="微软雅黑" w:eastAsia="微软雅黑"/>
                <w:b/>
                <w:color w:val="000000"/>
                <w:w w:val="95"/>
                <w:sz w:val="22"/>
                <w:shd w:fill="D9D9D9" w:color="auto" w:val="clear"/>
              </w:rPr>
              <w:t>险</w:t>
            </w:r>
            <w:r>
              <w:rPr>
                <w:rFonts w:ascii="微软雅黑" w:eastAsia="微软雅黑"/>
                <w:b/>
                <w:color w:val="000000"/>
                <w:w w:val="95"/>
                <w:sz w:val="22"/>
                <w:shd w:fill="D9D9D9" w:color="auto" w:val="clear"/>
              </w:rPr>
              <w:t>人</w:t>
            </w:r>
            <w:r>
              <w:rPr>
                <w:rFonts w:ascii="微软雅黑" w:eastAsia="微软雅黑"/>
                <w:b/>
                <w:color w:val="000000"/>
                <w:w w:val="95"/>
                <w:sz w:val="22"/>
                <w:shd w:fill="D9D9D9" w:color="auto" w:val="clear"/>
              </w:rPr>
              <w:t>首</w:t>
            </w:r>
            <w:r>
              <w:rPr>
                <w:rFonts w:ascii="微软雅黑" w:eastAsia="微软雅黑"/>
                <w:b/>
                <w:color w:val="000000"/>
                <w:w w:val="95"/>
                <w:sz w:val="22"/>
                <w:shd w:fill="D9D9D9" w:color="auto" w:val="clear"/>
              </w:rPr>
              <w:t>次</w:t>
            </w:r>
            <w:r>
              <w:rPr>
                <w:rFonts w:ascii="微软雅黑" w:eastAsia="微软雅黑"/>
                <w:b/>
                <w:color w:val="000000"/>
                <w:w w:val="95"/>
                <w:sz w:val="22"/>
                <w:shd w:fill="D9D9D9" w:color="auto" w:val="clear"/>
              </w:rPr>
              <w:t>患</w:t>
            </w:r>
            <w:r>
              <w:rPr>
                <w:rFonts w:ascii="微软雅黑" w:eastAsia="微软雅黑"/>
                <w:b/>
                <w:color w:val="000000"/>
                <w:w w:val="95"/>
                <w:sz w:val="22"/>
                <w:shd w:fill="D9D9D9" w:color="auto" w:val="clear"/>
              </w:rPr>
              <w:t>有</w:t>
            </w:r>
            <w:r>
              <w:rPr>
                <w:rFonts w:ascii="微软雅黑" w:eastAsia="微软雅黑"/>
                <w:b/>
                <w:color w:val="000000"/>
                <w:w w:val="95"/>
                <w:sz w:val="22"/>
                <w:shd w:fill="D9D9D9" w:color="auto" w:val="clear"/>
              </w:rPr>
              <w:t>单</w:t>
            </w:r>
            <w:r>
              <w:rPr>
                <w:rFonts w:ascii="微软雅黑" w:eastAsia="微软雅黑"/>
                <w:b/>
                <w:color w:val="000000"/>
                <w:w w:val="95"/>
                <w:sz w:val="22"/>
                <w:shd w:fill="D9D9D9" w:color="auto" w:val="clear"/>
              </w:rPr>
              <w:t>眼</w:t>
            </w:r>
            <w:r>
              <w:rPr>
                <w:rFonts w:ascii="微软雅黑" w:eastAsia="微软雅黑"/>
                <w:b/>
                <w:color w:val="000000"/>
                <w:w w:val="95"/>
                <w:sz w:val="22"/>
                <w:shd w:fill="D9D9D9" w:color="auto" w:val="clear"/>
              </w:rPr>
              <w:t>失</w:t>
            </w:r>
            <w:r>
              <w:rPr>
                <w:rFonts w:ascii="微软雅黑" w:eastAsia="微软雅黑"/>
                <w:b/>
                <w:color w:val="000000"/>
                <w:w w:val="95"/>
                <w:sz w:val="22"/>
                <w:shd w:fill="D9D9D9" w:color="auto" w:val="clear"/>
              </w:rPr>
              <w:t>明</w:t>
            </w:r>
            <w:r>
              <w:rPr>
                <w:rFonts w:ascii="微软雅黑" w:eastAsia="微软雅黑"/>
                <w:b/>
                <w:color w:val="000000"/>
                <w:w w:val="95"/>
                <w:sz w:val="22"/>
                <w:shd w:fill="D9D9D9" w:color="auto" w:val="clear"/>
              </w:rPr>
              <w:t>除</w:t>
            </w:r>
            <w:r>
              <w:rPr>
                <w:rFonts w:ascii="微软雅黑" w:eastAsia="微软雅黑"/>
                <w:b/>
                <w:color w:val="000000"/>
                <w:w w:val="95"/>
                <w:sz w:val="22"/>
                <w:shd w:fill="D9D9D9" w:color="auto" w:val="clear"/>
              </w:rPr>
              <w:t>外</w:t>
            </w:r>
            <w:r>
              <w:rPr>
                <w:rFonts w:ascii="微软雅黑" w:eastAsia="微软雅黑"/>
                <w:b/>
                <w:color w:val="000000"/>
                <w:spacing w:val="-10"/>
                <w:w w:val="95"/>
                <w:sz w:val="22"/>
                <w:shd w:fill="D9D9D9" w:color="auto" w:val="clear"/>
              </w:rPr>
              <w:t>。</w:t>
            </w:r>
          </w:p>
          <w:p>
            <w:pPr>
              <w:pStyle w:val="TableParagraph"/>
              <w:spacing w:line="184" w:lineRule="auto" w:before="20"/>
              <w:ind w:left="178" w:right="126"/>
              <w:jc w:val="both"/>
              <w:rPr>
                <w:rFonts w:ascii="微软雅黑" w:hAnsi="微软雅黑" w:eastAsia="微软雅黑"/>
                <w:b/>
                <w:sz w:val="22"/>
              </w:rPr>
            </w:pPr>
            <w:r>
              <w:rPr>
                <w:rFonts w:ascii="微软雅黑" w:hAnsi="微软雅黑" w:eastAsia="微软雅黑"/>
                <w:b/>
                <w:spacing w:val="-2"/>
                <w:sz w:val="22"/>
              </w:rPr>
              <w:t>如被保险人同时或先后达到“轻度视力受损”、“单眼失明”和“角膜移</w:t>
            </w:r>
            <w:r>
              <w:rPr>
                <w:rFonts w:ascii="微软雅黑" w:hAnsi="微软雅黑" w:eastAsia="微软雅黑"/>
                <w:b/>
                <w:spacing w:val="-2"/>
                <w:sz w:val="22"/>
              </w:rPr>
              <w:t>植”的赔付标准，我们仅赔付其中一项轻症疾病保险金，赔付后另外两个</w:t>
            </w:r>
            <w:r>
              <w:rPr>
                <w:rFonts w:ascii="微软雅黑" w:hAnsi="微软雅黑" w:eastAsia="微软雅黑"/>
                <w:b/>
                <w:spacing w:val="-2"/>
                <w:sz w:val="22"/>
              </w:rPr>
              <w:t>病种轻症责任终止。</w:t>
            </w:r>
          </w:p>
        </w:tc>
      </w:tr>
      <w:tr>
        <w:trPr>
          <w:trHeight w:val="394" w:hRule="atLeast"/>
        </w:trPr>
        <w:tc>
          <w:tcPr>
            <w:tcW w:w="940" w:type="dxa"/>
          </w:tcPr>
          <w:p>
            <w:pPr>
              <w:pStyle w:val="TableParagraph"/>
              <w:spacing w:line="337" w:lineRule="exact" w:before="37"/>
              <w:ind w:left="50"/>
              <w:rPr>
                <w:rFonts w:ascii="微软雅黑"/>
                <w:b/>
                <w:sz w:val="21"/>
              </w:rPr>
            </w:pPr>
            <w:r>
              <w:rPr>
                <w:rFonts w:ascii="微软雅黑"/>
                <w:b/>
                <w:spacing w:val="-2"/>
                <w:sz w:val="21"/>
              </w:rPr>
              <w:t>10.1.17</w:t>
            </w:r>
          </w:p>
        </w:tc>
        <w:tc>
          <w:tcPr>
            <w:tcW w:w="1594" w:type="dxa"/>
          </w:tcPr>
          <w:p>
            <w:pPr>
              <w:pStyle w:val="TableParagraph"/>
              <w:spacing w:line="337" w:lineRule="exact" w:before="37"/>
              <w:ind w:left="147"/>
              <w:rPr>
                <w:rFonts w:ascii="微软雅黑" w:eastAsia="微软雅黑"/>
                <w:b/>
                <w:sz w:val="21"/>
              </w:rPr>
            </w:pPr>
            <w:r>
              <w:rPr>
                <w:rFonts w:ascii="微软雅黑" w:eastAsia="微软雅黑"/>
                <w:b/>
                <w:spacing w:val="-3"/>
                <w:sz w:val="21"/>
              </w:rPr>
              <w:t>角膜移植</w:t>
            </w:r>
          </w:p>
        </w:tc>
        <w:tc>
          <w:tcPr>
            <w:tcW w:w="7373" w:type="dxa"/>
          </w:tcPr>
          <w:p>
            <w:pPr>
              <w:pStyle w:val="TableParagraph"/>
              <w:spacing w:before="104"/>
              <w:ind w:left="178"/>
              <w:rPr>
                <w:sz w:val="21"/>
              </w:rPr>
            </w:pPr>
            <w:r>
              <w:rPr>
                <w:spacing w:val="-5"/>
                <w:sz w:val="21"/>
              </w:rPr>
              <w:t>指为增进视力或治疗某些角膜疾患，已经实施了异体的角膜移植手术。此手术</w:t>
            </w:r>
          </w:p>
        </w:tc>
      </w:tr>
      <w:tr>
        <w:trPr>
          <w:trHeight w:val="261" w:hRule="atLeast"/>
        </w:trPr>
        <w:tc>
          <w:tcPr>
            <w:tcW w:w="940" w:type="dxa"/>
          </w:tcPr>
          <w:p>
            <w:pPr>
              <w:pStyle w:val="TableParagraph"/>
              <w:rPr>
                <w:rFonts w:ascii="Times New Roman"/>
                <w:sz w:val="18"/>
              </w:rPr>
            </w:pPr>
          </w:p>
        </w:tc>
        <w:tc>
          <w:tcPr>
            <w:tcW w:w="1594" w:type="dxa"/>
          </w:tcPr>
          <w:p>
            <w:pPr>
              <w:pStyle w:val="TableParagraph"/>
              <w:rPr>
                <w:rFonts w:ascii="Times New Roman"/>
                <w:sz w:val="18"/>
              </w:rPr>
            </w:pPr>
          </w:p>
        </w:tc>
        <w:tc>
          <w:tcPr>
            <w:tcW w:w="7373" w:type="dxa"/>
          </w:tcPr>
          <w:p>
            <w:pPr>
              <w:pStyle w:val="TableParagraph"/>
              <w:spacing w:line="220" w:lineRule="exact" w:before="22"/>
              <w:ind w:left="178"/>
              <w:rPr>
                <w:sz w:val="21"/>
              </w:rPr>
            </w:pPr>
            <w:r>
              <w:rPr>
                <w:spacing w:val="-3"/>
                <w:sz w:val="21"/>
              </w:rPr>
              <w:t>必须由专科医生认为是医学上必需的情况下进行。</w:t>
            </w:r>
          </w:p>
        </w:tc>
      </w:tr>
    </w:tbl>
    <w:p>
      <w:pPr>
        <w:spacing w:after="0" w:line="220" w:lineRule="exact"/>
        <w:rPr>
          <w:sz w:val="21"/>
        </w:rPr>
        <w:sectPr>
          <w:pgSz w:w="11910" w:h="16840"/>
          <w:pgMar w:header="566" w:footer="664" w:top="1340" w:bottom="860" w:left="900" w:right="720"/>
        </w:sectPr>
      </w:pPr>
    </w:p>
    <w:p>
      <w:pPr>
        <w:spacing w:line="184" w:lineRule="auto" w:before="74"/>
        <w:ind w:left="2895" w:right="323" w:firstLine="0"/>
        <w:jc w:val="both"/>
        <w:rPr>
          <w:rFonts w:ascii="微软雅黑" w:hAnsi="微软雅黑" w:eastAsia="微软雅黑"/>
          <w:b/>
          <w:sz w:val="22"/>
        </w:rPr>
      </w:pPr>
      <w:r>
        <w:rPr>
          <w:rFonts w:ascii="微软雅黑" w:hAnsi="微软雅黑" w:eastAsia="微软雅黑"/>
          <w:b/>
          <w:spacing w:val="-2"/>
          <w:sz w:val="22"/>
        </w:rPr>
        <w:t>如被保险人同时或先后达到“轻度视力受损”、“单眼失明”和“角膜移</w:t>
      </w:r>
      <w:r>
        <w:rPr>
          <w:rFonts w:ascii="微软雅黑" w:hAnsi="微软雅黑" w:eastAsia="微软雅黑"/>
          <w:b/>
          <w:spacing w:val="-2"/>
          <w:sz w:val="22"/>
        </w:rPr>
        <w:t>植”的赔付标准，我们仅赔付其中一项轻症疾病保险金，赔付后另外两个</w:t>
      </w:r>
      <w:r>
        <w:rPr>
          <w:rFonts w:ascii="微软雅黑" w:hAnsi="微软雅黑" w:eastAsia="微软雅黑"/>
          <w:b/>
          <w:spacing w:val="-2"/>
          <w:sz w:val="22"/>
        </w:rPr>
        <w:t>病种轻症责任终止。</w:t>
      </w:r>
    </w:p>
    <w:p>
      <w:pPr>
        <w:pStyle w:val="ListParagraph"/>
        <w:numPr>
          <w:ilvl w:val="2"/>
          <w:numId w:val="74"/>
        </w:numPr>
        <w:tabs>
          <w:tab w:pos="1269" w:val="left" w:leader="none"/>
          <w:tab w:pos="1270" w:val="left" w:leader="none"/>
          <w:tab w:pos="2895" w:val="left" w:leader="none"/>
        </w:tabs>
        <w:spacing w:line="256" w:lineRule="auto" w:before="114" w:after="0"/>
        <w:ind w:left="2895" w:right="298" w:hanging="2663"/>
        <w:jc w:val="left"/>
        <w:rPr>
          <w:sz w:val="21"/>
        </w:rPr>
      </w:pPr>
      <w:r>
        <w:rPr>
          <w:rFonts w:ascii="微软雅黑" w:eastAsia="微软雅黑"/>
          <w:b/>
          <w:spacing w:val="-2"/>
          <w:sz w:val="21"/>
        </w:rPr>
        <w:t>轻</w:t>
      </w:r>
      <w:r>
        <w:rPr>
          <w:rFonts w:ascii="微软雅黑" w:eastAsia="微软雅黑"/>
          <w:b/>
          <w:spacing w:val="-2"/>
          <w:sz w:val="21"/>
        </w:rPr>
        <w:t>度</w:t>
      </w:r>
      <w:r>
        <w:rPr>
          <w:rFonts w:ascii="微软雅黑" w:eastAsia="微软雅黑"/>
          <w:b/>
          <w:spacing w:val="-2"/>
          <w:sz w:val="21"/>
        </w:rPr>
        <w:t>听</w:t>
      </w:r>
      <w:r>
        <w:rPr>
          <w:rFonts w:ascii="微软雅黑" w:eastAsia="微软雅黑"/>
          <w:b/>
          <w:spacing w:val="-2"/>
          <w:sz w:val="21"/>
        </w:rPr>
        <w:t>力</w:t>
      </w:r>
      <w:r>
        <w:rPr>
          <w:rFonts w:ascii="微软雅黑" w:eastAsia="微软雅黑"/>
          <w:b/>
          <w:spacing w:val="-2"/>
          <w:sz w:val="21"/>
        </w:rPr>
        <w:t>受</w:t>
      </w:r>
      <w:r>
        <w:rPr>
          <w:rFonts w:ascii="微软雅黑" w:eastAsia="微软雅黑"/>
          <w:b/>
          <w:spacing w:val="-2"/>
          <w:sz w:val="21"/>
        </w:rPr>
        <w:t>损</w:t>
      </w:r>
      <w:r>
        <w:rPr>
          <w:rFonts w:ascii="微软雅黑" w:eastAsia="微软雅黑"/>
          <w:b/>
          <w:sz w:val="21"/>
        </w:rPr>
        <w:tab/>
      </w:r>
      <w:r>
        <w:rPr>
          <w:sz w:val="21"/>
        </w:rPr>
        <w:t>指因疾病或者意外伤害导</w:t>
      </w:r>
      <w:r>
        <w:rPr>
          <w:sz w:val="21"/>
        </w:rPr>
        <w:t>致双耳听力永久不可逆性</w:t>
      </w:r>
      <w:r>
        <w:rPr>
          <w:sz w:val="21"/>
        </w:rPr>
        <w:t>丧失，在</w:t>
      </w:r>
      <w:r>
        <w:rPr>
          <w:spacing w:val="-22"/>
          <w:sz w:val="21"/>
        </w:rPr>
        <w:t> </w:t>
      </w:r>
      <w:r>
        <w:rPr>
          <w:sz w:val="21"/>
        </w:rPr>
        <w:t>500</w:t>
      </w:r>
      <w:r>
        <w:rPr>
          <w:spacing w:val="-22"/>
          <w:sz w:val="21"/>
        </w:rPr>
        <w:t> </w:t>
      </w:r>
      <w:r>
        <w:rPr>
          <w:sz w:val="21"/>
        </w:rPr>
        <w:t>赫兹、1000</w:t>
      </w:r>
      <w:r>
        <w:rPr>
          <w:spacing w:val="-2"/>
          <w:sz w:val="21"/>
        </w:rPr>
        <w:t>赫兹和</w:t>
      </w:r>
      <w:r>
        <w:rPr>
          <w:spacing w:val="-53"/>
          <w:sz w:val="21"/>
        </w:rPr>
        <w:t> </w:t>
      </w:r>
      <w:r>
        <w:rPr>
          <w:spacing w:val="-2"/>
          <w:sz w:val="21"/>
        </w:rPr>
        <w:t>2000</w:t>
      </w:r>
      <w:r>
        <w:rPr>
          <w:spacing w:val="-53"/>
          <w:sz w:val="21"/>
        </w:rPr>
        <w:t> </w:t>
      </w:r>
      <w:r>
        <w:rPr>
          <w:spacing w:val="-2"/>
          <w:sz w:val="21"/>
        </w:rPr>
        <w:t>赫兹语音频率下，平均听阈</w:t>
      </w:r>
      <w:r>
        <w:rPr>
          <w:spacing w:val="-2"/>
          <w:sz w:val="21"/>
        </w:rPr>
        <w:t>大</w:t>
      </w:r>
      <w:r>
        <w:rPr>
          <w:spacing w:val="-2"/>
          <w:sz w:val="21"/>
        </w:rPr>
        <w:t>于</w:t>
      </w:r>
      <w:r>
        <w:rPr>
          <w:spacing w:val="-55"/>
          <w:sz w:val="21"/>
        </w:rPr>
        <w:t> </w:t>
      </w:r>
      <w:r>
        <w:rPr>
          <w:spacing w:val="-2"/>
          <w:sz w:val="21"/>
        </w:rPr>
        <w:t>70</w:t>
      </w:r>
      <w:r>
        <w:rPr>
          <w:spacing w:val="-53"/>
          <w:sz w:val="21"/>
        </w:rPr>
        <w:t> </w:t>
      </w:r>
      <w:r>
        <w:rPr>
          <w:spacing w:val="-2"/>
          <w:sz w:val="21"/>
        </w:rPr>
        <w:t>分贝，且经纯音听力测试、声</w:t>
      </w:r>
      <w:r>
        <w:rPr>
          <w:spacing w:val="-2"/>
          <w:sz w:val="21"/>
        </w:rPr>
        <w:t>导</w:t>
      </w:r>
      <w:r>
        <w:rPr>
          <w:spacing w:val="-2"/>
          <w:sz w:val="21"/>
        </w:rPr>
        <w:t>抗</w:t>
      </w:r>
      <w:r>
        <w:rPr>
          <w:spacing w:val="-2"/>
          <w:sz w:val="21"/>
        </w:rPr>
        <w:t>检测或者听觉诱发电</w:t>
      </w:r>
      <w:r>
        <w:rPr>
          <w:spacing w:val="-2"/>
          <w:sz w:val="21"/>
        </w:rPr>
        <w:t>位</w:t>
      </w:r>
      <w:r>
        <w:rPr>
          <w:spacing w:val="-2"/>
          <w:sz w:val="21"/>
        </w:rPr>
        <w:t>检</w:t>
      </w:r>
      <w:r>
        <w:rPr>
          <w:spacing w:val="-2"/>
          <w:sz w:val="21"/>
        </w:rPr>
        <w:t>测等证</w:t>
      </w:r>
      <w:r>
        <w:rPr>
          <w:spacing w:val="-2"/>
          <w:sz w:val="21"/>
        </w:rPr>
        <w:t>实</w:t>
      </w:r>
      <w:r>
        <w:rPr>
          <w:spacing w:val="-2"/>
          <w:sz w:val="21"/>
        </w:rPr>
        <w:t>。</w:t>
      </w:r>
    </w:p>
    <w:p>
      <w:pPr>
        <w:pStyle w:val="Heading1"/>
        <w:spacing w:line="294" w:lineRule="exact"/>
        <w:ind w:left="2895"/>
        <w:jc w:val="both"/>
      </w:pPr>
      <w:r>
        <w:rPr>
          <w:color w:val="000000"/>
          <w:w w:val="95"/>
          <w:shd w:fill="D9D9D9" w:color="auto" w:val="clear"/>
        </w:rPr>
        <w:t>在</w:t>
      </w:r>
      <w:r>
        <w:rPr>
          <w:color w:val="000000"/>
          <w:spacing w:val="47"/>
          <w:shd w:fill="D9D9D9" w:color="auto" w:val="clear"/>
        </w:rPr>
        <w:t> </w:t>
      </w:r>
      <w:r>
        <w:rPr>
          <w:color w:val="000000"/>
          <w:w w:val="95"/>
          <w:shd w:fill="D9D9D9" w:color="auto" w:val="clear"/>
        </w:rPr>
        <w:t>0</w:t>
      </w:r>
      <w:r>
        <w:rPr>
          <w:color w:val="000000"/>
          <w:spacing w:val="47"/>
          <w:shd w:fill="D9D9D9" w:color="auto" w:val="clear"/>
        </w:rPr>
        <w:t> </w:t>
      </w:r>
      <w:r>
        <w:rPr>
          <w:color w:val="000000"/>
          <w:w w:val="95"/>
          <w:shd w:fill="D9D9D9" w:color="auto" w:val="clear"/>
        </w:rPr>
        <w:t>周</w:t>
      </w:r>
      <w:r>
        <w:rPr>
          <w:color w:val="000000"/>
          <w:w w:val="95"/>
          <w:shd w:fill="D9D9D9" w:color="auto" w:val="clear"/>
        </w:rPr>
        <w:t>岁</w:t>
      </w:r>
      <w:r>
        <w:rPr>
          <w:color w:val="000000"/>
          <w:w w:val="95"/>
          <w:shd w:fill="D9D9D9" w:color="auto" w:val="clear"/>
        </w:rPr>
        <w:t>至</w:t>
      </w:r>
      <w:r>
        <w:rPr>
          <w:color w:val="000000"/>
          <w:spacing w:val="54"/>
          <w:shd w:fill="D9D9D9" w:color="auto" w:val="clear"/>
        </w:rPr>
        <w:t> </w:t>
      </w:r>
      <w:r>
        <w:rPr>
          <w:color w:val="000000"/>
          <w:w w:val="95"/>
          <w:shd w:fill="D9D9D9" w:color="auto" w:val="clear"/>
        </w:rPr>
        <w:t>3</w:t>
      </w:r>
      <w:r>
        <w:rPr>
          <w:color w:val="000000"/>
          <w:spacing w:val="48"/>
          <w:shd w:fill="D9D9D9" w:color="auto" w:val="clear"/>
        </w:rPr>
        <w:t> </w:t>
      </w:r>
      <w:r>
        <w:rPr>
          <w:color w:val="000000"/>
          <w:w w:val="95"/>
          <w:shd w:fill="D9D9D9" w:color="auto" w:val="clear"/>
        </w:rPr>
        <w:t>周</w:t>
      </w:r>
      <w:r>
        <w:rPr>
          <w:color w:val="000000"/>
          <w:w w:val="95"/>
          <w:shd w:fill="D9D9D9" w:color="auto" w:val="clear"/>
        </w:rPr>
        <w:t>岁</w:t>
      </w:r>
      <w:r>
        <w:rPr>
          <w:color w:val="000000"/>
          <w:w w:val="95"/>
          <w:shd w:fill="D9D9D9" w:color="auto" w:val="clear"/>
        </w:rPr>
        <w:t>期</w:t>
      </w:r>
      <w:r>
        <w:rPr>
          <w:color w:val="000000"/>
          <w:w w:val="95"/>
          <w:shd w:fill="D9D9D9" w:color="auto" w:val="clear"/>
        </w:rPr>
        <w:t>间</w:t>
      </w:r>
      <w:r>
        <w:rPr>
          <w:color w:val="000000"/>
          <w:w w:val="95"/>
          <w:shd w:fill="D9D9D9" w:color="auto" w:val="clear"/>
        </w:rPr>
        <w:t>，</w:t>
      </w:r>
      <w:r>
        <w:rPr>
          <w:color w:val="000000"/>
          <w:w w:val="95"/>
          <w:shd w:fill="D9D9D9" w:color="auto" w:val="clear"/>
        </w:rPr>
        <w:t>被</w:t>
      </w:r>
      <w:r>
        <w:rPr>
          <w:color w:val="000000"/>
          <w:w w:val="95"/>
          <w:shd w:fill="D9D9D9" w:color="auto" w:val="clear"/>
        </w:rPr>
        <w:t>保</w:t>
      </w:r>
      <w:r>
        <w:rPr>
          <w:color w:val="000000"/>
          <w:w w:val="95"/>
          <w:shd w:fill="D9D9D9" w:color="auto" w:val="clear"/>
        </w:rPr>
        <w:t>险</w:t>
      </w:r>
      <w:r>
        <w:rPr>
          <w:color w:val="000000"/>
          <w:w w:val="95"/>
          <w:shd w:fill="D9D9D9" w:color="auto" w:val="clear"/>
        </w:rPr>
        <w:t>人</w:t>
      </w:r>
      <w:r>
        <w:rPr>
          <w:color w:val="000000"/>
          <w:w w:val="95"/>
          <w:shd w:fill="D9D9D9" w:color="auto" w:val="clear"/>
        </w:rPr>
        <w:t>首</w:t>
      </w:r>
      <w:r>
        <w:rPr>
          <w:color w:val="000000"/>
          <w:w w:val="95"/>
          <w:shd w:fill="D9D9D9" w:color="auto" w:val="clear"/>
        </w:rPr>
        <w:t>次</w:t>
      </w:r>
      <w:r>
        <w:rPr>
          <w:color w:val="000000"/>
          <w:w w:val="95"/>
          <w:shd w:fill="D9D9D9" w:color="auto" w:val="clear"/>
        </w:rPr>
        <w:t>患</w:t>
      </w:r>
      <w:r>
        <w:rPr>
          <w:color w:val="000000"/>
          <w:w w:val="95"/>
          <w:shd w:fill="D9D9D9" w:color="auto" w:val="clear"/>
        </w:rPr>
        <w:t>有</w:t>
      </w:r>
      <w:r>
        <w:rPr>
          <w:color w:val="000000"/>
          <w:w w:val="95"/>
          <w:shd w:fill="D9D9D9" w:color="auto" w:val="clear"/>
        </w:rPr>
        <w:t>轻</w:t>
      </w:r>
      <w:r>
        <w:rPr>
          <w:color w:val="000000"/>
          <w:w w:val="95"/>
          <w:shd w:fill="D9D9D9" w:color="auto" w:val="clear"/>
        </w:rPr>
        <w:t>度</w:t>
      </w:r>
      <w:r>
        <w:rPr>
          <w:color w:val="000000"/>
          <w:w w:val="95"/>
          <w:shd w:fill="D9D9D9" w:color="auto" w:val="clear"/>
        </w:rPr>
        <w:t>听</w:t>
      </w:r>
      <w:r>
        <w:rPr>
          <w:color w:val="000000"/>
          <w:w w:val="95"/>
          <w:shd w:fill="D9D9D9" w:color="auto" w:val="clear"/>
        </w:rPr>
        <w:t>力</w:t>
      </w:r>
      <w:r>
        <w:rPr>
          <w:color w:val="000000"/>
          <w:w w:val="95"/>
          <w:shd w:fill="D9D9D9" w:color="auto" w:val="clear"/>
        </w:rPr>
        <w:t>受</w:t>
      </w:r>
      <w:r>
        <w:rPr>
          <w:color w:val="000000"/>
          <w:w w:val="95"/>
          <w:shd w:fill="D9D9D9" w:color="auto" w:val="clear"/>
        </w:rPr>
        <w:t>损</w:t>
      </w:r>
      <w:r>
        <w:rPr>
          <w:color w:val="000000"/>
          <w:w w:val="95"/>
          <w:shd w:fill="D9D9D9" w:color="auto" w:val="clear"/>
        </w:rPr>
        <w:t>除</w:t>
      </w:r>
      <w:r>
        <w:rPr>
          <w:color w:val="000000"/>
          <w:w w:val="95"/>
          <w:shd w:fill="D9D9D9" w:color="auto" w:val="clear"/>
        </w:rPr>
        <w:t>外</w:t>
      </w:r>
      <w:r>
        <w:rPr>
          <w:color w:val="000000"/>
          <w:spacing w:val="-10"/>
          <w:w w:val="95"/>
          <w:shd w:fill="D9D9D9" w:color="auto" w:val="clear"/>
        </w:rPr>
        <w:t>。</w:t>
      </w:r>
    </w:p>
    <w:p>
      <w:pPr>
        <w:spacing w:line="184" w:lineRule="auto" w:before="20"/>
        <w:ind w:left="2895" w:right="323" w:firstLine="0"/>
        <w:jc w:val="both"/>
        <w:rPr>
          <w:rFonts w:ascii="微软雅黑" w:hAnsi="微软雅黑" w:eastAsia="微软雅黑"/>
          <w:b/>
          <w:sz w:val="22"/>
        </w:rPr>
      </w:pPr>
      <w:r>
        <w:rPr>
          <w:rFonts w:ascii="微软雅黑" w:hAnsi="微软雅黑" w:eastAsia="微软雅黑"/>
          <w:b/>
          <w:spacing w:val="-2"/>
          <w:sz w:val="22"/>
        </w:rPr>
        <w:t>如被保险人同时或先后达到“轻度听力受损”、“单耳失聪”和“人工耳</w:t>
      </w:r>
      <w:r>
        <w:rPr>
          <w:rFonts w:ascii="微软雅黑" w:hAnsi="微软雅黑" w:eastAsia="微软雅黑"/>
          <w:b/>
          <w:spacing w:val="-2"/>
          <w:sz w:val="22"/>
        </w:rPr>
        <w:t>蜗植入术”的赔付标准，我们仅赔付其中一项轻症疾病保险金，赔付后另</w:t>
      </w:r>
      <w:r>
        <w:rPr>
          <w:rFonts w:ascii="微软雅黑" w:hAnsi="微软雅黑" w:eastAsia="微软雅黑"/>
          <w:b/>
          <w:spacing w:val="-2"/>
          <w:sz w:val="22"/>
        </w:rPr>
        <w:t>外两个病种轻症责任终止。</w:t>
      </w:r>
    </w:p>
    <w:p>
      <w:pPr>
        <w:pStyle w:val="ListParagraph"/>
        <w:numPr>
          <w:ilvl w:val="2"/>
          <w:numId w:val="74"/>
        </w:numPr>
        <w:tabs>
          <w:tab w:pos="1269" w:val="left" w:leader="none"/>
          <w:tab w:pos="1270" w:val="left" w:leader="none"/>
          <w:tab w:pos="2895" w:val="left" w:leader="none"/>
        </w:tabs>
        <w:spacing w:line="256" w:lineRule="auto" w:before="111" w:after="0"/>
        <w:ind w:left="2895" w:right="298" w:hanging="2663"/>
        <w:jc w:val="left"/>
        <w:rPr>
          <w:sz w:val="21"/>
        </w:rPr>
      </w:pPr>
      <w:r>
        <w:rPr>
          <w:rFonts w:ascii="微软雅黑" w:eastAsia="微软雅黑"/>
          <w:b/>
          <w:spacing w:val="-4"/>
          <w:sz w:val="21"/>
        </w:rPr>
        <w:t>单</w:t>
      </w:r>
      <w:r>
        <w:rPr>
          <w:rFonts w:ascii="微软雅黑" w:eastAsia="微软雅黑"/>
          <w:b/>
          <w:spacing w:val="-4"/>
          <w:sz w:val="21"/>
        </w:rPr>
        <w:t>耳</w:t>
      </w:r>
      <w:r>
        <w:rPr>
          <w:rFonts w:ascii="微软雅黑" w:eastAsia="微软雅黑"/>
          <w:b/>
          <w:spacing w:val="-4"/>
          <w:sz w:val="21"/>
        </w:rPr>
        <w:t>失</w:t>
      </w:r>
      <w:r>
        <w:rPr>
          <w:rFonts w:ascii="微软雅黑" w:eastAsia="微软雅黑"/>
          <w:b/>
          <w:spacing w:val="-4"/>
          <w:sz w:val="21"/>
        </w:rPr>
        <w:t>聪</w:t>
      </w:r>
      <w:r>
        <w:rPr>
          <w:rFonts w:ascii="微软雅黑" w:eastAsia="微软雅黑"/>
          <w:b/>
          <w:sz w:val="21"/>
        </w:rPr>
        <w:tab/>
      </w:r>
      <w:r>
        <w:rPr>
          <w:sz w:val="21"/>
        </w:rPr>
        <w:t>指因疾病或者意外伤害导</w:t>
      </w:r>
      <w:r>
        <w:rPr>
          <w:sz w:val="21"/>
        </w:rPr>
        <w:t>致单耳听力永久不可逆性</w:t>
      </w:r>
      <w:r>
        <w:rPr>
          <w:sz w:val="21"/>
        </w:rPr>
        <w:t>丧失，在</w:t>
      </w:r>
      <w:r>
        <w:rPr>
          <w:spacing w:val="-22"/>
          <w:sz w:val="21"/>
        </w:rPr>
        <w:t> </w:t>
      </w:r>
      <w:r>
        <w:rPr>
          <w:sz w:val="21"/>
        </w:rPr>
        <w:t>500</w:t>
      </w:r>
      <w:r>
        <w:rPr>
          <w:spacing w:val="-22"/>
          <w:sz w:val="21"/>
        </w:rPr>
        <w:t> </w:t>
      </w:r>
      <w:r>
        <w:rPr>
          <w:sz w:val="21"/>
        </w:rPr>
        <w:t>赫兹、1000</w:t>
      </w:r>
      <w:r>
        <w:rPr>
          <w:spacing w:val="-2"/>
          <w:sz w:val="21"/>
        </w:rPr>
        <w:t>赫兹和</w:t>
      </w:r>
      <w:r>
        <w:rPr>
          <w:spacing w:val="-53"/>
          <w:sz w:val="21"/>
        </w:rPr>
        <w:t> </w:t>
      </w:r>
      <w:r>
        <w:rPr>
          <w:spacing w:val="-2"/>
          <w:sz w:val="21"/>
        </w:rPr>
        <w:t>2000</w:t>
      </w:r>
      <w:r>
        <w:rPr>
          <w:spacing w:val="-53"/>
          <w:sz w:val="21"/>
        </w:rPr>
        <w:t> </w:t>
      </w:r>
      <w:r>
        <w:rPr>
          <w:spacing w:val="-2"/>
          <w:sz w:val="21"/>
        </w:rPr>
        <w:t>赫兹语音频率下，平均听阈</w:t>
      </w:r>
      <w:r>
        <w:rPr>
          <w:spacing w:val="-2"/>
          <w:sz w:val="21"/>
        </w:rPr>
        <w:t>大</w:t>
      </w:r>
      <w:r>
        <w:rPr>
          <w:spacing w:val="-2"/>
          <w:sz w:val="21"/>
        </w:rPr>
        <w:t>于</w:t>
      </w:r>
      <w:r>
        <w:rPr>
          <w:spacing w:val="-55"/>
          <w:sz w:val="21"/>
        </w:rPr>
        <w:t> </w:t>
      </w:r>
      <w:r>
        <w:rPr>
          <w:spacing w:val="-2"/>
          <w:sz w:val="21"/>
        </w:rPr>
        <w:t>91</w:t>
      </w:r>
      <w:r>
        <w:rPr>
          <w:spacing w:val="-53"/>
          <w:sz w:val="21"/>
        </w:rPr>
        <w:t> </w:t>
      </w:r>
      <w:r>
        <w:rPr>
          <w:spacing w:val="-2"/>
          <w:sz w:val="21"/>
        </w:rPr>
        <w:t>分贝，且经纯音听力测试、声</w:t>
      </w:r>
      <w:r>
        <w:rPr>
          <w:spacing w:val="-2"/>
          <w:sz w:val="21"/>
        </w:rPr>
        <w:t>导</w:t>
      </w:r>
      <w:r>
        <w:rPr>
          <w:spacing w:val="-2"/>
          <w:sz w:val="21"/>
        </w:rPr>
        <w:t>抗</w:t>
      </w:r>
      <w:r>
        <w:rPr>
          <w:spacing w:val="-2"/>
          <w:sz w:val="21"/>
        </w:rPr>
        <w:t>检测或者听觉诱发电</w:t>
      </w:r>
      <w:r>
        <w:rPr>
          <w:spacing w:val="-2"/>
          <w:sz w:val="21"/>
        </w:rPr>
        <w:t>位</w:t>
      </w:r>
      <w:r>
        <w:rPr>
          <w:spacing w:val="-2"/>
          <w:sz w:val="21"/>
        </w:rPr>
        <w:t>检</w:t>
      </w:r>
      <w:r>
        <w:rPr>
          <w:spacing w:val="-2"/>
          <w:sz w:val="21"/>
        </w:rPr>
        <w:t>测等证</w:t>
      </w:r>
      <w:r>
        <w:rPr>
          <w:spacing w:val="-2"/>
          <w:sz w:val="21"/>
        </w:rPr>
        <w:t>实</w:t>
      </w:r>
      <w:r>
        <w:rPr>
          <w:spacing w:val="-2"/>
          <w:sz w:val="21"/>
        </w:rPr>
        <w:t>。</w:t>
      </w:r>
    </w:p>
    <w:p>
      <w:pPr>
        <w:pStyle w:val="Heading1"/>
        <w:spacing w:line="295" w:lineRule="exact"/>
        <w:ind w:left="2895"/>
        <w:jc w:val="both"/>
      </w:pPr>
      <w:r>
        <w:rPr>
          <w:color w:val="000000"/>
          <w:w w:val="95"/>
          <w:shd w:fill="D9D9D9" w:color="auto" w:val="clear"/>
        </w:rPr>
        <w:t>在</w:t>
      </w:r>
      <w:r>
        <w:rPr>
          <w:color w:val="000000"/>
          <w:spacing w:val="42"/>
          <w:shd w:fill="D9D9D9" w:color="auto" w:val="clear"/>
        </w:rPr>
        <w:t> </w:t>
      </w:r>
      <w:r>
        <w:rPr>
          <w:color w:val="000000"/>
          <w:w w:val="95"/>
          <w:shd w:fill="D9D9D9" w:color="auto" w:val="clear"/>
        </w:rPr>
        <w:t>0</w:t>
      </w:r>
      <w:r>
        <w:rPr>
          <w:color w:val="000000"/>
          <w:spacing w:val="42"/>
          <w:shd w:fill="D9D9D9" w:color="auto" w:val="clear"/>
        </w:rPr>
        <w:t> </w:t>
      </w:r>
      <w:r>
        <w:rPr>
          <w:color w:val="000000"/>
          <w:w w:val="95"/>
          <w:shd w:fill="D9D9D9" w:color="auto" w:val="clear"/>
        </w:rPr>
        <w:t>周</w:t>
      </w:r>
      <w:r>
        <w:rPr>
          <w:color w:val="000000"/>
          <w:w w:val="95"/>
          <w:shd w:fill="D9D9D9" w:color="auto" w:val="clear"/>
        </w:rPr>
        <w:t>岁</w:t>
      </w:r>
      <w:r>
        <w:rPr>
          <w:color w:val="000000"/>
          <w:w w:val="95"/>
          <w:shd w:fill="D9D9D9" w:color="auto" w:val="clear"/>
        </w:rPr>
        <w:t>至</w:t>
      </w:r>
      <w:r>
        <w:rPr>
          <w:color w:val="000000"/>
          <w:spacing w:val="47"/>
          <w:shd w:fill="D9D9D9" w:color="auto" w:val="clear"/>
        </w:rPr>
        <w:t> </w:t>
      </w:r>
      <w:r>
        <w:rPr>
          <w:color w:val="000000"/>
          <w:w w:val="95"/>
          <w:shd w:fill="D9D9D9" w:color="auto" w:val="clear"/>
        </w:rPr>
        <w:t>3</w:t>
      </w:r>
      <w:r>
        <w:rPr>
          <w:color w:val="000000"/>
          <w:spacing w:val="43"/>
          <w:shd w:fill="D9D9D9" w:color="auto" w:val="clear"/>
        </w:rPr>
        <w:t> </w:t>
      </w:r>
      <w:r>
        <w:rPr>
          <w:color w:val="000000"/>
          <w:w w:val="95"/>
          <w:shd w:fill="D9D9D9" w:color="auto" w:val="clear"/>
        </w:rPr>
        <w:t>周</w:t>
      </w:r>
      <w:r>
        <w:rPr>
          <w:color w:val="000000"/>
          <w:w w:val="95"/>
          <w:shd w:fill="D9D9D9" w:color="auto" w:val="clear"/>
        </w:rPr>
        <w:t>岁</w:t>
      </w:r>
      <w:r>
        <w:rPr>
          <w:color w:val="000000"/>
          <w:w w:val="95"/>
          <w:shd w:fill="D9D9D9" w:color="auto" w:val="clear"/>
        </w:rPr>
        <w:t>期</w:t>
      </w:r>
      <w:r>
        <w:rPr>
          <w:color w:val="000000"/>
          <w:w w:val="95"/>
          <w:shd w:fill="D9D9D9" w:color="auto" w:val="clear"/>
        </w:rPr>
        <w:t>间</w:t>
      </w:r>
      <w:r>
        <w:rPr>
          <w:color w:val="000000"/>
          <w:w w:val="95"/>
          <w:shd w:fill="D9D9D9" w:color="auto" w:val="clear"/>
        </w:rPr>
        <w:t>，</w:t>
      </w:r>
      <w:r>
        <w:rPr>
          <w:color w:val="000000"/>
          <w:w w:val="95"/>
          <w:shd w:fill="D9D9D9" w:color="auto" w:val="clear"/>
        </w:rPr>
        <w:t>被</w:t>
      </w:r>
      <w:r>
        <w:rPr>
          <w:color w:val="000000"/>
          <w:w w:val="95"/>
          <w:shd w:fill="D9D9D9" w:color="auto" w:val="clear"/>
        </w:rPr>
        <w:t>保</w:t>
      </w:r>
      <w:r>
        <w:rPr>
          <w:color w:val="000000"/>
          <w:w w:val="95"/>
          <w:shd w:fill="D9D9D9" w:color="auto" w:val="clear"/>
        </w:rPr>
        <w:t>险</w:t>
      </w:r>
      <w:r>
        <w:rPr>
          <w:color w:val="000000"/>
          <w:w w:val="95"/>
          <w:shd w:fill="D9D9D9" w:color="auto" w:val="clear"/>
        </w:rPr>
        <w:t>人</w:t>
      </w:r>
      <w:r>
        <w:rPr>
          <w:color w:val="000000"/>
          <w:w w:val="95"/>
          <w:shd w:fill="D9D9D9" w:color="auto" w:val="clear"/>
        </w:rPr>
        <w:t>首</w:t>
      </w:r>
      <w:r>
        <w:rPr>
          <w:color w:val="000000"/>
          <w:w w:val="95"/>
          <w:shd w:fill="D9D9D9" w:color="auto" w:val="clear"/>
        </w:rPr>
        <w:t>次</w:t>
      </w:r>
      <w:r>
        <w:rPr>
          <w:color w:val="000000"/>
          <w:w w:val="95"/>
          <w:shd w:fill="D9D9D9" w:color="auto" w:val="clear"/>
        </w:rPr>
        <w:t>患</w:t>
      </w:r>
      <w:r>
        <w:rPr>
          <w:color w:val="000000"/>
          <w:w w:val="95"/>
          <w:shd w:fill="D9D9D9" w:color="auto" w:val="clear"/>
        </w:rPr>
        <w:t>有</w:t>
      </w:r>
      <w:r>
        <w:rPr>
          <w:color w:val="000000"/>
          <w:w w:val="95"/>
          <w:shd w:fill="D9D9D9" w:color="auto" w:val="clear"/>
        </w:rPr>
        <w:t>单</w:t>
      </w:r>
      <w:r>
        <w:rPr>
          <w:color w:val="000000"/>
          <w:w w:val="95"/>
          <w:shd w:fill="D9D9D9" w:color="auto" w:val="clear"/>
        </w:rPr>
        <w:t>耳</w:t>
      </w:r>
      <w:r>
        <w:rPr>
          <w:color w:val="000000"/>
          <w:w w:val="95"/>
          <w:shd w:fill="D9D9D9" w:color="auto" w:val="clear"/>
        </w:rPr>
        <w:t>失</w:t>
      </w:r>
      <w:r>
        <w:rPr>
          <w:color w:val="000000"/>
          <w:w w:val="95"/>
          <w:shd w:fill="D9D9D9" w:color="auto" w:val="clear"/>
        </w:rPr>
        <w:t>聪</w:t>
      </w:r>
      <w:r>
        <w:rPr>
          <w:color w:val="000000"/>
          <w:w w:val="95"/>
          <w:shd w:fill="D9D9D9" w:color="auto" w:val="clear"/>
        </w:rPr>
        <w:t>除</w:t>
      </w:r>
      <w:r>
        <w:rPr>
          <w:color w:val="000000"/>
          <w:w w:val="95"/>
          <w:shd w:fill="D9D9D9" w:color="auto" w:val="clear"/>
        </w:rPr>
        <w:t>外</w:t>
      </w:r>
      <w:r>
        <w:rPr>
          <w:color w:val="000000"/>
          <w:spacing w:val="-10"/>
          <w:w w:val="95"/>
          <w:shd w:fill="D9D9D9" w:color="auto" w:val="clear"/>
        </w:rPr>
        <w:t>。</w:t>
      </w:r>
    </w:p>
    <w:p>
      <w:pPr>
        <w:spacing w:line="184" w:lineRule="auto" w:before="20"/>
        <w:ind w:left="2895" w:right="323" w:firstLine="0"/>
        <w:jc w:val="both"/>
        <w:rPr>
          <w:rFonts w:ascii="微软雅黑" w:hAnsi="微软雅黑" w:eastAsia="微软雅黑"/>
          <w:b/>
          <w:sz w:val="22"/>
        </w:rPr>
      </w:pPr>
      <w:r>
        <w:rPr>
          <w:rFonts w:ascii="微软雅黑" w:hAnsi="微软雅黑" w:eastAsia="微软雅黑"/>
          <w:b/>
          <w:spacing w:val="-2"/>
          <w:sz w:val="22"/>
        </w:rPr>
        <w:t>如被保险人同时或先后达到“轻度听力受损”、“单耳失聪”和“人工耳</w:t>
      </w:r>
      <w:r>
        <w:rPr>
          <w:rFonts w:ascii="微软雅黑" w:hAnsi="微软雅黑" w:eastAsia="微软雅黑"/>
          <w:b/>
          <w:spacing w:val="-2"/>
          <w:sz w:val="22"/>
        </w:rPr>
        <w:t>蜗植入术”的赔付标准，我们仅赔付其中一项轻症疾病保险金，赔付后另</w:t>
      </w:r>
      <w:r>
        <w:rPr>
          <w:rFonts w:ascii="微软雅黑" w:hAnsi="微软雅黑" w:eastAsia="微软雅黑"/>
          <w:b/>
          <w:spacing w:val="-2"/>
          <w:sz w:val="22"/>
        </w:rPr>
        <w:t>外两个病种轻症责任终止。</w:t>
      </w:r>
    </w:p>
    <w:p>
      <w:pPr>
        <w:pStyle w:val="BodyText"/>
        <w:spacing w:before="17"/>
        <w:rPr>
          <w:rFonts w:ascii="微软雅黑"/>
          <w:b/>
          <w:sz w:val="5"/>
        </w:rPr>
      </w:pPr>
    </w:p>
    <w:p>
      <w:pPr>
        <w:spacing w:after="0"/>
        <w:rPr>
          <w:rFonts w:ascii="微软雅黑"/>
          <w:sz w:val="5"/>
        </w:rPr>
        <w:sectPr>
          <w:pgSz w:w="11910" w:h="16840"/>
          <w:pgMar w:header="566" w:footer="664" w:top="1340" w:bottom="860" w:left="900" w:right="720"/>
        </w:sectPr>
      </w:pPr>
    </w:p>
    <w:p>
      <w:pPr>
        <w:pStyle w:val="ListParagraph"/>
        <w:numPr>
          <w:ilvl w:val="2"/>
          <w:numId w:val="74"/>
        </w:numPr>
        <w:tabs>
          <w:tab w:pos="1269" w:val="left" w:leader="none"/>
          <w:tab w:pos="1270" w:val="left" w:leader="none"/>
        </w:tabs>
        <w:spacing w:line="194" w:lineRule="auto" w:before="57" w:after="0"/>
        <w:ind w:left="1270" w:right="38" w:hanging="1038"/>
        <w:jc w:val="left"/>
        <w:rPr>
          <w:rFonts w:ascii="微软雅黑" w:eastAsia="微软雅黑"/>
          <w:b/>
          <w:sz w:val="21"/>
        </w:rPr>
      </w:pPr>
      <w:r>
        <w:rPr>
          <w:rFonts w:ascii="微软雅黑" w:eastAsia="微软雅黑"/>
          <w:b/>
          <w:spacing w:val="-2"/>
          <w:sz w:val="21"/>
        </w:rPr>
        <w:t>人工耳蜗植入</w:t>
      </w:r>
      <w:r>
        <w:rPr>
          <w:rFonts w:ascii="微软雅黑" w:eastAsia="微软雅黑"/>
          <w:b/>
          <w:spacing w:val="-10"/>
          <w:sz w:val="21"/>
        </w:rPr>
        <w:t>术</w:t>
      </w:r>
    </w:p>
    <w:p>
      <w:pPr>
        <w:pStyle w:val="BodyText"/>
        <w:spacing w:line="278" w:lineRule="auto" w:before="72"/>
        <w:ind w:left="232" w:right="298"/>
      </w:pPr>
      <w:r>
        <w:rPr/>
        <w:br w:type="column"/>
      </w:r>
      <w:r>
        <w:rPr>
          <w:spacing w:val="-5"/>
        </w:rPr>
        <w:t>指由于耳蜗的永久损害而实际实施了人工耳蜗植入手术。需经专科医生确认手</w:t>
      </w:r>
      <w:r>
        <w:rPr>
          <w:spacing w:val="-2"/>
        </w:rPr>
        <w:t>术在医学上是必要的，且在植入手术之前已经符合下列全部条件：</w:t>
      </w:r>
    </w:p>
    <w:p>
      <w:pPr>
        <w:pStyle w:val="ListParagraph"/>
        <w:numPr>
          <w:ilvl w:val="0"/>
          <w:numId w:val="75"/>
        </w:numPr>
        <w:tabs>
          <w:tab w:pos="762" w:val="left" w:leader="none"/>
        </w:tabs>
        <w:spacing w:line="269" w:lineRule="exact" w:before="0" w:after="0"/>
        <w:ind w:left="761" w:right="0" w:hanging="530"/>
        <w:jc w:val="left"/>
        <w:rPr>
          <w:sz w:val="21"/>
        </w:rPr>
      </w:pPr>
      <w:r>
        <w:rPr>
          <w:spacing w:val="-2"/>
          <w:sz w:val="21"/>
        </w:rPr>
        <w:t>双耳持续12</w:t>
      </w:r>
      <w:r>
        <w:rPr>
          <w:spacing w:val="-3"/>
          <w:sz w:val="21"/>
        </w:rPr>
        <w:t>个月以上重度感音神经性耳聋；</w:t>
      </w:r>
    </w:p>
    <w:p>
      <w:pPr>
        <w:pStyle w:val="ListParagraph"/>
        <w:numPr>
          <w:ilvl w:val="0"/>
          <w:numId w:val="75"/>
        </w:numPr>
        <w:tabs>
          <w:tab w:pos="762" w:val="left" w:leader="none"/>
        </w:tabs>
        <w:spacing w:line="252" w:lineRule="exact" w:before="43" w:after="0"/>
        <w:ind w:left="761" w:right="0" w:hanging="530"/>
        <w:jc w:val="left"/>
        <w:rPr>
          <w:sz w:val="21"/>
        </w:rPr>
      </w:pPr>
      <w:r>
        <w:rPr>
          <w:spacing w:val="-3"/>
          <w:sz w:val="21"/>
        </w:rPr>
        <w:t>使用相应的听力辅助设备效果不佳。</w:t>
      </w:r>
    </w:p>
    <w:p>
      <w:pPr>
        <w:pStyle w:val="Heading1"/>
        <w:spacing w:line="184" w:lineRule="auto" w:before="49"/>
        <w:ind w:left="232" w:right="323"/>
        <w:jc w:val="both"/>
      </w:pPr>
      <w:r>
        <w:rPr>
          <w:spacing w:val="-2"/>
        </w:rPr>
        <w:t>如被保险人同时或先后达到“轻度听力受损”、“单耳失聪”和“人工耳</w:t>
      </w:r>
      <w:r>
        <w:rPr>
          <w:spacing w:val="-2"/>
        </w:rPr>
        <w:t>蜗植入术”的赔付标准，我们仅赔付其中一项轻症疾病保险金，赔付后另</w:t>
      </w:r>
      <w:r>
        <w:rPr>
          <w:spacing w:val="-2"/>
        </w:rPr>
        <w:t>外两个病种轻症责任终止。</w:t>
      </w:r>
    </w:p>
    <w:p>
      <w:pPr>
        <w:spacing w:after="0" w:line="184" w:lineRule="auto"/>
        <w:jc w:val="both"/>
        <w:sectPr>
          <w:type w:val="continuous"/>
          <w:pgSz w:w="11910" w:h="16840"/>
          <w:pgMar w:header="566" w:footer="664" w:top="1340" w:bottom="860" w:left="900" w:right="720"/>
          <w:cols w:num="2" w:equalWidth="0">
            <w:col w:w="2578" w:space="85"/>
            <w:col w:w="7627"/>
          </w:cols>
        </w:sectPr>
      </w:pPr>
    </w:p>
    <w:p>
      <w:pPr>
        <w:pStyle w:val="BodyText"/>
        <w:spacing w:before="17"/>
        <w:rPr>
          <w:rFonts w:ascii="微软雅黑"/>
          <w:b/>
          <w:sz w:val="5"/>
        </w:rPr>
      </w:pPr>
    </w:p>
    <w:p>
      <w:pPr>
        <w:pStyle w:val="ListParagraph"/>
        <w:numPr>
          <w:ilvl w:val="2"/>
          <w:numId w:val="74"/>
        </w:numPr>
        <w:tabs>
          <w:tab w:pos="1270" w:val="left" w:leader="none"/>
        </w:tabs>
        <w:spacing w:line="235" w:lineRule="auto" w:before="11" w:after="0"/>
        <w:ind w:left="2895" w:right="298" w:hanging="2663"/>
        <w:jc w:val="both"/>
        <w:rPr>
          <w:sz w:val="21"/>
        </w:rPr>
      </w:pPr>
      <w:r>
        <w:rPr>
          <w:rFonts w:ascii="微软雅黑" w:eastAsia="微软雅黑"/>
          <w:b/>
          <w:spacing w:val="71"/>
          <w:sz w:val="21"/>
        </w:rPr>
        <w:t>中度脑损伤 </w:t>
      </w:r>
      <w:r>
        <w:rPr>
          <w:sz w:val="21"/>
        </w:rPr>
        <w:t>指因头部遭受机械性外力，引起脑重要部位损伤，导致神经系统永久性的功能</w:t>
      </w:r>
      <w:r>
        <w:rPr>
          <w:spacing w:val="-6"/>
          <w:sz w:val="21"/>
        </w:rPr>
        <w:t>障碍。须由头颅断层扫描</w:t>
      </w:r>
      <w:r>
        <w:rPr>
          <w:spacing w:val="20"/>
          <w:sz w:val="21"/>
        </w:rPr>
        <w:t>（</w:t>
      </w:r>
      <w:r>
        <w:rPr>
          <w:spacing w:val="21"/>
          <w:sz w:val="21"/>
        </w:rPr>
        <w:t>C</w:t>
      </w:r>
      <w:r>
        <w:rPr>
          <w:spacing w:val="18"/>
          <w:sz w:val="21"/>
        </w:rPr>
        <w:t>T</w:t>
      </w:r>
      <w:r>
        <w:rPr>
          <w:spacing w:val="-85"/>
          <w:sz w:val="21"/>
        </w:rPr>
        <w:t>）</w:t>
      </w:r>
      <w:r>
        <w:rPr>
          <w:spacing w:val="-6"/>
          <w:sz w:val="21"/>
        </w:rPr>
        <w:t>、核磁共振检查（MRI）或正电子发射断层扫描</w:t>
      </w:r>
    </w:p>
    <w:p>
      <w:pPr>
        <w:pStyle w:val="BodyText"/>
        <w:spacing w:line="278" w:lineRule="auto" w:before="42"/>
        <w:ind w:left="2895" w:right="243"/>
        <w:jc w:val="both"/>
      </w:pPr>
      <w:r>
        <w:rPr>
          <w:spacing w:val="-2"/>
        </w:rPr>
        <w:t>（PET）等影像学检查证实。神经系统永久性的功能障碍，指脑损伤</w:t>
      </w:r>
      <w:r>
        <w:rPr>
          <w:rFonts w:ascii="Times New Roman" w:hAnsi="Times New Roman" w:eastAsia="Times New Roman"/>
          <w:spacing w:val="-2"/>
        </w:rPr>
        <w:t>180</w:t>
      </w:r>
      <w:r>
        <w:rPr>
          <w:spacing w:val="-2"/>
        </w:rPr>
        <w:t>天后，</w:t>
      </w:r>
      <w:r>
        <w:rPr>
          <w:spacing w:val="-7"/>
        </w:rPr>
        <w:t>仍完全丧失自主生活能力，经鉴定无法独立完成六项基本日常生活活动中的两</w:t>
      </w:r>
      <w:r>
        <w:rPr>
          <w:spacing w:val="-2"/>
        </w:rPr>
        <w:t>项或两项以上，但未达到本合同所指重大疾病“严重脑损伤”或“瘫痪”的给</w:t>
      </w:r>
      <w:r>
        <w:rPr>
          <w:spacing w:val="-4"/>
        </w:rPr>
        <w:t>付标准。</w:t>
      </w:r>
    </w:p>
    <w:p>
      <w:pPr>
        <w:spacing w:after="0" w:line="278" w:lineRule="auto"/>
        <w:jc w:val="both"/>
        <w:sectPr>
          <w:type w:val="continuous"/>
          <w:pgSz w:w="11910" w:h="16840"/>
          <w:pgMar w:header="566" w:footer="664" w:top="1340" w:bottom="860" w:left="900" w:right="720"/>
        </w:sectPr>
      </w:pPr>
    </w:p>
    <w:p>
      <w:pPr>
        <w:pStyle w:val="ListParagraph"/>
        <w:numPr>
          <w:ilvl w:val="2"/>
          <w:numId w:val="74"/>
        </w:numPr>
        <w:tabs>
          <w:tab w:pos="1269" w:val="left" w:leader="none"/>
          <w:tab w:pos="1270" w:val="left" w:leader="none"/>
        </w:tabs>
        <w:spacing w:line="194" w:lineRule="auto" w:before="156" w:after="0"/>
        <w:ind w:left="1270" w:right="38" w:hanging="1038"/>
        <w:jc w:val="left"/>
        <w:rPr>
          <w:rFonts w:ascii="微软雅黑" w:eastAsia="微软雅黑"/>
          <w:b/>
          <w:sz w:val="21"/>
        </w:rPr>
      </w:pPr>
      <w:r>
        <w:rPr>
          <w:rFonts w:ascii="微软雅黑" w:eastAsia="微软雅黑"/>
          <w:b/>
          <w:spacing w:val="-2"/>
          <w:sz w:val="21"/>
        </w:rPr>
        <w:t>植入大脑内分</w:t>
      </w:r>
      <w:r>
        <w:rPr>
          <w:rFonts w:ascii="微软雅黑" w:eastAsia="微软雅黑"/>
          <w:b/>
          <w:spacing w:val="-6"/>
          <w:sz w:val="21"/>
        </w:rPr>
        <w:t>流器</w:t>
      </w:r>
    </w:p>
    <w:p>
      <w:pPr>
        <w:pStyle w:val="BodyText"/>
        <w:spacing w:before="170"/>
        <w:ind w:left="232"/>
      </w:pPr>
      <w:r>
        <w:rPr/>
        <w:br w:type="column"/>
      </w:r>
      <w:r>
        <w:rPr>
          <w:spacing w:val="-3"/>
        </w:rPr>
        <w:t>为缓解已升高的脑脊液压力而确实已在脑室进行分流器植入手术。</w:t>
      </w:r>
    </w:p>
    <w:p>
      <w:pPr>
        <w:pStyle w:val="BodyText"/>
        <w:spacing w:line="278" w:lineRule="auto" w:before="43"/>
        <w:ind w:left="232" w:right="451"/>
      </w:pPr>
      <w:r>
        <w:rPr>
          <w:spacing w:val="-2"/>
        </w:rPr>
        <w:t>诊断及治疗均须在认可的医院内由脑神经科专科医生认为是医疗必需的情况</w:t>
      </w:r>
      <w:r>
        <w:rPr>
          <w:spacing w:val="-4"/>
        </w:rPr>
        <w:t>下进行。</w:t>
      </w:r>
    </w:p>
    <w:p>
      <w:pPr>
        <w:spacing w:after="0" w:line="278" w:lineRule="auto"/>
        <w:sectPr>
          <w:type w:val="continuous"/>
          <w:pgSz w:w="11910" w:h="16840"/>
          <w:pgMar w:header="566" w:footer="664" w:top="1340" w:bottom="860" w:left="900" w:right="720"/>
          <w:cols w:num="2" w:equalWidth="0">
            <w:col w:w="2578" w:space="85"/>
            <w:col w:w="7627"/>
          </w:cols>
        </w:sectPr>
      </w:pPr>
    </w:p>
    <w:p>
      <w:pPr>
        <w:pStyle w:val="ListParagraph"/>
        <w:numPr>
          <w:ilvl w:val="2"/>
          <w:numId w:val="74"/>
        </w:numPr>
        <w:tabs>
          <w:tab w:pos="1269" w:val="left" w:leader="none"/>
          <w:tab w:pos="1270" w:val="left" w:leader="none"/>
        </w:tabs>
        <w:spacing w:line="350" w:lineRule="exact" w:before="103" w:after="0"/>
        <w:ind w:left="1270" w:right="0" w:hanging="1038"/>
        <w:jc w:val="left"/>
        <w:rPr>
          <w:rFonts w:ascii="微软雅黑" w:eastAsia="微软雅黑"/>
          <w:b/>
          <w:sz w:val="21"/>
        </w:rPr>
      </w:pPr>
      <w:r>
        <w:rPr>
          <w:rFonts w:ascii="微软雅黑" w:eastAsia="微软雅黑"/>
          <w:b/>
          <w:spacing w:val="-2"/>
          <w:sz w:val="21"/>
        </w:rPr>
        <w:t>永久性心脏起</w:t>
      </w:r>
    </w:p>
    <w:p>
      <w:pPr>
        <w:spacing w:line="194" w:lineRule="auto" w:before="15"/>
        <w:ind w:left="1270" w:right="38" w:firstLine="0"/>
        <w:jc w:val="left"/>
        <w:rPr>
          <w:rFonts w:ascii="微软雅黑" w:eastAsia="微软雅黑"/>
          <w:b/>
          <w:sz w:val="21"/>
        </w:rPr>
      </w:pPr>
      <w:r>
        <w:rPr>
          <w:rFonts w:ascii="微软雅黑" w:eastAsia="微软雅黑"/>
          <w:b/>
          <w:spacing w:val="-2"/>
          <w:sz w:val="21"/>
        </w:rPr>
        <w:t>搏器或除颤器</w:t>
      </w:r>
      <w:r>
        <w:rPr>
          <w:rFonts w:ascii="微软雅黑" w:eastAsia="微软雅黑"/>
          <w:b/>
          <w:spacing w:val="-6"/>
          <w:sz w:val="21"/>
        </w:rPr>
        <w:t>植入</w:t>
      </w:r>
    </w:p>
    <w:p>
      <w:pPr>
        <w:pStyle w:val="BodyText"/>
        <w:spacing w:line="278" w:lineRule="auto" w:before="170"/>
        <w:ind w:left="232" w:right="245"/>
        <w:jc w:val="both"/>
      </w:pPr>
      <w:r>
        <w:rPr/>
        <w:br w:type="column"/>
      </w:r>
      <w:r>
        <w:rPr>
          <w:spacing w:val="-4"/>
        </w:rPr>
        <w:t>因严重心律失常而确实已行植入永久性心脏起搏器或除顫器的手术。理赔时须</w:t>
      </w:r>
      <w:r>
        <w:rPr>
          <w:spacing w:val="-2"/>
        </w:rPr>
        <w:t>提供完整病历资料及手术记录以证实此严重心律失常并不能以其他方法治疗。</w:t>
      </w:r>
      <w:r>
        <w:rPr>
          <w:spacing w:val="-2"/>
        </w:rPr>
        <w:t>诊断及治疗均须在认可的医院内由专科医生认为是医疗必需的情况下进行。</w:t>
      </w:r>
    </w:p>
    <w:p>
      <w:pPr>
        <w:pStyle w:val="Heading1"/>
        <w:spacing w:line="184" w:lineRule="auto"/>
        <w:ind w:left="232" w:right="323"/>
      </w:pPr>
      <w:r>
        <w:rPr>
          <w:color w:val="000000"/>
          <w:spacing w:val="-2"/>
          <w:shd w:fill="D9D9D9" w:color="auto" w:val="clear"/>
        </w:rPr>
        <w:t>临时心脏起搏器、体外心脏电复律（心脏电除颤）、临时性埋藏式心脏复</w:t>
      </w:r>
      <w:r>
        <w:rPr>
          <w:color w:val="000000"/>
          <w:spacing w:val="-2"/>
          <w:shd w:fill="D9D9D9" w:color="auto" w:val="clear"/>
        </w:rPr>
        <w:t>律除颤器不在本保障范围之内。</w:t>
      </w:r>
    </w:p>
    <w:p>
      <w:pPr>
        <w:spacing w:after="0" w:line="184" w:lineRule="auto"/>
        <w:sectPr>
          <w:type w:val="continuous"/>
          <w:pgSz w:w="11910" w:h="16840"/>
          <w:pgMar w:header="566" w:footer="664" w:top="1340" w:bottom="860" w:left="900" w:right="720"/>
          <w:cols w:num="2" w:equalWidth="0">
            <w:col w:w="2578" w:space="85"/>
            <w:col w:w="7627"/>
          </w:cols>
        </w:sectPr>
      </w:pPr>
    </w:p>
    <w:p>
      <w:pPr>
        <w:pStyle w:val="ListParagraph"/>
        <w:numPr>
          <w:ilvl w:val="2"/>
          <w:numId w:val="74"/>
        </w:numPr>
        <w:tabs>
          <w:tab w:pos="1037" w:val="left" w:leader="none"/>
          <w:tab w:pos="1270" w:val="left" w:leader="none"/>
        </w:tabs>
        <w:spacing w:line="350" w:lineRule="exact" w:before="103" w:after="0"/>
        <w:ind w:left="1270" w:right="38" w:hanging="1270"/>
        <w:jc w:val="right"/>
        <w:rPr>
          <w:rFonts w:ascii="微软雅黑" w:eastAsia="微软雅黑"/>
          <w:b/>
          <w:sz w:val="21"/>
        </w:rPr>
      </w:pPr>
      <w:r>
        <w:rPr>
          <w:rFonts w:ascii="微软雅黑" w:eastAsia="微软雅黑"/>
          <w:b/>
          <w:spacing w:val="-2"/>
          <w:sz w:val="21"/>
        </w:rPr>
        <w:t>因肾上皮质腺</w:t>
      </w:r>
    </w:p>
    <w:p>
      <w:pPr>
        <w:spacing w:line="350" w:lineRule="exact" w:before="0"/>
        <w:ind w:left="0" w:right="38" w:firstLine="0"/>
        <w:jc w:val="right"/>
        <w:rPr>
          <w:rFonts w:ascii="微软雅黑" w:eastAsia="微软雅黑"/>
          <w:b/>
          <w:sz w:val="21"/>
        </w:rPr>
      </w:pPr>
      <w:r>
        <w:rPr>
          <w:rFonts w:ascii="微软雅黑" w:eastAsia="微软雅黑"/>
          <w:b/>
          <w:spacing w:val="-2"/>
          <w:sz w:val="21"/>
        </w:rPr>
        <w:t>瘤切除肾上腺</w:t>
      </w:r>
    </w:p>
    <w:p>
      <w:pPr>
        <w:pStyle w:val="BodyText"/>
        <w:spacing w:line="278" w:lineRule="auto" w:before="170"/>
        <w:ind w:left="232" w:right="451"/>
      </w:pPr>
      <w:r>
        <w:rPr/>
        <w:br w:type="column"/>
      </w:r>
      <w:r>
        <w:rPr>
          <w:spacing w:val="-2"/>
        </w:rPr>
        <w:t>因肾上腺皮质腺瘤所导致的醛固酮分泌过多而产生的继发性恶性高血压而实</w:t>
      </w:r>
      <w:r>
        <w:rPr>
          <w:spacing w:val="-2"/>
        </w:rPr>
        <w:t>际接受了肾上腺切除术治疗。</w:t>
      </w:r>
    </w:p>
    <w:p>
      <w:pPr>
        <w:pStyle w:val="BodyText"/>
        <w:spacing w:line="269" w:lineRule="exact"/>
        <w:ind w:left="232"/>
      </w:pPr>
      <w:r>
        <w:rPr>
          <w:spacing w:val="-3"/>
        </w:rPr>
        <w:t>此诊断及治疗均须在认可的医院内由专科医生认为是医疗必需的情况下进行。</w:t>
      </w:r>
    </w:p>
    <w:p>
      <w:pPr>
        <w:spacing w:after="0" w:line="269" w:lineRule="exact"/>
        <w:sectPr>
          <w:type w:val="continuous"/>
          <w:pgSz w:w="11910" w:h="16840"/>
          <w:pgMar w:header="566" w:footer="664" w:top="1340" w:bottom="860" w:left="900" w:right="720"/>
          <w:cols w:num="2" w:equalWidth="0">
            <w:col w:w="2578" w:space="85"/>
            <w:col w:w="7627"/>
          </w:cols>
        </w:sectPr>
      </w:pPr>
    </w:p>
    <w:p>
      <w:pPr>
        <w:pStyle w:val="ListParagraph"/>
        <w:numPr>
          <w:ilvl w:val="2"/>
          <w:numId w:val="74"/>
        </w:numPr>
        <w:tabs>
          <w:tab w:pos="1269" w:val="left" w:leader="none"/>
          <w:tab w:pos="1270" w:val="left" w:leader="none"/>
          <w:tab w:pos="2895" w:val="left" w:leader="none"/>
        </w:tabs>
        <w:spacing w:line="235" w:lineRule="auto" w:before="23" w:after="0"/>
        <w:ind w:left="2895" w:right="451" w:hanging="2663"/>
        <w:jc w:val="left"/>
        <w:rPr>
          <w:sz w:val="21"/>
        </w:rPr>
      </w:pPr>
      <w:r>
        <w:rPr>
          <w:rFonts w:ascii="微软雅黑" w:eastAsia="微软雅黑"/>
          <w:b/>
          <w:spacing w:val="-2"/>
          <w:sz w:val="21"/>
        </w:rPr>
        <w:t>心</w:t>
      </w:r>
      <w:r>
        <w:rPr>
          <w:rFonts w:ascii="微软雅黑" w:eastAsia="微软雅黑"/>
          <w:b/>
          <w:spacing w:val="-2"/>
          <w:sz w:val="21"/>
        </w:rPr>
        <w:t>包</w:t>
      </w:r>
      <w:r>
        <w:rPr>
          <w:rFonts w:ascii="微软雅黑" w:eastAsia="微软雅黑"/>
          <w:b/>
          <w:spacing w:val="-2"/>
          <w:sz w:val="21"/>
        </w:rPr>
        <w:t>膜</w:t>
      </w:r>
      <w:r>
        <w:rPr>
          <w:rFonts w:ascii="微软雅黑" w:eastAsia="微软雅黑"/>
          <w:b/>
          <w:spacing w:val="-2"/>
          <w:sz w:val="21"/>
        </w:rPr>
        <w:t>切</w:t>
      </w:r>
      <w:r>
        <w:rPr>
          <w:rFonts w:ascii="微软雅黑" w:eastAsia="微软雅黑"/>
          <w:b/>
          <w:spacing w:val="-2"/>
          <w:sz w:val="21"/>
        </w:rPr>
        <w:t>除</w:t>
      </w:r>
      <w:r>
        <w:rPr>
          <w:rFonts w:ascii="微软雅黑" w:eastAsia="微软雅黑"/>
          <w:b/>
          <w:spacing w:val="-2"/>
          <w:sz w:val="21"/>
        </w:rPr>
        <w:t>术</w:t>
      </w:r>
      <w:r>
        <w:rPr>
          <w:rFonts w:ascii="微软雅黑" w:eastAsia="微软雅黑"/>
          <w:b/>
          <w:sz w:val="21"/>
        </w:rPr>
        <w:tab/>
      </w:r>
      <w:r>
        <w:rPr>
          <w:spacing w:val="-2"/>
          <w:sz w:val="21"/>
        </w:rPr>
        <w:t>因</w:t>
      </w:r>
      <w:r>
        <w:rPr>
          <w:spacing w:val="-2"/>
          <w:sz w:val="21"/>
        </w:rPr>
        <w:t>心</w:t>
      </w:r>
      <w:r>
        <w:rPr>
          <w:spacing w:val="-2"/>
          <w:sz w:val="21"/>
        </w:rPr>
        <w:t>包膜疾病导致已接受</w:t>
      </w:r>
      <w:r>
        <w:rPr>
          <w:spacing w:val="-2"/>
          <w:sz w:val="21"/>
        </w:rPr>
        <w:t>心</w:t>
      </w:r>
      <w:r>
        <w:rPr>
          <w:spacing w:val="-2"/>
          <w:sz w:val="21"/>
        </w:rPr>
        <w:t>包</w:t>
      </w:r>
      <w:r>
        <w:rPr>
          <w:spacing w:val="-2"/>
          <w:sz w:val="21"/>
        </w:rPr>
        <w:t>膜切除术或已进行任</w:t>
      </w:r>
      <w:r>
        <w:rPr>
          <w:spacing w:val="-2"/>
          <w:sz w:val="21"/>
        </w:rPr>
        <w:t>何</w:t>
      </w:r>
      <w:r>
        <w:rPr>
          <w:spacing w:val="-2"/>
          <w:sz w:val="21"/>
        </w:rPr>
        <w:t>需</w:t>
      </w:r>
      <w:r>
        <w:rPr>
          <w:spacing w:val="-2"/>
          <w:sz w:val="21"/>
        </w:rPr>
        <w:t>要心脏小切口技</w:t>
      </w:r>
      <w:r>
        <w:rPr>
          <w:spacing w:val="-2"/>
          <w:sz w:val="21"/>
        </w:rPr>
        <w:t>术</w:t>
      </w:r>
      <w:r>
        <w:rPr>
          <w:spacing w:val="-2"/>
          <w:sz w:val="21"/>
        </w:rPr>
        <w:t>的</w:t>
      </w:r>
      <w:r>
        <w:rPr>
          <w:spacing w:val="-2"/>
          <w:sz w:val="21"/>
        </w:rPr>
        <w:t>手</w:t>
      </w:r>
      <w:r>
        <w:rPr>
          <w:spacing w:val="-2"/>
          <w:sz w:val="21"/>
        </w:rPr>
        <w:t>术</w:t>
      </w:r>
      <w:r>
        <w:rPr>
          <w:spacing w:val="-2"/>
          <w:sz w:val="21"/>
        </w:rPr>
        <w:t>。手术必须在心脏科</w:t>
      </w:r>
      <w:r>
        <w:rPr>
          <w:spacing w:val="-2"/>
          <w:sz w:val="21"/>
        </w:rPr>
        <w:t>专</w:t>
      </w:r>
      <w:r>
        <w:rPr>
          <w:spacing w:val="-2"/>
          <w:sz w:val="21"/>
        </w:rPr>
        <w:t>科</w:t>
      </w:r>
      <w:r>
        <w:rPr>
          <w:spacing w:val="-2"/>
          <w:sz w:val="21"/>
        </w:rPr>
        <w:t>医生认为是医学上必</w:t>
      </w:r>
      <w:r>
        <w:rPr>
          <w:spacing w:val="-2"/>
          <w:sz w:val="21"/>
        </w:rPr>
        <w:t>需</w:t>
      </w:r>
      <w:r>
        <w:rPr>
          <w:spacing w:val="-2"/>
          <w:sz w:val="21"/>
        </w:rPr>
        <w:t>的</w:t>
      </w:r>
      <w:r>
        <w:rPr>
          <w:spacing w:val="-2"/>
          <w:sz w:val="21"/>
        </w:rPr>
        <w:t>情况下进行。</w:t>
      </w:r>
    </w:p>
    <w:p>
      <w:pPr>
        <w:pStyle w:val="BodyText"/>
        <w:spacing w:before="1"/>
        <w:rPr>
          <w:sz w:val="11"/>
        </w:rPr>
      </w:pPr>
    </w:p>
    <w:p>
      <w:pPr>
        <w:spacing w:after="0"/>
        <w:rPr>
          <w:sz w:val="11"/>
        </w:rPr>
        <w:sectPr>
          <w:pgSz w:w="11910" w:h="16840"/>
          <w:pgMar w:header="566" w:footer="664" w:top="1340" w:bottom="860" w:left="900" w:right="720"/>
        </w:sectPr>
      </w:pPr>
    </w:p>
    <w:p>
      <w:pPr>
        <w:pStyle w:val="ListParagraph"/>
        <w:numPr>
          <w:ilvl w:val="2"/>
          <w:numId w:val="74"/>
        </w:numPr>
        <w:tabs>
          <w:tab w:pos="1269" w:val="left" w:leader="none"/>
          <w:tab w:pos="1270" w:val="left" w:leader="none"/>
        </w:tabs>
        <w:spacing w:line="350" w:lineRule="exact" w:before="5" w:after="0"/>
        <w:ind w:left="1270" w:right="0" w:hanging="1038"/>
        <w:jc w:val="left"/>
        <w:rPr>
          <w:rFonts w:ascii="微软雅黑" w:eastAsia="微软雅黑"/>
          <w:b/>
          <w:sz w:val="21"/>
        </w:rPr>
      </w:pPr>
      <w:r>
        <w:rPr>
          <w:rFonts w:ascii="微软雅黑" w:eastAsia="微软雅黑"/>
          <w:b/>
          <w:spacing w:val="-2"/>
          <w:sz w:val="21"/>
        </w:rPr>
        <w:t>于颈动脉进行</w:t>
      </w:r>
    </w:p>
    <w:p>
      <w:pPr>
        <w:spacing w:line="194" w:lineRule="auto" w:before="15"/>
        <w:ind w:left="1270" w:right="38" w:firstLine="0"/>
        <w:jc w:val="left"/>
        <w:rPr>
          <w:rFonts w:ascii="微软雅黑" w:eastAsia="微软雅黑"/>
          <w:b/>
          <w:sz w:val="21"/>
        </w:rPr>
      </w:pPr>
      <w:r>
        <w:rPr>
          <w:rFonts w:ascii="微软雅黑" w:eastAsia="微软雅黑"/>
          <w:b/>
          <w:spacing w:val="-2"/>
          <w:sz w:val="21"/>
        </w:rPr>
        <w:t>血管成形术或</w:t>
      </w:r>
      <w:r>
        <w:rPr>
          <w:rFonts w:ascii="微软雅黑" w:eastAsia="微软雅黑"/>
          <w:b/>
          <w:spacing w:val="-2"/>
          <w:sz w:val="21"/>
        </w:rPr>
        <w:t>内膜切除术</w:t>
      </w:r>
    </w:p>
    <w:p>
      <w:pPr>
        <w:pStyle w:val="BodyText"/>
        <w:spacing w:line="278" w:lineRule="auto" w:before="72"/>
        <w:ind w:left="232" w:right="295"/>
        <w:jc w:val="both"/>
      </w:pPr>
      <w:r>
        <w:rPr/>
        <w:br w:type="column"/>
      </w:r>
      <w:r>
        <w:rPr>
          <w:spacing w:val="-2"/>
        </w:rPr>
        <w:t>指根据颈动脉造影检查结果，确诊一条或以上颈动脉存在严重狭窄性病变（至</w:t>
      </w:r>
      <w:r>
        <w:rPr>
          <w:spacing w:val="-3"/>
        </w:rPr>
        <w:t>少一支血管管腔直径减少 </w:t>
      </w:r>
      <w:r>
        <w:rPr>
          <w:spacing w:val="-2"/>
        </w:rPr>
        <w:t>50%以上</w:t>
      </w:r>
      <w:r>
        <w:rPr>
          <w:spacing w:val="-106"/>
        </w:rPr>
        <w:t>）</w:t>
      </w:r>
      <w:r>
        <w:rPr>
          <w:spacing w:val="-13"/>
        </w:rPr>
        <w:t>。本病须经国家机关认可的有合法资质的专</w:t>
      </w:r>
      <w:r>
        <w:rPr>
          <w:spacing w:val="-2"/>
        </w:rPr>
        <w:t>科医生明确诊断，同时必须已经采取以下手术以减轻症状：</w:t>
      </w:r>
    </w:p>
    <w:p>
      <w:pPr>
        <w:pStyle w:val="ListParagraph"/>
        <w:numPr>
          <w:ilvl w:val="0"/>
          <w:numId w:val="76"/>
        </w:numPr>
        <w:tabs>
          <w:tab w:pos="762" w:val="left" w:leader="none"/>
        </w:tabs>
        <w:spacing w:line="269" w:lineRule="exact" w:before="0" w:after="0"/>
        <w:ind w:left="761" w:right="0" w:hanging="530"/>
        <w:jc w:val="left"/>
        <w:rPr>
          <w:sz w:val="21"/>
        </w:rPr>
      </w:pPr>
      <w:r>
        <w:rPr>
          <w:spacing w:val="-3"/>
          <w:sz w:val="21"/>
        </w:rPr>
        <w:t>确实进行动脉内膜切除术；或</w:t>
      </w:r>
    </w:p>
    <w:p>
      <w:pPr>
        <w:pStyle w:val="ListParagraph"/>
        <w:numPr>
          <w:ilvl w:val="0"/>
          <w:numId w:val="76"/>
        </w:numPr>
        <w:tabs>
          <w:tab w:pos="762" w:val="left" w:leader="none"/>
        </w:tabs>
        <w:spacing w:line="278" w:lineRule="auto" w:before="43" w:after="0"/>
        <w:ind w:left="232" w:right="348" w:firstLine="0"/>
        <w:jc w:val="left"/>
        <w:rPr>
          <w:sz w:val="21"/>
        </w:rPr>
      </w:pPr>
      <w:r>
        <w:rPr>
          <w:spacing w:val="-2"/>
          <w:sz w:val="21"/>
        </w:rPr>
        <w:t>确实进行血管介入治疗，例如血管成形术及／或进行植入支架或动脉粥</w:t>
      </w:r>
      <w:r>
        <w:rPr>
          <w:spacing w:val="-2"/>
          <w:sz w:val="21"/>
        </w:rPr>
        <w:t>样瘤清除手术。</w:t>
      </w:r>
    </w:p>
    <w:p>
      <w:pPr>
        <w:spacing w:after="0" w:line="278" w:lineRule="auto"/>
        <w:jc w:val="left"/>
        <w:rPr>
          <w:sz w:val="21"/>
        </w:rPr>
        <w:sectPr>
          <w:type w:val="continuous"/>
          <w:pgSz w:w="11910" w:h="16840"/>
          <w:pgMar w:header="566" w:footer="664" w:top="1340" w:bottom="860" w:left="900" w:right="720"/>
          <w:cols w:num="2" w:equalWidth="0">
            <w:col w:w="2578" w:space="85"/>
            <w:col w:w="7627"/>
          </w:cols>
        </w:sectPr>
      </w:pPr>
    </w:p>
    <w:p>
      <w:pPr>
        <w:pStyle w:val="ListParagraph"/>
        <w:numPr>
          <w:ilvl w:val="2"/>
          <w:numId w:val="74"/>
        </w:numPr>
        <w:tabs>
          <w:tab w:pos="1269" w:val="left" w:leader="none"/>
          <w:tab w:pos="1270" w:val="left" w:leader="none"/>
        </w:tabs>
        <w:spacing w:line="350" w:lineRule="exact" w:before="100" w:after="0"/>
        <w:ind w:left="1270" w:right="0" w:hanging="1038"/>
        <w:jc w:val="left"/>
        <w:rPr>
          <w:rFonts w:ascii="微软雅黑" w:eastAsia="微软雅黑"/>
          <w:b/>
          <w:sz w:val="21"/>
        </w:rPr>
      </w:pPr>
      <w:r>
        <w:rPr>
          <w:rFonts w:ascii="微软雅黑" w:eastAsia="微软雅黑"/>
          <w:b/>
          <w:spacing w:val="-2"/>
          <w:sz w:val="21"/>
        </w:rPr>
        <w:t>腔静脉过滤器</w:t>
      </w:r>
    </w:p>
    <w:p>
      <w:pPr>
        <w:spacing w:line="350" w:lineRule="exact" w:before="0"/>
        <w:ind w:left="1270" w:right="0" w:firstLine="0"/>
        <w:jc w:val="left"/>
        <w:rPr>
          <w:rFonts w:ascii="微软雅黑" w:eastAsia="微软雅黑"/>
          <w:b/>
          <w:sz w:val="21"/>
        </w:rPr>
      </w:pPr>
      <w:r>
        <w:rPr>
          <w:rFonts w:ascii="微软雅黑" w:eastAsia="微软雅黑"/>
          <w:b/>
          <w:spacing w:val="-4"/>
          <w:sz w:val="21"/>
        </w:rPr>
        <w:t>植入术</w:t>
      </w:r>
    </w:p>
    <w:p>
      <w:pPr>
        <w:pStyle w:val="BodyText"/>
        <w:spacing w:line="278" w:lineRule="auto" w:before="168"/>
        <w:ind w:left="232" w:right="298"/>
      </w:pPr>
      <w:r>
        <w:rPr/>
        <w:br w:type="column"/>
      </w:r>
      <w:r>
        <w:rPr>
          <w:spacing w:val="-3"/>
          <w:w w:val="100"/>
        </w:rPr>
        <w:t>指经认可的医院的专科医生证明有反复肺栓塞发作及抗凝治疗无效而必须接</w:t>
      </w:r>
      <w:r>
        <w:rPr>
          <w:spacing w:val="-8"/>
          <w:w w:val="100"/>
        </w:rPr>
        <w:t>受手术植入腔静脉过滤器。理赔时需提供完整病历及手术记录以证明植入腔静</w:t>
      </w:r>
      <w:r>
        <w:rPr>
          <w:spacing w:val="-5"/>
          <w:w w:val="100"/>
        </w:rPr>
        <w:t>脉过滤器有必要性及已确实施行了手术。</w:t>
      </w:r>
    </w:p>
    <w:p>
      <w:pPr>
        <w:spacing w:after="0" w:line="278" w:lineRule="auto"/>
        <w:sectPr>
          <w:type w:val="continuous"/>
          <w:pgSz w:w="11910" w:h="16840"/>
          <w:pgMar w:header="566" w:footer="664" w:top="1340" w:bottom="860" w:left="900" w:right="720"/>
          <w:cols w:num="2" w:equalWidth="0">
            <w:col w:w="2578" w:space="85"/>
            <w:col w:w="7627"/>
          </w:cols>
        </w:sectPr>
      </w:pPr>
    </w:p>
    <w:p>
      <w:pPr>
        <w:pStyle w:val="ListParagraph"/>
        <w:numPr>
          <w:ilvl w:val="2"/>
          <w:numId w:val="74"/>
        </w:numPr>
        <w:tabs>
          <w:tab w:pos="1269" w:val="left" w:leader="none"/>
          <w:tab w:pos="1270" w:val="left" w:leader="none"/>
          <w:tab w:pos="2895" w:val="left" w:leader="none"/>
        </w:tabs>
        <w:spacing w:line="235" w:lineRule="auto" w:before="109" w:after="0"/>
        <w:ind w:left="2895" w:right="298" w:hanging="2663"/>
        <w:jc w:val="left"/>
        <w:rPr>
          <w:sz w:val="21"/>
        </w:rPr>
      </w:pPr>
      <w:r>
        <w:rPr>
          <w:rFonts w:ascii="微软雅黑" w:eastAsia="微软雅黑"/>
          <w:b/>
          <w:spacing w:val="-2"/>
          <w:sz w:val="21"/>
        </w:rPr>
        <w:t>早</w:t>
      </w:r>
      <w:r>
        <w:rPr>
          <w:rFonts w:ascii="微软雅黑" w:eastAsia="微软雅黑"/>
          <w:b/>
          <w:spacing w:val="-2"/>
          <w:sz w:val="21"/>
        </w:rPr>
        <w:t>期</w:t>
      </w:r>
      <w:r>
        <w:rPr>
          <w:rFonts w:ascii="微软雅黑" w:eastAsia="微软雅黑"/>
          <w:b/>
          <w:spacing w:val="-2"/>
          <w:sz w:val="21"/>
        </w:rPr>
        <w:t>象</w:t>
      </w:r>
      <w:r>
        <w:rPr>
          <w:rFonts w:ascii="微软雅黑" w:eastAsia="微软雅黑"/>
          <w:b/>
          <w:spacing w:val="-2"/>
          <w:sz w:val="21"/>
        </w:rPr>
        <w:t>皮</w:t>
      </w:r>
      <w:r>
        <w:rPr>
          <w:rFonts w:ascii="微软雅黑" w:eastAsia="微软雅黑"/>
          <w:b/>
          <w:spacing w:val="-2"/>
          <w:sz w:val="21"/>
        </w:rPr>
        <w:t>病</w:t>
      </w:r>
      <w:r>
        <w:rPr>
          <w:rFonts w:ascii="微软雅黑" w:eastAsia="微软雅黑"/>
          <w:b/>
          <w:sz w:val="21"/>
        </w:rPr>
        <w:tab/>
      </w:r>
      <w:r>
        <w:rPr>
          <w:spacing w:val="-2"/>
          <w:sz w:val="21"/>
        </w:rPr>
        <w:t>指</w:t>
      </w:r>
      <w:r>
        <w:rPr>
          <w:spacing w:val="-2"/>
          <w:sz w:val="21"/>
        </w:rPr>
        <w:t>因</w:t>
      </w:r>
      <w:r>
        <w:rPr>
          <w:spacing w:val="-2"/>
          <w:sz w:val="21"/>
        </w:rPr>
        <w:t>丝虫感染导致淋巴管</w:t>
      </w:r>
      <w:r>
        <w:rPr>
          <w:spacing w:val="-2"/>
          <w:sz w:val="21"/>
        </w:rPr>
        <w:t>阻</w:t>
      </w:r>
      <w:r>
        <w:rPr>
          <w:spacing w:val="-2"/>
          <w:sz w:val="21"/>
        </w:rPr>
        <w:t>塞</w:t>
      </w:r>
      <w:r>
        <w:rPr>
          <w:spacing w:val="-2"/>
          <w:sz w:val="21"/>
        </w:rPr>
        <w:t>而造成身体组织出现</w:t>
      </w:r>
      <w:r>
        <w:rPr>
          <w:spacing w:val="-2"/>
          <w:sz w:val="21"/>
        </w:rPr>
        <w:t>严</w:t>
      </w:r>
      <w:r>
        <w:rPr>
          <w:spacing w:val="-2"/>
          <w:sz w:val="21"/>
        </w:rPr>
        <w:t>重</w:t>
      </w:r>
      <w:r>
        <w:rPr>
          <w:spacing w:val="-2"/>
          <w:sz w:val="21"/>
        </w:rPr>
        <w:t>淋巴水肿</w:t>
      </w:r>
      <w:r>
        <w:rPr>
          <w:spacing w:val="-56"/>
          <w:sz w:val="21"/>
        </w:rPr>
        <w:t>。</w:t>
      </w:r>
      <w:r>
        <w:rPr>
          <w:spacing w:val="-2"/>
          <w:sz w:val="21"/>
        </w:rPr>
        <w:t>此病症须经</w:t>
      </w:r>
      <w:r>
        <w:rPr>
          <w:spacing w:val="-2"/>
          <w:sz w:val="21"/>
        </w:rPr>
        <w:t>认</w:t>
      </w:r>
      <w:r>
        <w:rPr>
          <w:spacing w:val="-2"/>
          <w:sz w:val="21"/>
        </w:rPr>
        <w:t>可</w:t>
      </w:r>
      <w:r>
        <w:rPr>
          <w:spacing w:val="-2"/>
          <w:sz w:val="21"/>
        </w:rPr>
        <w:t>的医院的专科医生根</w:t>
      </w:r>
      <w:r>
        <w:rPr>
          <w:spacing w:val="-2"/>
          <w:sz w:val="21"/>
        </w:rPr>
        <w:t>据</w:t>
      </w:r>
      <w:r>
        <w:rPr>
          <w:spacing w:val="-2"/>
          <w:sz w:val="21"/>
        </w:rPr>
        <w:t>临</w:t>
      </w:r>
      <w:r>
        <w:rPr>
          <w:spacing w:val="-2"/>
          <w:sz w:val="21"/>
        </w:rPr>
        <w:t>床表现和微丝蚴的化</w:t>
      </w:r>
      <w:r>
        <w:rPr>
          <w:spacing w:val="-2"/>
          <w:sz w:val="21"/>
        </w:rPr>
        <w:t>验</w:t>
      </w:r>
      <w:r>
        <w:rPr>
          <w:spacing w:val="-2"/>
          <w:sz w:val="21"/>
        </w:rPr>
        <w:t>结</w:t>
      </w:r>
      <w:r>
        <w:rPr>
          <w:spacing w:val="-2"/>
          <w:sz w:val="21"/>
        </w:rPr>
        <w:t>果确诊。</w:t>
      </w:r>
    </w:p>
    <w:p>
      <w:pPr>
        <w:pStyle w:val="Heading1"/>
        <w:spacing w:line="353" w:lineRule="exact"/>
        <w:ind w:left="2895"/>
      </w:pPr>
      <w:r>
        <w:rPr>
          <w:color w:val="000000"/>
          <w:spacing w:val="-1"/>
          <w:shd w:fill="D9D9D9" w:color="auto" w:val="clear"/>
        </w:rPr>
        <w:t>急性淋巴管炎或其他原因引起的淋巴水肿并不在本保障范围內。</w:t>
      </w:r>
    </w:p>
    <w:p>
      <w:pPr>
        <w:spacing w:after="0" w:line="353" w:lineRule="exact"/>
        <w:sectPr>
          <w:type w:val="continuous"/>
          <w:pgSz w:w="11910" w:h="16840"/>
          <w:pgMar w:header="566" w:footer="664" w:top="1340" w:bottom="860" w:left="900" w:right="720"/>
        </w:sectPr>
      </w:pPr>
    </w:p>
    <w:p>
      <w:pPr>
        <w:pStyle w:val="ListParagraph"/>
        <w:numPr>
          <w:ilvl w:val="2"/>
          <w:numId w:val="74"/>
        </w:numPr>
        <w:tabs>
          <w:tab w:pos="1269" w:val="left" w:leader="none"/>
          <w:tab w:pos="1270" w:val="left" w:leader="none"/>
        </w:tabs>
        <w:spacing w:line="194" w:lineRule="auto" w:before="130" w:after="0"/>
        <w:ind w:left="1270" w:right="38" w:hanging="1038"/>
        <w:jc w:val="left"/>
        <w:rPr>
          <w:rFonts w:ascii="微软雅黑" w:eastAsia="微软雅黑"/>
          <w:b/>
          <w:sz w:val="21"/>
        </w:rPr>
      </w:pPr>
      <w:r>
        <w:rPr>
          <w:rFonts w:ascii="微软雅黑" w:eastAsia="微软雅黑"/>
          <w:b/>
          <w:spacing w:val="-2"/>
          <w:sz w:val="21"/>
        </w:rPr>
        <w:t>早期原发性心</w:t>
      </w:r>
      <w:r>
        <w:rPr>
          <w:rFonts w:ascii="微软雅黑" w:eastAsia="微软雅黑"/>
          <w:b/>
          <w:spacing w:val="-6"/>
          <w:sz w:val="21"/>
        </w:rPr>
        <w:t>肌病</w:t>
      </w:r>
    </w:p>
    <w:p>
      <w:pPr>
        <w:pStyle w:val="BodyText"/>
        <w:spacing w:before="145"/>
        <w:ind w:left="232"/>
      </w:pPr>
      <w:r>
        <w:rPr/>
        <w:br w:type="column"/>
      </w:r>
      <w:r>
        <w:rPr>
          <w:spacing w:val="-3"/>
        </w:rPr>
        <w:t>被诊断为原发性心肌病，并符合下列全部条件：</w:t>
      </w:r>
    </w:p>
    <w:p>
      <w:pPr>
        <w:pStyle w:val="ListParagraph"/>
        <w:numPr>
          <w:ilvl w:val="0"/>
          <w:numId w:val="77"/>
        </w:numPr>
        <w:tabs>
          <w:tab w:pos="762" w:val="left" w:leader="none"/>
        </w:tabs>
        <w:spacing w:line="278" w:lineRule="auto" w:before="43" w:after="0"/>
        <w:ind w:left="232" w:right="298" w:firstLine="0"/>
        <w:jc w:val="both"/>
        <w:rPr>
          <w:sz w:val="21"/>
        </w:rPr>
      </w:pPr>
      <w:r>
        <w:rPr>
          <w:spacing w:val="-2"/>
          <w:sz w:val="21"/>
        </w:rPr>
        <w:t>导致心室功能受损，其受损程度达到美国纽约心脏病学会心功能状态分</w:t>
      </w:r>
      <w:r>
        <w:rPr>
          <w:spacing w:val="-2"/>
          <w:sz w:val="21"/>
        </w:rPr>
        <w:t>级Ⅲ级，即：体力活动明显受限，休息时无症状，轻于日常的活动可引起充血</w:t>
      </w:r>
      <w:r>
        <w:rPr>
          <w:spacing w:val="-2"/>
          <w:sz w:val="21"/>
        </w:rPr>
        <w:t>性心力衰竭的症状；</w:t>
      </w:r>
    </w:p>
    <w:p>
      <w:pPr>
        <w:pStyle w:val="ListParagraph"/>
        <w:numPr>
          <w:ilvl w:val="0"/>
          <w:numId w:val="77"/>
        </w:numPr>
        <w:tabs>
          <w:tab w:pos="762" w:val="left" w:leader="none"/>
        </w:tabs>
        <w:spacing w:line="269" w:lineRule="exact" w:before="0" w:after="0"/>
        <w:ind w:left="761" w:right="0" w:hanging="530"/>
        <w:jc w:val="both"/>
        <w:rPr>
          <w:sz w:val="21"/>
        </w:rPr>
      </w:pPr>
      <w:r>
        <w:rPr>
          <w:spacing w:val="-9"/>
          <w:sz w:val="21"/>
        </w:rPr>
        <w:t>左室射血分数 </w:t>
      </w:r>
      <w:r>
        <w:rPr>
          <w:spacing w:val="-2"/>
          <w:sz w:val="21"/>
        </w:rPr>
        <w:t>LVEF＜35%；</w:t>
      </w:r>
    </w:p>
    <w:p>
      <w:pPr>
        <w:pStyle w:val="ListParagraph"/>
        <w:numPr>
          <w:ilvl w:val="0"/>
          <w:numId w:val="77"/>
        </w:numPr>
        <w:tabs>
          <w:tab w:pos="762" w:val="left" w:leader="none"/>
        </w:tabs>
        <w:spacing w:line="278" w:lineRule="auto" w:before="43" w:after="0"/>
        <w:ind w:left="232" w:right="348" w:firstLine="0"/>
        <w:jc w:val="left"/>
        <w:rPr>
          <w:sz w:val="21"/>
        </w:rPr>
      </w:pPr>
      <w:r>
        <w:rPr>
          <w:spacing w:val="-2"/>
          <w:sz w:val="21"/>
        </w:rPr>
        <w:t>原发性心肌病的诊断必须由认可的医院的心脏科专科医生确认，并提供</w:t>
      </w:r>
      <w:r>
        <w:rPr>
          <w:spacing w:val="-2"/>
          <w:sz w:val="21"/>
        </w:rPr>
        <w:t>心脏超声检查结果报告。</w:t>
      </w:r>
    </w:p>
    <w:p>
      <w:pPr>
        <w:pStyle w:val="Heading1"/>
        <w:spacing w:line="184" w:lineRule="auto"/>
        <w:ind w:left="232" w:right="191"/>
      </w:pPr>
      <w:r>
        <w:rPr>
          <w:color w:val="000000"/>
          <w:spacing w:val="-7"/>
          <w:shd w:fill="D9D9D9" w:color="auto" w:val="clear"/>
        </w:rPr>
        <w:t>本保障范围内的心肌病包括扩张型心肌病、肥厚型心肌病及限制型心肌病，</w:t>
      </w:r>
      <w:r>
        <w:rPr>
          <w:color w:val="000000"/>
          <w:spacing w:val="-2"/>
          <w:shd w:fill="D9D9D9" w:color="auto" w:val="clear"/>
        </w:rPr>
        <w:t>继发于酒精滥用性的心肌病不在此保障范围之内。</w:t>
      </w:r>
    </w:p>
    <w:p>
      <w:pPr>
        <w:spacing w:after="0" w:line="184" w:lineRule="auto"/>
        <w:sectPr>
          <w:type w:val="continuous"/>
          <w:pgSz w:w="11910" w:h="16840"/>
          <w:pgMar w:header="566" w:footer="664" w:top="1340" w:bottom="860" w:left="900" w:right="720"/>
          <w:cols w:num="2" w:equalWidth="0">
            <w:col w:w="2578" w:space="85"/>
            <w:col w:w="7627"/>
          </w:cols>
        </w:sectPr>
      </w:pPr>
    </w:p>
    <w:p>
      <w:pPr>
        <w:pStyle w:val="ListParagraph"/>
        <w:numPr>
          <w:ilvl w:val="2"/>
          <w:numId w:val="74"/>
        </w:numPr>
        <w:tabs>
          <w:tab w:pos="1269" w:val="left" w:leader="none"/>
          <w:tab w:pos="1270" w:val="left" w:leader="none"/>
        </w:tabs>
        <w:spacing w:line="194" w:lineRule="auto" w:before="155" w:after="0"/>
        <w:ind w:left="1270" w:right="38" w:hanging="1038"/>
        <w:jc w:val="left"/>
        <w:rPr>
          <w:rFonts w:ascii="微软雅黑" w:hAnsi="微软雅黑" w:eastAsia="微软雅黑"/>
          <w:b/>
          <w:sz w:val="21"/>
        </w:rPr>
      </w:pPr>
      <w:r>
        <w:rPr>
          <w:rFonts w:ascii="微软雅黑" w:hAnsi="微软雅黑" w:eastAsia="微软雅黑"/>
          <w:b/>
          <w:spacing w:val="-2"/>
          <w:sz w:val="21"/>
        </w:rPr>
        <w:t>较小面积Ⅲ度</w:t>
      </w:r>
      <w:r>
        <w:rPr>
          <w:rFonts w:ascii="微软雅黑" w:hAnsi="微软雅黑" w:eastAsia="微软雅黑"/>
          <w:b/>
          <w:spacing w:val="-6"/>
          <w:sz w:val="21"/>
        </w:rPr>
        <w:t>烧伤</w:t>
      </w:r>
    </w:p>
    <w:p>
      <w:pPr>
        <w:pStyle w:val="BodyText"/>
        <w:spacing w:line="278" w:lineRule="auto" w:before="170"/>
        <w:ind w:left="232" w:right="348"/>
      </w:pPr>
      <w:r>
        <w:rPr/>
        <w:br w:type="column"/>
      </w:r>
      <w:r>
        <w:rPr>
          <w:spacing w:val="-3"/>
        </w:rPr>
        <w:t>指烧伤程度为Ⅲ度，且Ⅲ度烧伤面积达到全身体表面积的 </w:t>
      </w:r>
      <w:r>
        <w:rPr/>
        <w:t>10</w:t>
      </w:r>
      <w:r>
        <w:rPr>
          <w:spacing w:val="-18"/>
        </w:rPr>
        <w:t>%或 </w:t>
      </w:r>
      <w:r>
        <w:rPr/>
        <w:t>10%以上，体</w:t>
      </w:r>
      <w:r>
        <w:rPr>
          <w:spacing w:val="-2"/>
        </w:rPr>
        <w:t>表面积根据《中国新九分法》计算。</w:t>
      </w:r>
    </w:p>
    <w:p>
      <w:pPr>
        <w:spacing w:after="0" w:line="278" w:lineRule="auto"/>
        <w:sectPr>
          <w:type w:val="continuous"/>
          <w:pgSz w:w="11910" w:h="16840"/>
          <w:pgMar w:header="566" w:footer="664" w:top="1340" w:bottom="860" w:left="900" w:right="720"/>
          <w:cols w:num="2" w:equalWidth="0">
            <w:col w:w="2578" w:space="85"/>
            <w:col w:w="7627"/>
          </w:cols>
        </w:sectPr>
      </w:pPr>
    </w:p>
    <w:p>
      <w:pPr>
        <w:pStyle w:val="ListParagraph"/>
        <w:numPr>
          <w:ilvl w:val="2"/>
          <w:numId w:val="74"/>
        </w:numPr>
        <w:tabs>
          <w:tab w:pos="1269" w:val="left" w:leader="none"/>
          <w:tab w:pos="1270" w:val="left" w:leader="none"/>
        </w:tabs>
        <w:spacing w:line="350" w:lineRule="exact" w:before="103" w:after="0"/>
        <w:ind w:left="1270" w:right="0" w:hanging="1038"/>
        <w:jc w:val="left"/>
        <w:rPr>
          <w:rFonts w:ascii="微软雅黑" w:eastAsia="微软雅黑"/>
          <w:b/>
          <w:sz w:val="21"/>
        </w:rPr>
      </w:pPr>
      <w:r>
        <w:rPr>
          <w:rFonts w:ascii="微软雅黑" w:eastAsia="微软雅黑"/>
          <w:b/>
          <w:spacing w:val="-2"/>
          <w:sz w:val="21"/>
        </w:rPr>
        <w:t>中度感染性心</w:t>
      </w:r>
    </w:p>
    <w:p>
      <w:pPr>
        <w:spacing w:line="350" w:lineRule="exact" w:before="0"/>
        <w:ind w:left="1270" w:right="0" w:firstLine="0"/>
        <w:jc w:val="left"/>
        <w:rPr>
          <w:rFonts w:ascii="微软雅黑" w:eastAsia="微软雅黑"/>
          <w:b/>
          <w:sz w:val="21"/>
        </w:rPr>
      </w:pPr>
      <w:r>
        <w:rPr>
          <w:rFonts w:ascii="微软雅黑" w:eastAsia="微软雅黑"/>
          <w:b/>
          <w:spacing w:val="-4"/>
          <w:sz w:val="21"/>
        </w:rPr>
        <w:t>内膜炎</w:t>
      </w:r>
    </w:p>
    <w:p>
      <w:pPr>
        <w:pStyle w:val="BodyText"/>
        <w:spacing w:line="278" w:lineRule="auto" w:before="170"/>
        <w:ind w:left="232" w:right="298"/>
      </w:pPr>
      <w:r>
        <w:rPr/>
        <w:br w:type="column"/>
      </w:r>
      <w:r>
        <w:rPr>
          <w:spacing w:val="-4"/>
        </w:rPr>
        <w:t>感染性心内膜炎是指因细菌或其他致病菌感染造成心脏内膜感染，并且累及心</w:t>
      </w:r>
      <w:r>
        <w:rPr>
          <w:spacing w:val="-2"/>
        </w:rPr>
        <w:t>脏瓣膜，导致心脏瓣膜关闭不全。必须满足下列所有条件：</w:t>
      </w:r>
    </w:p>
    <w:p>
      <w:pPr>
        <w:pStyle w:val="ListParagraph"/>
        <w:numPr>
          <w:ilvl w:val="0"/>
          <w:numId w:val="78"/>
        </w:numPr>
        <w:tabs>
          <w:tab w:pos="762" w:val="left" w:leader="none"/>
        </w:tabs>
        <w:spacing w:line="269" w:lineRule="exact" w:before="0" w:after="0"/>
        <w:ind w:left="761" w:right="0" w:hanging="530"/>
        <w:jc w:val="left"/>
        <w:rPr>
          <w:sz w:val="21"/>
        </w:rPr>
      </w:pPr>
      <w:r>
        <w:rPr>
          <w:spacing w:val="-3"/>
          <w:sz w:val="21"/>
        </w:rPr>
        <w:t>急性或亚急性感染性心内膜炎临床表现；</w:t>
      </w:r>
    </w:p>
    <w:p>
      <w:pPr>
        <w:pStyle w:val="ListParagraph"/>
        <w:numPr>
          <w:ilvl w:val="0"/>
          <w:numId w:val="78"/>
        </w:numPr>
        <w:tabs>
          <w:tab w:pos="762" w:val="left" w:leader="none"/>
        </w:tabs>
        <w:spacing w:line="240" w:lineRule="auto" w:before="43" w:after="0"/>
        <w:ind w:left="761" w:right="0" w:hanging="530"/>
        <w:jc w:val="left"/>
        <w:rPr>
          <w:sz w:val="21"/>
        </w:rPr>
      </w:pPr>
      <w:r>
        <w:rPr>
          <w:spacing w:val="-3"/>
          <w:sz w:val="21"/>
        </w:rPr>
        <w:t>血培养病原体阳性；</w:t>
      </w:r>
    </w:p>
    <w:p>
      <w:pPr>
        <w:pStyle w:val="ListParagraph"/>
        <w:numPr>
          <w:ilvl w:val="0"/>
          <w:numId w:val="78"/>
        </w:numPr>
        <w:tabs>
          <w:tab w:pos="762" w:val="left" w:leader="none"/>
        </w:tabs>
        <w:spacing w:line="252" w:lineRule="exact" w:before="43" w:after="0"/>
        <w:ind w:left="761" w:right="0" w:hanging="530"/>
        <w:jc w:val="left"/>
        <w:rPr>
          <w:sz w:val="21"/>
        </w:rPr>
      </w:pPr>
      <w:r>
        <w:rPr>
          <w:spacing w:val="-3"/>
          <w:sz w:val="21"/>
        </w:rPr>
        <w:t>实际接受了经导管瓣膜修补手术。</w:t>
      </w:r>
    </w:p>
    <w:p>
      <w:pPr>
        <w:pStyle w:val="Heading1"/>
        <w:spacing w:line="388" w:lineRule="exact"/>
        <w:ind w:left="232"/>
      </w:pPr>
      <w:r>
        <w:rPr>
          <w:color w:val="000000"/>
          <w:spacing w:val="-1"/>
          <w:shd w:fill="D9D9D9" w:color="auto" w:val="clear"/>
        </w:rPr>
        <w:t>药物滥用者所患感染性心内膜炎不在保障范围内。</w:t>
      </w:r>
    </w:p>
    <w:p>
      <w:pPr>
        <w:spacing w:after="0" w:line="388" w:lineRule="exact"/>
        <w:sectPr>
          <w:type w:val="continuous"/>
          <w:pgSz w:w="11910" w:h="16840"/>
          <w:pgMar w:header="566" w:footer="664" w:top="1340" w:bottom="860" w:left="900" w:right="720"/>
          <w:cols w:num="2" w:equalWidth="0">
            <w:col w:w="2578" w:space="85"/>
            <w:col w:w="7627"/>
          </w:cols>
        </w:sectPr>
      </w:pPr>
    </w:p>
    <w:p>
      <w:pPr>
        <w:pStyle w:val="ListParagraph"/>
        <w:numPr>
          <w:ilvl w:val="2"/>
          <w:numId w:val="74"/>
        </w:numPr>
        <w:tabs>
          <w:tab w:pos="1269" w:val="left" w:leader="none"/>
          <w:tab w:pos="1270" w:val="left" w:leader="none"/>
          <w:tab w:pos="2895" w:val="left" w:leader="none"/>
        </w:tabs>
        <w:spacing w:line="240" w:lineRule="auto" w:before="87" w:after="0"/>
        <w:ind w:left="1270" w:right="0" w:hanging="1038"/>
        <w:jc w:val="left"/>
        <w:rPr>
          <w:sz w:val="21"/>
        </w:rPr>
      </w:pPr>
      <w:r>
        <w:rPr/>
        <w:drawing>
          <wp:anchor distT="0" distB="0" distL="0" distR="0" allowOverlap="1" layoutInCell="1" locked="0" behindDoc="1" simplePos="0" relativeHeight="484218880">
            <wp:simplePos x="0" y="0"/>
            <wp:positionH relativeFrom="page">
              <wp:posOffset>2410079</wp:posOffset>
            </wp:positionH>
            <wp:positionV relativeFrom="paragraph">
              <wp:posOffset>487351</wp:posOffset>
            </wp:positionV>
            <wp:extent cx="3505835" cy="183184"/>
            <wp:effectExtent l="0" t="0" r="0" b="0"/>
            <wp:wrapNone/>
            <wp:docPr id="75" name="image19.png"/>
            <wp:cNvGraphicFramePr>
              <a:graphicFrameLocks noChangeAspect="1"/>
            </wp:cNvGraphicFramePr>
            <a:graphic>
              <a:graphicData uri="http://schemas.openxmlformats.org/drawingml/2006/picture">
                <pic:pic>
                  <pic:nvPicPr>
                    <pic:cNvPr id="76" name="image19.png"/>
                    <pic:cNvPicPr/>
                  </pic:nvPicPr>
                  <pic:blipFill>
                    <a:blip r:embed="rId38" cstate="print"/>
                    <a:stretch>
                      <a:fillRect/>
                    </a:stretch>
                  </pic:blipFill>
                  <pic:spPr>
                    <a:xfrm>
                      <a:off x="0" y="0"/>
                      <a:ext cx="3505835" cy="183184"/>
                    </a:xfrm>
                    <a:prstGeom prst="rect">
                      <a:avLst/>
                    </a:prstGeom>
                  </pic:spPr>
                </pic:pic>
              </a:graphicData>
            </a:graphic>
          </wp:anchor>
        </w:drawing>
      </w:r>
      <w:r>
        <w:rPr/>
        <w:pict>
          <v:shape style="position:absolute;margin-left:189.770004pt;margin-top:38.374161pt;width:276.05pt;height:14.45pt;mso-position-horizontal-relative:page;mso-position-vertical-relative:paragraph;z-index:-19097088" type="#_x0000_t202" id="docshape81" filled="false" stroked="false">
            <v:textbox inset="0,0,0,0">
              <w:txbxContent>
                <w:p>
                  <w:pPr>
                    <w:spacing w:line="288" w:lineRule="exact" w:before="0"/>
                    <w:ind w:left="0" w:right="0" w:firstLine="0"/>
                    <w:jc w:val="left"/>
                    <w:rPr>
                      <w:rFonts w:ascii="微软雅黑" w:eastAsia="微软雅黑"/>
                      <w:b/>
                      <w:sz w:val="22"/>
                    </w:rPr>
                  </w:pPr>
                  <w:r>
                    <w:rPr>
                      <w:rFonts w:ascii="微软雅黑" w:eastAsia="微软雅黑"/>
                      <w:b/>
                      <w:spacing w:val="-1"/>
                      <w:sz w:val="22"/>
                    </w:rPr>
                    <w:t>因恶性肿瘤进行的单侧肾脏切除手术不在本保障范围内。</w:t>
                  </w:r>
                </w:p>
              </w:txbxContent>
            </v:textbox>
            <w10:wrap type="none"/>
          </v:shape>
        </w:pict>
      </w:r>
      <w:r>
        <w:rPr/>
        <w:pict>
          <v:shape style="position:absolute;margin-left:189.770004pt;margin-top:22.76816pt;width:298.150pt;height:14.4pt;mso-position-horizontal-relative:page;mso-position-vertical-relative:paragraph;z-index:-19096576" type="#_x0000_t202" id="docshape82" filled="true" fillcolor="#d9d9d9"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1"/>
                      <w:sz w:val="22"/>
                    </w:rPr>
                    <w:t>肾脏部分切除手术和肾脏捐献引起的手术不在本保障范围内。</w:t>
                  </w:r>
                </w:p>
              </w:txbxContent>
            </v:textbox>
            <v:fill type="solid"/>
            <w10:wrap type="none"/>
          </v:shape>
        </w:pict>
      </w:r>
      <w:r>
        <w:rPr>
          <w:rFonts w:ascii="微软雅黑" w:eastAsia="微软雅黑"/>
          <w:b/>
          <w:sz w:val="21"/>
        </w:rPr>
        <w:t>单侧肾脏切</w:t>
      </w:r>
      <w:r>
        <w:rPr>
          <w:rFonts w:ascii="微软雅黑" w:eastAsia="微软雅黑"/>
          <w:b/>
          <w:spacing w:val="-10"/>
          <w:sz w:val="21"/>
        </w:rPr>
        <w:t>除</w:t>
      </w:r>
      <w:r>
        <w:rPr>
          <w:rFonts w:ascii="微软雅黑" w:eastAsia="微软雅黑"/>
          <w:b/>
          <w:sz w:val="21"/>
        </w:rPr>
        <w:tab/>
      </w:r>
      <w:r>
        <w:rPr>
          <w:spacing w:val="-2"/>
          <w:sz w:val="21"/>
        </w:rPr>
        <w:t>指</w:t>
      </w:r>
      <w:r>
        <w:rPr>
          <w:spacing w:val="-2"/>
          <w:sz w:val="21"/>
        </w:rPr>
        <w:t>因</w:t>
      </w:r>
      <w:r>
        <w:rPr>
          <w:spacing w:val="-2"/>
          <w:sz w:val="21"/>
        </w:rPr>
        <w:t>疾病或意外伤害实际</w:t>
      </w:r>
      <w:r>
        <w:rPr>
          <w:spacing w:val="-2"/>
          <w:sz w:val="21"/>
        </w:rPr>
        <w:t>实</w:t>
      </w:r>
      <w:r>
        <w:rPr>
          <w:spacing w:val="-2"/>
          <w:sz w:val="21"/>
        </w:rPr>
        <w:t>施</w:t>
      </w:r>
      <w:r>
        <w:rPr>
          <w:spacing w:val="-2"/>
          <w:sz w:val="21"/>
        </w:rPr>
        <w:t>的一侧肾脏切除</w:t>
      </w:r>
      <w:r>
        <w:rPr>
          <w:spacing w:val="-2"/>
          <w:sz w:val="21"/>
        </w:rPr>
        <w:t>术</w:t>
      </w:r>
      <w:r>
        <w:rPr>
          <w:spacing w:val="-10"/>
          <w:sz w:val="21"/>
        </w:rPr>
        <w:t>。</w:t>
      </w:r>
    </w:p>
    <w:p>
      <w:pPr>
        <w:pStyle w:val="BodyText"/>
        <w:spacing w:before="10"/>
        <w:rPr>
          <w:sz w:val="8"/>
        </w:rPr>
      </w:pPr>
    </w:p>
    <w:p>
      <w:pPr>
        <w:spacing w:after="0"/>
        <w:rPr>
          <w:sz w:val="8"/>
        </w:rPr>
        <w:sectPr>
          <w:type w:val="continuous"/>
          <w:pgSz w:w="11910" w:h="16840"/>
          <w:pgMar w:header="566" w:footer="664" w:top="1340" w:bottom="860" w:left="900" w:right="720"/>
        </w:sectPr>
      </w:pPr>
    </w:p>
    <w:p>
      <w:pPr>
        <w:pStyle w:val="ListParagraph"/>
        <w:numPr>
          <w:ilvl w:val="2"/>
          <w:numId w:val="74"/>
        </w:numPr>
        <w:tabs>
          <w:tab w:pos="1269" w:val="left" w:leader="none"/>
          <w:tab w:pos="1270" w:val="left" w:leader="none"/>
        </w:tabs>
        <w:spacing w:line="194" w:lineRule="auto" w:before="57" w:after="0"/>
        <w:ind w:left="1270" w:right="38" w:hanging="1038"/>
        <w:jc w:val="left"/>
        <w:rPr>
          <w:rFonts w:ascii="微软雅黑" w:eastAsia="微软雅黑"/>
          <w:b/>
          <w:sz w:val="21"/>
        </w:rPr>
      </w:pPr>
      <w:r>
        <w:rPr>
          <w:rFonts w:ascii="微软雅黑" w:eastAsia="微软雅黑"/>
          <w:b/>
          <w:spacing w:val="-2"/>
          <w:sz w:val="21"/>
        </w:rPr>
        <w:t>双侧睾丸切除</w:t>
      </w:r>
      <w:r>
        <w:rPr>
          <w:rFonts w:ascii="微软雅黑" w:eastAsia="微软雅黑"/>
          <w:b/>
          <w:spacing w:val="-10"/>
          <w:sz w:val="21"/>
        </w:rPr>
        <w:t>术</w:t>
      </w:r>
    </w:p>
    <w:p>
      <w:pPr>
        <w:pStyle w:val="BodyText"/>
        <w:spacing w:line="252" w:lineRule="exact" w:before="72"/>
        <w:ind w:left="232"/>
      </w:pPr>
      <w:r>
        <w:rPr/>
        <w:br w:type="column"/>
      </w:r>
      <w:r>
        <w:rPr>
          <w:spacing w:val="-3"/>
        </w:rPr>
        <w:t>指为治疗疾病实际接受了双侧睾丸完全切除手术。</w:t>
      </w:r>
    </w:p>
    <w:p>
      <w:pPr>
        <w:spacing w:line="184" w:lineRule="auto" w:before="49"/>
        <w:ind w:left="232" w:right="4297" w:firstLine="0"/>
        <w:jc w:val="left"/>
        <w:rPr>
          <w:rFonts w:ascii="微软雅黑" w:eastAsia="微软雅黑"/>
          <w:b/>
          <w:sz w:val="22"/>
        </w:rPr>
      </w:pPr>
      <w:r>
        <w:rPr>
          <w:rFonts w:ascii="微软雅黑" w:eastAsia="微软雅黑"/>
          <w:b/>
          <w:color w:val="000000"/>
          <w:spacing w:val="-2"/>
          <w:sz w:val="22"/>
          <w:shd w:fill="D9D9D9" w:color="auto" w:val="clear"/>
        </w:rPr>
        <w:t>部分睾丸切除不在本保障范围。</w:t>
      </w:r>
      <w:r>
        <w:rPr>
          <w:rFonts w:ascii="微软雅黑" w:eastAsia="微软雅黑"/>
          <w:b/>
          <w:color w:val="000000"/>
          <w:spacing w:val="80"/>
          <w:w w:val="150"/>
          <w:sz w:val="22"/>
          <w:shd w:fill="D9D9D9" w:color="auto" w:val="clear"/>
        </w:rPr>
        <w:t>                      </w:t>
      </w:r>
      <w:r>
        <w:rPr>
          <w:rFonts w:ascii="微软雅黑" w:eastAsia="微软雅黑"/>
          <w:b/>
          <w:color w:val="000000"/>
          <w:spacing w:val="-2"/>
          <w:sz w:val="22"/>
          <w:shd w:fill="D9D9D9" w:color="auto" w:val="clear"/>
        </w:rPr>
        <w:t>变性手术不在本保障范围。</w:t>
      </w:r>
    </w:p>
    <w:p>
      <w:pPr>
        <w:spacing w:line="291" w:lineRule="exact" w:before="0"/>
        <w:ind w:left="232" w:right="0" w:firstLine="0"/>
        <w:jc w:val="left"/>
        <w:rPr>
          <w:rFonts w:ascii="微软雅黑" w:eastAsia="微软雅黑"/>
          <w:b/>
          <w:sz w:val="22"/>
        </w:rPr>
      </w:pPr>
      <w:r>
        <w:rPr>
          <w:rFonts w:ascii="微软雅黑" w:eastAsia="微软雅黑"/>
          <w:b/>
          <w:color w:val="000000"/>
          <w:spacing w:val="-1"/>
          <w:sz w:val="22"/>
          <w:shd w:fill="D9D9D9" w:color="auto" w:val="clear"/>
        </w:rPr>
        <w:t>因预防性手术切除睾丸手术不在保障范围。</w:t>
      </w:r>
    </w:p>
    <w:p>
      <w:pPr>
        <w:spacing w:line="359" w:lineRule="exact" w:before="0"/>
        <w:ind w:left="232" w:right="0" w:firstLine="0"/>
        <w:jc w:val="left"/>
        <w:rPr>
          <w:rFonts w:ascii="微软雅黑" w:eastAsia="微软雅黑"/>
          <w:b/>
          <w:sz w:val="22"/>
        </w:rPr>
      </w:pPr>
      <w:r>
        <w:rPr>
          <w:rFonts w:ascii="微软雅黑" w:eastAsia="微软雅黑"/>
          <w:b/>
          <w:color w:val="000000"/>
          <w:spacing w:val="-1"/>
          <w:sz w:val="22"/>
          <w:shd w:fill="D9D9D9" w:color="auto" w:val="clear"/>
        </w:rPr>
        <w:t>因恶性肿瘤进行的双侧睾丸切除术不在本保障范围内。</w:t>
      </w:r>
    </w:p>
    <w:p>
      <w:pPr>
        <w:spacing w:after="0" w:line="359" w:lineRule="exact"/>
        <w:jc w:val="left"/>
        <w:rPr>
          <w:rFonts w:ascii="微软雅黑" w:eastAsia="微软雅黑"/>
          <w:sz w:val="22"/>
        </w:rPr>
        <w:sectPr>
          <w:type w:val="continuous"/>
          <w:pgSz w:w="11910" w:h="16840"/>
          <w:pgMar w:header="566" w:footer="664" w:top="1340" w:bottom="860" w:left="900" w:right="720"/>
          <w:cols w:num="2" w:equalWidth="0">
            <w:col w:w="2578" w:space="85"/>
            <w:col w:w="7627"/>
          </w:cols>
        </w:sectPr>
      </w:pPr>
    </w:p>
    <w:p>
      <w:pPr>
        <w:pStyle w:val="ListParagraph"/>
        <w:numPr>
          <w:ilvl w:val="2"/>
          <w:numId w:val="74"/>
        </w:numPr>
        <w:tabs>
          <w:tab w:pos="1269" w:val="left" w:leader="none"/>
          <w:tab w:pos="1270" w:val="left" w:leader="none"/>
          <w:tab w:pos="2895" w:val="left" w:leader="none"/>
        </w:tabs>
        <w:spacing w:line="240" w:lineRule="auto" w:before="88" w:after="0"/>
        <w:ind w:left="1270" w:right="0" w:hanging="1038"/>
        <w:jc w:val="left"/>
        <w:rPr>
          <w:sz w:val="21"/>
        </w:rPr>
      </w:pPr>
      <w:r>
        <w:rPr>
          <w:rFonts w:ascii="微软雅黑" w:eastAsia="微软雅黑"/>
          <w:b/>
          <w:sz w:val="21"/>
        </w:rPr>
        <w:t>双侧卵巢切</w:t>
      </w:r>
      <w:r>
        <w:rPr>
          <w:rFonts w:ascii="微软雅黑" w:eastAsia="微软雅黑"/>
          <w:b/>
          <w:spacing w:val="-10"/>
          <w:sz w:val="21"/>
        </w:rPr>
        <w:t>除</w:t>
      </w:r>
      <w:r>
        <w:rPr>
          <w:rFonts w:ascii="微软雅黑" w:eastAsia="微软雅黑"/>
          <w:b/>
          <w:sz w:val="21"/>
        </w:rPr>
        <w:tab/>
      </w:r>
      <w:r>
        <w:rPr>
          <w:spacing w:val="-2"/>
          <w:sz w:val="21"/>
        </w:rPr>
        <w:t>指</w:t>
      </w:r>
      <w:r>
        <w:rPr>
          <w:spacing w:val="-2"/>
          <w:sz w:val="21"/>
        </w:rPr>
        <w:t>为</w:t>
      </w:r>
      <w:r>
        <w:rPr>
          <w:spacing w:val="-2"/>
          <w:sz w:val="21"/>
        </w:rPr>
        <w:t>治疗疾病实际接受了</w:t>
      </w:r>
      <w:r>
        <w:rPr>
          <w:spacing w:val="-2"/>
          <w:sz w:val="21"/>
        </w:rPr>
        <w:t>经</w:t>
      </w:r>
      <w:r>
        <w:rPr>
          <w:spacing w:val="-2"/>
          <w:sz w:val="21"/>
        </w:rPr>
        <w:t>腹</w:t>
      </w:r>
      <w:r>
        <w:rPr>
          <w:spacing w:val="-2"/>
          <w:sz w:val="21"/>
        </w:rPr>
        <w:t>部切开或腹腔镜进行</w:t>
      </w:r>
      <w:r>
        <w:rPr>
          <w:spacing w:val="-2"/>
          <w:sz w:val="21"/>
        </w:rPr>
        <w:t>的</w:t>
      </w:r>
      <w:r>
        <w:rPr>
          <w:spacing w:val="-2"/>
          <w:sz w:val="21"/>
        </w:rPr>
        <w:t>双</w:t>
      </w:r>
      <w:r>
        <w:rPr>
          <w:spacing w:val="-2"/>
          <w:sz w:val="21"/>
        </w:rPr>
        <w:t>侧卵巢完全切除手术</w:t>
      </w:r>
      <w:r>
        <w:rPr>
          <w:spacing w:val="-10"/>
          <w:sz w:val="21"/>
        </w:rPr>
        <w:t>。</w:t>
      </w:r>
    </w:p>
    <w:p>
      <w:pPr>
        <w:spacing w:after="0" w:line="240" w:lineRule="auto"/>
        <w:jc w:val="left"/>
        <w:rPr>
          <w:sz w:val="21"/>
        </w:rPr>
        <w:sectPr>
          <w:type w:val="continuous"/>
          <w:pgSz w:w="11910" w:h="16840"/>
          <w:pgMar w:header="566" w:footer="664" w:top="1340" w:bottom="860" w:left="900" w:right="720"/>
        </w:sectPr>
      </w:pPr>
    </w:p>
    <w:p>
      <w:pPr>
        <w:spacing w:before="18"/>
        <w:ind w:left="1270" w:right="0" w:firstLine="0"/>
        <w:jc w:val="left"/>
        <w:rPr>
          <w:rFonts w:ascii="微软雅黑" w:eastAsia="微软雅黑"/>
          <w:b/>
          <w:sz w:val="21"/>
        </w:rPr>
      </w:pPr>
      <w:r>
        <w:rPr/>
        <w:pict>
          <v:shape style="position:absolute;margin-left:189.770004pt;margin-top:3.71814pt;width:265.05pt;height:61.15pt;mso-position-horizontal-relative:page;mso-position-vertical-relative:paragraph;z-index:15778816" type="#_x0000_t202" id="docshape83"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50"/>
                    <w:gridCol w:w="442"/>
                    <w:gridCol w:w="1104"/>
                    <w:gridCol w:w="1105"/>
                  </w:tblGrid>
                  <w:tr>
                    <w:trPr>
                      <w:trHeight w:val="284" w:hRule="atLeast"/>
                    </w:trPr>
                    <w:tc>
                      <w:tcPr>
                        <w:tcW w:w="3092" w:type="dxa"/>
                        <w:gridSpan w:val="2"/>
                        <w:tcBorders>
                          <w:bottom w:val="single" w:sz="12" w:space="0" w:color="FFFFFF"/>
                        </w:tcBorders>
                        <w:shd w:val="clear" w:color="auto" w:fill="D9D9D9"/>
                      </w:tcPr>
                      <w:p>
                        <w:pPr>
                          <w:pStyle w:val="TableParagraph"/>
                          <w:spacing w:line="265" w:lineRule="exact"/>
                          <w:rPr>
                            <w:rFonts w:ascii="微软雅黑" w:eastAsia="微软雅黑"/>
                            <w:b/>
                            <w:sz w:val="22"/>
                          </w:rPr>
                        </w:pPr>
                        <w:r>
                          <w:rPr>
                            <w:rFonts w:ascii="微软雅黑" w:eastAsia="微软雅黑"/>
                            <w:b/>
                            <w:spacing w:val="-1"/>
                            <w:sz w:val="22"/>
                          </w:rPr>
                          <w:t>部分卵巢切除不在本保障范围。</w:t>
                        </w:r>
                      </w:p>
                    </w:tc>
                    <w:tc>
                      <w:tcPr>
                        <w:tcW w:w="2209" w:type="dxa"/>
                        <w:gridSpan w:val="2"/>
                        <w:tcBorders>
                          <w:bottom w:val="single" w:sz="12" w:space="0" w:color="FFFFFF"/>
                        </w:tcBorders>
                      </w:tcPr>
                      <w:p>
                        <w:pPr>
                          <w:pStyle w:val="TableParagraph"/>
                          <w:rPr>
                            <w:rFonts w:ascii="Times New Roman"/>
                            <w:sz w:val="20"/>
                          </w:rPr>
                        </w:pPr>
                      </w:p>
                    </w:tc>
                  </w:tr>
                  <w:tr>
                    <w:trPr>
                      <w:trHeight w:val="282" w:hRule="atLeast"/>
                    </w:trPr>
                    <w:tc>
                      <w:tcPr>
                        <w:tcW w:w="2650" w:type="dxa"/>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spacing w:val="-1"/>
                            <w:sz w:val="22"/>
                          </w:rPr>
                          <w:t>变性手术不在本保障范围。</w:t>
                        </w:r>
                      </w:p>
                    </w:tc>
                    <w:tc>
                      <w:tcPr>
                        <w:tcW w:w="2651" w:type="dxa"/>
                        <w:gridSpan w:val="3"/>
                        <w:tcBorders>
                          <w:top w:val="single" w:sz="12" w:space="0" w:color="FFFFFF"/>
                          <w:bottom w:val="single" w:sz="12" w:space="0" w:color="FFFFFF"/>
                        </w:tcBorders>
                      </w:tcPr>
                      <w:p>
                        <w:pPr>
                          <w:pStyle w:val="TableParagraph"/>
                          <w:rPr>
                            <w:rFonts w:ascii="Times New Roman"/>
                            <w:sz w:val="20"/>
                          </w:rPr>
                        </w:pPr>
                      </w:p>
                    </w:tc>
                  </w:tr>
                  <w:tr>
                    <w:trPr>
                      <w:trHeight w:val="282" w:hRule="atLeast"/>
                    </w:trPr>
                    <w:tc>
                      <w:tcPr>
                        <w:tcW w:w="4196" w:type="dxa"/>
                        <w:gridSpan w:val="3"/>
                        <w:tcBorders>
                          <w:top w:val="single" w:sz="12" w:space="0" w:color="FFFFFF"/>
                          <w:bottom w:val="single" w:sz="12" w:space="0" w:color="FFFFFF"/>
                        </w:tcBorders>
                        <w:shd w:val="clear" w:color="auto" w:fill="D9D9D9"/>
                      </w:tcPr>
                      <w:p>
                        <w:pPr>
                          <w:pStyle w:val="TableParagraph"/>
                          <w:spacing w:line="262" w:lineRule="exact"/>
                          <w:rPr>
                            <w:rFonts w:ascii="微软雅黑" w:eastAsia="微软雅黑"/>
                            <w:b/>
                            <w:sz w:val="22"/>
                          </w:rPr>
                        </w:pPr>
                        <w:r>
                          <w:rPr>
                            <w:rFonts w:ascii="微软雅黑" w:eastAsia="微软雅黑"/>
                            <w:b/>
                            <w:spacing w:val="-1"/>
                            <w:sz w:val="22"/>
                          </w:rPr>
                          <w:t>因预防性手术切除卵巢手术不在保障范围。</w:t>
                        </w:r>
                      </w:p>
                    </w:tc>
                    <w:tc>
                      <w:tcPr>
                        <w:tcW w:w="1105"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5301" w:type="dxa"/>
                        <w:gridSpan w:val="4"/>
                        <w:tcBorders>
                          <w:top w:val="single" w:sz="12" w:space="0" w:color="FFFFFF"/>
                        </w:tcBorders>
                        <w:shd w:val="clear" w:color="auto" w:fill="D9D9D9"/>
                      </w:tcPr>
                      <w:p>
                        <w:pPr>
                          <w:pStyle w:val="TableParagraph"/>
                          <w:spacing w:line="265" w:lineRule="exact"/>
                          <w:rPr>
                            <w:rFonts w:ascii="微软雅黑" w:eastAsia="微软雅黑"/>
                            <w:b/>
                            <w:sz w:val="22"/>
                          </w:rPr>
                        </w:pPr>
                        <w:r>
                          <w:rPr>
                            <w:rFonts w:ascii="微软雅黑" w:eastAsia="微软雅黑"/>
                            <w:b/>
                            <w:spacing w:val="-1"/>
                            <w:sz w:val="22"/>
                          </w:rPr>
                          <w:t>因恶性肿瘤进行的双侧卵巢切除术不在本保障范围内。</w:t>
                        </w:r>
                      </w:p>
                    </w:tc>
                  </w:tr>
                </w:tbl>
                <w:p>
                  <w:pPr>
                    <w:pStyle w:val="BodyText"/>
                  </w:pPr>
                </w:p>
              </w:txbxContent>
            </v:textbox>
            <w10:wrap type="none"/>
          </v:shape>
        </w:pict>
      </w:r>
      <w:r>
        <w:rPr>
          <w:rFonts w:ascii="微软雅黑" w:eastAsia="微软雅黑"/>
          <w:b/>
          <w:w w:val="100"/>
          <w:sz w:val="21"/>
        </w:rPr>
        <w:t>术</w:t>
      </w:r>
    </w:p>
    <w:p>
      <w:pPr>
        <w:pStyle w:val="BodyText"/>
        <w:rPr>
          <w:rFonts w:ascii="微软雅黑"/>
          <w:b/>
          <w:sz w:val="20"/>
        </w:rPr>
      </w:pPr>
    </w:p>
    <w:p>
      <w:pPr>
        <w:pStyle w:val="BodyText"/>
        <w:rPr>
          <w:rFonts w:ascii="微软雅黑"/>
          <w:b/>
          <w:sz w:val="20"/>
        </w:rPr>
      </w:pPr>
    </w:p>
    <w:p>
      <w:pPr>
        <w:pStyle w:val="BodyText"/>
        <w:spacing w:before="5"/>
        <w:rPr>
          <w:rFonts w:ascii="微软雅黑"/>
          <w:b/>
          <w:sz w:val="16"/>
        </w:rPr>
      </w:pPr>
    </w:p>
    <w:p>
      <w:pPr>
        <w:pStyle w:val="ListParagraph"/>
        <w:numPr>
          <w:ilvl w:val="2"/>
          <w:numId w:val="74"/>
        </w:numPr>
        <w:tabs>
          <w:tab w:pos="1269" w:val="left" w:leader="none"/>
          <w:tab w:pos="1270" w:val="left" w:leader="none"/>
          <w:tab w:pos="2895" w:val="left" w:leader="none"/>
        </w:tabs>
        <w:spacing w:line="235" w:lineRule="auto" w:before="0" w:after="0"/>
        <w:ind w:left="2895" w:right="298" w:hanging="2663"/>
        <w:jc w:val="left"/>
        <w:rPr>
          <w:sz w:val="21"/>
        </w:rPr>
      </w:pPr>
      <w:r>
        <w:rPr/>
        <w:drawing>
          <wp:anchor distT="0" distB="0" distL="0" distR="0" allowOverlap="1" layoutInCell="1" locked="0" behindDoc="1" simplePos="0" relativeHeight="484220416">
            <wp:simplePos x="0" y="0"/>
            <wp:positionH relativeFrom="page">
              <wp:posOffset>2410079</wp:posOffset>
            </wp:positionH>
            <wp:positionV relativeFrom="paragraph">
              <wp:posOffset>1022870</wp:posOffset>
            </wp:positionV>
            <wp:extent cx="4501007" cy="182879"/>
            <wp:effectExtent l="0" t="0" r="0" b="0"/>
            <wp:wrapNone/>
            <wp:docPr id="77" name="image20.png"/>
            <wp:cNvGraphicFramePr>
              <a:graphicFrameLocks noChangeAspect="1"/>
            </wp:cNvGraphicFramePr>
            <a:graphic>
              <a:graphicData uri="http://schemas.openxmlformats.org/drawingml/2006/picture">
                <pic:pic>
                  <pic:nvPicPr>
                    <pic:cNvPr id="78" name="image20.png"/>
                    <pic:cNvPicPr/>
                  </pic:nvPicPr>
                  <pic:blipFill>
                    <a:blip r:embed="rId39" cstate="print"/>
                    <a:stretch>
                      <a:fillRect/>
                    </a:stretch>
                  </pic:blipFill>
                  <pic:spPr>
                    <a:xfrm>
                      <a:off x="0" y="0"/>
                      <a:ext cx="4501007" cy="182879"/>
                    </a:xfrm>
                    <a:prstGeom prst="rect">
                      <a:avLst/>
                    </a:prstGeom>
                  </pic:spPr>
                </pic:pic>
              </a:graphicData>
            </a:graphic>
          </wp:anchor>
        </w:drawing>
      </w:r>
      <w:r>
        <w:rPr/>
        <w:pict>
          <v:shape style="position:absolute;margin-left:189.770004pt;margin-top:80.540977pt;width:359.9pt;height:14.4pt;mso-position-horizontal-relative:page;mso-position-vertical-relative:paragraph;z-index:-19095552" type="#_x0000_t202" id="docshape84" filled="false" stroked="false">
            <v:textbox inset="0,0,0,0">
              <w:txbxContent>
                <w:p>
                  <w:pPr>
                    <w:spacing w:line="288" w:lineRule="exact" w:before="0"/>
                    <w:ind w:left="0" w:right="0" w:firstLine="0"/>
                    <w:jc w:val="left"/>
                    <w:rPr>
                      <w:rFonts w:ascii="微软雅黑" w:eastAsia="微软雅黑"/>
                      <w:b/>
                      <w:sz w:val="22"/>
                    </w:rPr>
                  </w:pPr>
                  <w:r>
                    <w:rPr>
                      <w:rFonts w:ascii="微软雅黑" w:eastAsia="微软雅黑"/>
                      <w:b/>
                      <w:w w:val="90"/>
                      <w:sz w:val="22"/>
                    </w:rPr>
                    <w:t>（2）</w:t>
                  </w:r>
                  <w:r>
                    <w:rPr>
                      <w:rFonts w:ascii="微软雅黑" w:eastAsia="微软雅黑"/>
                      <w:b/>
                      <w:w w:val="90"/>
                      <w:sz w:val="22"/>
                    </w:rPr>
                    <w:t>任</w:t>
                  </w:r>
                  <w:r>
                    <w:rPr>
                      <w:rFonts w:ascii="微软雅黑" w:eastAsia="微软雅黑"/>
                      <w:b/>
                      <w:w w:val="90"/>
                      <w:sz w:val="22"/>
                    </w:rPr>
                    <w:t>何</w:t>
                  </w:r>
                  <w:r>
                    <w:rPr>
                      <w:rFonts w:ascii="微软雅黑" w:eastAsia="微软雅黑"/>
                      <w:b/>
                      <w:w w:val="90"/>
                      <w:sz w:val="22"/>
                    </w:rPr>
                    <w:t>诊</w:t>
                  </w:r>
                  <w:r>
                    <w:rPr>
                      <w:rFonts w:ascii="微软雅黑" w:eastAsia="微软雅黑"/>
                      <w:b/>
                      <w:w w:val="90"/>
                      <w:sz w:val="22"/>
                    </w:rPr>
                    <w:t>断</w:t>
                  </w:r>
                  <w:r>
                    <w:rPr>
                      <w:rFonts w:ascii="微软雅黑" w:eastAsia="微软雅黑"/>
                      <w:b/>
                      <w:w w:val="90"/>
                      <w:sz w:val="22"/>
                    </w:rPr>
                    <w:t>为</w:t>
                  </w:r>
                  <w:r>
                    <w:rPr>
                      <w:rFonts w:ascii="微软雅黑" w:eastAsia="微软雅黑"/>
                      <w:b/>
                      <w:w w:val="90"/>
                      <w:sz w:val="22"/>
                    </w:rPr>
                    <w:t>CIN1、CIN2、CIN3、VIN、LSIL（</w:t>
                  </w:r>
                  <w:r>
                    <w:rPr>
                      <w:rFonts w:ascii="微软雅黑" w:eastAsia="微软雅黑"/>
                      <w:b/>
                      <w:w w:val="90"/>
                      <w:sz w:val="22"/>
                    </w:rPr>
                    <w:t>低</w:t>
                  </w:r>
                  <w:r>
                    <w:rPr>
                      <w:rFonts w:ascii="微软雅黑" w:eastAsia="微软雅黑"/>
                      <w:b/>
                      <w:w w:val="90"/>
                      <w:sz w:val="22"/>
                    </w:rPr>
                    <w:t>级</w:t>
                  </w:r>
                  <w:r>
                    <w:rPr>
                      <w:rFonts w:ascii="微软雅黑" w:eastAsia="微软雅黑"/>
                      <w:b/>
                      <w:w w:val="90"/>
                      <w:sz w:val="22"/>
                    </w:rPr>
                    <w:t>别</w:t>
                  </w:r>
                  <w:r>
                    <w:rPr>
                      <w:rFonts w:ascii="微软雅黑" w:eastAsia="微软雅黑"/>
                      <w:b/>
                      <w:w w:val="90"/>
                      <w:sz w:val="22"/>
                    </w:rPr>
                    <w:t>鳞</w:t>
                  </w:r>
                  <w:r>
                    <w:rPr>
                      <w:rFonts w:ascii="微软雅黑" w:eastAsia="微软雅黑"/>
                      <w:b/>
                      <w:w w:val="90"/>
                      <w:sz w:val="22"/>
                    </w:rPr>
                    <w:t>状</w:t>
                  </w:r>
                  <w:r>
                    <w:rPr>
                      <w:rFonts w:ascii="微软雅黑" w:eastAsia="微软雅黑"/>
                      <w:b/>
                      <w:w w:val="90"/>
                      <w:sz w:val="22"/>
                    </w:rPr>
                    <w:t>上</w:t>
                  </w:r>
                  <w:r>
                    <w:rPr>
                      <w:rFonts w:ascii="微软雅黑" w:eastAsia="微软雅黑"/>
                      <w:b/>
                      <w:w w:val="90"/>
                      <w:sz w:val="22"/>
                    </w:rPr>
                    <w:t>皮</w:t>
                  </w:r>
                  <w:r>
                    <w:rPr>
                      <w:rFonts w:ascii="微软雅黑" w:eastAsia="微软雅黑"/>
                      <w:b/>
                      <w:w w:val="90"/>
                      <w:sz w:val="22"/>
                    </w:rPr>
                    <w:t>内</w:t>
                  </w:r>
                  <w:r>
                    <w:rPr>
                      <w:rFonts w:ascii="微软雅黑" w:eastAsia="微软雅黑"/>
                      <w:b/>
                      <w:w w:val="90"/>
                      <w:sz w:val="22"/>
                    </w:rPr>
                    <w:t>病</w:t>
                  </w:r>
                  <w:r>
                    <w:rPr>
                      <w:rFonts w:ascii="微软雅黑" w:eastAsia="微软雅黑"/>
                      <w:b/>
                      <w:w w:val="90"/>
                      <w:sz w:val="22"/>
                    </w:rPr>
                    <w:t>变</w:t>
                  </w:r>
                  <w:r>
                    <w:rPr>
                      <w:rFonts w:ascii="微软雅黑" w:eastAsia="微软雅黑"/>
                      <w:b/>
                      <w:spacing w:val="-111"/>
                      <w:w w:val="90"/>
                      <w:sz w:val="22"/>
                    </w:rPr>
                    <w:t>）</w:t>
                  </w:r>
                  <w:r>
                    <w:rPr>
                      <w:rFonts w:ascii="微软雅黑" w:eastAsia="微软雅黑"/>
                      <w:b/>
                      <w:spacing w:val="-10"/>
                      <w:w w:val="90"/>
                      <w:sz w:val="22"/>
                    </w:rPr>
                    <w:t>、</w:t>
                  </w:r>
                </w:p>
              </w:txbxContent>
            </v:textbox>
            <w10:wrap type="none"/>
          </v:shape>
        </w:pict>
      </w:r>
      <w:r>
        <w:rPr/>
        <w:pict>
          <v:shape style="position:absolute;margin-left:189.770004pt;margin-top:96.140976pt;width:254.1pt;height:14.4pt;mso-position-horizontal-relative:page;mso-position-vertical-relative:paragraph;z-index:-19095040" type="#_x0000_t202" id="docshape85" filled="true" fillcolor="#d9d9d9"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HSIL（</w:t>
                  </w:r>
                  <w:r>
                    <w:rPr>
                      <w:rFonts w:ascii="微软雅黑" w:eastAsia="微软雅黑"/>
                      <w:b/>
                      <w:color w:val="000000"/>
                      <w:w w:val="95"/>
                      <w:sz w:val="22"/>
                    </w:rPr>
                    <w:t>高</w:t>
                  </w:r>
                  <w:r>
                    <w:rPr>
                      <w:rFonts w:ascii="微软雅黑" w:eastAsia="微软雅黑"/>
                      <w:b/>
                      <w:color w:val="000000"/>
                      <w:w w:val="95"/>
                      <w:sz w:val="22"/>
                    </w:rPr>
                    <w:t>级</w:t>
                  </w:r>
                  <w:r>
                    <w:rPr>
                      <w:rFonts w:ascii="微软雅黑" w:eastAsia="微软雅黑"/>
                      <w:b/>
                      <w:color w:val="000000"/>
                      <w:w w:val="95"/>
                      <w:sz w:val="22"/>
                    </w:rPr>
                    <w:t>别</w:t>
                  </w:r>
                  <w:r>
                    <w:rPr>
                      <w:rFonts w:ascii="微软雅黑" w:eastAsia="微软雅黑"/>
                      <w:b/>
                      <w:color w:val="000000"/>
                      <w:w w:val="95"/>
                      <w:sz w:val="22"/>
                    </w:rPr>
                    <w:t>鳞</w:t>
                  </w:r>
                  <w:r>
                    <w:rPr>
                      <w:rFonts w:ascii="微软雅黑" w:eastAsia="微软雅黑"/>
                      <w:b/>
                      <w:color w:val="000000"/>
                      <w:w w:val="95"/>
                      <w:sz w:val="22"/>
                    </w:rPr>
                    <w:t>状</w:t>
                  </w:r>
                  <w:r>
                    <w:rPr>
                      <w:rFonts w:ascii="微软雅黑" w:eastAsia="微软雅黑"/>
                      <w:b/>
                      <w:color w:val="000000"/>
                      <w:w w:val="95"/>
                      <w:sz w:val="22"/>
                    </w:rPr>
                    <w:t>上</w:t>
                  </w:r>
                  <w:r>
                    <w:rPr>
                      <w:rFonts w:ascii="微软雅黑" w:eastAsia="微软雅黑"/>
                      <w:b/>
                      <w:color w:val="000000"/>
                      <w:w w:val="95"/>
                      <w:sz w:val="22"/>
                    </w:rPr>
                    <w:t>皮</w:t>
                  </w:r>
                  <w:r>
                    <w:rPr>
                      <w:rFonts w:ascii="微软雅黑" w:eastAsia="微软雅黑"/>
                      <w:b/>
                      <w:color w:val="000000"/>
                      <w:w w:val="95"/>
                      <w:sz w:val="22"/>
                    </w:rPr>
                    <w:t>内</w:t>
                  </w:r>
                  <w:r>
                    <w:rPr>
                      <w:rFonts w:ascii="微软雅黑" w:eastAsia="微软雅黑"/>
                      <w:b/>
                      <w:color w:val="000000"/>
                      <w:w w:val="95"/>
                      <w:sz w:val="22"/>
                    </w:rPr>
                    <w:t>病</w:t>
                  </w:r>
                  <w:r>
                    <w:rPr>
                      <w:rFonts w:ascii="微软雅黑" w:eastAsia="微软雅黑"/>
                      <w:b/>
                      <w:color w:val="000000"/>
                      <w:w w:val="95"/>
                      <w:sz w:val="22"/>
                    </w:rPr>
                    <w:t>变</w:t>
                  </w:r>
                  <w:r>
                    <w:rPr>
                      <w:rFonts w:ascii="微软雅黑" w:eastAsia="微软雅黑"/>
                      <w:b/>
                      <w:color w:val="000000"/>
                      <w:w w:val="95"/>
                      <w:sz w:val="22"/>
                    </w:rPr>
                    <w:t>）</w:t>
                  </w:r>
                  <w:r>
                    <w:rPr>
                      <w:rFonts w:ascii="微软雅黑" w:eastAsia="微软雅黑"/>
                      <w:b/>
                      <w:color w:val="000000"/>
                      <w:w w:val="95"/>
                      <w:sz w:val="22"/>
                    </w:rPr>
                    <w:t>的</w:t>
                  </w:r>
                  <w:r>
                    <w:rPr>
                      <w:rFonts w:ascii="微软雅黑" w:eastAsia="微软雅黑"/>
                      <w:b/>
                      <w:color w:val="000000"/>
                      <w:w w:val="95"/>
                      <w:sz w:val="22"/>
                    </w:rPr>
                    <w:t>鳞</w:t>
                  </w:r>
                  <w:r>
                    <w:rPr>
                      <w:rFonts w:ascii="微软雅黑" w:eastAsia="微软雅黑"/>
                      <w:b/>
                      <w:color w:val="000000"/>
                      <w:w w:val="95"/>
                      <w:sz w:val="22"/>
                    </w:rPr>
                    <w:t>状</w:t>
                  </w:r>
                  <w:r>
                    <w:rPr>
                      <w:rFonts w:ascii="微软雅黑" w:eastAsia="微软雅黑"/>
                      <w:b/>
                      <w:color w:val="000000"/>
                      <w:w w:val="95"/>
                      <w:sz w:val="22"/>
                    </w:rPr>
                    <w:t>上</w:t>
                  </w:r>
                  <w:r>
                    <w:rPr>
                      <w:rFonts w:ascii="微软雅黑" w:eastAsia="微软雅黑"/>
                      <w:b/>
                      <w:color w:val="000000"/>
                      <w:w w:val="95"/>
                      <w:sz w:val="22"/>
                    </w:rPr>
                    <w:t>皮</w:t>
                  </w:r>
                  <w:r>
                    <w:rPr>
                      <w:rFonts w:ascii="微软雅黑" w:eastAsia="微软雅黑"/>
                      <w:b/>
                      <w:color w:val="000000"/>
                      <w:w w:val="95"/>
                      <w:sz w:val="22"/>
                    </w:rPr>
                    <w:t>内</w:t>
                  </w:r>
                  <w:r>
                    <w:rPr>
                      <w:rFonts w:ascii="微软雅黑" w:eastAsia="微软雅黑"/>
                      <w:b/>
                      <w:color w:val="000000"/>
                      <w:w w:val="95"/>
                      <w:sz w:val="22"/>
                    </w:rPr>
                    <w:t>病</w:t>
                  </w:r>
                  <w:r>
                    <w:rPr>
                      <w:rFonts w:ascii="微软雅黑" w:eastAsia="微软雅黑"/>
                      <w:b/>
                      <w:color w:val="000000"/>
                      <w:w w:val="95"/>
                      <w:sz w:val="22"/>
                    </w:rPr>
                    <w:t>变</w:t>
                  </w:r>
                  <w:r>
                    <w:rPr>
                      <w:rFonts w:ascii="微软雅黑" w:eastAsia="微软雅黑"/>
                      <w:b/>
                      <w:color w:val="000000"/>
                      <w:spacing w:val="-10"/>
                      <w:w w:val="95"/>
                      <w:sz w:val="22"/>
                    </w:rPr>
                    <w:t>；</w:t>
                  </w:r>
                </w:p>
              </w:txbxContent>
            </v:textbox>
            <v:fill type="solid"/>
            <w10:wrap type="none"/>
          </v:shape>
        </w:pict>
      </w:r>
      <w:r>
        <w:rPr/>
        <w:pict>
          <v:shape style="position:absolute;margin-left:189.770004pt;margin-top:64.940971pt;width:99.4pt;height:14.4pt;mso-position-horizontal-relative:page;mso-position-vertical-relative:paragraph;z-index:-19094528" type="#_x0000_t202" id="docshape86" filled="true" fillcolor="#d9d9d9" stroked="false">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2"/>
                      <w:sz w:val="22"/>
                    </w:rPr>
                    <w:t>断为原位癌的病变；</w:t>
                  </w:r>
                </w:p>
              </w:txbxContent>
            </v:textbox>
            <v:fill type="solid"/>
            <w10:wrap type="none"/>
          </v:shape>
        </w:pict>
      </w:r>
      <w:r>
        <w:rPr/>
        <w:pict>
          <v:shape style="position:absolute;margin-left:189.770004pt;margin-top:49.340973pt;width:354.15pt;height:14.4pt;mso-position-horizontal-relative:page;mso-position-vertical-relative:paragraph;z-index:-19094016" type="#_x0000_t202" id="docshape87" filled="true" fillcolor="#d9d9d9"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（1）</w:t>
                  </w:r>
                  <w:r>
                    <w:rPr>
                      <w:rFonts w:ascii="微软雅黑" w:eastAsia="微软雅黑"/>
                      <w:b/>
                      <w:color w:val="000000"/>
                      <w:w w:val="95"/>
                      <w:sz w:val="22"/>
                    </w:rPr>
                    <w:t>任</w:t>
                  </w:r>
                  <w:r>
                    <w:rPr>
                      <w:rFonts w:ascii="微软雅黑" w:eastAsia="微软雅黑"/>
                      <w:b/>
                      <w:color w:val="000000"/>
                      <w:w w:val="95"/>
                      <w:sz w:val="22"/>
                    </w:rPr>
                    <w:t>何</w:t>
                  </w:r>
                  <w:r>
                    <w:rPr>
                      <w:rFonts w:ascii="微软雅黑" w:eastAsia="微软雅黑"/>
                      <w:b/>
                      <w:color w:val="000000"/>
                      <w:w w:val="95"/>
                      <w:sz w:val="22"/>
                    </w:rPr>
                    <w:t>在</w:t>
                  </w:r>
                  <w:r>
                    <w:rPr>
                      <w:rFonts w:ascii="微软雅黑" w:eastAsia="微软雅黑"/>
                      <w:b/>
                      <w:color w:val="000000"/>
                      <w:w w:val="95"/>
                      <w:sz w:val="22"/>
                    </w:rPr>
                    <w:t>最</w:t>
                  </w:r>
                  <w:r>
                    <w:rPr>
                      <w:rFonts w:ascii="微软雅黑" w:eastAsia="微软雅黑"/>
                      <w:b/>
                      <w:color w:val="000000"/>
                      <w:w w:val="95"/>
                      <w:sz w:val="22"/>
                    </w:rPr>
                    <w:t>新</w:t>
                  </w:r>
                  <w:r>
                    <w:rPr>
                      <w:rFonts w:ascii="微软雅黑" w:eastAsia="微软雅黑"/>
                      <w:b/>
                      <w:color w:val="000000"/>
                      <w:w w:val="95"/>
                      <w:sz w:val="22"/>
                    </w:rPr>
                    <w:t>肿</w:t>
                  </w:r>
                  <w:r>
                    <w:rPr>
                      <w:rFonts w:ascii="微软雅黑" w:eastAsia="微软雅黑"/>
                      <w:b/>
                      <w:color w:val="000000"/>
                      <w:w w:val="95"/>
                      <w:sz w:val="22"/>
                    </w:rPr>
                    <w:t>瘤</w:t>
                  </w:r>
                  <w:r>
                    <w:rPr>
                      <w:rFonts w:ascii="微软雅黑" w:eastAsia="微软雅黑"/>
                      <w:b/>
                      <w:color w:val="000000"/>
                      <w:w w:val="95"/>
                      <w:sz w:val="22"/>
                    </w:rPr>
                    <w:t>分</w:t>
                  </w:r>
                  <w:r>
                    <w:rPr>
                      <w:rFonts w:ascii="微软雅黑" w:eastAsia="微软雅黑"/>
                      <w:b/>
                      <w:color w:val="000000"/>
                      <w:w w:val="95"/>
                      <w:sz w:val="22"/>
                    </w:rPr>
                    <w:t>期</w:t>
                  </w:r>
                  <w:r>
                    <w:rPr>
                      <w:rFonts w:ascii="微软雅黑" w:eastAsia="微软雅黑"/>
                      <w:b/>
                      <w:color w:val="000000"/>
                      <w:w w:val="95"/>
                      <w:sz w:val="22"/>
                    </w:rPr>
                    <w:t>指</w:t>
                  </w:r>
                  <w:r>
                    <w:rPr>
                      <w:rFonts w:ascii="微软雅黑" w:eastAsia="微软雅黑"/>
                      <w:b/>
                      <w:color w:val="000000"/>
                      <w:w w:val="95"/>
                      <w:sz w:val="22"/>
                    </w:rPr>
                    <w:t>南</w:t>
                  </w:r>
                  <w:r>
                    <w:rPr>
                      <w:rFonts w:ascii="微软雅黑" w:eastAsia="微软雅黑"/>
                      <w:b/>
                      <w:color w:val="000000"/>
                      <w:w w:val="95"/>
                      <w:sz w:val="22"/>
                    </w:rPr>
                    <w:t>AJCC8中</w:t>
                  </w:r>
                  <w:r>
                    <w:rPr>
                      <w:rFonts w:ascii="微软雅黑" w:eastAsia="微软雅黑"/>
                      <w:b/>
                      <w:color w:val="000000"/>
                      <w:w w:val="90"/>
                      <w:sz w:val="22"/>
                    </w:rPr>
                    <w:t>TNM</w:t>
                  </w:r>
                  <w:r>
                    <w:rPr>
                      <w:rFonts w:ascii="微软雅黑" w:eastAsia="微软雅黑"/>
                      <w:b/>
                      <w:color w:val="000000"/>
                      <w:w w:val="95"/>
                      <w:sz w:val="22"/>
                    </w:rPr>
                    <w:t>分</w:t>
                  </w:r>
                  <w:r>
                    <w:rPr>
                      <w:rFonts w:ascii="微软雅黑" w:eastAsia="微软雅黑"/>
                      <w:b/>
                      <w:color w:val="000000"/>
                      <w:w w:val="95"/>
                      <w:sz w:val="22"/>
                    </w:rPr>
                    <w:t>期</w:t>
                  </w:r>
                  <w:r>
                    <w:rPr>
                      <w:rFonts w:ascii="微软雅黑" w:eastAsia="微软雅黑"/>
                      <w:b/>
                      <w:color w:val="000000"/>
                      <w:w w:val="95"/>
                      <w:sz w:val="22"/>
                    </w:rPr>
                    <w:t>无</w:t>
                  </w:r>
                  <w:r>
                    <w:rPr>
                      <w:rFonts w:ascii="微软雅黑" w:eastAsia="微软雅黑"/>
                      <w:b/>
                      <w:color w:val="000000"/>
                      <w:w w:val="95"/>
                      <w:sz w:val="22"/>
                    </w:rPr>
                    <w:t>Tis</w:t>
                  </w:r>
                  <w:r>
                    <w:rPr>
                      <w:rFonts w:ascii="微软雅黑" w:eastAsia="微软雅黑"/>
                      <w:b/>
                      <w:color w:val="000000"/>
                      <w:w w:val="95"/>
                      <w:sz w:val="22"/>
                    </w:rPr>
                    <w:t>分</w:t>
                  </w:r>
                  <w:r>
                    <w:rPr>
                      <w:rFonts w:ascii="微软雅黑" w:eastAsia="微软雅黑"/>
                      <w:b/>
                      <w:color w:val="000000"/>
                      <w:w w:val="95"/>
                      <w:sz w:val="22"/>
                    </w:rPr>
                    <w:t>期</w:t>
                  </w:r>
                  <w:r>
                    <w:rPr>
                      <w:rFonts w:ascii="微软雅黑" w:eastAsia="微软雅黑"/>
                      <w:b/>
                      <w:color w:val="000000"/>
                      <w:w w:val="95"/>
                      <w:sz w:val="22"/>
                    </w:rPr>
                    <w:t>的</w:t>
                  </w:r>
                  <w:r>
                    <w:rPr>
                      <w:rFonts w:ascii="微软雅黑" w:eastAsia="微软雅黑"/>
                      <w:b/>
                      <w:color w:val="000000"/>
                      <w:w w:val="95"/>
                      <w:sz w:val="22"/>
                    </w:rPr>
                    <w:t>，</w:t>
                  </w:r>
                  <w:r>
                    <w:rPr>
                      <w:rFonts w:ascii="微软雅黑" w:eastAsia="微软雅黑"/>
                      <w:b/>
                      <w:color w:val="000000"/>
                      <w:w w:val="95"/>
                      <w:sz w:val="22"/>
                    </w:rPr>
                    <w:t>但</w:t>
                  </w:r>
                  <w:r>
                    <w:rPr>
                      <w:rFonts w:ascii="微软雅黑" w:eastAsia="微软雅黑"/>
                      <w:b/>
                      <w:color w:val="000000"/>
                      <w:w w:val="95"/>
                      <w:sz w:val="22"/>
                    </w:rPr>
                    <w:t>被</w:t>
                  </w:r>
                  <w:r>
                    <w:rPr>
                      <w:rFonts w:ascii="微软雅黑" w:eastAsia="微软雅黑"/>
                      <w:b/>
                      <w:color w:val="000000"/>
                      <w:w w:val="95"/>
                      <w:sz w:val="22"/>
                    </w:rPr>
                    <w:t>临</w:t>
                  </w:r>
                  <w:r>
                    <w:rPr>
                      <w:rFonts w:ascii="微软雅黑" w:eastAsia="微软雅黑"/>
                      <w:b/>
                      <w:color w:val="000000"/>
                      <w:w w:val="95"/>
                      <w:sz w:val="22"/>
                    </w:rPr>
                    <w:t>床</w:t>
                  </w:r>
                  <w:r>
                    <w:rPr>
                      <w:rFonts w:ascii="微软雅黑" w:eastAsia="微软雅黑"/>
                      <w:b/>
                      <w:color w:val="000000"/>
                      <w:spacing w:val="-10"/>
                      <w:w w:val="95"/>
                      <w:sz w:val="22"/>
                    </w:rPr>
                    <w:t>诊</w:t>
                  </w:r>
                </w:p>
              </w:txbxContent>
            </v:textbox>
            <v:fill type="solid"/>
            <w10:wrap type="none"/>
          </v:shape>
        </w:pict>
      </w:r>
      <w:r>
        <w:rPr/>
        <w:pict>
          <v:shape style="position:absolute;margin-left:189.770004pt;margin-top:33.740974pt;width:132.5pt;height:14.4pt;mso-position-horizontal-relative:page;mso-position-vertical-relative:paragraph;z-index:-15683072;mso-wrap-distance-left:0;mso-wrap-distance-right:0" type="#_x0000_t202" id="docshape88" filled="true" fillcolor="#d9d9d9"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1"/>
                      <w:sz w:val="22"/>
                    </w:rPr>
                    <w:t>下列病变不在保障范围内：</w:t>
                  </w:r>
                </w:p>
              </w:txbxContent>
            </v:textbox>
            <v:fill type="solid"/>
            <w10:wrap type="topAndBottom"/>
          </v:shape>
        </w:pict>
      </w:r>
      <w:r>
        <w:rPr>
          <w:rFonts w:ascii="微软雅黑" w:eastAsia="微软雅黑"/>
          <w:b/>
          <w:spacing w:val="-4"/>
          <w:sz w:val="21"/>
        </w:rPr>
        <w:t>原</w:t>
      </w:r>
      <w:r>
        <w:rPr>
          <w:rFonts w:ascii="微软雅黑" w:eastAsia="微软雅黑"/>
          <w:b/>
          <w:spacing w:val="-4"/>
          <w:sz w:val="21"/>
        </w:rPr>
        <w:t>位</w:t>
      </w:r>
      <w:r>
        <w:rPr>
          <w:rFonts w:ascii="微软雅黑" w:eastAsia="微软雅黑"/>
          <w:b/>
          <w:spacing w:val="-4"/>
          <w:sz w:val="21"/>
        </w:rPr>
        <w:t>癌</w:t>
      </w:r>
      <w:r>
        <w:rPr>
          <w:rFonts w:ascii="微软雅黑" w:eastAsia="微软雅黑"/>
          <w:b/>
          <w:sz w:val="21"/>
        </w:rPr>
        <w:tab/>
      </w:r>
      <w:r>
        <w:rPr>
          <w:spacing w:val="-2"/>
          <w:sz w:val="21"/>
        </w:rPr>
        <w:t>指</w:t>
      </w:r>
      <w:r>
        <w:rPr>
          <w:spacing w:val="-2"/>
          <w:sz w:val="21"/>
        </w:rPr>
        <w:t>被</w:t>
      </w:r>
      <w:r>
        <w:rPr>
          <w:spacing w:val="-2"/>
          <w:sz w:val="21"/>
        </w:rPr>
        <w:t>保险人经对固定活组</w:t>
      </w:r>
      <w:r>
        <w:rPr>
          <w:spacing w:val="-2"/>
          <w:sz w:val="21"/>
        </w:rPr>
        <w:t>织</w:t>
      </w:r>
      <w:r>
        <w:rPr>
          <w:spacing w:val="-2"/>
          <w:sz w:val="21"/>
        </w:rPr>
        <w:t>的</w:t>
      </w:r>
      <w:r>
        <w:rPr>
          <w:spacing w:val="-2"/>
          <w:sz w:val="21"/>
        </w:rPr>
        <w:t>组织病理学检查被明</w:t>
      </w:r>
      <w:r>
        <w:rPr>
          <w:spacing w:val="-2"/>
          <w:sz w:val="21"/>
        </w:rPr>
        <w:t>确</w:t>
      </w:r>
      <w:r>
        <w:rPr>
          <w:spacing w:val="-2"/>
          <w:sz w:val="21"/>
        </w:rPr>
        <w:t>诊</w:t>
      </w:r>
      <w:r>
        <w:rPr>
          <w:spacing w:val="-2"/>
          <w:sz w:val="21"/>
        </w:rPr>
        <w:t>断为原位癌</w:t>
      </w:r>
      <w:r>
        <w:rPr>
          <w:spacing w:val="-53"/>
          <w:sz w:val="21"/>
        </w:rPr>
        <w:t>。</w:t>
      </w:r>
      <w:r>
        <w:rPr>
          <w:spacing w:val="-2"/>
          <w:sz w:val="21"/>
        </w:rPr>
        <w:t>原位癌必</w:t>
      </w:r>
      <w:r>
        <w:rPr>
          <w:spacing w:val="-2"/>
          <w:sz w:val="21"/>
        </w:rPr>
        <w:t>须</w:t>
      </w:r>
      <w:r>
        <w:rPr>
          <w:spacing w:val="-2"/>
          <w:sz w:val="21"/>
        </w:rPr>
        <w:t>实</w:t>
      </w:r>
      <w:r>
        <w:rPr>
          <w:spacing w:val="-2"/>
          <w:sz w:val="21"/>
        </w:rPr>
        <w:t>际接受了依照临床诊</w:t>
      </w:r>
      <w:r>
        <w:rPr>
          <w:spacing w:val="-2"/>
          <w:sz w:val="21"/>
        </w:rPr>
        <w:t>疗</w:t>
      </w:r>
      <w:r>
        <w:rPr>
          <w:spacing w:val="-2"/>
          <w:sz w:val="21"/>
        </w:rPr>
        <w:t>指</w:t>
      </w:r>
      <w:r>
        <w:rPr>
          <w:spacing w:val="-2"/>
          <w:sz w:val="21"/>
        </w:rPr>
        <w:t>南推荐的相应的积极</w:t>
      </w:r>
      <w:r>
        <w:rPr>
          <w:spacing w:val="-2"/>
          <w:sz w:val="21"/>
        </w:rPr>
        <w:t>治</w:t>
      </w:r>
      <w:r>
        <w:rPr>
          <w:spacing w:val="-2"/>
          <w:sz w:val="21"/>
        </w:rPr>
        <w:t>疗</w:t>
      </w:r>
      <w:r>
        <w:rPr>
          <w:spacing w:val="-2"/>
          <w:sz w:val="21"/>
        </w:rPr>
        <w:t>。</w:t>
      </w:r>
    </w:p>
    <w:p>
      <w:pPr>
        <w:pStyle w:val="BodyText"/>
        <w:rPr>
          <w:sz w:val="2"/>
        </w:rPr>
      </w:pPr>
    </w:p>
    <w:p>
      <w:pPr>
        <w:pStyle w:val="BodyText"/>
        <w:ind w:left="2895"/>
        <w:rPr>
          <w:sz w:val="20"/>
        </w:rPr>
      </w:pPr>
      <w:r>
        <w:rPr>
          <w:sz w:val="20"/>
        </w:rPr>
        <w:pict>
          <v:shape style="width:237.5pt;height:14.4pt;mso-position-horizontal-relative:char;mso-position-vertical-relative:line" type="#_x0000_t202" id="docshape89"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（3）</w:t>
                  </w:r>
                  <w:r>
                    <w:rPr>
                      <w:rFonts w:ascii="微软雅黑" w:eastAsia="微软雅黑"/>
                      <w:b/>
                      <w:color w:val="000000"/>
                      <w:spacing w:val="-1"/>
                      <w:w w:val="95"/>
                      <w:sz w:val="22"/>
                    </w:rPr>
                    <w:t>任何上皮内肿瘤、上皮内瘤变、上皮内瘤。</w:t>
                  </w:r>
                </w:p>
              </w:txbxContent>
            </v:textbox>
            <v:fill type="solid"/>
          </v:shape>
        </w:pict>
      </w:r>
      <w:r>
        <w:rPr>
          <w:sz w:val="20"/>
        </w:rPr>
      </w:r>
    </w:p>
    <w:p>
      <w:pPr>
        <w:pStyle w:val="BodyText"/>
        <w:spacing w:before="10"/>
        <w:rPr>
          <w:sz w:val="16"/>
        </w:rPr>
      </w:pPr>
    </w:p>
    <w:p>
      <w:pPr>
        <w:tabs>
          <w:tab w:pos="1269" w:val="left" w:leader="none"/>
        </w:tabs>
        <w:spacing w:line="196" w:lineRule="auto" w:before="42"/>
        <w:ind w:left="232" w:right="0" w:firstLine="0"/>
        <w:jc w:val="left"/>
        <w:rPr>
          <w:rFonts w:ascii="微软雅黑" w:hAnsi="微软雅黑" w:eastAsia="微软雅黑"/>
          <w:b/>
          <w:sz w:val="24"/>
        </w:rPr>
      </w:pPr>
      <w:r>
        <w:rPr>
          <w:rFonts w:ascii="微软雅黑" w:hAnsi="微软雅黑" w:eastAsia="微软雅黑"/>
          <w:b/>
          <w:spacing w:val="-10"/>
          <w:position w:val="-5"/>
          <w:sz w:val="28"/>
        </w:rPr>
        <w:t>⒒</w:t>
      </w:r>
      <w:r>
        <w:rPr>
          <w:rFonts w:ascii="微软雅黑" w:hAnsi="微软雅黑" w:eastAsia="微软雅黑"/>
          <w:b/>
          <w:position w:val="-5"/>
          <w:sz w:val="28"/>
        </w:rPr>
        <w:tab/>
      </w:r>
      <w:r>
        <w:rPr>
          <w:rFonts w:ascii="微软雅黑" w:hAnsi="微软雅黑" w:eastAsia="微软雅黑"/>
          <w:b/>
          <w:spacing w:val="-3"/>
          <w:sz w:val="24"/>
        </w:rPr>
        <w:t>前症疾病</w:t>
      </w:r>
    </w:p>
    <w:p>
      <w:pPr>
        <w:spacing w:before="111"/>
        <w:ind w:left="1270" w:right="0" w:firstLine="0"/>
        <w:jc w:val="left"/>
        <w:rPr>
          <w:rFonts w:ascii="微软雅黑" w:eastAsia="微软雅黑"/>
          <w:b/>
          <w:sz w:val="21"/>
        </w:rPr>
      </w:pPr>
      <w:r>
        <w:rPr/>
        <w:drawing>
          <wp:anchor distT="0" distB="0" distL="0" distR="0" allowOverlap="1" layoutInCell="1" locked="0" behindDoc="0" simplePos="0" relativeHeight="15778304">
            <wp:simplePos x="0" y="0"/>
            <wp:positionH relativeFrom="page">
              <wp:posOffset>655319</wp:posOffset>
            </wp:positionH>
            <wp:positionV relativeFrom="paragraph">
              <wp:posOffset>297664</wp:posOffset>
            </wp:positionV>
            <wp:extent cx="6375400" cy="9144"/>
            <wp:effectExtent l="0" t="0" r="0" b="0"/>
            <wp:wrapNone/>
            <wp:docPr id="79" name="image21.png"/>
            <wp:cNvGraphicFramePr>
              <a:graphicFrameLocks noChangeAspect="1"/>
            </wp:cNvGraphicFramePr>
            <a:graphic>
              <a:graphicData uri="http://schemas.openxmlformats.org/drawingml/2006/picture">
                <pic:pic>
                  <pic:nvPicPr>
                    <pic:cNvPr id="80" name="image21.png"/>
                    <pic:cNvPicPr/>
                  </pic:nvPicPr>
                  <pic:blipFill>
                    <a:blip r:embed="rId40" cstate="print"/>
                    <a:stretch>
                      <a:fillRect/>
                    </a:stretch>
                  </pic:blipFill>
                  <pic:spPr>
                    <a:xfrm>
                      <a:off x="0" y="0"/>
                      <a:ext cx="6375400" cy="9144"/>
                    </a:xfrm>
                    <a:prstGeom prst="rect">
                      <a:avLst/>
                    </a:prstGeom>
                  </pic:spPr>
                </pic:pic>
              </a:graphicData>
            </a:graphic>
          </wp:anchor>
        </w:drawing>
      </w:r>
      <w:r>
        <w:rPr>
          <w:rFonts w:ascii="微软雅黑" w:eastAsia="微软雅黑"/>
          <w:b/>
          <w:spacing w:val="-3"/>
          <w:sz w:val="21"/>
        </w:rPr>
        <w:t>以下疾病名称仅供理解使用，具体保障范围以每项疾病具体定义为准。</w:t>
      </w:r>
    </w:p>
    <w:p>
      <w:pPr>
        <w:pStyle w:val="ListParagraph"/>
        <w:numPr>
          <w:ilvl w:val="1"/>
          <w:numId w:val="79"/>
        </w:numPr>
        <w:tabs>
          <w:tab w:pos="1190" w:val="left" w:leader="none"/>
          <w:tab w:pos="1191" w:val="left" w:leader="none"/>
          <w:tab w:pos="2895" w:val="left" w:leader="none"/>
        </w:tabs>
        <w:spacing w:line="256" w:lineRule="auto" w:before="52" w:after="0"/>
        <w:ind w:left="2895" w:right="372" w:hanging="2663"/>
        <w:jc w:val="left"/>
        <w:rPr>
          <w:sz w:val="21"/>
        </w:rPr>
      </w:pPr>
      <w:r>
        <w:rPr>
          <w:rFonts w:ascii="微软雅黑" w:eastAsia="微软雅黑"/>
          <w:b/>
          <w:spacing w:val="-2"/>
          <w:sz w:val="21"/>
        </w:rPr>
        <w:t>前</w:t>
      </w:r>
      <w:r>
        <w:rPr>
          <w:rFonts w:ascii="微软雅黑" w:eastAsia="微软雅黑"/>
          <w:b/>
          <w:spacing w:val="-2"/>
          <w:sz w:val="21"/>
        </w:rPr>
        <w:t>症</w:t>
      </w:r>
      <w:r>
        <w:rPr>
          <w:rFonts w:ascii="微软雅黑" w:eastAsia="微软雅黑"/>
          <w:b/>
          <w:spacing w:val="-2"/>
          <w:sz w:val="21"/>
        </w:rPr>
        <w:t>疾</w:t>
      </w:r>
      <w:r>
        <w:rPr>
          <w:rFonts w:ascii="微软雅黑" w:eastAsia="微软雅黑"/>
          <w:b/>
          <w:spacing w:val="-2"/>
          <w:sz w:val="21"/>
        </w:rPr>
        <w:t>病</w:t>
      </w:r>
      <w:r>
        <w:rPr>
          <w:rFonts w:ascii="微软雅黑" w:eastAsia="微软雅黑"/>
          <w:b/>
          <w:spacing w:val="-2"/>
          <w:sz w:val="21"/>
        </w:rPr>
        <w:t>定</w:t>
      </w:r>
      <w:r>
        <w:rPr>
          <w:rFonts w:ascii="微软雅黑" w:eastAsia="微软雅黑"/>
          <w:b/>
          <w:spacing w:val="-2"/>
          <w:sz w:val="21"/>
        </w:rPr>
        <w:t>义</w:t>
      </w:r>
      <w:r>
        <w:rPr>
          <w:rFonts w:ascii="微软雅黑" w:eastAsia="微软雅黑"/>
          <w:b/>
          <w:sz w:val="21"/>
        </w:rPr>
        <w:tab/>
      </w:r>
      <w:r>
        <w:rPr>
          <w:spacing w:val="-2"/>
          <w:sz w:val="21"/>
        </w:rPr>
        <w:t>本</w:t>
      </w:r>
      <w:r>
        <w:rPr>
          <w:spacing w:val="-2"/>
          <w:sz w:val="21"/>
        </w:rPr>
        <w:t>合</w:t>
      </w:r>
      <w:r>
        <w:rPr>
          <w:spacing w:val="-2"/>
          <w:sz w:val="21"/>
        </w:rPr>
        <w:t>同所指前症疾病，是</w:t>
      </w:r>
      <w:r>
        <w:rPr>
          <w:spacing w:val="-2"/>
          <w:sz w:val="21"/>
        </w:rPr>
        <w:t>被</w:t>
      </w:r>
      <w:r>
        <w:rPr>
          <w:spacing w:val="-2"/>
          <w:sz w:val="21"/>
        </w:rPr>
        <w:t>保</w:t>
      </w:r>
      <w:r>
        <w:rPr>
          <w:spacing w:val="-2"/>
          <w:sz w:val="21"/>
        </w:rPr>
        <w:t>险人经认可的医院专</w:t>
      </w:r>
      <w:r>
        <w:rPr>
          <w:spacing w:val="-2"/>
          <w:sz w:val="21"/>
        </w:rPr>
        <w:t>科</w:t>
      </w:r>
      <w:r>
        <w:rPr>
          <w:spacing w:val="-2"/>
          <w:sz w:val="21"/>
        </w:rPr>
        <w:t>医</w:t>
      </w:r>
      <w:r>
        <w:rPr>
          <w:spacing w:val="-2"/>
          <w:sz w:val="21"/>
        </w:rPr>
        <w:t>生明确诊断，发</w:t>
      </w:r>
      <w:r>
        <w:rPr>
          <w:spacing w:val="-2"/>
          <w:sz w:val="21"/>
        </w:rPr>
        <w:t>生</w:t>
      </w:r>
      <w:r>
        <w:rPr>
          <w:spacing w:val="-2"/>
          <w:sz w:val="21"/>
        </w:rPr>
        <w:t>符</w:t>
      </w:r>
      <w:r>
        <w:rPr>
          <w:spacing w:val="-2"/>
          <w:sz w:val="21"/>
        </w:rPr>
        <w:t>合</w:t>
      </w:r>
      <w:r>
        <w:rPr>
          <w:spacing w:val="-2"/>
          <w:sz w:val="21"/>
        </w:rPr>
        <w:t>以</w:t>
      </w:r>
      <w:r>
        <w:rPr>
          <w:spacing w:val="-2"/>
          <w:sz w:val="21"/>
        </w:rPr>
        <w:t>下定义所述条件的疾病、疾病状态</w:t>
      </w:r>
      <w:r>
        <w:rPr>
          <w:spacing w:val="-2"/>
          <w:sz w:val="21"/>
        </w:rPr>
        <w:t>或</w:t>
      </w:r>
      <w:r>
        <w:rPr>
          <w:spacing w:val="-2"/>
          <w:sz w:val="21"/>
        </w:rPr>
        <w:t>手</w:t>
      </w:r>
      <w:r>
        <w:rPr>
          <w:spacing w:val="-2"/>
          <w:sz w:val="21"/>
        </w:rPr>
        <w:t>术，共计</w:t>
      </w:r>
      <w:r>
        <w:rPr>
          <w:spacing w:val="-45"/>
          <w:sz w:val="21"/>
        </w:rPr>
        <w:t> </w:t>
      </w:r>
      <w:r>
        <w:rPr>
          <w:spacing w:val="-2"/>
          <w:sz w:val="21"/>
        </w:rPr>
        <w:t>20</w:t>
      </w:r>
      <w:r>
        <w:rPr>
          <w:spacing w:val="-46"/>
          <w:sz w:val="21"/>
        </w:rPr>
        <w:t> </w:t>
      </w:r>
      <w:r>
        <w:rPr>
          <w:spacing w:val="-2"/>
          <w:sz w:val="21"/>
        </w:rPr>
        <w:t>种。前症疾病名称及</w:t>
      </w:r>
      <w:r>
        <w:rPr>
          <w:spacing w:val="-4"/>
          <w:sz w:val="21"/>
        </w:rPr>
        <w:t>定</w:t>
      </w:r>
      <w:r>
        <w:rPr>
          <w:spacing w:val="-4"/>
          <w:sz w:val="21"/>
        </w:rPr>
        <w:t>义</w:t>
      </w:r>
      <w:r>
        <w:rPr>
          <w:spacing w:val="-4"/>
          <w:sz w:val="21"/>
        </w:rPr>
        <w:t>如</w:t>
      </w:r>
      <w:r>
        <w:rPr>
          <w:spacing w:val="-4"/>
          <w:sz w:val="21"/>
        </w:rPr>
        <w:t>下</w:t>
      </w:r>
      <w:r>
        <w:rPr>
          <w:spacing w:val="-4"/>
          <w:sz w:val="21"/>
        </w:rPr>
        <w:t>：</w:t>
      </w:r>
    </w:p>
    <w:p>
      <w:pPr>
        <w:pStyle w:val="ListParagraph"/>
        <w:numPr>
          <w:ilvl w:val="2"/>
          <w:numId w:val="79"/>
        </w:numPr>
        <w:tabs>
          <w:tab w:pos="1190" w:val="left" w:leader="none"/>
          <w:tab w:pos="1191" w:val="left" w:leader="none"/>
          <w:tab w:pos="2895" w:val="left" w:leader="none"/>
        </w:tabs>
        <w:spacing w:line="383" w:lineRule="exact" w:before="116" w:after="0"/>
        <w:ind w:left="1190" w:right="0" w:hanging="959"/>
        <w:jc w:val="left"/>
        <w:rPr>
          <w:sz w:val="21"/>
        </w:rPr>
      </w:pPr>
      <w:r>
        <w:rPr>
          <w:rFonts w:ascii="微软雅黑" w:eastAsia="微软雅黑"/>
          <w:b/>
          <w:sz w:val="21"/>
        </w:rPr>
        <w:t>肺结节（手术</w:t>
      </w:r>
      <w:r>
        <w:rPr>
          <w:rFonts w:ascii="微软雅黑" w:eastAsia="微软雅黑"/>
          <w:b/>
          <w:spacing w:val="-10"/>
          <w:sz w:val="21"/>
        </w:rPr>
        <w:t>）</w:t>
      </w:r>
      <w:r>
        <w:rPr>
          <w:rFonts w:ascii="微软雅黑" w:eastAsia="微软雅黑"/>
          <w:b/>
          <w:sz w:val="21"/>
        </w:rPr>
        <w:tab/>
      </w:r>
      <w:r>
        <w:rPr>
          <w:spacing w:val="-2"/>
          <w:sz w:val="21"/>
        </w:rPr>
        <w:t>指</w:t>
      </w:r>
      <w:r>
        <w:rPr>
          <w:spacing w:val="-2"/>
          <w:sz w:val="21"/>
        </w:rPr>
        <w:t>原</w:t>
      </w:r>
      <w:r>
        <w:rPr>
          <w:spacing w:val="-2"/>
          <w:sz w:val="21"/>
        </w:rPr>
        <w:t>发于肺部的结节性病</w:t>
      </w:r>
      <w:r>
        <w:rPr>
          <w:spacing w:val="-2"/>
          <w:sz w:val="21"/>
        </w:rPr>
        <w:t>变</w:t>
      </w:r>
      <w:r>
        <w:rPr>
          <w:spacing w:val="-2"/>
          <w:sz w:val="21"/>
        </w:rPr>
        <w:t>，须满足如下全部条件</w:t>
      </w:r>
      <w:r>
        <w:rPr>
          <w:spacing w:val="-10"/>
          <w:sz w:val="21"/>
        </w:rPr>
        <w:t>：</w:t>
      </w:r>
    </w:p>
    <w:p>
      <w:pPr>
        <w:pStyle w:val="ListParagraph"/>
        <w:numPr>
          <w:ilvl w:val="3"/>
          <w:numId w:val="79"/>
        </w:numPr>
        <w:tabs>
          <w:tab w:pos="3425" w:val="left" w:leader="none"/>
        </w:tabs>
        <w:spacing w:line="278" w:lineRule="auto" w:before="0" w:after="0"/>
        <w:ind w:left="2895" w:right="389" w:firstLine="0"/>
        <w:jc w:val="both"/>
        <w:rPr>
          <w:sz w:val="21"/>
        </w:rPr>
      </w:pPr>
      <w:r>
        <w:rPr>
          <w:spacing w:val="-3"/>
          <w:sz w:val="21"/>
        </w:rPr>
        <w:t>影像检查显示边界清楚的、不透明的、直径小于或等于 </w:t>
      </w:r>
      <w:r>
        <w:rPr>
          <w:rFonts w:ascii="Times New Roman" w:eastAsia="Times New Roman"/>
          <w:spacing w:val="-2"/>
          <w:sz w:val="21"/>
        </w:rPr>
        <w:t>30mm</w:t>
      </w:r>
      <w:r>
        <w:rPr>
          <w:spacing w:val="-2"/>
          <w:sz w:val="21"/>
        </w:rPr>
        <w:t>、周围为</w:t>
      </w:r>
      <w:r>
        <w:rPr>
          <w:spacing w:val="-2"/>
          <w:sz w:val="21"/>
        </w:rPr>
        <w:t>含气肺组织所包绕的实质性病变，没有肺不张、肺门增大或胸腔积液表现的</w:t>
      </w:r>
      <w:r>
        <w:rPr>
          <w:spacing w:val="-2"/>
          <w:sz w:val="21"/>
        </w:rPr>
        <w:t>肺部结节；</w:t>
      </w:r>
    </w:p>
    <w:p>
      <w:pPr>
        <w:pStyle w:val="ListParagraph"/>
        <w:numPr>
          <w:ilvl w:val="3"/>
          <w:numId w:val="79"/>
        </w:numPr>
        <w:tabs>
          <w:tab w:pos="3422" w:val="left" w:leader="none"/>
        </w:tabs>
        <w:spacing w:line="278" w:lineRule="auto" w:before="0" w:after="0"/>
        <w:ind w:left="2895" w:right="372" w:firstLine="0"/>
        <w:jc w:val="left"/>
        <w:rPr>
          <w:sz w:val="21"/>
        </w:rPr>
      </w:pPr>
      <w:r>
        <w:rPr>
          <w:spacing w:val="-2"/>
          <w:sz w:val="21"/>
        </w:rPr>
        <w:t>活组织病理学检查诊断为肺错构瘤、肺硬化性血管瘤、肺炎性假瘤、肺</w:t>
      </w:r>
      <w:r>
        <w:rPr>
          <w:spacing w:val="-2"/>
          <w:sz w:val="21"/>
        </w:rPr>
        <w:t>结核球、肺曲霉菌球、血管滤泡性淋巴结增生的肺部结节；</w:t>
      </w:r>
    </w:p>
    <w:p>
      <w:pPr>
        <w:pStyle w:val="ListParagraph"/>
        <w:numPr>
          <w:ilvl w:val="3"/>
          <w:numId w:val="79"/>
        </w:numPr>
        <w:tabs>
          <w:tab w:pos="3425" w:val="left" w:leader="none"/>
        </w:tabs>
        <w:spacing w:line="240" w:lineRule="auto" w:before="0" w:after="0"/>
        <w:ind w:left="3424" w:right="0" w:hanging="530"/>
        <w:jc w:val="left"/>
        <w:rPr>
          <w:sz w:val="21"/>
        </w:rPr>
      </w:pPr>
      <w:r>
        <w:rPr>
          <w:spacing w:val="-3"/>
          <w:sz w:val="21"/>
        </w:rPr>
        <w:t>非肺部恶性肿瘤或非恶性肿瘤肺转移；</w:t>
      </w:r>
    </w:p>
    <w:p>
      <w:pPr>
        <w:pStyle w:val="ListParagraph"/>
        <w:numPr>
          <w:ilvl w:val="3"/>
          <w:numId w:val="79"/>
        </w:numPr>
        <w:tabs>
          <w:tab w:pos="3425" w:val="left" w:leader="none"/>
        </w:tabs>
        <w:spacing w:line="240" w:lineRule="auto" w:before="39" w:after="0"/>
        <w:ind w:left="3424" w:right="0" w:hanging="530"/>
        <w:jc w:val="left"/>
        <w:rPr>
          <w:sz w:val="21"/>
        </w:rPr>
      </w:pPr>
      <w:r>
        <w:rPr/>
        <w:drawing>
          <wp:anchor distT="0" distB="0" distL="0" distR="0" allowOverlap="1" layoutInCell="1" locked="0" behindDoc="1" simplePos="0" relativeHeight="484224000">
            <wp:simplePos x="0" y="0"/>
            <wp:positionH relativeFrom="page">
              <wp:posOffset>2410079</wp:posOffset>
            </wp:positionH>
            <wp:positionV relativeFrom="paragraph">
              <wp:posOffset>216027</wp:posOffset>
            </wp:positionV>
            <wp:extent cx="4453763" cy="381000"/>
            <wp:effectExtent l="0" t="0" r="0" b="0"/>
            <wp:wrapNone/>
            <wp:docPr id="81" name="image22.png"/>
            <wp:cNvGraphicFramePr>
              <a:graphicFrameLocks noChangeAspect="1"/>
            </wp:cNvGraphicFramePr>
            <a:graphic>
              <a:graphicData uri="http://schemas.openxmlformats.org/drawingml/2006/picture">
                <pic:pic>
                  <pic:nvPicPr>
                    <pic:cNvPr id="82" name="image22.png"/>
                    <pic:cNvPicPr/>
                  </pic:nvPicPr>
                  <pic:blipFill>
                    <a:blip r:embed="rId41" cstate="print"/>
                    <a:stretch>
                      <a:fillRect/>
                    </a:stretch>
                  </pic:blipFill>
                  <pic:spPr>
                    <a:xfrm>
                      <a:off x="0" y="0"/>
                      <a:ext cx="4453763" cy="381000"/>
                    </a:xfrm>
                    <a:prstGeom prst="rect">
                      <a:avLst/>
                    </a:prstGeom>
                  </pic:spPr>
                </pic:pic>
              </a:graphicData>
            </a:graphic>
          </wp:anchor>
        </w:drawing>
      </w:r>
      <w:r>
        <w:rPr/>
        <w:pict>
          <v:shape style="position:absolute;margin-left:189.770004pt;margin-top:17.010015pt;width:353.4pt;height:30pt;mso-position-horizontal-relative:page;mso-position-vertical-relative:paragraph;z-index:-19091968" type="#_x0000_t202" id="docshape90" filled="false" stroked="false">
            <v:textbox inset="0,0,0,0">
              <w:txbxContent>
                <w:p>
                  <w:pPr>
                    <w:pStyle w:val="BodyText"/>
                    <w:spacing w:before="1"/>
                    <w:rPr>
                      <w:sz w:val="19"/>
                    </w:rPr>
                  </w:pPr>
                </w:p>
                <w:p>
                  <w:pPr>
                    <w:spacing w:line="355" w:lineRule="exact" w:before="0"/>
                    <w:ind w:left="0" w:right="0" w:firstLine="0"/>
                    <w:jc w:val="left"/>
                    <w:rPr>
                      <w:rFonts w:ascii="微软雅黑" w:hAnsi="微软雅黑" w:eastAsia="微软雅黑"/>
                      <w:b/>
                      <w:sz w:val="22"/>
                    </w:rPr>
                  </w:pPr>
                  <w:r>
                    <w:rPr>
                      <w:rFonts w:ascii="微软雅黑" w:hAnsi="微软雅黑" w:eastAsia="微软雅黑"/>
                      <w:b/>
                      <w:spacing w:val="-1"/>
                      <w:sz w:val="22"/>
                    </w:rPr>
                    <w:t>较大，达到“单侧肺脏切除”者则只按照“单侧肺脏切除”责任项给付。</w:t>
                  </w:r>
                </w:p>
              </w:txbxContent>
            </v:textbox>
            <w10:wrap type="none"/>
          </v:shape>
        </w:pict>
      </w:r>
      <w:r>
        <w:rPr/>
        <w:pict>
          <v:shape style="position:absolute;margin-left:189.770004pt;margin-top:17.010015pt;width:350.7pt;height:14.4pt;mso-position-horizontal-relative:page;mso-position-vertical-relative:paragraph;z-index:-15681024;mso-wrap-distance-left:0;mso-wrap-distance-right:0" type="#_x0000_t202" id="docshape91" filled="true" fillcolor="#d9d9d9" stroked="false">
            <v:textbox inset="0,0,0,0">
              <w:txbxContent>
                <w:p>
                  <w:pPr>
                    <w:spacing w:line="288" w:lineRule="exact" w:before="0"/>
                    <w:ind w:left="0" w:right="-15" w:firstLine="0"/>
                    <w:jc w:val="left"/>
                    <w:rPr>
                      <w:rFonts w:ascii="微软雅黑" w:hAnsi="微软雅黑" w:eastAsia="微软雅黑"/>
                      <w:b/>
                      <w:color w:val="000000"/>
                      <w:sz w:val="22"/>
                    </w:rPr>
                  </w:pPr>
                  <w:r>
                    <w:rPr>
                      <w:rFonts w:ascii="微软雅黑" w:hAnsi="微软雅黑" w:eastAsia="微软雅黑"/>
                      <w:b/>
                      <w:color w:val="000000"/>
                      <w:spacing w:val="-3"/>
                      <w:sz w:val="22"/>
                    </w:rPr>
                    <w:t>本条责任和本合同中的“单侧肺脏切除”责任不重复给付，如果切除范围</w:t>
                  </w:r>
                </w:p>
              </w:txbxContent>
            </v:textbox>
            <v:fill type="solid"/>
            <w10:wrap type="topAndBottom"/>
          </v:shape>
        </w:pict>
      </w:r>
      <w:r>
        <w:rPr>
          <w:spacing w:val="-3"/>
          <w:sz w:val="21"/>
        </w:rPr>
        <w:t>进行切除肺部结节手术。</w:t>
      </w:r>
    </w:p>
    <w:p>
      <w:pPr>
        <w:pStyle w:val="BodyText"/>
        <w:spacing w:before="5"/>
        <w:rPr>
          <w:sz w:val="10"/>
        </w:rPr>
      </w:pPr>
    </w:p>
    <w:p>
      <w:pPr>
        <w:spacing w:after="0"/>
        <w:rPr>
          <w:sz w:val="10"/>
        </w:rPr>
        <w:sectPr>
          <w:pgSz w:w="11910" w:h="16840"/>
          <w:pgMar w:header="566" w:footer="664" w:top="1340" w:bottom="860" w:left="900" w:right="720"/>
        </w:sectPr>
      </w:pPr>
    </w:p>
    <w:p>
      <w:pPr>
        <w:pStyle w:val="ListParagraph"/>
        <w:numPr>
          <w:ilvl w:val="2"/>
          <w:numId w:val="79"/>
        </w:numPr>
        <w:tabs>
          <w:tab w:pos="957" w:val="left" w:leader="none"/>
          <w:tab w:pos="1191" w:val="left" w:leader="none"/>
        </w:tabs>
        <w:spacing w:line="350" w:lineRule="exact" w:before="5" w:after="0"/>
        <w:ind w:left="1190" w:right="0" w:hanging="1191"/>
        <w:jc w:val="right"/>
        <w:rPr>
          <w:rFonts w:ascii="微软雅黑" w:eastAsia="微软雅黑"/>
          <w:b/>
          <w:sz w:val="21"/>
        </w:rPr>
      </w:pPr>
      <w:r>
        <w:rPr>
          <w:rFonts w:ascii="微软雅黑" w:eastAsia="微软雅黑"/>
          <w:b/>
          <w:spacing w:val="-2"/>
          <w:sz w:val="21"/>
        </w:rPr>
        <w:t>肺鳞状上皮不典</w:t>
      </w:r>
    </w:p>
    <w:p>
      <w:pPr>
        <w:spacing w:line="350" w:lineRule="exact" w:before="0"/>
        <w:ind w:left="0" w:right="0" w:firstLine="0"/>
        <w:jc w:val="right"/>
        <w:rPr>
          <w:rFonts w:ascii="微软雅黑" w:eastAsia="微软雅黑"/>
          <w:b/>
          <w:sz w:val="21"/>
        </w:rPr>
      </w:pPr>
      <w:r>
        <w:rPr>
          <w:rFonts w:ascii="微软雅黑" w:eastAsia="微软雅黑"/>
          <w:b/>
          <w:sz w:val="21"/>
        </w:rPr>
        <w:t>型增生（手术</w:t>
      </w:r>
      <w:r>
        <w:rPr>
          <w:rFonts w:ascii="微软雅黑" w:eastAsia="微软雅黑"/>
          <w:b/>
          <w:spacing w:val="-10"/>
          <w:sz w:val="21"/>
        </w:rPr>
        <w:t>）</w:t>
      </w:r>
    </w:p>
    <w:p>
      <w:pPr>
        <w:pStyle w:val="BodyText"/>
        <w:spacing w:line="278" w:lineRule="auto" w:before="72"/>
        <w:ind w:left="186" w:right="451"/>
      </w:pPr>
      <w:r>
        <w:rPr/>
        <w:br w:type="column"/>
      </w:r>
      <w:r>
        <w:rPr>
          <w:spacing w:val="-2"/>
        </w:rPr>
        <w:t>指发生在肺部的以鳞状上皮不典型增生为特点的增生性病变，须满足如下全</w:t>
      </w:r>
      <w:r>
        <w:rPr>
          <w:spacing w:val="-4"/>
        </w:rPr>
        <w:t>部条件：</w:t>
      </w:r>
    </w:p>
    <w:p>
      <w:pPr>
        <w:pStyle w:val="ListParagraph"/>
        <w:numPr>
          <w:ilvl w:val="0"/>
          <w:numId w:val="80"/>
        </w:numPr>
        <w:tabs>
          <w:tab w:pos="716" w:val="left" w:leader="none"/>
        </w:tabs>
        <w:spacing w:line="269" w:lineRule="exact" w:before="0" w:after="0"/>
        <w:ind w:left="715" w:right="0" w:hanging="530"/>
        <w:jc w:val="left"/>
        <w:rPr>
          <w:sz w:val="21"/>
        </w:rPr>
      </w:pPr>
      <w:r>
        <w:rPr>
          <w:spacing w:val="-3"/>
          <w:sz w:val="21"/>
        </w:rPr>
        <w:t>穿刺或支气管镜活检，病理诊断为肺鳞状上皮不典型增生；</w:t>
      </w:r>
    </w:p>
    <w:p>
      <w:pPr>
        <w:pStyle w:val="ListParagraph"/>
        <w:numPr>
          <w:ilvl w:val="0"/>
          <w:numId w:val="80"/>
        </w:numPr>
        <w:tabs>
          <w:tab w:pos="716" w:val="left" w:leader="none"/>
        </w:tabs>
        <w:spacing w:line="240" w:lineRule="auto" w:before="43" w:after="0"/>
        <w:ind w:left="715" w:right="0" w:hanging="530"/>
        <w:jc w:val="left"/>
        <w:rPr>
          <w:sz w:val="21"/>
        </w:rPr>
      </w:pPr>
      <w:r>
        <w:rPr>
          <w:spacing w:val="-3"/>
          <w:sz w:val="21"/>
        </w:rPr>
        <w:t>非肺部恶性肿瘤或非恶性肿瘤肺转移；</w:t>
      </w:r>
    </w:p>
    <w:p>
      <w:pPr>
        <w:pStyle w:val="ListParagraph"/>
        <w:numPr>
          <w:ilvl w:val="0"/>
          <w:numId w:val="80"/>
        </w:numPr>
        <w:tabs>
          <w:tab w:pos="716" w:val="left" w:leader="none"/>
        </w:tabs>
        <w:spacing w:line="240" w:lineRule="auto" w:before="43" w:after="0"/>
        <w:ind w:left="715" w:right="0" w:hanging="530"/>
        <w:jc w:val="left"/>
        <w:rPr>
          <w:sz w:val="21"/>
        </w:rPr>
      </w:pPr>
      <w:r>
        <w:rPr/>
        <w:drawing>
          <wp:anchor distT="0" distB="0" distL="0" distR="0" allowOverlap="1" layoutInCell="1" locked="0" behindDoc="1" simplePos="0" relativeHeight="484225536">
            <wp:simplePos x="0" y="0"/>
            <wp:positionH relativeFrom="page">
              <wp:posOffset>2410079</wp:posOffset>
            </wp:positionH>
            <wp:positionV relativeFrom="paragraph">
              <wp:posOffset>218566</wp:posOffset>
            </wp:positionV>
            <wp:extent cx="4453763" cy="381381"/>
            <wp:effectExtent l="0" t="0" r="0" b="0"/>
            <wp:wrapNone/>
            <wp:docPr id="83" name="image23.png"/>
            <wp:cNvGraphicFramePr>
              <a:graphicFrameLocks noChangeAspect="1"/>
            </wp:cNvGraphicFramePr>
            <a:graphic>
              <a:graphicData uri="http://schemas.openxmlformats.org/drawingml/2006/picture">
                <pic:pic>
                  <pic:nvPicPr>
                    <pic:cNvPr id="84" name="image23.png"/>
                    <pic:cNvPicPr/>
                  </pic:nvPicPr>
                  <pic:blipFill>
                    <a:blip r:embed="rId42" cstate="print"/>
                    <a:stretch>
                      <a:fillRect/>
                    </a:stretch>
                  </pic:blipFill>
                  <pic:spPr>
                    <a:xfrm>
                      <a:off x="0" y="0"/>
                      <a:ext cx="4453763" cy="381381"/>
                    </a:xfrm>
                    <a:prstGeom prst="rect">
                      <a:avLst/>
                    </a:prstGeom>
                  </pic:spPr>
                </pic:pic>
              </a:graphicData>
            </a:graphic>
          </wp:anchor>
        </w:drawing>
      </w:r>
      <w:r>
        <w:rPr/>
        <w:pict>
          <v:shape style="position:absolute;margin-left:189.770004pt;margin-top:17.209999pt;width:353.4pt;height:30.05pt;mso-position-horizontal-relative:page;mso-position-vertical-relative:paragraph;z-index:-19090432" type="#_x0000_t202" id="docshape92" filled="false" stroked="false">
            <v:textbox inset="0,0,0,0">
              <w:txbxContent>
                <w:p>
                  <w:pPr>
                    <w:pStyle w:val="BodyText"/>
                    <w:spacing w:before="2"/>
                    <w:rPr>
                      <w:sz w:val="19"/>
                    </w:rPr>
                  </w:pPr>
                </w:p>
                <w:p>
                  <w:pPr>
                    <w:spacing w:line="355" w:lineRule="exact" w:before="0"/>
                    <w:ind w:left="0" w:right="0" w:firstLine="0"/>
                    <w:jc w:val="left"/>
                    <w:rPr>
                      <w:rFonts w:ascii="微软雅黑" w:hAnsi="微软雅黑" w:eastAsia="微软雅黑"/>
                      <w:b/>
                      <w:sz w:val="22"/>
                    </w:rPr>
                  </w:pPr>
                  <w:r>
                    <w:rPr>
                      <w:rFonts w:ascii="微软雅黑" w:hAnsi="微软雅黑" w:eastAsia="微软雅黑"/>
                      <w:b/>
                      <w:spacing w:val="-1"/>
                      <w:sz w:val="22"/>
                    </w:rPr>
                    <w:t>较大，达到“单侧肺脏切除”者则只按照“单侧肺脏切除”责任项给付。</w:t>
                  </w:r>
                </w:p>
              </w:txbxContent>
            </v:textbox>
            <w10:wrap type="none"/>
          </v:shape>
        </w:pict>
      </w:r>
      <w:r>
        <w:rPr/>
        <w:pict>
          <v:shape style="position:absolute;margin-left:189.770004pt;margin-top:17.209999pt;width:350.7pt;height:14.4pt;mso-position-horizontal-relative:page;mso-position-vertical-relative:paragraph;z-index:-19089920" type="#_x0000_t202" id="docshape93" filled="true" fillcolor="#d9d9d9" stroked="false">
            <v:textbox inset="0,0,0,0">
              <w:txbxContent>
                <w:p>
                  <w:pPr>
                    <w:spacing w:line="288" w:lineRule="exact" w:before="0"/>
                    <w:ind w:left="0" w:right="-15" w:firstLine="0"/>
                    <w:jc w:val="left"/>
                    <w:rPr>
                      <w:rFonts w:ascii="微软雅黑" w:hAnsi="微软雅黑" w:eastAsia="微软雅黑"/>
                      <w:b/>
                      <w:color w:val="000000"/>
                      <w:sz w:val="22"/>
                    </w:rPr>
                  </w:pPr>
                  <w:r>
                    <w:rPr>
                      <w:rFonts w:ascii="微软雅黑" w:hAnsi="微软雅黑" w:eastAsia="微软雅黑"/>
                      <w:b/>
                      <w:color w:val="000000"/>
                      <w:spacing w:val="-3"/>
                      <w:sz w:val="22"/>
                    </w:rPr>
                    <w:t>本条责任和本合同中的“单侧肺脏切除”责任不重复给付，如果切除范围</w:t>
                  </w:r>
                </w:p>
              </w:txbxContent>
            </v:textbox>
            <v:fill type="solid"/>
            <w10:wrap type="none"/>
          </v:shape>
        </w:pict>
      </w:r>
      <w:r>
        <w:rPr>
          <w:spacing w:val="-3"/>
          <w:sz w:val="21"/>
        </w:rPr>
        <w:t>进行肺鳞状上皮不典型增生切除手术。</w:t>
      </w:r>
    </w:p>
    <w:p>
      <w:pPr>
        <w:spacing w:after="0" w:line="240" w:lineRule="auto"/>
        <w:jc w:val="left"/>
        <w:rPr>
          <w:sz w:val="21"/>
        </w:rPr>
        <w:sectPr>
          <w:type w:val="continuous"/>
          <w:pgSz w:w="11910" w:h="16840"/>
          <w:pgMar w:header="566" w:footer="664" w:top="1340" w:bottom="860" w:left="900" w:right="720"/>
          <w:cols w:num="2" w:equalWidth="0">
            <w:col w:w="2670" w:space="40"/>
            <w:col w:w="7580"/>
          </w:cols>
        </w:sectPr>
      </w:pPr>
    </w:p>
    <w:p>
      <w:pPr>
        <w:pStyle w:val="BodyText"/>
        <w:spacing w:before="6"/>
        <w:rPr>
          <w:sz w:val="2"/>
        </w:rPr>
      </w:pPr>
    </w:p>
    <w:p>
      <w:pPr>
        <w:pStyle w:val="BodyText"/>
        <w:spacing w:before="3"/>
        <w:rPr>
          <w:sz w:val="10"/>
        </w:rPr>
      </w:pPr>
    </w:p>
    <w:p>
      <w:pPr>
        <w:spacing w:after="0"/>
        <w:rPr>
          <w:sz w:val="10"/>
        </w:rPr>
        <w:sectPr>
          <w:type w:val="continuous"/>
          <w:pgSz w:w="11910" w:h="16840"/>
          <w:pgMar w:header="566" w:footer="664" w:top="1340" w:bottom="860" w:left="900" w:right="720"/>
        </w:sectPr>
      </w:pPr>
    </w:p>
    <w:p>
      <w:pPr>
        <w:pStyle w:val="ListParagraph"/>
        <w:numPr>
          <w:ilvl w:val="2"/>
          <w:numId w:val="79"/>
        </w:numPr>
        <w:tabs>
          <w:tab w:pos="1190" w:val="left" w:leader="none"/>
          <w:tab w:pos="1191" w:val="left" w:leader="none"/>
        </w:tabs>
        <w:spacing w:line="350" w:lineRule="exact" w:before="4" w:after="0"/>
        <w:ind w:left="1190" w:right="0" w:hanging="959"/>
        <w:jc w:val="left"/>
        <w:rPr>
          <w:rFonts w:ascii="微软雅黑" w:eastAsia="微软雅黑"/>
          <w:b/>
          <w:sz w:val="21"/>
        </w:rPr>
      </w:pPr>
      <w:r>
        <w:rPr>
          <w:rFonts w:ascii="微软雅黑" w:eastAsia="微软雅黑"/>
          <w:b/>
          <w:spacing w:val="-2"/>
          <w:sz w:val="21"/>
        </w:rPr>
        <w:t>萎缩性胃炎伴肠</w:t>
      </w:r>
    </w:p>
    <w:p>
      <w:pPr>
        <w:spacing w:line="350" w:lineRule="exact" w:before="0"/>
        <w:ind w:left="1190" w:right="0" w:firstLine="0"/>
        <w:jc w:val="left"/>
        <w:rPr>
          <w:rFonts w:ascii="微软雅黑" w:eastAsia="微软雅黑"/>
          <w:b/>
          <w:sz w:val="21"/>
        </w:rPr>
      </w:pPr>
      <w:r>
        <w:rPr>
          <w:rFonts w:ascii="微软雅黑" w:eastAsia="微软雅黑"/>
          <w:b/>
          <w:spacing w:val="-24"/>
          <w:sz w:val="21"/>
        </w:rPr>
        <w:t>上皮化生</w:t>
      </w:r>
      <w:r>
        <w:rPr>
          <w:rFonts w:ascii="微软雅黑" w:eastAsia="微软雅黑"/>
          <w:b/>
          <w:sz w:val="21"/>
        </w:rPr>
        <w:t>（手术</w:t>
      </w:r>
      <w:r>
        <w:rPr>
          <w:rFonts w:ascii="微软雅黑" w:eastAsia="微软雅黑"/>
          <w:b/>
          <w:spacing w:val="-10"/>
          <w:sz w:val="21"/>
        </w:rPr>
        <w:t>）</w:t>
      </w:r>
    </w:p>
    <w:p>
      <w:pPr>
        <w:pStyle w:val="BodyText"/>
        <w:spacing w:before="71"/>
        <w:ind w:left="68"/>
      </w:pPr>
      <w:r>
        <w:rPr/>
        <w:br w:type="column"/>
      </w:r>
      <w:r>
        <w:rPr>
          <w:spacing w:val="-3"/>
        </w:rPr>
        <w:t>指发生在胃黏膜上皮的慢性炎症性病变，须达到如下两个条件：</w:t>
      </w:r>
    </w:p>
    <w:p>
      <w:pPr>
        <w:pStyle w:val="ListParagraph"/>
        <w:numPr>
          <w:ilvl w:val="0"/>
          <w:numId w:val="81"/>
        </w:numPr>
        <w:tabs>
          <w:tab w:pos="598" w:val="left" w:leader="none"/>
        </w:tabs>
        <w:spacing w:line="278" w:lineRule="auto" w:before="43" w:after="0"/>
        <w:ind w:left="68" w:right="264" w:firstLine="0"/>
        <w:jc w:val="left"/>
        <w:rPr>
          <w:sz w:val="21"/>
        </w:rPr>
      </w:pPr>
      <w:r>
        <w:rPr>
          <w:spacing w:val="-2"/>
          <w:sz w:val="21"/>
        </w:rPr>
        <w:t>经胃镜和胃黏膜活组织病理检查，有胃黏膜上皮和腺体萎缩，数目减少</w:t>
      </w:r>
      <w:r>
        <w:rPr>
          <w:spacing w:val="-2"/>
          <w:sz w:val="21"/>
        </w:rPr>
        <w:t>，胃黏膜变薄，黏膜基层增厚，伴幽门腺化生和肠腺化生，确诊为萎缩性胃炎</w:t>
      </w:r>
      <w:r>
        <w:rPr>
          <w:spacing w:val="-10"/>
          <w:sz w:val="21"/>
        </w:rPr>
        <w:t>；</w:t>
      </w:r>
    </w:p>
    <w:p>
      <w:pPr>
        <w:pStyle w:val="ListParagraph"/>
        <w:numPr>
          <w:ilvl w:val="0"/>
          <w:numId w:val="81"/>
        </w:numPr>
        <w:tabs>
          <w:tab w:pos="598" w:val="left" w:leader="none"/>
        </w:tabs>
        <w:spacing w:line="269" w:lineRule="exact" w:before="0" w:after="0"/>
        <w:ind w:left="597" w:right="0" w:hanging="530"/>
        <w:jc w:val="left"/>
        <w:rPr>
          <w:sz w:val="21"/>
        </w:rPr>
      </w:pPr>
      <w:r>
        <w:rPr>
          <w:spacing w:val="-3"/>
          <w:sz w:val="21"/>
        </w:rPr>
        <w:t>进行胃部部分或全部切除手术。</w:t>
      </w:r>
    </w:p>
    <w:p>
      <w:pPr>
        <w:spacing w:after="0" w:line="269" w:lineRule="exact"/>
        <w:jc w:val="left"/>
        <w:rPr>
          <w:sz w:val="21"/>
        </w:rPr>
        <w:sectPr>
          <w:type w:val="continuous"/>
          <w:pgSz w:w="11910" w:h="16840"/>
          <w:pgMar w:header="566" w:footer="664" w:top="1340" w:bottom="860" w:left="900" w:right="720"/>
          <w:cols w:num="2" w:equalWidth="0">
            <w:col w:w="2787" w:space="40"/>
            <w:col w:w="7463"/>
          </w:cols>
        </w:sectPr>
      </w:pPr>
    </w:p>
    <w:p>
      <w:pPr>
        <w:pStyle w:val="BodyText"/>
        <w:spacing w:before="1"/>
        <w:rPr>
          <w:sz w:val="11"/>
        </w:rPr>
      </w:pPr>
    </w:p>
    <w:p>
      <w:pPr>
        <w:spacing w:after="0"/>
        <w:rPr>
          <w:sz w:val="11"/>
        </w:rPr>
        <w:sectPr>
          <w:type w:val="continuous"/>
          <w:pgSz w:w="11910" w:h="16840"/>
          <w:pgMar w:header="566" w:footer="664" w:top="1340" w:bottom="860" w:left="900" w:right="720"/>
        </w:sectPr>
      </w:pPr>
    </w:p>
    <w:p>
      <w:pPr>
        <w:pStyle w:val="ListParagraph"/>
        <w:numPr>
          <w:ilvl w:val="2"/>
          <w:numId w:val="79"/>
        </w:numPr>
        <w:tabs>
          <w:tab w:pos="1190" w:val="left" w:leader="none"/>
          <w:tab w:pos="1191" w:val="left" w:leader="none"/>
        </w:tabs>
        <w:spacing w:line="350" w:lineRule="exact" w:before="5" w:after="0"/>
        <w:ind w:left="1190" w:right="0" w:hanging="959"/>
        <w:jc w:val="left"/>
        <w:rPr>
          <w:rFonts w:ascii="微软雅黑" w:eastAsia="微软雅黑"/>
          <w:b/>
          <w:sz w:val="21"/>
        </w:rPr>
      </w:pPr>
      <w:r>
        <w:rPr>
          <w:rFonts w:ascii="微软雅黑" w:eastAsia="微软雅黑"/>
          <w:b/>
          <w:spacing w:val="-2"/>
          <w:sz w:val="21"/>
        </w:rPr>
        <w:t>巨大胃黏膜肥厚</w:t>
      </w:r>
    </w:p>
    <w:p>
      <w:pPr>
        <w:spacing w:line="350" w:lineRule="exact" w:before="0"/>
        <w:ind w:left="1190" w:right="0" w:firstLine="0"/>
        <w:jc w:val="left"/>
        <w:rPr>
          <w:rFonts w:ascii="微软雅黑" w:eastAsia="微软雅黑"/>
          <w:b/>
          <w:sz w:val="21"/>
        </w:rPr>
      </w:pPr>
      <w:r>
        <w:rPr>
          <w:rFonts w:ascii="微软雅黑" w:eastAsia="微软雅黑"/>
          <w:b/>
          <w:sz w:val="21"/>
        </w:rPr>
        <w:t>症（手术</w:t>
      </w:r>
      <w:r>
        <w:rPr>
          <w:rFonts w:ascii="微软雅黑" w:eastAsia="微软雅黑"/>
          <w:b/>
          <w:spacing w:val="-10"/>
          <w:sz w:val="21"/>
        </w:rPr>
        <w:t>）</w:t>
      </w:r>
    </w:p>
    <w:p>
      <w:pPr>
        <w:pStyle w:val="BodyText"/>
        <w:spacing w:line="278" w:lineRule="auto" w:before="72"/>
        <w:ind w:left="186" w:right="451"/>
      </w:pPr>
      <w:r>
        <w:rPr/>
        <w:br w:type="column"/>
      </w:r>
      <w:r>
        <w:rPr>
          <w:spacing w:val="-2"/>
        </w:rPr>
        <w:t>指发生在胃部的以胃黏膜分泌粘液部增生为特点的胃黏膜病变，并因此病变</w:t>
      </w:r>
      <w:r>
        <w:rPr>
          <w:spacing w:val="-2"/>
        </w:rPr>
        <w:t>而进行切除手术，须满足如下全部条件：</w:t>
      </w:r>
    </w:p>
    <w:p>
      <w:pPr>
        <w:spacing w:after="0" w:line="278" w:lineRule="auto"/>
        <w:sectPr>
          <w:type w:val="continuous"/>
          <w:pgSz w:w="11910" w:h="16840"/>
          <w:pgMar w:header="566" w:footer="664" w:top="1340" w:bottom="860" w:left="900" w:right="720"/>
          <w:cols w:num="2" w:equalWidth="0">
            <w:col w:w="2670" w:space="40"/>
            <w:col w:w="7580"/>
          </w:cols>
        </w:sectPr>
      </w:pPr>
    </w:p>
    <w:p>
      <w:pPr>
        <w:pStyle w:val="BodyText"/>
        <w:spacing w:before="11"/>
        <w:rPr>
          <w:sz w:val="8"/>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0"/>
        <w:gridCol w:w="1758"/>
        <w:gridCol w:w="7228"/>
      </w:tblGrid>
      <w:tr>
        <w:trPr>
          <w:trHeight w:val="971" w:hRule="atLeast"/>
        </w:trPr>
        <w:tc>
          <w:tcPr>
            <w:tcW w:w="2658" w:type="dxa"/>
            <w:gridSpan w:val="2"/>
          </w:tcPr>
          <w:p>
            <w:pPr>
              <w:pStyle w:val="TableParagraph"/>
              <w:rPr>
                <w:rFonts w:ascii="Times New Roman"/>
                <w:sz w:val="20"/>
              </w:rPr>
            </w:pPr>
          </w:p>
        </w:tc>
        <w:tc>
          <w:tcPr>
            <w:tcW w:w="7228" w:type="dxa"/>
          </w:tcPr>
          <w:p>
            <w:pPr>
              <w:pStyle w:val="TableParagraph"/>
              <w:numPr>
                <w:ilvl w:val="0"/>
                <w:numId w:val="82"/>
              </w:numPr>
              <w:tabs>
                <w:tab w:pos="582" w:val="left" w:leader="none"/>
              </w:tabs>
              <w:spacing w:line="241" w:lineRule="exact" w:before="0" w:after="0"/>
              <w:ind w:left="581" w:right="0" w:hanging="528"/>
              <w:jc w:val="left"/>
              <w:rPr>
                <w:sz w:val="21"/>
              </w:rPr>
            </w:pPr>
            <w:r>
              <w:rPr>
                <w:spacing w:val="-5"/>
                <w:sz w:val="21"/>
              </w:rPr>
              <w:t>胃镜检查显示胃黏膜粗大，黏膜明显增多，见黏膜糜烂、出血或溃疡形</w:t>
            </w:r>
          </w:p>
          <w:p>
            <w:pPr>
              <w:pStyle w:val="TableParagraph"/>
              <w:spacing w:before="43"/>
              <w:ind w:left="54"/>
              <w:rPr>
                <w:sz w:val="21"/>
              </w:rPr>
            </w:pPr>
            <w:r>
              <w:rPr>
                <w:spacing w:val="-3"/>
                <w:sz w:val="21"/>
              </w:rPr>
              <w:t>成。超声胃镜检查显示第二、三层显著增厚，高回声；</w:t>
            </w:r>
          </w:p>
          <w:p>
            <w:pPr>
              <w:pStyle w:val="TableParagraph"/>
              <w:numPr>
                <w:ilvl w:val="0"/>
                <w:numId w:val="82"/>
              </w:numPr>
              <w:tabs>
                <w:tab w:pos="584" w:val="left" w:leader="none"/>
              </w:tabs>
              <w:spacing w:line="240" w:lineRule="auto" w:before="43" w:after="0"/>
              <w:ind w:left="583" w:right="0" w:hanging="530"/>
              <w:jc w:val="left"/>
              <w:rPr>
                <w:sz w:val="21"/>
              </w:rPr>
            </w:pPr>
            <w:r>
              <w:rPr>
                <w:spacing w:val="-3"/>
                <w:sz w:val="21"/>
              </w:rPr>
              <w:t>进行部分胃切除手术，确诊巨大胃黏膜肥厚症。</w:t>
            </w:r>
          </w:p>
        </w:tc>
      </w:tr>
      <w:tr>
        <w:trPr>
          <w:trHeight w:val="397" w:hRule="atLeast"/>
        </w:trPr>
        <w:tc>
          <w:tcPr>
            <w:tcW w:w="900" w:type="dxa"/>
          </w:tcPr>
          <w:p>
            <w:pPr>
              <w:pStyle w:val="TableParagraph"/>
              <w:spacing w:line="337" w:lineRule="exact" w:before="40"/>
              <w:ind w:left="50"/>
              <w:rPr>
                <w:rFonts w:ascii="微软雅黑"/>
                <w:b/>
                <w:sz w:val="21"/>
              </w:rPr>
            </w:pPr>
            <w:r>
              <w:rPr>
                <w:rFonts w:ascii="微软雅黑"/>
                <w:b/>
                <w:spacing w:val="-2"/>
                <w:sz w:val="21"/>
              </w:rPr>
              <w:t>11.1.5</w:t>
            </w:r>
          </w:p>
        </w:tc>
        <w:tc>
          <w:tcPr>
            <w:tcW w:w="1758" w:type="dxa"/>
          </w:tcPr>
          <w:p>
            <w:pPr>
              <w:pStyle w:val="TableParagraph"/>
              <w:spacing w:line="337" w:lineRule="exact" w:before="40"/>
              <w:ind w:left="108"/>
              <w:rPr>
                <w:rFonts w:ascii="微软雅黑" w:eastAsia="微软雅黑"/>
                <w:b/>
                <w:sz w:val="21"/>
              </w:rPr>
            </w:pPr>
            <w:r>
              <w:rPr>
                <w:rFonts w:ascii="微软雅黑" w:eastAsia="微软雅黑"/>
                <w:b/>
                <w:spacing w:val="-2"/>
                <w:sz w:val="21"/>
              </w:rPr>
              <w:t>肝细胞不典型增</w:t>
            </w:r>
          </w:p>
        </w:tc>
        <w:tc>
          <w:tcPr>
            <w:tcW w:w="7228" w:type="dxa"/>
          </w:tcPr>
          <w:p>
            <w:pPr>
              <w:pStyle w:val="TableParagraph"/>
              <w:spacing w:before="107"/>
              <w:ind w:left="54"/>
              <w:rPr>
                <w:sz w:val="21"/>
              </w:rPr>
            </w:pPr>
            <w:r>
              <w:rPr>
                <w:spacing w:val="-3"/>
                <w:sz w:val="21"/>
              </w:rPr>
              <w:t>指发生在肝脏的以细胞不典型增生为特点的结节性增生性病变，须满足如下</w:t>
            </w:r>
          </w:p>
        </w:tc>
      </w:tr>
      <w:tr>
        <w:trPr>
          <w:trHeight w:val="308" w:hRule="atLeast"/>
        </w:trPr>
        <w:tc>
          <w:tcPr>
            <w:tcW w:w="900" w:type="dxa"/>
          </w:tcPr>
          <w:p>
            <w:pPr>
              <w:pStyle w:val="TableParagraph"/>
              <w:rPr>
                <w:rFonts w:ascii="Times New Roman"/>
                <w:sz w:val="20"/>
              </w:rPr>
            </w:pPr>
          </w:p>
        </w:tc>
        <w:tc>
          <w:tcPr>
            <w:tcW w:w="1758" w:type="dxa"/>
          </w:tcPr>
          <w:p>
            <w:pPr>
              <w:pStyle w:val="TableParagraph"/>
              <w:spacing w:line="289" w:lineRule="exact"/>
              <w:ind w:left="108"/>
              <w:rPr>
                <w:rFonts w:ascii="微软雅黑" w:eastAsia="微软雅黑"/>
                <w:b/>
                <w:sz w:val="21"/>
              </w:rPr>
            </w:pPr>
            <w:r>
              <w:rPr>
                <w:rFonts w:ascii="微软雅黑" w:eastAsia="微软雅黑"/>
                <w:b/>
                <w:spacing w:val="-24"/>
                <w:sz w:val="21"/>
              </w:rPr>
              <w:t>生性结节</w:t>
            </w:r>
            <w:r>
              <w:rPr>
                <w:rFonts w:ascii="微软雅黑" w:eastAsia="微软雅黑"/>
                <w:b/>
                <w:sz w:val="21"/>
              </w:rPr>
              <w:t>（手术</w:t>
            </w:r>
            <w:r>
              <w:rPr>
                <w:rFonts w:ascii="微软雅黑" w:eastAsia="微软雅黑"/>
                <w:b/>
                <w:spacing w:val="-10"/>
                <w:sz w:val="21"/>
              </w:rPr>
              <w:t>）</w:t>
            </w:r>
          </w:p>
        </w:tc>
        <w:tc>
          <w:tcPr>
            <w:tcW w:w="7228" w:type="dxa"/>
          </w:tcPr>
          <w:p>
            <w:pPr>
              <w:pStyle w:val="TableParagraph"/>
              <w:spacing w:line="267" w:lineRule="exact" w:before="22"/>
              <w:ind w:left="54"/>
              <w:rPr>
                <w:sz w:val="21"/>
              </w:rPr>
            </w:pPr>
            <w:r>
              <w:rPr>
                <w:spacing w:val="-4"/>
                <w:sz w:val="21"/>
              </w:rPr>
              <w:t>全部条件：</w:t>
            </w:r>
          </w:p>
        </w:tc>
      </w:tr>
      <w:tr>
        <w:trPr>
          <w:trHeight w:val="1031"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numPr>
                <w:ilvl w:val="0"/>
                <w:numId w:val="83"/>
              </w:numPr>
              <w:tabs>
                <w:tab w:pos="584" w:val="left" w:leader="none"/>
              </w:tabs>
              <w:spacing w:line="240" w:lineRule="auto" w:before="25" w:after="0"/>
              <w:ind w:left="583" w:right="0" w:hanging="530"/>
              <w:jc w:val="left"/>
              <w:rPr>
                <w:sz w:val="21"/>
              </w:rPr>
            </w:pPr>
            <w:r>
              <w:rPr>
                <w:spacing w:val="-29"/>
                <w:sz w:val="21"/>
              </w:rPr>
              <w:t>由 </w:t>
            </w:r>
            <w:r>
              <w:rPr>
                <w:rFonts w:ascii="Times New Roman" w:eastAsia="Times New Roman"/>
                <w:sz w:val="21"/>
              </w:rPr>
              <w:t>B</w:t>
            </w:r>
            <w:r>
              <w:rPr>
                <w:rFonts w:ascii="Times New Roman" w:eastAsia="Times New Roman"/>
                <w:spacing w:val="-14"/>
                <w:sz w:val="21"/>
              </w:rPr>
              <w:t> </w:t>
            </w:r>
            <w:r>
              <w:rPr>
                <w:sz w:val="21"/>
              </w:rPr>
              <w:t>超检查、</w:t>
            </w:r>
            <w:r>
              <w:rPr>
                <w:rFonts w:ascii="Times New Roman" w:eastAsia="Times New Roman"/>
                <w:sz w:val="21"/>
              </w:rPr>
              <w:t>MRI</w:t>
            </w:r>
            <w:r>
              <w:rPr>
                <w:rFonts w:ascii="Times New Roman" w:eastAsia="Times New Roman"/>
                <w:spacing w:val="-9"/>
                <w:sz w:val="21"/>
              </w:rPr>
              <w:t> </w:t>
            </w:r>
            <w:r>
              <w:rPr>
                <w:spacing w:val="-1"/>
                <w:sz w:val="21"/>
              </w:rPr>
              <w:t>检查等影像学检查证实；</w:t>
            </w:r>
          </w:p>
          <w:p>
            <w:pPr>
              <w:pStyle w:val="TableParagraph"/>
              <w:numPr>
                <w:ilvl w:val="0"/>
                <w:numId w:val="83"/>
              </w:numPr>
              <w:tabs>
                <w:tab w:pos="584" w:val="left" w:leader="none"/>
              </w:tabs>
              <w:spacing w:line="240" w:lineRule="auto" w:before="43" w:after="0"/>
              <w:ind w:left="583" w:right="0" w:hanging="530"/>
              <w:jc w:val="left"/>
              <w:rPr>
                <w:sz w:val="21"/>
              </w:rPr>
            </w:pPr>
            <w:r>
              <w:rPr>
                <w:spacing w:val="-3"/>
                <w:sz w:val="21"/>
              </w:rPr>
              <w:t>肝脏穿刺活检，病理学检查明确确定诊断为肝细胞不典型增生性结节；</w:t>
            </w:r>
          </w:p>
          <w:p>
            <w:pPr>
              <w:pStyle w:val="TableParagraph"/>
              <w:numPr>
                <w:ilvl w:val="0"/>
                <w:numId w:val="83"/>
              </w:numPr>
              <w:tabs>
                <w:tab w:pos="584" w:val="left" w:leader="none"/>
              </w:tabs>
              <w:spacing w:line="240" w:lineRule="auto" w:before="43" w:after="0"/>
              <w:ind w:left="583" w:right="0" w:hanging="530"/>
              <w:jc w:val="left"/>
              <w:rPr>
                <w:sz w:val="21"/>
              </w:rPr>
            </w:pPr>
            <w:r>
              <w:rPr>
                <w:spacing w:val="-8"/>
                <w:sz w:val="21"/>
              </w:rPr>
              <w:t>进行手术切除至少 </w:t>
            </w:r>
            <w:r>
              <w:rPr>
                <w:rFonts w:ascii="Times New Roman" w:eastAsia="Times New Roman"/>
                <w:spacing w:val="-2"/>
                <w:sz w:val="21"/>
              </w:rPr>
              <w:t>1</w:t>
            </w:r>
            <w:r>
              <w:rPr>
                <w:rFonts w:ascii="Times New Roman" w:eastAsia="Times New Roman"/>
                <w:spacing w:val="7"/>
                <w:sz w:val="21"/>
              </w:rPr>
              <w:t> </w:t>
            </w:r>
            <w:r>
              <w:rPr>
                <w:spacing w:val="-3"/>
                <w:sz w:val="21"/>
              </w:rPr>
              <w:t>个肝段，以切除肝不典型增生性结节。</w:t>
            </w:r>
          </w:p>
        </w:tc>
      </w:tr>
      <w:tr>
        <w:trPr>
          <w:trHeight w:val="388" w:hRule="atLeast"/>
        </w:trPr>
        <w:tc>
          <w:tcPr>
            <w:tcW w:w="900" w:type="dxa"/>
          </w:tcPr>
          <w:p>
            <w:pPr>
              <w:pStyle w:val="TableParagraph"/>
              <w:spacing w:line="337" w:lineRule="exact" w:before="30"/>
              <w:ind w:left="50"/>
              <w:rPr>
                <w:rFonts w:ascii="微软雅黑"/>
                <w:b/>
                <w:sz w:val="21"/>
              </w:rPr>
            </w:pPr>
            <w:r>
              <w:rPr>
                <w:rFonts w:ascii="微软雅黑"/>
                <w:b/>
                <w:spacing w:val="-2"/>
                <w:sz w:val="21"/>
              </w:rPr>
              <w:t>11.1.6</w:t>
            </w:r>
          </w:p>
        </w:tc>
        <w:tc>
          <w:tcPr>
            <w:tcW w:w="1758" w:type="dxa"/>
          </w:tcPr>
          <w:p>
            <w:pPr>
              <w:pStyle w:val="TableParagraph"/>
              <w:spacing w:line="337" w:lineRule="exact" w:before="30"/>
              <w:ind w:left="108"/>
              <w:rPr>
                <w:rFonts w:ascii="微软雅黑" w:eastAsia="微软雅黑"/>
                <w:b/>
                <w:sz w:val="21"/>
              </w:rPr>
            </w:pPr>
            <w:r>
              <w:rPr>
                <w:rFonts w:ascii="微软雅黑" w:eastAsia="微软雅黑"/>
                <w:b/>
                <w:sz w:val="21"/>
              </w:rPr>
              <w:t>肝细胞腺瘤（</w:t>
            </w:r>
            <w:r>
              <w:rPr>
                <w:rFonts w:ascii="微软雅黑" w:eastAsia="微软雅黑"/>
                <w:b/>
                <w:spacing w:val="-10"/>
                <w:sz w:val="21"/>
              </w:rPr>
              <w:t>手</w:t>
            </w:r>
          </w:p>
        </w:tc>
        <w:tc>
          <w:tcPr>
            <w:tcW w:w="7228" w:type="dxa"/>
          </w:tcPr>
          <w:p>
            <w:pPr>
              <w:pStyle w:val="TableParagraph"/>
              <w:spacing w:before="98"/>
              <w:ind w:left="54"/>
              <w:rPr>
                <w:sz w:val="21"/>
              </w:rPr>
            </w:pPr>
            <w:r>
              <w:rPr>
                <w:spacing w:val="-3"/>
                <w:sz w:val="21"/>
              </w:rPr>
              <w:t>指发生在肝脏的肝细胞肿瘤病变，并因此病变而进行切除手术，须满足如下</w:t>
            </w:r>
          </w:p>
        </w:tc>
      </w:tr>
      <w:tr>
        <w:trPr>
          <w:trHeight w:val="312" w:hRule="atLeast"/>
        </w:trPr>
        <w:tc>
          <w:tcPr>
            <w:tcW w:w="900" w:type="dxa"/>
          </w:tcPr>
          <w:p>
            <w:pPr>
              <w:pStyle w:val="TableParagraph"/>
              <w:rPr>
                <w:rFonts w:ascii="Times New Roman"/>
                <w:sz w:val="20"/>
              </w:rPr>
            </w:pPr>
          </w:p>
        </w:tc>
        <w:tc>
          <w:tcPr>
            <w:tcW w:w="1758" w:type="dxa"/>
          </w:tcPr>
          <w:p>
            <w:pPr>
              <w:pStyle w:val="TableParagraph"/>
              <w:spacing w:line="292" w:lineRule="exact"/>
              <w:ind w:left="108"/>
              <w:rPr>
                <w:rFonts w:ascii="微软雅黑" w:eastAsia="微软雅黑"/>
                <w:b/>
                <w:sz w:val="21"/>
              </w:rPr>
            </w:pPr>
            <w:r>
              <w:rPr>
                <w:rFonts w:ascii="微软雅黑" w:eastAsia="微软雅黑"/>
                <w:b/>
                <w:sz w:val="21"/>
              </w:rPr>
              <w:t>术</w:t>
            </w:r>
            <w:r>
              <w:rPr>
                <w:rFonts w:ascii="微软雅黑" w:eastAsia="微软雅黑"/>
                <w:b/>
                <w:spacing w:val="-10"/>
                <w:sz w:val="21"/>
              </w:rPr>
              <w:t>）</w:t>
            </w:r>
          </w:p>
        </w:tc>
        <w:tc>
          <w:tcPr>
            <w:tcW w:w="7228" w:type="dxa"/>
          </w:tcPr>
          <w:p>
            <w:pPr>
              <w:pStyle w:val="TableParagraph"/>
              <w:spacing w:before="22"/>
              <w:ind w:left="54"/>
              <w:rPr>
                <w:sz w:val="21"/>
              </w:rPr>
            </w:pPr>
            <w:r>
              <w:rPr>
                <w:spacing w:val="-4"/>
                <w:sz w:val="21"/>
              </w:rPr>
              <w:t>全部条件：</w:t>
            </w:r>
          </w:p>
        </w:tc>
      </w:tr>
      <w:tr>
        <w:trPr>
          <w:trHeight w:val="312"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before="22"/>
              <w:ind w:left="54"/>
              <w:rPr>
                <w:sz w:val="21"/>
              </w:rPr>
            </w:pPr>
            <w:r>
              <w:rPr>
                <w:spacing w:val="-2"/>
                <w:sz w:val="21"/>
              </w:rPr>
              <w:t>（1）</w:t>
            </w:r>
            <w:r>
              <w:rPr>
                <w:spacing w:val="-13"/>
                <w:sz w:val="21"/>
              </w:rPr>
              <w:t>超声和 </w:t>
            </w:r>
            <w:r>
              <w:rPr>
                <w:spacing w:val="-2"/>
                <w:sz w:val="21"/>
              </w:rPr>
              <w:t>CT</w:t>
            </w:r>
            <w:r>
              <w:rPr>
                <w:spacing w:val="-10"/>
                <w:sz w:val="21"/>
              </w:rPr>
              <w:t> 检查，肝内占位性病变；</w:t>
            </w:r>
          </w:p>
        </w:tc>
      </w:tr>
      <w:tr>
        <w:trPr>
          <w:trHeight w:val="312"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before="22"/>
              <w:ind w:left="54"/>
              <w:rPr>
                <w:sz w:val="21"/>
              </w:rPr>
            </w:pPr>
            <w:r>
              <w:rPr>
                <w:spacing w:val="-2"/>
                <w:sz w:val="21"/>
              </w:rPr>
              <w:t>（2）</w:t>
            </w:r>
            <w:r>
              <w:rPr>
                <w:spacing w:val="-3"/>
                <w:sz w:val="21"/>
              </w:rPr>
              <w:t>组织病理学检查诊断为肝细胞腺瘤；</w:t>
            </w:r>
          </w:p>
        </w:tc>
      </w:tr>
      <w:tr>
        <w:trPr>
          <w:trHeight w:val="397"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before="22"/>
              <w:ind w:left="54"/>
              <w:rPr>
                <w:sz w:val="21"/>
              </w:rPr>
            </w:pPr>
            <w:r>
              <w:rPr>
                <w:spacing w:val="-2"/>
                <w:sz w:val="21"/>
              </w:rPr>
              <w:t>（3）</w:t>
            </w:r>
            <w:r>
              <w:rPr>
                <w:spacing w:val="-7"/>
                <w:sz w:val="21"/>
              </w:rPr>
              <w:t>进行手术切除至少 </w:t>
            </w:r>
            <w:r>
              <w:rPr>
                <w:spacing w:val="-2"/>
                <w:sz w:val="21"/>
              </w:rPr>
              <w:t>1</w:t>
            </w:r>
            <w:r>
              <w:rPr>
                <w:spacing w:val="-10"/>
                <w:sz w:val="21"/>
              </w:rPr>
              <w:t> 个肝段，以切除病变的肝细胞腺瘤。</w:t>
            </w:r>
          </w:p>
        </w:tc>
      </w:tr>
      <w:tr>
        <w:trPr>
          <w:trHeight w:val="397" w:hRule="atLeast"/>
        </w:trPr>
        <w:tc>
          <w:tcPr>
            <w:tcW w:w="900" w:type="dxa"/>
          </w:tcPr>
          <w:p>
            <w:pPr>
              <w:pStyle w:val="TableParagraph"/>
              <w:spacing w:line="337" w:lineRule="exact" w:before="40"/>
              <w:ind w:left="50"/>
              <w:rPr>
                <w:rFonts w:ascii="微软雅黑"/>
                <w:b/>
                <w:sz w:val="21"/>
              </w:rPr>
            </w:pPr>
            <w:r>
              <w:rPr>
                <w:rFonts w:ascii="微软雅黑"/>
                <w:b/>
                <w:spacing w:val="-2"/>
                <w:sz w:val="21"/>
              </w:rPr>
              <w:t>11.1.7</w:t>
            </w:r>
          </w:p>
        </w:tc>
        <w:tc>
          <w:tcPr>
            <w:tcW w:w="1758" w:type="dxa"/>
          </w:tcPr>
          <w:p>
            <w:pPr>
              <w:pStyle w:val="TableParagraph"/>
              <w:spacing w:line="337" w:lineRule="exact" w:before="40"/>
              <w:ind w:left="108"/>
              <w:rPr>
                <w:rFonts w:ascii="微软雅黑" w:eastAsia="微软雅黑"/>
                <w:b/>
                <w:sz w:val="21"/>
              </w:rPr>
            </w:pPr>
            <w:r>
              <w:rPr>
                <w:rFonts w:ascii="微软雅黑" w:eastAsia="微软雅黑"/>
                <w:b/>
                <w:spacing w:val="-2"/>
                <w:sz w:val="21"/>
              </w:rPr>
              <w:t>多发性大肠腺瘤</w:t>
            </w:r>
          </w:p>
        </w:tc>
        <w:tc>
          <w:tcPr>
            <w:tcW w:w="7228" w:type="dxa"/>
          </w:tcPr>
          <w:p>
            <w:pPr>
              <w:pStyle w:val="TableParagraph"/>
              <w:spacing w:before="107"/>
              <w:ind w:left="54"/>
              <w:rPr>
                <w:sz w:val="21"/>
              </w:rPr>
            </w:pPr>
            <w:r>
              <w:rPr>
                <w:spacing w:val="-3"/>
                <w:sz w:val="21"/>
              </w:rPr>
              <w:t>指发生于大肠黏膜表面的凸出的非炎性的腺瘤样息肉病变，须满足如下全部</w:t>
            </w:r>
          </w:p>
        </w:tc>
      </w:tr>
      <w:tr>
        <w:trPr>
          <w:trHeight w:val="308" w:hRule="atLeast"/>
        </w:trPr>
        <w:tc>
          <w:tcPr>
            <w:tcW w:w="900" w:type="dxa"/>
          </w:tcPr>
          <w:p>
            <w:pPr>
              <w:pStyle w:val="TableParagraph"/>
              <w:rPr>
                <w:rFonts w:ascii="Times New Roman"/>
                <w:sz w:val="20"/>
              </w:rPr>
            </w:pPr>
          </w:p>
        </w:tc>
        <w:tc>
          <w:tcPr>
            <w:tcW w:w="1758" w:type="dxa"/>
          </w:tcPr>
          <w:p>
            <w:pPr>
              <w:pStyle w:val="TableParagraph"/>
              <w:spacing w:line="289" w:lineRule="exact"/>
              <w:ind w:left="108"/>
              <w:rPr>
                <w:rFonts w:ascii="微软雅黑" w:eastAsia="微软雅黑"/>
                <w:b/>
                <w:sz w:val="21"/>
              </w:rPr>
            </w:pPr>
            <w:r>
              <w:rPr>
                <w:rFonts w:ascii="微软雅黑" w:eastAsia="微软雅黑"/>
                <w:b/>
                <w:sz w:val="21"/>
              </w:rPr>
              <w:t>性息肉（手术</w:t>
            </w:r>
            <w:r>
              <w:rPr>
                <w:rFonts w:ascii="微软雅黑" w:eastAsia="微软雅黑"/>
                <w:b/>
                <w:spacing w:val="-10"/>
                <w:sz w:val="21"/>
              </w:rPr>
              <w:t>）</w:t>
            </w:r>
          </w:p>
        </w:tc>
        <w:tc>
          <w:tcPr>
            <w:tcW w:w="7228" w:type="dxa"/>
          </w:tcPr>
          <w:p>
            <w:pPr>
              <w:pStyle w:val="TableParagraph"/>
              <w:spacing w:line="267" w:lineRule="exact" w:before="22"/>
              <w:ind w:left="54"/>
              <w:rPr>
                <w:sz w:val="21"/>
              </w:rPr>
            </w:pPr>
            <w:r>
              <w:rPr>
                <w:spacing w:val="-4"/>
                <w:sz w:val="21"/>
              </w:rPr>
              <w:t>条件：</w:t>
            </w:r>
          </w:p>
        </w:tc>
      </w:tr>
      <w:tr>
        <w:trPr>
          <w:trHeight w:val="1032"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numPr>
                <w:ilvl w:val="0"/>
                <w:numId w:val="84"/>
              </w:numPr>
              <w:tabs>
                <w:tab w:pos="584" w:val="left" w:leader="none"/>
              </w:tabs>
              <w:spacing w:line="240" w:lineRule="auto" w:before="25" w:after="0"/>
              <w:ind w:left="583" w:right="0" w:hanging="530"/>
              <w:jc w:val="left"/>
              <w:rPr>
                <w:sz w:val="21"/>
              </w:rPr>
            </w:pPr>
            <w:r>
              <w:rPr>
                <w:spacing w:val="-3"/>
                <w:sz w:val="21"/>
              </w:rPr>
              <w:t>需经肠道内镜及活检检查确认为大肠多发息肉；</w:t>
            </w:r>
          </w:p>
          <w:p>
            <w:pPr>
              <w:pStyle w:val="TableParagraph"/>
              <w:numPr>
                <w:ilvl w:val="0"/>
                <w:numId w:val="84"/>
              </w:numPr>
              <w:tabs>
                <w:tab w:pos="584" w:val="left" w:leader="none"/>
              </w:tabs>
              <w:spacing w:line="240" w:lineRule="auto" w:before="43" w:after="0"/>
              <w:ind w:left="583" w:right="0" w:hanging="530"/>
              <w:jc w:val="left"/>
              <w:rPr>
                <w:sz w:val="21"/>
              </w:rPr>
            </w:pPr>
            <w:r>
              <w:rPr>
                <w:spacing w:val="-3"/>
                <w:sz w:val="21"/>
              </w:rPr>
              <w:t>病理学诊断为腺瘤性息肉；</w:t>
            </w:r>
          </w:p>
          <w:p>
            <w:pPr>
              <w:pStyle w:val="TableParagraph"/>
              <w:numPr>
                <w:ilvl w:val="0"/>
                <w:numId w:val="84"/>
              </w:numPr>
              <w:tabs>
                <w:tab w:pos="584" w:val="left" w:leader="none"/>
              </w:tabs>
              <w:spacing w:line="240" w:lineRule="auto" w:before="43" w:after="0"/>
              <w:ind w:left="583" w:right="0" w:hanging="530"/>
              <w:jc w:val="left"/>
              <w:rPr>
                <w:sz w:val="21"/>
              </w:rPr>
            </w:pPr>
            <w:r>
              <w:rPr>
                <w:spacing w:val="-3"/>
                <w:sz w:val="21"/>
              </w:rPr>
              <w:t>进行多发性大肠腺瘤性息肉的肠段切除手术。</w:t>
            </w:r>
          </w:p>
        </w:tc>
      </w:tr>
      <w:tr>
        <w:trPr>
          <w:trHeight w:val="389" w:hRule="atLeast"/>
        </w:trPr>
        <w:tc>
          <w:tcPr>
            <w:tcW w:w="900" w:type="dxa"/>
          </w:tcPr>
          <w:p>
            <w:pPr>
              <w:pStyle w:val="TableParagraph"/>
              <w:spacing w:line="337" w:lineRule="exact" w:before="32"/>
              <w:ind w:left="50"/>
              <w:rPr>
                <w:rFonts w:ascii="微软雅黑"/>
                <w:b/>
                <w:sz w:val="21"/>
              </w:rPr>
            </w:pPr>
            <w:r>
              <w:rPr>
                <w:rFonts w:ascii="微软雅黑"/>
                <w:b/>
                <w:spacing w:val="-2"/>
                <w:sz w:val="21"/>
              </w:rPr>
              <w:t>11.1.8</w:t>
            </w:r>
          </w:p>
        </w:tc>
        <w:tc>
          <w:tcPr>
            <w:tcW w:w="1758" w:type="dxa"/>
          </w:tcPr>
          <w:p>
            <w:pPr>
              <w:pStyle w:val="TableParagraph"/>
              <w:spacing w:line="337" w:lineRule="exact" w:before="32"/>
              <w:ind w:left="108"/>
              <w:rPr>
                <w:rFonts w:ascii="微软雅黑" w:eastAsia="微软雅黑"/>
                <w:b/>
                <w:sz w:val="21"/>
              </w:rPr>
            </w:pPr>
            <w:r>
              <w:rPr>
                <w:rFonts w:ascii="微软雅黑" w:eastAsia="微软雅黑"/>
                <w:b/>
                <w:spacing w:val="-2"/>
                <w:sz w:val="21"/>
              </w:rPr>
              <w:t>小肠腺瘤样息肉</w:t>
            </w:r>
          </w:p>
        </w:tc>
        <w:tc>
          <w:tcPr>
            <w:tcW w:w="7228" w:type="dxa"/>
          </w:tcPr>
          <w:p>
            <w:pPr>
              <w:pStyle w:val="TableParagraph"/>
              <w:spacing w:before="99"/>
              <w:ind w:left="54"/>
              <w:rPr>
                <w:sz w:val="21"/>
              </w:rPr>
            </w:pPr>
            <w:r>
              <w:rPr>
                <w:spacing w:val="-3"/>
                <w:sz w:val="21"/>
              </w:rPr>
              <w:t>指发生在小肠黏膜上皮或肠腺体上皮的肿瘤疾病，并因此病变而进行切除手</w:t>
            </w:r>
          </w:p>
        </w:tc>
      </w:tr>
      <w:tr>
        <w:trPr>
          <w:trHeight w:val="311" w:hRule="atLeast"/>
        </w:trPr>
        <w:tc>
          <w:tcPr>
            <w:tcW w:w="900" w:type="dxa"/>
          </w:tcPr>
          <w:p>
            <w:pPr>
              <w:pStyle w:val="TableParagraph"/>
              <w:rPr>
                <w:rFonts w:ascii="Times New Roman"/>
                <w:sz w:val="20"/>
              </w:rPr>
            </w:pPr>
          </w:p>
        </w:tc>
        <w:tc>
          <w:tcPr>
            <w:tcW w:w="1758" w:type="dxa"/>
          </w:tcPr>
          <w:p>
            <w:pPr>
              <w:pStyle w:val="TableParagraph"/>
              <w:spacing w:line="292" w:lineRule="exact"/>
              <w:ind w:left="108"/>
              <w:rPr>
                <w:rFonts w:ascii="微软雅黑" w:eastAsia="微软雅黑"/>
                <w:b/>
                <w:sz w:val="21"/>
              </w:rPr>
            </w:pPr>
            <w:r>
              <w:rPr>
                <w:rFonts w:ascii="微软雅黑" w:eastAsia="微软雅黑"/>
                <w:b/>
                <w:sz w:val="21"/>
              </w:rPr>
              <w:t>（手术</w:t>
            </w:r>
            <w:r>
              <w:rPr>
                <w:rFonts w:ascii="微软雅黑" w:eastAsia="微软雅黑"/>
                <w:b/>
                <w:spacing w:val="-10"/>
                <w:sz w:val="21"/>
              </w:rPr>
              <w:t>）</w:t>
            </w:r>
          </w:p>
        </w:tc>
        <w:tc>
          <w:tcPr>
            <w:tcW w:w="7228" w:type="dxa"/>
          </w:tcPr>
          <w:p>
            <w:pPr>
              <w:pStyle w:val="TableParagraph"/>
              <w:spacing w:before="22"/>
              <w:ind w:left="54"/>
              <w:rPr>
                <w:sz w:val="21"/>
              </w:rPr>
            </w:pPr>
            <w:r>
              <w:rPr>
                <w:spacing w:val="-3"/>
                <w:sz w:val="21"/>
              </w:rPr>
              <w:t>术，须满足如下全部条件：</w:t>
            </w:r>
          </w:p>
        </w:tc>
      </w:tr>
      <w:tr>
        <w:trPr>
          <w:trHeight w:val="311"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before="22"/>
              <w:ind w:left="54"/>
              <w:rPr>
                <w:sz w:val="21"/>
              </w:rPr>
            </w:pPr>
            <w:r>
              <w:rPr>
                <w:spacing w:val="-2"/>
                <w:sz w:val="21"/>
              </w:rPr>
              <w:t>（1）</w:t>
            </w:r>
            <w:r>
              <w:rPr>
                <w:spacing w:val="-3"/>
                <w:sz w:val="21"/>
              </w:rPr>
              <w:t>有肠套叠、消化道出血及其他消化道症状；</w:t>
            </w:r>
          </w:p>
        </w:tc>
      </w:tr>
      <w:tr>
        <w:trPr>
          <w:trHeight w:val="312"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before="22"/>
              <w:ind w:left="54"/>
              <w:rPr>
                <w:sz w:val="21"/>
              </w:rPr>
            </w:pPr>
            <w:r>
              <w:rPr>
                <w:spacing w:val="-2"/>
                <w:sz w:val="21"/>
              </w:rPr>
              <w:t>（2）</w:t>
            </w:r>
            <w:r>
              <w:rPr>
                <w:spacing w:val="-3"/>
                <w:sz w:val="21"/>
              </w:rPr>
              <w:t>纤维内镜或剖腹探查发现小肠腺瘤样息肉；</w:t>
            </w:r>
          </w:p>
        </w:tc>
      </w:tr>
      <w:tr>
        <w:trPr>
          <w:trHeight w:val="397"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before="22"/>
              <w:ind w:left="54"/>
              <w:rPr>
                <w:sz w:val="21"/>
              </w:rPr>
            </w:pPr>
            <w:r>
              <w:rPr>
                <w:spacing w:val="-2"/>
                <w:sz w:val="21"/>
              </w:rPr>
              <w:t>（3）</w:t>
            </w:r>
            <w:r>
              <w:rPr>
                <w:spacing w:val="-3"/>
                <w:sz w:val="21"/>
              </w:rPr>
              <w:t>因小肠腺瘤样息肉行肠段切除手术。</w:t>
            </w:r>
          </w:p>
        </w:tc>
      </w:tr>
      <w:tr>
        <w:trPr>
          <w:trHeight w:val="397" w:hRule="atLeast"/>
        </w:trPr>
        <w:tc>
          <w:tcPr>
            <w:tcW w:w="900" w:type="dxa"/>
          </w:tcPr>
          <w:p>
            <w:pPr>
              <w:pStyle w:val="TableParagraph"/>
              <w:spacing w:line="337" w:lineRule="exact" w:before="40"/>
              <w:ind w:left="50"/>
              <w:rPr>
                <w:rFonts w:ascii="微软雅黑"/>
                <w:b/>
                <w:sz w:val="21"/>
              </w:rPr>
            </w:pPr>
            <w:r>
              <w:rPr>
                <w:rFonts w:ascii="微软雅黑"/>
                <w:b/>
                <w:spacing w:val="-2"/>
                <w:sz w:val="21"/>
              </w:rPr>
              <w:t>11.1.9</w:t>
            </w:r>
          </w:p>
        </w:tc>
        <w:tc>
          <w:tcPr>
            <w:tcW w:w="1758" w:type="dxa"/>
          </w:tcPr>
          <w:p>
            <w:pPr>
              <w:pStyle w:val="TableParagraph"/>
              <w:spacing w:line="337" w:lineRule="exact" w:before="40"/>
              <w:ind w:left="108"/>
              <w:rPr>
                <w:rFonts w:ascii="微软雅黑" w:eastAsia="微软雅黑"/>
                <w:b/>
                <w:sz w:val="21"/>
              </w:rPr>
            </w:pPr>
            <w:r>
              <w:rPr>
                <w:rFonts w:ascii="微软雅黑" w:eastAsia="微软雅黑"/>
                <w:b/>
                <w:spacing w:val="-2"/>
                <w:w w:val="90"/>
                <w:sz w:val="21"/>
              </w:rPr>
              <w:t>Crohn</w:t>
            </w:r>
            <w:r>
              <w:rPr>
                <w:rFonts w:ascii="微软雅黑" w:eastAsia="微软雅黑"/>
                <w:b/>
                <w:spacing w:val="-4"/>
                <w:sz w:val="21"/>
              </w:rPr>
              <w:t> </w:t>
            </w:r>
            <w:r>
              <w:rPr>
                <w:rFonts w:ascii="微软雅黑" w:eastAsia="微软雅黑"/>
                <w:b/>
                <w:spacing w:val="-2"/>
                <w:w w:val="90"/>
                <w:sz w:val="21"/>
              </w:rPr>
              <w:t>病（</w:t>
            </w:r>
            <w:r>
              <w:rPr>
                <w:rFonts w:ascii="微软雅黑" w:eastAsia="微软雅黑"/>
                <w:b/>
                <w:spacing w:val="-2"/>
                <w:w w:val="90"/>
                <w:sz w:val="21"/>
              </w:rPr>
              <w:t>手</w:t>
            </w:r>
            <w:r>
              <w:rPr>
                <w:rFonts w:ascii="微软雅黑" w:eastAsia="微软雅黑"/>
                <w:b/>
                <w:spacing w:val="-2"/>
                <w:w w:val="90"/>
                <w:sz w:val="21"/>
              </w:rPr>
              <w:t>术</w:t>
            </w:r>
            <w:r>
              <w:rPr>
                <w:rFonts w:ascii="微软雅黑" w:eastAsia="微软雅黑"/>
                <w:b/>
                <w:spacing w:val="-10"/>
                <w:w w:val="90"/>
                <w:sz w:val="21"/>
              </w:rPr>
              <w:t>）</w:t>
            </w:r>
          </w:p>
        </w:tc>
        <w:tc>
          <w:tcPr>
            <w:tcW w:w="7228" w:type="dxa"/>
          </w:tcPr>
          <w:p>
            <w:pPr>
              <w:pStyle w:val="TableParagraph"/>
              <w:spacing w:before="107"/>
              <w:ind w:left="54"/>
              <w:rPr>
                <w:sz w:val="21"/>
              </w:rPr>
            </w:pPr>
            <w:r>
              <w:rPr>
                <w:spacing w:val="-3"/>
                <w:sz w:val="21"/>
              </w:rPr>
              <w:t>指发生在小肠和结肠等消化道的慢性炎性肉芽肿性疾病，并因此病变而进行</w:t>
            </w:r>
          </w:p>
        </w:tc>
      </w:tr>
      <w:tr>
        <w:trPr>
          <w:trHeight w:val="312"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before="22"/>
              <w:ind w:left="54"/>
              <w:rPr>
                <w:sz w:val="21"/>
              </w:rPr>
            </w:pPr>
            <w:r>
              <w:rPr>
                <w:spacing w:val="-3"/>
                <w:sz w:val="21"/>
              </w:rPr>
              <w:t>切除手术，须满足如下全部条件：</w:t>
            </w:r>
          </w:p>
        </w:tc>
      </w:tr>
      <w:tr>
        <w:trPr>
          <w:trHeight w:val="312"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before="22"/>
              <w:ind w:left="54"/>
              <w:rPr>
                <w:sz w:val="21"/>
              </w:rPr>
            </w:pPr>
            <w:r>
              <w:rPr>
                <w:spacing w:val="-2"/>
                <w:sz w:val="21"/>
              </w:rPr>
              <w:t>（1）</w:t>
            </w:r>
            <w:r>
              <w:rPr>
                <w:spacing w:val="-3"/>
                <w:sz w:val="21"/>
              </w:rPr>
              <w:t>粪便检查见红、白细胞，隐血试验呈阳性；</w:t>
            </w:r>
          </w:p>
        </w:tc>
      </w:tr>
      <w:tr>
        <w:trPr>
          <w:trHeight w:val="311"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before="22"/>
              <w:ind w:left="54"/>
              <w:rPr>
                <w:sz w:val="21"/>
              </w:rPr>
            </w:pPr>
            <w:r>
              <w:rPr>
                <w:spacing w:val="-2"/>
                <w:sz w:val="21"/>
              </w:rPr>
              <w:t>（2）</w:t>
            </w:r>
            <w:r>
              <w:rPr>
                <w:spacing w:val="-8"/>
                <w:sz w:val="21"/>
              </w:rPr>
              <w:t>结肠镜检查，见 </w:t>
            </w:r>
            <w:r>
              <w:rPr>
                <w:spacing w:val="-2"/>
                <w:sz w:val="21"/>
              </w:rPr>
              <w:t>Crohn</w:t>
            </w:r>
            <w:r>
              <w:rPr>
                <w:spacing w:val="-11"/>
                <w:sz w:val="21"/>
              </w:rPr>
              <w:t> 病特征表现；</w:t>
            </w:r>
          </w:p>
        </w:tc>
      </w:tr>
      <w:tr>
        <w:trPr>
          <w:trHeight w:val="397"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before="22"/>
              <w:ind w:left="54"/>
              <w:rPr>
                <w:sz w:val="21"/>
              </w:rPr>
            </w:pPr>
            <w:r>
              <w:rPr>
                <w:spacing w:val="-2"/>
                <w:sz w:val="21"/>
              </w:rPr>
              <w:t>（3）</w:t>
            </w:r>
            <w:r>
              <w:rPr>
                <w:spacing w:val="-25"/>
                <w:sz w:val="21"/>
              </w:rPr>
              <w:t>因 </w:t>
            </w:r>
            <w:r>
              <w:rPr>
                <w:spacing w:val="-2"/>
                <w:sz w:val="21"/>
              </w:rPr>
              <w:t>Crohn</w:t>
            </w:r>
            <w:r>
              <w:rPr>
                <w:spacing w:val="-10"/>
                <w:sz w:val="21"/>
              </w:rPr>
              <w:t> 病进行的肠断切除手术。</w:t>
            </w:r>
          </w:p>
        </w:tc>
      </w:tr>
      <w:tr>
        <w:trPr>
          <w:trHeight w:val="397" w:hRule="atLeast"/>
        </w:trPr>
        <w:tc>
          <w:tcPr>
            <w:tcW w:w="900" w:type="dxa"/>
          </w:tcPr>
          <w:p>
            <w:pPr>
              <w:pStyle w:val="TableParagraph"/>
              <w:spacing w:line="337" w:lineRule="exact" w:before="40"/>
              <w:ind w:left="50"/>
              <w:rPr>
                <w:rFonts w:ascii="微软雅黑"/>
                <w:b/>
                <w:sz w:val="21"/>
              </w:rPr>
            </w:pPr>
            <w:r>
              <w:rPr>
                <w:rFonts w:ascii="微软雅黑"/>
                <w:b/>
                <w:spacing w:val="-2"/>
                <w:sz w:val="21"/>
              </w:rPr>
              <w:t>11.1.10</w:t>
            </w:r>
          </w:p>
        </w:tc>
        <w:tc>
          <w:tcPr>
            <w:tcW w:w="1758" w:type="dxa"/>
          </w:tcPr>
          <w:p>
            <w:pPr>
              <w:pStyle w:val="TableParagraph"/>
              <w:spacing w:line="337" w:lineRule="exact" w:before="40"/>
              <w:ind w:left="108"/>
              <w:rPr>
                <w:rFonts w:ascii="微软雅黑" w:eastAsia="微软雅黑"/>
                <w:b/>
                <w:sz w:val="21"/>
              </w:rPr>
            </w:pPr>
            <w:r>
              <w:rPr>
                <w:rFonts w:ascii="微软雅黑" w:eastAsia="微软雅黑"/>
                <w:b/>
                <w:spacing w:val="-2"/>
                <w:sz w:val="21"/>
              </w:rPr>
              <w:t>乳腺导管上皮非</w:t>
            </w:r>
          </w:p>
        </w:tc>
        <w:tc>
          <w:tcPr>
            <w:tcW w:w="7228" w:type="dxa"/>
          </w:tcPr>
          <w:p>
            <w:pPr>
              <w:pStyle w:val="TableParagraph"/>
              <w:spacing w:before="107"/>
              <w:ind w:left="54"/>
              <w:rPr>
                <w:sz w:val="21"/>
              </w:rPr>
            </w:pPr>
            <w:r>
              <w:rPr>
                <w:spacing w:val="-3"/>
                <w:sz w:val="21"/>
              </w:rPr>
              <w:t>指发生于女性乳房的乳腺导管上皮细胞非典型增生的疾病，须符合如下的全</w:t>
            </w:r>
          </w:p>
        </w:tc>
      </w:tr>
      <w:tr>
        <w:trPr>
          <w:trHeight w:val="308" w:hRule="atLeast"/>
        </w:trPr>
        <w:tc>
          <w:tcPr>
            <w:tcW w:w="900" w:type="dxa"/>
          </w:tcPr>
          <w:p>
            <w:pPr>
              <w:pStyle w:val="TableParagraph"/>
              <w:rPr>
                <w:rFonts w:ascii="Times New Roman"/>
                <w:sz w:val="20"/>
              </w:rPr>
            </w:pPr>
          </w:p>
        </w:tc>
        <w:tc>
          <w:tcPr>
            <w:tcW w:w="1758" w:type="dxa"/>
          </w:tcPr>
          <w:p>
            <w:pPr>
              <w:pStyle w:val="TableParagraph"/>
              <w:spacing w:line="289" w:lineRule="exact"/>
              <w:ind w:left="108"/>
              <w:rPr>
                <w:rFonts w:ascii="微软雅黑" w:eastAsia="微软雅黑"/>
                <w:b/>
                <w:sz w:val="21"/>
              </w:rPr>
            </w:pPr>
            <w:r>
              <w:rPr>
                <w:rFonts w:ascii="微软雅黑" w:eastAsia="微软雅黑"/>
                <w:b/>
                <w:w w:val="105"/>
                <w:sz w:val="21"/>
              </w:rPr>
              <w:t>典</w:t>
            </w:r>
            <w:r>
              <w:rPr>
                <w:rFonts w:ascii="微软雅黑" w:eastAsia="微软雅黑"/>
                <w:b/>
                <w:w w:val="105"/>
                <w:sz w:val="21"/>
              </w:rPr>
              <w:t>型</w:t>
            </w:r>
            <w:r>
              <w:rPr>
                <w:rFonts w:ascii="微软雅黑" w:eastAsia="微软雅黑"/>
                <w:b/>
                <w:w w:val="105"/>
                <w:sz w:val="21"/>
              </w:rPr>
              <w:t>增</w:t>
            </w:r>
            <w:r>
              <w:rPr>
                <w:rFonts w:ascii="微软雅黑" w:eastAsia="微软雅黑"/>
                <w:b/>
                <w:spacing w:val="-97"/>
                <w:w w:val="105"/>
                <w:sz w:val="21"/>
              </w:rPr>
              <w:t>生</w:t>
            </w:r>
            <w:r>
              <w:rPr>
                <w:rFonts w:ascii="微软雅黑" w:eastAsia="微软雅黑"/>
                <w:b/>
                <w:w w:val="105"/>
                <w:sz w:val="21"/>
              </w:rPr>
              <w:t>（IIIa</w:t>
            </w:r>
            <w:r>
              <w:rPr>
                <w:rFonts w:ascii="微软雅黑" w:eastAsia="微软雅黑"/>
                <w:b/>
                <w:spacing w:val="-10"/>
                <w:w w:val="105"/>
                <w:sz w:val="21"/>
              </w:rPr>
              <w:t>、</w:t>
            </w:r>
          </w:p>
        </w:tc>
        <w:tc>
          <w:tcPr>
            <w:tcW w:w="7228" w:type="dxa"/>
          </w:tcPr>
          <w:p>
            <w:pPr>
              <w:pStyle w:val="TableParagraph"/>
              <w:spacing w:line="267" w:lineRule="exact" w:before="22"/>
              <w:ind w:left="54"/>
              <w:rPr>
                <w:sz w:val="21"/>
              </w:rPr>
            </w:pPr>
            <w:r>
              <w:rPr>
                <w:spacing w:val="-4"/>
                <w:sz w:val="21"/>
              </w:rPr>
              <w:t>部条件：</w:t>
            </w:r>
          </w:p>
        </w:tc>
      </w:tr>
      <w:tr>
        <w:trPr>
          <w:trHeight w:val="1032" w:hRule="atLeast"/>
        </w:trPr>
        <w:tc>
          <w:tcPr>
            <w:tcW w:w="900" w:type="dxa"/>
          </w:tcPr>
          <w:p>
            <w:pPr>
              <w:pStyle w:val="TableParagraph"/>
              <w:rPr>
                <w:rFonts w:ascii="Times New Roman"/>
                <w:sz w:val="20"/>
              </w:rPr>
            </w:pPr>
          </w:p>
        </w:tc>
        <w:tc>
          <w:tcPr>
            <w:tcW w:w="1758" w:type="dxa"/>
          </w:tcPr>
          <w:p>
            <w:pPr>
              <w:pStyle w:val="TableParagraph"/>
              <w:spacing w:line="345" w:lineRule="exact"/>
              <w:ind w:left="108"/>
              <w:rPr>
                <w:rFonts w:ascii="微软雅黑" w:eastAsia="微软雅黑"/>
                <w:b/>
                <w:sz w:val="21"/>
              </w:rPr>
            </w:pPr>
            <w:r>
              <w:rPr>
                <w:rFonts w:ascii="微软雅黑" w:eastAsia="微软雅黑"/>
                <w:b/>
                <w:spacing w:val="9"/>
                <w:w w:val="111"/>
                <w:sz w:val="21"/>
              </w:rPr>
              <w:t>IIIb</w:t>
            </w:r>
            <w:r>
              <w:rPr>
                <w:rFonts w:ascii="微软雅黑" w:eastAsia="微软雅黑"/>
                <w:b/>
                <w:spacing w:val="-97"/>
                <w:w w:val="91"/>
                <w:sz w:val="21"/>
              </w:rPr>
              <w:t>）</w:t>
            </w:r>
            <w:r>
              <w:rPr>
                <w:rFonts w:ascii="微软雅黑" w:eastAsia="微软雅黑"/>
                <w:b/>
                <w:spacing w:val="9"/>
                <w:w w:val="91"/>
                <w:sz w:val="21"/>
              </w:rPr>
              <w:t>（</w:t>
            </w:r>
            <w:r>
              <w:rPr>
                <w:rFonts w:ascii="微软雅黑" w:eastAsia="微软雅黑"/>
                <w:b/>
                <w:spacing w:val="-8"/>
                <w:w w:val="105"/>
                <w:sz w:val="21"/>
              </w:rPr>
              <w:t>手</w:t>
            </w:r>
            <w:r>
              <w:rPr>
                <w:rFonts w:ascii="微软雅黑" w:eastAsia="微软雅黑"/>
                <w:b/>
                <w:spacing w:val="-8"/>
                <w:w w:val="105"/>
                <w:sz w:val="21"/>
              </w:rPr>
              <w:t>术</w:t>
            </w:r>
            <w:r>
              <w:rPr>
                <w:rFonts w:ascii="微软雅黑" w:eastAsia="微软雅黑"/>
                <w:b/>
                <w:spacing w:val="-10"/>
                <w:w w:val="105"/>
                <w:sz w:val="21"/>
              </w:rPr>
              <w:t>）</w:t>
            </w:r>
          </w:p>
        </w:tc>
        <w:tc>
          <w:tcPr>
            <w:tcW w:w="7228" w:type="dxa"/>
          </w:tcPr>
          <w:p>
            <w:pPr>
              <w:pStyle w:val="TableParagraph"/>
              <w:numPr>
                <w:ilvl w:val="0"/>
                <w:numId w:val="85"/>
              </w:numPr>
              <w:tabs>
                <w:tab w:pos="584" w:val="left" w:leader="none"/>
              </w:tabs>
              <w:spacing w:line="240" w:lineRule="auto" w:before="25" w:after="0"/>
              <w:ind w:left="583" w:right="0" w:hanging="530"/>
              <w:jc w:val="left"/>
              <w:rPr>
                <w:sz w:val="21"/>
              </w:rPr>
            </w:pPr>
            <w:r>
              <w:rPr>
                <w:spacing w:val="-3"/>
                <w:sz w:val="21"/>
              </w:rPr>
              <w:t>有可触的乳腺增生结节，乳腺影像学检查确认为乳腺增生症；</w:t>
            </w:r>
          </w:p>
          <w:p>
            <w:pPr>
              <w:pStyle w:val="TableParagraph"/>
              <w:numPr>
                <w:ilvl w:val="0"/>
                <w:numId w:val="85"/>
              </w:numPr>
              <w:tabs>
                <w:tab w:pos="584" w:val="left" w:leader="none"/>
              </w:tabs>
              <w:spacing w:line="240" w:lineRule="auto" w:before="43" w:after="0"/>
              <w:ind w:left="583" w:right="0" w:hanging="530"/>
              <w:jc w:val="left"/>
              <w:rPr>
                <w:sz w:val="21"/>
              </w:rPr>
            </w:pPr>
            <w:r>
              <w:rPr>
                <w:spacing w:val="1"/>
                <w:sz w:val="21"/>
              </w:rPr>
              <w:t>穿刺活检，病理检查确诊为导管上皮增生达到</w:t>
            </w:r>
            <w:r>
              <w:rPr>
                <w:rFonts w:ascii="Times New Roman" w:eastAsia="Times New Roman"/>
                <w:sz w:val="21"/>
              </w:rPr>
              <w:t>IIIa</w:t>
            </w:r>
            <w:r>
              <w:rPr>
                <w:sz w:val="21"/>
              </w:rPr>
              <w:t>、</w:t>
            </w:r>
            <w:r>
              <w:rPr>
                <w:rFonts w:ascii="Times New Roman" w:eastAsia="Times New Roman"/>
                <w:sz w:val="21"/>
              </w:rPr>
              <w:t>IIIb</w:t>
            </w:r>
            <w:r>
              <w:rPr>
                <w:rFonts w:ascii="Times New Roman" w:eastAsia="Times New Roman"/>
                <w:spacing w:val="-15"/>
                <w:sz w:val="21"/>
              </w:rPr>
              <w:t> </w:t>
            </w:r>
            <w:r>
              <w:rPr>
                <w:spacing w:val="-2"/>
                <w:sz w:val="21"/>
              </w:rPr>
              <w:t>及以上等级；</w:t>
            </w:r>
          </w:p>
          <w:p>
            <w:pPr>
              <w:pStyle w:val="TableParagraph"/>
              <w:numPr>
                <w:ilvl w:val="0"/>
                <w:numId w:val="85"/>
              </w:numPr>
              <w:tabs>
                <w:tab w:pos="584" w:val="left" w:leader="none"/>
              </w:tabs>
              <w:spacing w:line="240" w:lineRule="auto" w:before="43" w:after="0"/>
              <w:ind w:left="583" w:right="0" w:hanging="530"/>
              <w:jc w:val="left"/>
              <w:rPr>
                <w:sz w:val="21"/>
              </w:rPr>
            </w:pPr>
            <w:r>
              <w:rPr>
                <w:spacing w:val="-2"/>
                <w:sz w:val="21"/>
              </w:rPr>
              <w:t>进行乳腺导管上皮非典型增生（</w:t>
            </w:r>
            <w:r>
              <w:rPr>
                <w:rFonts w:ascii="Times New Roman" w:eastAsia="Times New Roman"/>
                <w:spacing w:val="-2"/>
                <w:sz w:val="21"/>
              </w:rPr>
              <w:t>IIIa</w:t>
            </w:r>
            <w:r>
              <w:rPr>
                <w:spacing w:val="-2"/>
                <w:sz w:val="21"/>
              </w:rPr>
              <w:t>、</w:t>
            </w:r>
            <w:r>
              <w:rPr>
                <w:rFonts w:ascii="Times New Roman" w:eastAsia="Times New Roman"/>
                <w:spacing w:val="-2"/>
                <w:sz w:val="21"/>
              </w:rPr>
              <w:t>IIIb</w:t>
            </w:r>
            <w:r>
              <w:rPr>
                <w:spacing w:val="-2"/>
                <w:sz w:val="21"/>
              </w:rPr>
              <w:t>）</w:t>
            </w:r>
            <w:r>
              <w:rPr>
                <w:spacing w:val="-3"/>
                <w:sz w:val="21"/>
              </w:rPr>
              <w:t>的单侧或双侧全乳切除术。</w:t>
            </w:r>
          </w:p>
        </w:tc>
      </w:tr>
      <w:tr>
        <w:trPr>
          <w:trHeight w:val="389" w:hRule="atLeast"/>
        </w:trPr>
        <w:tc>
          <w:tcPr>
            <w:tcW w:w="900" w:type="dxa"/>
          </w:tcPr>
          <w:p>
            <w:pPr>
              <w:pStyle w:val="TableParagraph"/>
              <w:spacing w:line="337" w:lineRule="exact" w:before="32"/>
              <w:ind w:left="50"/>
              <w:rPr>
                <w:rFonts w:ascii="微软雅黑"/>
                <w:b/>
                <w:sz w:val="21"/>
              </w:rPr>
            </w:pPr>
            <w:r>
              <w:rPr>
                <w:rFonts w:ascii="微软雅黑"/>
                <w:b/>
                <w:spacing w:val="-2"/>
                <w:sz w:val="21"/>
              </w:rPr>
              <w:t>11.1.11</w:t>
            </w:r>
          </w:p>
        </w:tc>
        <w:tc>
          <w:tcPr>
            <w:tcW w:w="1758" w:type="dxa"/>
          </w:tcPr>
          <w:p>
            <w:pPr>
              <w:pStyle w:val="TableParagraph"/>
              <w:spacing w:line="337" w:lineRule="exact" w:before="32"/>
              <w:ind w:left="108"/>
              <w:rPr>
                <w:rFonts w:ascii="微软雅黑" w:eastAsia="微软雅黑"/>
                <w:b/>
                <w:sz w:val="21"/>
              </w:rPr>
            </w:pPr>
            <w:r>
              <w:rPr>
                <w:rFonts w:ascii="微软雅黑" w:eastAsia="微软雅黑"/>
                <w:b/>
                <w:spacing w:val="-2"/>
                <w:sz w:val="21"/>
              </w:rPr>
              <w:t>乳腺不典型小叶</w:t>
            </w:r>
          </w:p>
        </w:tc>
        <w:tc>
          <w:tcPr>
            <w:tcW w:w="7228" w:type="dxa"/>
          </w:tcPr>
          <w:p>
            <w:pPr>
              <w:pStyle w:val="TableParagraph"/>
              <w:spacing w:before="99"/>
              <w:ind w:left="54"/>
              <w:rPr>
                <w:sz w:val="21"/>
              </w:rPr>
            </w:pPr>
            <w:r>
              <w:rPr>
                <w:spacing w:val="-3"/>
                <w:sz w:val="21"/>
              </w:rPr>
              <w:t>指发生在乳房的以乳腺小叶不典型增生为特点的增生性病变，并因此病变而</w:t>
            </w:r>
          </w:p>
        </w:tc>
      </w:tr>
      <w:tr>
        <w:trPr>
          <w:trHeight w:val="312" w:hRule="atLeast"/>
        </w:trPr>
        <w:tc>
          <w:tcPr>
            <w:tcW w:w="900" w:type="dxa"/>
          </w:tcPr>
          <w:p>
            <w:pPr>
              <w:pStyle w:val="TableParagraph"/>
              <w:rPr>
                <w:rFonts w:ascii="Times New Roman"/>
                <w:sz w:val="20"/>
              </w:rPr>
            </w:pPr>
          </w:p>
        </w:tc>
        <w:tc>
          <w:tcPr>
            <w:tcW w:w="1758" w:type="dxa"/>
          </w:tcPr>
          <w:p>
            <w:pPr>
              <w:pStyle w:val="TableParagraph"/>
              <w:spacing w:line="292" w:lineRule="exact"/>
              <w:ind w:left="108"/>
              <w:rPr>
                <w:rFonts w:ascii="微软雅黑" w:eastAsia="微软雅黑"/>
                <w:b/>
                <w:sz w:val="21"/>
              </w:rPr>
            </w:pPr>
            <w:r>
              <w:rPr>
                <w:rFonts w:ascii="微软雅黑" w:eastAsia="微软雅黑"/>
                <w:b/>
                <w:sz w:val="21"/>
              </w:rPr>
              <w:t>增生（手术</w:t>
            </w:r>
            <w:r>
              <w:rPr>
                <w:rFonts w:ascii="微软雅黑" w:eastAsia="微软雅黑"/>
                <w:b/>
                <w:spacing w:val="-10"/>
                <w:sz w:val="21"/>
              </w:rPr>
              <w:t>）</w:t>
            </w:r>
          </w:p>
        </w:tc>
        <w:tc>
          <w:tcPr>
            <w:tcW w:w="7228" w:type="dxa"/>
          </w:tcPr>
          <w:p>
            <w:pPr>
              <w:pStyle w:val="TableParagraph"/>
              <w:spacing w:before="22"/>
              <w:ind w:left="54"/>
              <w:rPr>
                <w:sz w:val="21"/>
              </w:rPr>
            </w:pPr>
            <w:r>
              <w:rPr>
                <w:spacing w:val="-3"/>
                <w:sz w:val="21"/>
              </w:rPr>
              <w:t>进行切除手术，须满足如下全部条件：</w:t>
            </w:r>
          </w:p>
        </w:tc>
      </w:tr>
      <w:tr>
        <w:trPr>
          <w:trHeight w:val="311"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before="22"/>
              <w:ind w:left="54"/>
              <w:rPr>
                <w:sz w:val="21"/>
              </w:rPr>
            </w:pPr>
            <w:r>
              <w:rPr>
                <w:spacing w:val="-2"/>
                <w:sz w:val="21"/>
              </w:rPr>
              <w:t>（1）</w:t>
            </w:r>
            <w:r>
              <w:rPr>
                <w:spacing w:val="-3"/>
                <w:sz w:val="21"/>
              </w:rPr>
              <w:t>有可触及的乳房肿块，活体组织检查为乳腺小叶不典型增生。</w:t>
            </w:r>
          </w:p>
        </w:tc>
      </w:tr>
      <w:tr>
        <w:trPr>
          <w:trHeight w:val="395"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before="22"/>
              <w:ind w:left="54"/>
              <w:rPr>
                <w:sz w:val="21"/>
              </w:rPr>
            </w:pPr>
            <w:r>
              <w:rPr>
                <w:spacing w:val="-2"/>
                <w:sz w:val="21"/>
              </w:rPr>
              <w:t>（2）</w:t>
            </w:r>
            <w:r>
              <w:rPr>
                <w:spacing w:val="-3"/>
                <w:sz w:val="21"/>
              </w:rPr>
              <w:t>进行乳腺小叶不典型增生的单侧或双侧全乳切除术。</w:t>
            </w:r>
          </w:p>
        </w:tc>
      </w:tr>
      <w:tr>
        <w:trPr>
          <w:trHeight w:val="392" w:hRule="atLeast"/>
        </w:trPr>
        <w:tc>
          <w:tcPr>
            <w:tcW w:w="900" w:type="dxa"/>
          </w:tcPr>
          <w:p>
            <w:pPr>
              <w:pStyle w:val="TableParagraph"/>
              <w:spacing w:line="334" w:lineRule="exact" w:before="38"/>
              <w:ind w:left="50"/>
              <w:rPr>
                <w:rFonts w:ascii="微软雅黑"/>
                <w:b/>
                <w:sz w:val="21"/>
              </w:rPr>
            </w:pPr>
            <w:r>
              <w:rPr>
                <w:rFonts w:ascii="微软雅黑"/>
                <w:b/>
                <w:spacing w:val="-2"/>
                <w:sz w:val="21"/>
              </w:rPr>
              <w:t>11.1.12</w:t>
            </w:r>
          </w:p>
        </w:tc>
        <w:tc>
          <w:tcPr>
            <w:tcW w:w="1758" w:type="dxa"/>
          </w:tcPr>
          <w:p>
            <w:pPr>
              <w:pStyle w:val="TableParagraph"/>
              <w:spacing w:line="334" w:lineRule="exact" w:before="38"/>
              <w:ind w:left="108"/>
              <w:rPr>
                <w:rFonts w:ascii="微软雅黑" w:eastAsia="微软雅黑"/>
                <w:b/>
                <w:sz w:val="21"/>
              </w:rPr>
            </w:pPr>
            <w:r>
              <w:rPr>
                <w:rFonts w:ascii="微软雅黑" w:eastAsia="微软雅黑"/>
                <w:b/>
                <w:spacing w:val="-2"/>
                <w:sz w:val="21"/>
              </w:rPr>
              <w:t>宫颈上皮内瘤变</w:t>
            </w:r>
          </w:p>
        </w:tc>
        <w:tc>
          <w:tcPr>
            <w:tcW w:w="7228" w:type="dxa"/>
          </w:tcPr>
          <w:p>
            <w:pPr>
              <w:pStyle w:val="TableParagraph"/>
              <w:spacing w:line="267" w:lineRule="exact" w:before="106"/>
              <w:ind w:left="54"/>
              <w:rPr>
                <w:sz w:val="21"/>
              </w:rPr>
            </w:pPr>
            <w:r>
              <w:rPr>
                <w:spacing w:val="-3"/>
                <w:sz w:val="21"/>
              </w:rPr>
              <w:t>指发生于女性子宫颈部位的宫颈上皮内瘤样病变，须符合如下的全部条件：</w:t>
            </w:r>
          </w:p>
        </w:tc>
      </w:tr>
      <w:tr>
        <w:trPr>
          <w:trHeight w:val="623" w:hRule="atLeast"/>
        </w:trPr>
        <w:tc>
          <w:tcPr>
            <w:tcW w:w="900" w:type="dxa"/>
          </w:tcPr>
          <w:p>
            <w:pPr>
              <w:pStyle w:val="TableParagraph"/>
              <w:rPr>
                <w:rFonts w:ascii="Times New Roman"/>
                <w:sz w:val="20"/>
              </w:rPr>
            </w:pPr>
          </w:p>
        </w:tc>
        <w:tc>
          <w:tcPr>
            <w:tcW w:w="1758" w:type="dxa"/>
          </w:tcPr>
          <w:p>
            <w:pPr>
              <w:pStyle w:val="TableParagraph"/>
              <w:spacing w:line="308" w:lineRule="exact"/>
              <w:ind w:left="108"/>
              <w:rPr>
                <w:rFonts w:ascii="微软雅黑" w:eastAsia="微软雅黑"/>
                <w:b/>
                <w:sz w:val="21"/>
              </w:rPr>
            </w:pPr>
            <w:r>
              <w:rPr>
                <w:rFonts w:ascii="微软雅黑" w:eastAsia="微软雅黑"/>
                <w:b/>
                <w:spacing w:val="-6"/>
                <w:w w:val="105"/>
                <w:sz w:val="21"/>
              </w:rPr>
              <w:t>（CIN</w:t>
            </w:r>
            <w:r>
              <w:rPr>
                <w:rFonts w:ascii="微软雅黑" w:eastAsia="微软雅黑"/>
                <w:b/>
                <w:spacing w:val="12"/>
                <w:w w:val="109"/>
                <w:sz w:val="21"/>
              </w:rPr>
              <w:t> </w:t>
            </w:r>
            <w:r>
              <w:rPr>
                <w:rFonts w:ascii="微软雅黑" w:eastAsia="微软雅黑"/>
                <w:b/>
                <w:spacing w:val="14"/>
                <w:w w:val="129"/>
                <w:sz w:val="21"/>
              </w:rPr>
              <w:t>I</w:t>
            </w:r>
            <w:r>
              <w:rPr>
                <w:rFonts w:ascii="微软雅黑" w:eastAsia="微软雅黑"/>
                <w:b/>
                <w:spacing w:val="16"/>
                <w:w w:val="129"/>
                <w:sz w:val="21"/>
              </w:rPr>
              <w:t>I</w:t>
            </w:r>
            <w:r>
              <w:rPr>
                <w:rFonts w:ascii="微软雅黑" w:eastAsia="微软雅黑"/>
                <w:b/>
                <w:spacing w:val="14"/>
                <w:w w:val="129"/>
                <w:sz w:val="21"/>
              </w:rPr>
              <w:t>I</w:t>
            </w:r>
            <w:r>
              <w:rPr>
                <w:rFonts w:ascii="微软雅黑" w:eastAsia="微软雅黑"/>
                <w:b/>
                <w:spacing w:val="-92"/>
                <w:w w:val="80"/>
                <w:sz w:val="21"/>
              </w:rPr>
              <w:t>）</w:t>
            </w:r>
            <w:r>
              <w:rPr>
                <w:rFonts w:ascii="微软雅黑" w:eastAsia="微软雅黑"/>
                <w:b/>
                <w:spacing w:val="14"/>
                <w:w w:val="80"/>
                <w:sz w:val="21"/>
              </w:rPr>
              <w:t>（</w:t>
            </w:r>
            <w:r>
              <w:rPr>
                <w:rFonts w:ascii="微软雅黑" w:eastAsia="微软雅黑"/>
                <w:b/>
                <w:spacing w:val="-10"/>
                <w:w w:val="110"/>
                <w:sz w:val="21"/>
              </w:rPr>
              <w:t>手</w:t>
            </w:r>
          </w:p>
          <w:p>
            <w:pPr>
              <w:pStyle w:val="TableParagraph"/>
              <w:spacing w:line="296" w:lineRule="exact"/>
              <w:ind w:left="108"/>
              <w:rPr>
                <w:rFonts w:ascii="微软雅黑" w:eastAsia="微软雅黑"/>
                <w:b/>
                <w:sz w:val="21"/>
              </w:rPr>
            </w:pPr>
            <w:r>
              <w:rPr>
                <w:rFonts w:ascii="微软雅黑" w:eastAsia="微软雅黑"/>
                <w:b/>
                <w:sz w:val="21"/>
              </w:rPr>
              <w:t>术</w:t>
            </w:r>
            <w:r>
              <w:rPr>
                <w:rFonts w:ascii="微软雅黑" w:eastAsia="微软雅黑"/>
                <w:b/>
                <w:spacing w:val="-10"/>
                <w:sz w:val="21"/>
              </w:rPr>
              <w:t>）</w:t>
            </w:r>
          </w:p>
        </w:tc>
        <w:tc>
          <w:tcPr>
            <w:tcW w:w="7228" w:type="dxa"/>
          </w:tcPr>
          <w:p>
            <w:pPr>
              <w:pStyle w:val="TableParagraph"/>
              <w:spacing w:before="25"/>
              <w:ind w:left="54"/>
              <w:rPr>
                <w:sz w:val="21"/>
              </w:rPr>
            </w:pPr>
            <w:r>
              <w:rPr>
                <w:spacing w:val="-4"/>
                <w:sz w:val="21"/>
              </w:rPr>
              <w:t>（</w:t>
            </w:r>
            <w:r>
              <w:rPr>
                <w:rFonts w:ascii="Times New Roman" w:eastAsia="Times New Roman"/>
                <w:spacing w:val="-4"/>
                <w:sz w:val="21"/>
              </w:rPr>
              <w:t>1</w:t>
            </w:r>
            <w:r>
              <w:rPr>
                <w:spacing w:val="-4"/>
                <w:sz w:val="21"/>
              </w:rPr>
              <w:t>）经宫颈细胞学涂片、宫颈多点活检（</w:t>
            </w:r>
            <w:r>
              <w:rPr>
                <w:spacing w:val="-10"/>
                <w:sz w:val="21"/>
              </w:rPr>
              <w:t>碘染、肉眼观察 </w:t>
            </w:r>
            <w:r>
              <w:rPr>
                <w:rFonts w:ascii="Times New Roman" w:eastAsia="Times New Roman"/>
                <w:spacing w:val="-4"/>
                <w:sz w:val="21"/>
              </w:rPr>
              <w:t>VIA</w:t>
            </w:r>
            <w:r>
              <w:rPr>
                <w:rFonts w:ascii="Times New Roman" w:eastAsia="Times New Roman"/>
                <w:spacing w:val="4"/>
                <w:sz w:val="21"/>
              </w:rPr>
              <w:t> </w:t>
            </w:r>
            <w:r>
              <w:rPr>
                <w:spacing w:val="-4"/>
                <w:sz w:val="21"/>
              </w:rPr>
              <w:t>或阴道镜下</w:t>
            </w:r>
            <w:r>
              <w:rPr>
                <w:spacing w:val="-106"/>
                <w:sz w:val="21"/>
              </w:rPr>
              <w:t>）</w:t>
            </w:r>
            <w:r>
              <w:rPr>
                <w:spacing w:val="-10"/>
                <w:sz w:val="21"/>
              </w:rPr>
              <w:t>、</w:t>
            </w:r>
          </w:p>
          <w:p>
            <w:pPr>
              <w:pStyle w:val="TableParagraph"/>
              <w:spacing w:line="267" w:lineRule="exact" w:before="43"/>
              <w:ind w:left="54"/>
              <w:rPr>
                <w:sz w:val="21"/>
              </w:rPr>
            </w:pPr>
            <w:r>
              <w:rPr>
                <w:spacing w:val="-3"/>
                <w:sz w:val="21"/>
              </w:rPr>
              <w:t>颈管刮术等方法获取宫颈部位组织细胞，病理学检查确诊为宫颈上皮内瘤变</w:t>
            </w:r>
          </w:p>
        </w:tc>
      </w:tr>
      <w:tr>
        <w:trPr>
          <w:trHeight w:val="280" w:hRule="atLeast"/>
        </w:trPr>
        <w:tc>
          <w:tcPr>
            <w:tcW w:w="900" w:type="dxa"/>
          </w:tcPr>
          <w:p>
            <w:pPr>
              <w:pStyle w:val="TableParagraph"/>
              <w:rPr>
                <w:rFonts w:ascii="Times New Roman"/>
                <w:sz w:val="20"/>
              </w:rPr>
            </w:pPr>
          </w:p>
        </w:tc>
        <w:tc>
          <w:tcPr>
            <w:tcW w:w="1758" w:type="dxa"/>
          </w:tcPr>
          <w:p>
            <w:pPr>
              <w:pStyle w:val="TableParagraph"/>
              <w:rPr>
                <w:rFonts w:ascii="Times New Roman"/>
                <w:sz w:val="20"/>
              </w:rPr>
            </w:pPr>
          </w:p>
        </w:tc>
        <w:tc>
          <w:tcPr>
            <w:tcW w:w="7228" w:type="dxa"/>
          </w:tcPr>
          <w:p>
            <w:pPr>
              <w:pStyle w:val="TableParagraph"/>
              <w:spacing w:line="236" w:lineRule="exact" w:before="25"/>
              <w:ind w:left="54"/>
              <w:rPr>
                <w:sz w:val="21"/>
              </w:rPr>
            </w:pPr>
            <w:r>
              <w:rPr>
                <w:spacing w:val="10"/>
                <w:sz w:val="21"/>
              </w:rPr>
              <w:t>（</w:t>
            </w:r>
            <w:r>
              <w:rPr>
                <w:rFonts w:ascii="Times New Roman" w:eastAsia="Times New Roman"/>
                <w:spacing w:val="10"/>
                <w:sz w:val="21"/>
              </w:rPr>
              <w:t>C</w:t>
            </w:r>
            <w:r>
              <w:rPr>
                <w:rFonts w:ascii="Times New Roman" w:eastAsia="Times New Roman"/>
                <w:spacing w:val="6"/>
                <w:sz w:val="21"/>
              </w:rPr>
              <w:t>I</w:t>
            </w:r>
            <w:r>
              <w:rPr>
                <w:rFonts w:ascii="Times New Roman" w:eastAsia="Times New Roman"/>
                <w:spacing w:val="11"/>
                <w:sz w:val="21"/>
              </w:rPr>
              <w:t>N</w:t>
            </w:r>
            <w:r>
              <w:rPr>
                <w:spacing w:val="-98"/>
                <w:sz w:val="21"/>
              </w:rPr>
              <w:t>）</w:t>
            </w:r>
            <w:r>
              <w:rPr>
                <w:spacing w:val="-14"/>
                <w:sz w:val="21"/>
              </w:rPr>
              <w:t>，分级达到 </w:t>
            </w:r>
            <w:r>
              <w:rPr>
                <w:rFonts w:ascii="Times New Roman" w:eastAsia="Times New Roman"/>
                <w:spacing w:val="-8"/>
                <w:sz w:val="21"/>
              </w:rPr>
              <w:t>III</w:t>
            </w:r>
            <w:r>
              <w:rPr>
                <w:rFonts w:ascii="Times New Roman" w:eastAsia="Times New Roman"/>
                <w:spacing w:val="-1"/>
                <w:sz w:val="21"/>
              </w:rPr>
              <w:t> </w:t>
            </w:r>
            <w:r>
              <w:rPr>
                <w:spacing w:val="-9"/>
                <w:sz w:val="21"/>
              </w:rPr>
              <w:t>级的；</w:t>
            </w:r>
          </w:p>
        </w:tc>
      </w:tr>
    </w:tbl>
    <w:p>
      <w:pPr>
        <w:spacing w:after="0" w:line="236" w:lineRule="exact"/>
        <w:rPr>
          <w:sz w:val="21"/>
        </w:rPr>
        <w:sectPr>
          <w:pgSz w:w="11910" w:h="16840"/>
          <w:pgMar w:header="566" w:footer="664" w:top="1340" w:bottom="860" w:left="900" w:right="720"/>
        </w:sectPr>
      </w:pPr>
    </w:p>
    <w:p>
      <w:pPr>
        <w:pStyle w:val="BodyText"/>
        <w:spacing w:before="85"/>
        <w:ind w:left="2895"/>
      </w:pPr>
      <w:r>
        <w:rPr>
          <w:spacing w:val="-2"/>
        </w:rPr>
        <w:t>（</w:t>
      </w:r>
      <w:r>
        <w:rPr>
          <w:rFonts w:ascii="Times New Roman" w:eastAsia="Times New Roman"/>
          <w:spacing w:val="-2"/>
        </w:rPr>
        <w:t>2</w:t>
      </w:r>
      <w:r>
        <w:rPr>
          <w:spacing w:val="-2"/>
        </w:rPr>
        <w:t>）进行宫颈上皮内瘤变（</w:t>
      </w:r>
      <w:r>
        <w:rPr>
          <w:rFonts w:ascii="Times New Roman" w:eastAsia="Times New Roman"/>
          <w:spacing w:val="-2"/>
        </w:rPr>
        <w:t>CIN</w:t>
      </w:r>
      <w:r>
        <w:rPr>
          <w:rFonts w:ascii="Times New Roman" w:eastAsia="Times New Roman"/>
          <w:spacing w:val="18"/>
        </w:rPr>
        <w:t> </w:t>
      </w:r>
      <w:r>
        <w:rPr>
          <w:rFonts w:ascii="Times New Roman" w:eastAsia="Times New Roman"/>
          <w:spacing w:val="-2"/>
        </w:rPr>
        <w:t>III</w:t>
      </w:r>
      <w:r>
        <w:rPr>
          <w:spacing w:val="-2"/>
        </w:rPr>
        <w:t>）</w:t>
      </w:r>
      <w:r>
        <w:rPr>
          <w:spacing w:val="-3"/>
        </w:rPr>
        <w:t>的子宫颈锥切手术。</w:t>
      </w:r>
    </w:p>
    <w:p>
      <w:pPr>
        <w:pStyle w:val="BodyText"/>
        <w:spacing w:before="1"/>
        <w:rPr>
          <w:sz w:val="11"/>
        </w:rPr>
      </w:pPr>
    </w:p>
    <w:p>
      <w:pPr>
        <w:spacing w:after="0"/>
        <w:rPr>
          <w:sz w:val="11"/>
        </w:rPr>
        <w:sectPr>
          <w:headerReference w:type="default" r:id="rId43"/>
          <w:footerReference w:type="default" r:id="rId44"/>
          <w:pgSz w:w="11910" w:h="16840"/>
          <w:pgMar w:header="566" w:footer="664" w:top="1340" w:bottom="860" w:left="900" w:right="720"/>
        </w:sectPr>
      </w:pPr>
    </w:p>
    <w:p>
      <w:pPr>
        <w:pStyle w:val="ListParagraph"/>
        <w:numPr>
          <w:ilvl w:val="2"/>
          <w:numId w:val="86"/>
        </w:numPr>
        <w:tabs>
          <w:tab w:pos="1190" w:val="left" w:leader="none"/>
          <w:tab w:pos="1191" w:val="left" w:leader="none"/>
        </w:tabs>
        <w:spacing w:line="350" w:lineRule="exact" w:before="5" w:after="0"/>
        <w:ind w:left="1190" w:right="0" w:hanging="959"/>
        <w:jc w:val="left"/>
        <w:rPr>
          <w:rFonts w:ascii="微软雅黑" w:eastAsia="微软雅黑"/>
          <w:b/>
          <w:sz w:val="21"/>
        </w:rPr>
      </w:pPr>
      <w:r>
        <w:rPr>
          <w:rFonts w:ascii="微软雅黑" w:eastAsia="微软雅黑"/>
          <w:b/>
          <w:spacing w:val="-2"/>
          <w:sz w:val="21"/>
        </w:rPr>
        <w:t>卵巢交界性浆液</w:t>
      </w:r>
    </w:p>
    <w:p>
      <w:pPr>
        <w:spacing w:line="312" w:lineRule="exact" w:before="0"/>
        <w:ind w:left="1190" w:right="0" w:firstLine="0"/>
        <w:jc w:val="left"/>
        <w:rPr>
          <w:rFonts w:ascii="微软雅黑" w:eastAsia="微软雅黑"/>
          <w:b/>
          <w:sz w:val="21"/>
        </w:rPr>
      </w:pPr>
      <w:r>
        <w:rPr>
          <w:rFonts w:ascii="微软雅黑" w:eastAsia="微软雅黑"/>
          <w:b/>
          <w:spacing w:val="-2"/>
          <w:sz w:val="21"/>
        </w:rPr>
        <w:t>性乳头状囊腺瘤</w:t>
      </w:r>
    </w:p>
    <w:p>
      <w:pPr>
        <w:spacing w:line="350" w:lineRule="exact" w:before="0"/>
        <w:ind w:left="1190" w:right="0" w:firstLine="0"/>
        <w:jc w:val="left"/>
        <w:rPr>
          <w:rFonts w:ascii="微软雅黑" w:eastAsia="微软雅黑"/>
          <w:b/>
          <w:sz w:val="21"/>
        </w:rPr>
      </w:pPr>
      <w:r>
        <w:rPr>
          <w:rFonts w:ascii="微软雅黑" w:eastAsia="微软雅黑"/>
          <w:b/>
          <w:sz w:val="21"/>
        </w:rPr>
        <w:t>（手术</w:t>
      </w:r>
      <w:r>
        <w:rPr>
          <w:rFonts w:ascii="微软雅黑" w:eastAsia="微软雅黑"/>
          <w:b/>
          <w:spacing w:val="-10"/>
          <w:sz w:val="21"/>
        </w:rPr>
        <w:t>）</w:t>
      </w:r>
    </w:p>
    <w:p>
      <w:pPr>
        <w:pStyle w:val="BodyText"/>
        <w:spacing w:line="278" w:lineRule="auto" w:before="72"/>
        <w:ind w:left="186" w:right="451"/>
      </w:pPr>
      <w:r>
        <w:rPr/>
        <w:br w:type="column"/>
      </w:r>
      <w:r>
        <w:rPr>
          <w:spacing w:val="-2"/>
        </w:rPr>
        <w:t>指发生女性卵巢的乳头状囊腺瘤病变，并因此病变而进行根治手术，须满足</w:t>
      </w:r>
      <w:r>
        <w:rPr>
          <w:spacing w:val="-2"/>
        </w:rPr>
        <w:t>如下全部条件：</w:t>
      </w:r>
    </w:p>
    <w:p>
      <w:pPr>
        <w:pStyle w:val="ListParagraph"/>
        <w:numPr>
          <w:ilvl w:val="0"/>
          <w:numId w:val="87"/>
        </w:numPr>
        <w:tabs>
          <w:tab w:pos="716" w:val="left" w:leader="none"/>
        </w:tabs>
        <w:spacing w:line="269" w:lineRule="exact" w:before="0" w:after="0"/>
        <w:ind w:left="715" w:right="0" w:hanging="530"/>
        <w:jc w:val="left"/>
        <w:rPr>
          <w:sz w:val="21"/>
        </w:rPr>
      </w:pPr>
      <w:r>
        <w:rPr>
          <w:spacing w:val="-3"/>
          <w:sz w:val="21"/>
        </w:rPr>
        <w:t>有盆腔包块症状，组织学检查诊断为交界性浆液性乳头状囊腺瘤；</w:t>
      </w:r>
    </w:p>
    <w:p>
      <w:pPr>
        <w:pStyle w:val="ListParagraph"/>
        <w:numPr>
          <w:ilvl w:val="0"/>
          <w:numId w:val="87"/>
        </w:numPr>
        <w:tabs>
          <w:tab w:pos="716" w:val="left" w:leader="none"/>
        </w:tabs>
        <w:spacing w:line="240" w:lineRule="auto" w:before="43" w:after="0"/>
        <w:ind w:left="715" w:right="0" w:hanging="530"/>
        <w:jc w:val="left"/>
        <w:rPr>
          <w:sz w:val="21"/>
        </w:rPr>
      </w:pPr>
      <w:r>
        <w:rPr>
          <w:spacing w:val="-3"/>
          <w:sz w:val="21"/>
        </w:rPr>
        <w:t>进行交界性浆液性乳头状囊腺瘤根治手术。</w:t>
      </w:r>
    </w:p>
    <w:p>
      <w:pPr>
        <w:spacing w:after="0" w:line="240" w:lineRule="auto"/>
        <w:jc w:val="left"/>
        <w:rPr>
          <w:sz w:val="21"/>
        </w:rPr>
        <w:sectPr>
          <w:type w:val="continuous"/>
          <w:pgSz w:w="11910" w:h="16840"/>
          <w:pgMar w:header="566" w:footer="664" w:top="1340" w:bottom="860" w:left="900" w:right="720"/>
          <w:cols w:num="2" w:equalWidth="0">
            <w:col w:w="2670" w:space="40"/>
            <w:col w:w="7580"/>
          </w:cols>
        </w:sectPr>
      </w:pPr>
    </w:p>
    <w:p>
      <w:pPr>
        <w:pStyle w:val="BodyText"/>
        <w:spacing w:before="6"/>
        <w:rPr>
          <w:sz w:val="2"/>
        </w:rPr>
      </w:pPr>
    </w:p>
    <w:p>
      <w:pPr>
        <w:pStyle w:val="BodyText"/>
        <w:ind w:left="2895"/>
        <w:rPr>
          <w:sz w:val="20"/>
        </w:rPr>
      </w:pPr>
      <w:r>
        <w:rPr>
          <w:sz w:val="20"/>
        </w:rPr>
        <w:pict>
          <v:shape style="width:350.7pt;height:14.4pt;mso-position-horizontal-relative:char;mso-position-vertical-relative:line" type="#_x0000_t202" id="docshape97" filled="true" fillcolor="#d9d9d9" stroked="false">
            <w10:anchorlock/>
            <v:textbox inset="0,0,0,0">
              <w:txbxContent>
                <w:p>
                  <w:pPr>
                    <w:spacing w:line="288" w:lineRule="exact" w:before="0"/>
                    <w:ind w:left="0" w:right="-15" w:firstLine="0"/>
                    <w:jc w:val="left"/>
                    <w:rPr>
                      <w:rFonts w:ascii="微软雅黑" w:hAnsi="微软雅黑" w:eastAsia="微软雅黑"/>
                      <w:b/>
                      <w:color w:val="000000"/>
                      <w:sz w:val="22"/>
                    </w:rPr>
                  </w:pPr>
                  <w:r>
                    <w:rPr>
                      <w:rFonts w:ascii="微软雅黑" w:hAnsi="微软雅黑" w:eastAsia="微软雅黑"/>
                      <w:b/>
                      <w:color w:val="000000"/>
                      <w:spacing w:val="-5"/>
                      <w:sz w:val="22"/>
                    </w:rPr>
                    <w:t>本条责任和本合同中的“双侧卵巢切除术”责任不重复给付，如果切除范</w:t>
                  </w:r>
                </w:p>
              </w:txbxContent>
            </v:textbox>
            <v:fill type="solid"/>
          </v:shape>
        </w:pict>
      </w:r>
      <w:r>
        <w:rPr>
          <w:sz w:val="20"/>
        </w:rPr>
      </w:r>
    </w:p>
    <w:p>
      <w:pPr>
        <w:pStyle w:val="BodyText"/>
        <w:ind w:left="2895"/>
        <w:rPr>
          <w:sz w:val="20"/>
        </w:rPr>
      </w:pPr>
      <w:r>
        <w:rPr>
          <w:sz w:val="20"/>
        </w:rPr>
        <w:pict>
          <v:shape style="width:350.7pt;height:14.4pt;mso-position-horizontal-relative:char;mso-position-vertical-relative:line" type="#_x0000_t202" id="docshape98" filled="true" fillcolor="#d9d9d9" stroked="false">
            <w10:anchorlock/>
            <v:textbox inset="0,0,0,0">
              <w:txbxContent>
                <w:p>
                  <w:pPr>
                    <w:spacing w:line="288" w:lineRule="exact" w:before="0"/>
                    <w:ind w:left="0" w:right="0" w:firstLine="0"/>
                    <w:jc w:val="left"/>
                    <w:rPr>
                      <w:rFonts w:ascii="微软雅黑" w:hAnsi="微软雅黑" w:eastAsia="微软雅黑"/>
                      <w:b/>
                      <w:color w:val="000000"/>
                      <w:sz w:val="22"/>
                    </w:rPr>
                  </w:pPr>
                  <w:r>
                    <w:rPr>
                      <w:rFonts w:ascii="微软雅黑" w:hAnsi="微软雅黑" w:eastAsia="微软雅黑"/>
                      <w:b/>
                      <w:color w:val="000000"/>
                      <w:spacing w:val="-5"/>
                      <w:sz w:val="22"/>
                    </w:rPr>
                    <w:t>围较大，达到“双侧卵巢切除术”者则只按照“双侧卵巢切除术”责任项</w:t>
                  </w:r>
                </w:p>
              </w:txbxContent>
            </v:textbox>
            <v:fill type="solid"/>
          </v:shape>
        </w:pict>
      </w:r>
      <w:r>
        <w:rPr>
          <w:sz w:val="20"/>
        </w:rPr>
      </w:r>
    </w:p>
    <w:p>
      <w:pPr>
        <w:pStyle w:val="BodyText"/>
        <w:ind w:left="2895"/>
        <w:rPr>
          <w:sz w:val="20"/>
        </w:rPr>
      </w:pPr>
      <w:r>
        <w:rPr>
          <w:sz w:val="20"/>
        </w:rPr>
        <w:pict>
          <v:shape style="width:33.15pt;height:14.4pt;mso-position-horizontal-relative:char;mso-position-vertical-relative:line" type="#_x0000_t202" id="docshape99" filled="true" fillcolor="#d9d9d9"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spacing w:val="-7"/>
                      <w:sz w:val="22"/>
                    </w:rPr>
                    <w:t>给付。</w:t>
                  </w:r>
                </w:p>
              </w:txbxContent>
            </v:textbox>
            <v:fill type="solid"/>
          </v:shape>
        </w:pict>
      </w:r>
      <w:r>
        <w:rPr>
          <w:sz w:val="20"/>
        </w:rPr>
      </w:r>
    </w:p>
    <w:p>
      <w:pPr>
        <w:pStyle w:val="BodyText"/>
        <w:spacing w:before="9"/>
        <w:rPr>
          <w:sz w:val="7"/>
        </w:rPr>
      </w:pPr>
    </w:p>
    <w:p>
      <w:pPr>
        <w:spacing w:after="0"/>
        <w:rPr>
          <w:sz w:val="7"/>
        </w:rPr>
        <w:sectPr>
          <w:type w:val="continuous"/>
          <w:pgSz w:w="11910" w:h="16840"/>
          <w:pgMar w:header="566" w:footer="664" w:top="1340" w:bottom="860" w:left="900" w:right="720"/>
        </w:sectPr>
      </w:pPr>
    </w:p>
    <w:p>
      <w:pPr>
        <w:pStyle w:val="ListParagraph"/>
        <w:numPr>
          <w:ilvl w:val="2"/>
          <w:numId w:val="86"/>
        </w:numPr>
        <w:tabs>
          <w:tab w:pos="1190" w:val="left" w:leader="none"/>
          <w:tab w:pos="1191" w:val="left" w:leader="none"/>
        </w:tabs>
        <w:spacing w:line="350" w:lineRule="exact" w:before="4" w:after="0"/>
        <w:ind w:left="1190" w:right="0" w:hanging="959"/>
        <w:jc w:val="left"/>
        <w:rPr>
          <w:rFonts w:ascii="微软雅黑" w:eastAsia="微软雅黑"/>
          <w:b/>
          <w:sz w:val="21"/>
        </w:rPr>
      </w:pPr>
      <w:r>
        <w:rPr>
          <w:rFonts w:ascii="微软雅黑" w:eastAsia="微软雅黑"/>
          <w:b/>
          <w:sz w:val="21"/>
        </w:rPr>
        <w:t>Barrett</w:t>
      </w:r>
      <w:r>
        <w:rPr>
          <w:rFonts w:ascii="微软雅黑" w:eastAsia="微软雅黑"/>
          <w:b/>
          <w:spacing w:val="-8"/>
          <w:sz w:val="21"/>
        </w:rPr>
        <w:t> 食管</w:t>
      </w:r>
    </w:p>
    <w:p>
      <w:pPr>
        <w:spacing w:line="350" w:lineRule="exact" w:before="0"/>
        <w:ind w:left="1190" w:right="0" w:firstLine="0"/>
        <w:jc w:val="left"/>
        <w:rPr>
          <w:rFonts w:ascii="微软雅黑" w:eastAsia="微软雅黑"/>
          <w:b/>
          <w:sz w:val="21"/>
        </w:rPr>
      </w:pPr>
      <w:r>
        <w:rPr>
          <w:rFonts w:ascii="微软雅黑" w:eastAsia="微软雅黑"/>
          <w:b/>
          <w:sz w:val="21"/>
        </w:rPr>
        <w:t>（手术</w:t>
      </w:r>
      <w:r>
        <w:rPr>
          <w:rFonts w:ascii="微软雅黑" w:eastAsia="微软雅黑"/>
          <w:b/>
          <w:spacing w:val="-10"/>
          <w:sz w:val="21"/>
        </w:rPr>
        <w:t>）</w:t>
      </w:r>
    </w:p>
    <w:p>
      <w:pPr>
        <w:pStyle w:val="BodyText"/>
        <w:spacing w:line="278" w:lineRule="auto" w:before="71"/>
        <w:ind w:left="232" w:right="451"/>
      </w:pPr>
      <w:r>
        <w:rPr/>
        <w:br w:type="column"/>
      </w:r>
      <w:r>
        <w:rPr>
          <w:spacing w:val="-2"/>
        </w:rPr>
        <w:t>指食管下段的鳞状上皮被柱状上皮覆盖引起的食管疾病，须符合如下的全部</w:t>
      </w:r>
      <w:r>
        <w:rPr>
          <w:spacing w:val="-4"/>
        </w:rPr>
        <w:t>条件：</w:t>
      </w:r>
    </w:p>
    <w:p>
      <w:pPr>
        <w:pStyle w:val="ListParagraph"/>
        <w:numPr>
          <w:ilvl w:val="0"/>
          <w:numId w:val="88"/>
        </w:numPr>
        <w:tabs>
          <w:tab w:pos="762" w:val="left" w:leader="none"/>
        </w:tabs>
        <w:spacing w:line="269" w:lineRule="exact" w:before="0" w:after="0"/>
        <w:ind w:left="761" w:right="0" w:hanging="530"/>
        <w:jc w:val="left"/>
        <w:rPr>
          <w:sz w:val="21"/>
        </w:rPr>
      </w:pPr>
      <w:r>
        <w:rPr>
          <w:spacing w:val="-3"/>
          <w:sz w:val="21"/>
        </w:rPr>
        <w:t>经食管镜检查，胃食管交界上方出现红色的柱状上皮区；</w:t>
      </w:r>
    </w:p>
    <w:p>
      <w:pPr>
        <w:pStyle w:val="ListParagraph"/>
        <w:numPr>
          <w:ilvl w:val="0"/>
          <w:numId w:val="88"/>
        </w:numPr>
        <w:tabs>
          <w:tab w:pos="762" w:val="left" w:leader="none"/>
        </w:tabs>
        <w:spacing w:line="240" w:lineRule="auto" w:before="43" w:after="0"/>
        <w:ind w:left="761" w:right="0" w:hanging="530"/>
        <w:jc w:val="left"/>
        <w:rPr>
          <w:sz w:val="21"/>
        </w:rPr>
      </w:pPr>
      <w:r>
        <w:rPr>
          <w:spacing w:val="1"/>
          <w:sz w:val="21"/>
        </w:rPr>
        <w:t>活检病症诊断找到柱状上皮化生，确诊</w:t>
      </w:r>
      <w:r>
        <w:rPr>
          <w:rFonts w:ascii="Times New Roman" w:eastAsia="Times New Roman"/>
          <w:sz w:val="21"/>
        </w:rPr>
        <w:t>Barrett</w:t>
      </w:r>
      <w:r>
        <w:rPr>
          <w:rFonts w:ascii="Times New Roman" w:eastAsia="Times New Roman"/>
          <w:spacing w:val="-15"/>
          <w:sz w:val="21"/>
        </w:rPr>
        <w:t> </w:t>
      </w:r>
      <w:r>
        <w:rPr>
          <w:spacing w:val="-4"/>
          <w:sz w:val="21"/>
        </w:rPr>
        <w:t>食管；</w:t>
      </w:r>
    </w:p>
    <w:p>
      <w:pPr>
        <w:pStyle w:val="ListParagraph"/>
        <w:numPr>
          <w:ilvl w:val="0"/>
          <w:numId w:val="88"/>
        </w:numPr>
        <w:tabs>
          <w:tab w:pos="762" w:val="left" w:leader="none"/>
        </w:tabs>
        <w:spacing w:line="240" w:lineRule="auto" w:before="44" w:after="0"/>
        <w:ind w:left="761" w:right="0" w:hanging="530"/>
        <w:jc w:val="left"/>
        <w:rPr>
          <w:sz w:val="21"/>
        </w:rPr>
      </w:pPr>
      <w:r>
        <w:rPr>
          <w:spacing w:val="20"/>
          <w:sz w:val="21"/>
        </w:rPr>
        <w:t>进行</w:t>
      </w:r>
      <w:r>
        <w:rPr>
          <w:rFonts w:ascii="Times New Roman" w:eastAsia="Times New Roman"/>
          <w:sz w:val="21"/>
        </w:rPr>
        <w:t>Barrett</w:t>
      </w:r>
      <w:r>
        <w:rPr>
          <w:rFonts w:ascii="Times New Roman" w:eastAsia="Times New Roman"/>
          <w:spacing w:val="-13"/>
          <w:sz w:val="21"/>
        </w:rPr>
        <w:t> </w:t>
      </w:r>
      <w:r>
        <w:rPr>
          <w:spacing w:val="-1"/>
          <w:sz w:val="21"/>
        </w:rPr>
        <w:t>食管胃底折叠术或食管切除术。</w:t>
      </w:r>
    </w:p>
    <w:p>
      <w:pPr>
        <w:spacing w:after="0" w:line="240" w:lineRule="auto"/>
        <w:jc w:val="left"/>
        <w:rPr>
          <w:sz w:val="21"/>
        </w:rPr>
        <w:sectPr>
          <w:type w:val="continuous"/>
          <w:pgSz w:w="11910" w:h="16840"/>
          <w:pgMar w:header="566" w:footer="664" w:top="1340" w:bottom="860" w:left="900" w:right="720"/>
          <w:cols w:num="2" w:equalWidth="0">
            <w:col w:w="2448" w:space="214"/>
            <w:col w:w="7628"/>
          </w:cols>
        </w:sectPr>
      </w:pPr>
    </w:p>
    <w:p>
      <w:pPr>
        <w:pStyle w:val="BodyText"/>
        <w:spacing w:before="1"/>
        <w:rPr>
          <w:sz w:val="11"/>
        </w:rPr>
      </w:pPr>
    </w:p>
    <w:p>
      <w:pPr>
        <w:spacing w:after="0"/>
        <w:rPr>
          <w:sz w:val="11"/>
        </w:rPr>
        <w:sectPr>
          <w:type w:val="continuous"/>
          <w:pgSz w:w="11910" w:h="16840"/>
          <w:pgMar w:header="566" w:footer="664" w:top="1340" w:bottom="860" w:left="900" w:right="720"/>
        </w:sectPr>
      </w:pPr>
    </w:p>
    <w:p>
      <w:pPr>
        <w:pStyle w:val="ListParagraph"/>
        <w:numPr>
          <w:ilvl w:val="2"/>
          <w:numId w:val="86"/>
        </w:numPr>
        <w:tabs>
          <w:tab w:pos="1190" w:val="left" w:leader="none"/>
          <w:tab w:pos="1191" w:val="left" w:leader="none"/>
        </w:tabs>
        <w:spacing w:line="350" w:lineRule="exact" w:before="4" w:after="0"/>
        <w:ind w:left="1190" w:right="0" w:hanging="959"/>
        <w:jc w:val="left"/>
        <w:rPr>
          <w:rFonts w:ascii="微软雅黑" w:eastAsia="微软雅黑"/>
          <w:b/>
          <w:sz w:val="21"/>
        </w:rPr>
      </w:pPr>
      <w:r>
        <w:rPr>
          <w:rFonts w:ascii="微软雅黑" w:eastAsia="微软雅黑"/>
          <w:b/>
          <w:spacing w:val="-2"/>
          <w:sz w:val="21"/>
        </w:rPr>
        <w:t>膀胱鳞状细胞化</w:t>
      </w:r>
    </w:p>
    <w:p>
      <w:pPr>
        <w:spacing w:line="350" w:lineRule="exact" w:before="0"/>
        <w:ind w:left="1190" w:right="0" w:firstLine="0"/>
        <w:jc w:val="left"/>
        <w:rPr>
          <w:rFonts w:ascii="微软雅黑" w:eastAsia="微软雅黑"/>
          <w:b/>
          <w:sz w:val="21"/>
        </w:rPr>
      </w:pPr>
      <w:r>
        <w:rPr>
          <w:rFonts w:ascii="微软雅黑" w:eastAsia="微软雅黑"/>
          <w:b/>
          <w:sz w:val="21"/>
        </w:rPr>
        <w:t>生（手术</w:t>
      </w:r>
      <w:r>
        <w:rPr>
          <w:rFonts w:ascii="微软雅黑" w:eastAsia="微软雅黑"/>
          <w:b/>
          <w:spacing w:val="-10"/>
          <w:sz w:val="21"/>
        </w:rPr>
        <w:t>）</w:t>
      </w:r>
    </w:p>
    <w:p>
      <w:pPr>
        <w:pStyle w:val="BodyText"/>
        <w:spacing w:before="71"/>
        <w:ind w:left="186"/>
      </w:pPr>
      <w:r>
        <w:rPr/>
        <w:br w:type="column"/>
      </w:r>
      <w:r>
        <w:rPr>
          <w:spacing w:val="-3"/>
        </w:rPr>
        <w:t>指发生在膀胱粘膜的移行上皮鳞状化生病变，须满足如下条件：</w:t>
      </w:r>
    </w:p>
    <w:p>
      <w:pPr>
        <w:pStyle w:val="ListParagraph"/>
        <w:numPr>
          <w:ilvl w:val="0"/>
          <w:numId w:val="89"/>
        </w:numPr>
        <w:tabs>
          <w:tab w:pos="716" w:val="left" w:leader="none"/>
        </w:tabs>
        <w:spacing w:line="240" w:lineRule="auto" w:before="43" w:after="0"/>
        <w:ind w:left="715" w:right="0" w:hanging="530"/>
        <w:jc w:val="left"/>
        <w:rPr>
          <w:sz w:val="21"/>
        </w:rPr>
      </w:pPr>
      <w:r>
        <w:rPr>
          <w:spacing w:val="-3"/>
          <w:sz w:val="21"/>
        </w:rPr>
        <w:t>膀胱镜检查并组织活检，经病理学诊断来确诊膀胱鳞状细胞化生；</w:t>
      </w:r>
    </w:p>
    <w:p>
      <w:pPr>
        <w:pStyle w:val="ListParagraph"/>
        <w:numPr>
          <w:ilvl w:val="0"/>
          <w:numId w:val="89"/>
        </w:numPr>
        <w:tabs>
          <w:tab w:pos="716" w:val="left" w:leader="none"/>
        </w:tabs>
        <w:spacing w:line="278" w:lineRule="auto" w:before="43" w:after="0"/>
        <w:ind w:left="186" w:right="370" w:firstLine="0"/>
        <w:jc w:val="left"/>
        <w:rPr>
          <w:sz w:val="21"/>
        </w:rPr>
      </w:pPr>
      <w:r>
        <w:rPr>
          <w:spacing w:val="-2"/>
          <w:sz w:val="21"/>
        </w:rPr>
        <w:t>进行膀胱鳞状细胞化生的膀胱全切除或部分切除手术（不包括膀胱肿瘤</w:t>
      </w:r>
      <w:r>
        <w:rPr>
          <w:spacing w:val="-4"/>
          <w:sz w:val="21"/>
        </w:rPr>
        <w:t>切除术</w:t>
      </w:r>
      <w:r>
        <w:rPr>
          <w:spacing w:val="-106"/>
          <w:sz w:val="21"/>
        </w:rPr>
        <w:t>）</w:t>
      </w:r>
      <w:r>
        <w:rPr>
          <w:spacing w:val="-4"/>
          <w:sz w:val="21"/>
        </w:rPr>
        <w:t>。</w:t>
      </w:r>
    </w:p>
    <w:p>
      <w:pPr>
        <w:spacing w:after="0" w:line="278" w:lineRule="auto"/>
        <w:jc w:val="left"/>
        <w:rPr>
          <w:sz w:val="21"/>
        </w:rPr>
        <w:sectPr>
          <w:type w:val="continuous"/>
          <w:pgSz w:w="11910" w:h="16840"/>
          <w:pgMar w:header="566" w:footer="664" w:top="1340" w:bottom="860" w:left="900" w:right="720"/>
          <w:cols w:num="2" w:equalWidth="0">
            <w:col w:w="2670" w:space="40"/>
            <w:col w:w="7580"/>
          </w:cols>
        </w:sectPr>
      </w:pPr>
    </w:p>
    <w:p>
      <w:pPr>
        <w:pStyle w:val="ListParagraph"/>
        <w:numPr>
          <w:ilvl w:val="2"/>
          <w:numId w:val="86"/>
        </w:numPr>
        <w:tabs>
          <w:tab w:pos="1190" w:val="left" w:leader="none"/>
          <w:tab w:pos="1191" w:val="left" w:leader="none"/>
        </w:tabs>
        <w:spacing w:line="350" w:lineRule="exact" w:before="103" w:after="0"/>
        <w:ind w:left="1190" w:right="0" w:hanging="959"/>
        <w:jc w:val="left"/>
        <w:rPr>
          <w:rFonts w:ascii="微软雅黑" w:eastAsia="微软雅黑"/>
          <w:b/>
          <w:sz w:val="21"/>
        </w:rPr>
      </w:pPr>
      <w:r>
        <w:rPr>
          <w:rFonts w:ascii="微软雅黑" w:eastAsia="微软雅黑"/>
          <w:b/>
          <w:spacing w:val="-2"/>
          <w:sz w:val="21"/>
        </w:rPr>
        <w:t>胆囊粘膜上皮不</w:t>
      </w:r>
    </w:p>
    <w:p>
      <w:pPr>
        <w:spacing w:line="194" w:lineRule="auto" w:before="15"/>
        <w:ind w:left="1190" w:right="0" w:firstLine="0"/>
        <w:jc w:val="left"/>
        <w:rPr>
          <w:rFonts w:ascii="微软雅黑" w:eastAsia="微软雅黑"/>
          <w:b/>
          <w:sz w:val="21"/>
        </w:rPr>
      </w:pPr>
      <w:r>
        <w:rPr>
          <w:rFonts w:ascii="微软雅黑" w:eastAsia="微软雅黑"/>
          <w:b/>
          <w:spacing w:val="-2"/>
          <w:sz w:val="21"/>
        </w:rPr>
        <w:t>典型性增生（</w:t>
      </w:r>
      <w:r>
        <w:rPr>
          <w:rFonts w:ascii="微软雅黑" w:eastAsia="微软雅黑"/>
          <w:b/>
          <w:spacing w:val="-2"/>
          <w:sz w:val="21"/>
        </w:rPr>
        <w:t>手</w:t>
      </w:r>
      <w:r>
        <w:rPr>
          <w:rFonts w:ascii="微软雅黑" w:eastAsia="微软雅黑"/>
          <w:b/>
          <w:spacing w:val="-6"/>
          <w:sz w:val="21"/>
        </w:rPr>
        <w:t>术）</w:t>
      </w:r>
    </w:p>
    <w:p>
      <w:pPr>
        <w:pStyle w:val="BodyText"/>
        <w:spacing w:line="278" w:lineRule="auto" w:before="170"/>
        <w:ind w:left="186" w:right="266"/>
      </w:pPr>
      <w:r>
        <w:rPr/>
        <w:br w:type="column"/>
      </w:r>
      <w:r>
        <w:rPr>
          <w:spacing w:val="-2"/>
        </w:rPr>
        <w:t>指发生在胆囊粘膜上皮的不典型增生性病变，并因此病变而进行的切除手术，</w:t>
      </w:r>
      <w:r>
        <w:rPr>
          <w:spacing w:val="-2"/>
        </w:rPr>
        <w:t>须满足如下全部条件：</w:t>
      </w:r>
    </w:p>
    <w:p>
      <w:pPr>
        <w:pStyle w:val="ListParagraph"/>
        <w:numPr>
          <w:ilvl w:val="0"/>
          <w:numId w:val="90"/>
        </w:numPr>
        <w:tabs>
          <w:tab w:pos="716" w:val="left" w:leader="none"/>
        </w:tabs>
        <w:spacing w:line="269" w:lineRule="exact" w:before="0" w:after="0"/>
        <w:ind w:left="715" w:right="0" w:hanging="530"/>
        <w:jc w:val="left"/>
        <w:rPr>
          <w:sz w:val="21"/>
        </w:rPr>
      </w:pPr>
      <w:r>
        <w:rPr>
          <w:spacing w:val="-3"/>
          <w:sz w:val="21"/>
        </w:rPr>
        <w:t>组织学检查诊断胆囊粘膜上皮不典型增生症；</w:t>
      </w:r>
    </w:p>
    <w:p>
      <w:pPr>
        <w:pStyle w:val="ListParagraph"/>
        <w:numPr>
          <w:ilvl w:val="0"/>
          <w:numId w:val="90"/>
        </w:numPr>
        <w:tabs>
          <w:tab w:pos="716" w:val="left" w:leader="none"/>
        </w:tabs>
        <w:spacing w:line="240" w:lineRule="auto" w:before="43" w:after="0"/>
        <w:ind w:left="715" w:right="0" w:hanging="530"/>
        <w:jc w:val="left"/>
        <w:rPr>
          <w:sz w:val="21"/>
        </w:rPr>
      </w:pPr>
      <w:r>
        <w:rPr>
          <w:spacing w:val="-3"/>
          <w:sz w:val="21"/>
        </w:rPr>
        <w:t>因胆囊粘膜上皮不典型性增生症而手术切除胆囊。</w:t>
      </w:r>
    </w:p>
    <w:p>
      <w:pPr>
        <w:spacing w:after="0" w:line="240" w:lineRule="auto"/>
        <w:jc w:val="left"/>
        <w:rPr>
          <w:sz w:val="21"/>
        </w:rPr>
        <w:sectPr>
          <w:type w:val="continuous"/>
          <w:pgSz w:w="11910" w:h="16840"/>
          <w:pgMar w:header="566" w:footer="664" w:top="1340" w:bottom="860" w:left="900" w:right="720"/>
          <w:cols w:num="2" w:equalWidth="0">
            <w:col w:w="2670" w:space="40"/>
            <w:col w:w="7580"/>
          </w:cols>
        </w:sectPr>
      </w:pPr>
    </w:p>
    <w:p>
      <w:pPr>
        <w:pStyle w:val="BodyText"/>
        <w:spacing w:before="7"/>
        <w:rPr>
          <w:sz w:val="2"/>
        </w:rPr>
      </w:pPr>
    </w:p>
    <w:p>
      <w:pPr>
        <w:pStyle w:val="BodyText"/>
        <w:ind w:left="2895"/>
        <w:rPr>
          <w:sz w:val="20"/>
        </w:rPr>
      </w:pPr>
      <w:r>
        <w:rPr>
          <w:sz w:val="20"/>
        </w:rPr>
        <w:pict>
          <v:shape style="width:350.7pt;height:14.4pt;mso-position-horizontal-relative:char;mso-position-vertical-relative:line" type="#_x0000_t202" id="docshape100"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7"/>
                      <w:sz w:val="22"/>
                    </w:rPr>
                    <w:t>因其他原因而进行胆囊切除手术，术后发现存在胆囊粘膜上皮不典型性增</w:t>
                  </w:r>
                </w:p>
              </w:txbxContent>
            </v:textbox>
            <v:fill type="solid"/>
          </v:shape>
        </w:pict>
      </w:r>
      <w:r>
        <w:rPr>
          <w:sz w:val="20"/>
        </w:rPr>
      </w:r>
    </w:p>
    <w:p>
      <w:pPr>
        <w:pStyle w:val="BodyText"/>
        <w:ind w:left="2895"/>
        <w:rPr>
          <w:sz w:val="20"/>
        </w:rPr>
      </w:pPr>
      <w:r>
        <w:rPr>
          <w:sz w:val="20"/>
        </w:rPr>
        <w:pict>
          <v:shape style="width:165.65pt;height:14.4pt;mso-position-horizontal-relative:char;mso-position-vertical-relative:line" type="#_x0000_t202" id="docshape101" filled="true" fillcolor="#d9d9d9"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3"/>
                      <w:sz w:val="22"/>
                    </w:rPr>
                    <w:t>生症的，不在本责任赔付范围内。</w:t>
                  </w:r>
                </w:p>
              </w:txbxContent>
            </v:textbox>
            <v:fill type="solid"/>
          </v:shape>
        </w:pict>
      </w:r>
      <w:r>
        <w:rPr>
          <w:sz w:val="20"/>
        </w:rPr>
      </w:r>
    </w:p>
    <w:p>
      <w:pPr>
        <w:pStyle w:val="BodyText"/>
        <w:spacing w:before="1"/>
        <w:rPr>
          <w:sz w:val="8"/>
        </w:rPr>
      </w:pPr>
    </w:p>
    <w:p>
      <w:pPr>
        <w:spacing w:after="0"/>
        <w:rPr>
          <w:sz w:val="8"/>
        </w:rPr>
        <w:sectPr>
          <w:type w:val="continuous"/>
          <w:pgSz w:w="11910" w:h="16840"/>
          <w:pgMar w:header="566" w:footer="664" w:top="1340" w:bottom="860" w:left="900" w:right="720"/>
        </w:sectPr>
      </w:pPr>
    </w:p>
    <w:p>
      <w:pPr>
        <w:pStyle w:val="ListParagraph"/>
        <w:numPr>
          <w:ilvl w:val="2"/>
          <w:numId w:val="86"/>
        </w:numPr>
        <w:tabs>
          <w:tab w:pos="1190" w:val="left" w:leader="none"/>
          <w:tab w:pos="1191" w:val="left" w:leader="none"/>
        </w:tabs>
        <w:spacing w:line="350" w:lineRule="exact" w:before="5" w:after="0"/>
        <w:ind w:left="1190" w:right="0" w:hanging="959"/>
        <w:jc w:val="left"/>
        <w:rPr>
          <w:rFonts w:ascii="微软雅黑" w:eastAsia="微软雅黑"/>
          <w:b/>
          <w:sz w:val="21"/>
        </w:rPr>
      </w:pPr>
      <w:r>
        <w:rPr>
          <w:rFonts w:ascii="微软雅黑" w:eastAsia="微软雅黑"/>
          <w:b/>
          <w:w w:val="105"/>
          <w:sz w:val="21"/>
        </w:rPr>
        <w:t>II</w:t>
      </w:r>
      <w:r>
        <w:rPr>
          <w:rFonts w:ascii="微软雅黑" w:eastAsia="微软雅黑"/>
          <w:b/>
          <w:spacing w:val="6"/>
          <w:w w:val="105"/>
          <w:sz w:val="21"/>
        </w:rPr>
        <w:t> </w:t>
      </w:r>
      <w:r>
        <w:rPr>
          <w:rFonts w:ascii="微软雅黑" w:eastAsia="微软雅黑"/>
          <w:b/>
          <w:w w:val="105"/>
          <w:sz w:val="21"/>
        </w:rPr>
        <w:t>型</w:t>
      </w:r>
      <w:r>
        <w:rPr>
          <w:rFonts w:ascii="微软雅黑" w:eastAsia="微软雅黑"/>
          <w:b/>
          <w:w w:val="105"/>
          <w:sz w:val="21"/>
        </w:rPr>
        <w:t>糖</w:t>
      </w:r>
      <w:r>
        <w:rPr>
          <w:rFonts w:ascii="微软雅黑" w:eastAsia="微软雅黑"/>
          <w:b/>
          <w:w w:val="105"/>
          <w:sz w:val="21"/>
        </w:rPr>
        <w:t>尿</w:t>
      </w:r>
      <w:r>
        <w:rPr>
          <w:rFonts w:ascii="微软雅黑" w:eastAsia="微软雅黑"/>
          <w:b/>
          <w:w w:val="105"/>
          <w:sz w:val="21"/>
        </w:rPr>
        <w:t>病</w:t>
      </w:r>
      <w:r>
        <w:rPr>
          <w:rFonts w:ascii="微软雅黑" w:eastAsia="微软雅黑"/>
          <w:b/>
          <w:spacing w:val="-10"/>
          <w:w w:val="105"/>
          <w:sz w:val="21"/>
        </w:rPr>
        <w:t>酮</w:t>
      </w:r>
    </w:p>
    <w:p>
      <w:pPr>
        <w:spacing w:line="350" w:lineRule="exact" w:before="0"/>
        <w:ind w:left="1190" w:right="0" w:firstLine="0"/>
        <w:jc w:val="left"/>
        <w:rPr>
          <w:rFonts w:ascii="微软雅黑" w:eastAsia="微软雅黑"/>
          <w:b/>
          <w:sz w:val="21"/>
        </w:rPr>
      </w:pPr>
      <w:r>
        <w:rPr>
          <w:rFonts w:ascii="微软雅黑" w:eastAsia="微软雅黑"/>
          <w:b/>
          <w:spacing w:val="-3"/>
          <w:sz w:val="21"/>
        </w:rPr>
        <w:t>症酸中毒</w:t>
      </w:r>
    </w:p>
    <w:p>
      <w:pPr>
        <w:pStyle w:val="BodyText"/>
        <w:spacing w:line="278" w:lineRule="auto" w:before="72"/>
        <w:ind w:left="232" w:right="451"/>
      </w:pPr>
      <w:r>
        <w:rPr/>
        <w:br w:type="column"/>
      </w:r>
      <w:r>
        <w:rPr>
          <w:spacing w:val="-2"/>
        </w:rPr>
        <w:t>明确诊断为非胰岛素依赖型糖尿病，血糖控制不佳，身体代偿机能损害，出</w:t>
      </w:r>
      <w:r>
        <w:rPr>
          <w:spacing w:val="-2"/>
        </w:rPr>
        <w:t>现酮症酸中毒的病症，须符合如下条件：</w:t>
      </w:r>
    </w:p>
    <w:p>
      <w:pPr>
        <w:pStyle w:val="ListParagraph"/>
        <w:numPr>
          <w:ilvl w:val="0"/>
          <w:numId w:val="91"/>
        </w:numPr>
        <w:tabs>
          <w:tab w:pos="762" w:val="left" w:leader="none"/>
        </w:tabs>
        <w:spacing w:line="269" w:lineRule="exact" w:before="0" w:after="0"/>
        <w:ind w:left="761" w:right="0" w:hanging="530"/>
        <w:jc w:val="left"/>
        <w:rPr>
          <w:sz w:val="21"/>
        </w:rPr>
      </w:pPr>
      <w:r>
        <w:rPr>
          <w:sz w:val="21"/>
        </w:rPr>
        <w:t>明确诊断为“</w:t>
      </w:r>
      <w:r>
        <w:rPr>
          <w:rFonts w:ascii="Times New Roman" w:hAnsi="Times New Roman" w:eastAsia="Times New Roman"/>
          <w:sz w:val="21"/>
        </w:rPr>
        <w:t>II</w:t>
      </w:r>
      <w:r>
        <w:rPr>
          <w:rFonts w:ascii="Times New Roman" w:hAnsi="Times New Roman" w:eastAsia="Times New Roman"/>
          <w:spacing w:val="-15"/>
          <w:sz w:val="21"/>
        </w:rPr>
        <w:t> </w:t>
      </w:r>
      <w:r>
        <w:rPr>
          <w:sz w:val="21"/>
        </w:rPr>
        <w:t>型糖尿病”</w:t>
      </w:r>
      <w:r>
        <w:rPr>
          <w:rFonts w:ascii="Times New Roman" w:hAnsi="Times New Roman" w:eastAsia="Times New Roman"/>
          <w:sz w:val="21"/>
        </w:rPr>
        <w:t>1</w:t>
      </w:r>
      <w:r>
        <w:rPr>
          <w:rFonts w:ascii="Times New Roman" w:hAnsi="Times New Roman" w:eastAsia="Times New Roman"/>
          <w:spacing w:val="-9"/>
          <w:sz w:val="21"/>
        </w:rPr>
        <w:t> </w:t>
      </w:r>
      <w:r>
        <w:rPr>
          <w:spacing w:val="-3"/>
          <w:sz w:val="21"/>
        </w:rPr>
        <w:t>年以上；</w:t>
      </w:r>
    </w:p>
    <w:p>
      <w:pPr>
        <w:pStyle w:val="ListParagraph"/>
        <w:numPr>
          <w:ilvl w:val="0"/>
          <w:numId w:val="91"/>
        </w:numPr>
        <w:tabs>
          <w:tab w:pos="762" w:val="left" w:leader="none"/>
        </w:tabs>
        <w:spacing w:line="240" w:lineRule="auto" w:before="43" w:after="0"/>
        <w:ind w:left="761" w:right="0" w:hanging="530"/>
        <w:jc w:val="left"/>
        <w:rPr>
          <w:sz w:val="21"/>
        </w:rPr>
      </w:pPr>
      <w:r>
        <w:rPr>
          <w:spacing w:val="-3"/>
          <w:sz w:val="21"/>
        </w:rPr>
        <w:t>有酮症酸中毒的临床症状；</w:t>
      </w:r>
    </w:p>
    <w:p>
      <w:pPr>
        <w:pStyle w:val="ListParagraph"/>
        <w:numPr>
          <w:ilvl w:val="0"/>
          <w:numId w:val="91"/>
        </w:numPr>
        <w:tabs>
          <w:tab w:pos="762" w:val="left" w:leader="none"/>
        </w:tabs>
        <w:spacing w:line="240" w:lineRule="auto" w:before="43" w:after="0"/>
        <w:ind w:left="761" w:right="0" w:hanging="530"/>
        <w:jc w:val="left"/>
        <w:rPr>
          <w:sz w:val="21"/>
        </w:rPr>
      </w:pPr>
      <w:r>
        <w:rPr>
          <w:spacing w:val="-4"/>
          <w:sz w:val="21"/>
        </w:rPr>
        <w:t>实验室检查须有：</w:t>
      </w:r>
    </w:p>
    <w:p>
      <w:pPr>
        <w:pStyle w:val="BodyText"/>
        <w:spacing w:before="43"/>
        <w:ind w:left="405"/>
      </w:pPr>
      <w:r>
        <w:rPr>
          <w:spacing w:val="-4"/>
        </w:rPr>
        <w:t>① 尿糖、尿酮体强阳性。血酮体升高，在 </w:t>
      </w:r>
      <w:r>
        <w:rPr>
          <w:rFonts w:ascii="Times New Roman" w:hAnsi="Times New Roman" w:eastAsia="Times New Roman"/>
          <w:spacing w:val="-2"/>
        </w:rPr>
        <w:t>4.8mmol/L</w:t>
      </w:r>
      <w:r>
        <w:rPr>
          <w:spacing w:val="-2"/>
        </w:rPr>
        <w:t>（</w:t>
      </w:r>
      <w:r>
        <w:rPr>
          <w:rFonts w:ascii="Times New Roman" w:hAnsi="Times New Roman" w:eastAsia="Times New Roman"/>
          <w:spacing w:val="-2"/>
        </w:rPr>
        <w:t>50mg/dl</w:t>
      </w:r>
      <w:r>
        <w:rPr>
          <w:spacing w:val="-2"/>
        </w:rPr>
        <w:t>）</w:t>
      </w:r>
      <w:r>
        <w:rPr>
          <w:spacing w:val="-5"/>
        </w:rPr>
        <w:t>以上；</w:t>
      </w:r>
    </w:p>
    <w:p>
      <w:pPr>
        <w:pStyle w:val="BodyText"/>
        <w:spacing w:before="43"/>
        <w:ind w:left="405"/>
      </w:pPr>
      <w:r>
        <w:rPr>
          <w:spacing w:val="-6"/>
        </w:rPr>
        <w:t>② 血糖为 </w:t>
      </w:r>
      <w:r>
        <w:rPr>
          <w:rFonts w:ascii="Times New Roman" w:hAnsi="Times New Roman" w:eastAsia="Times New Roman"/>
          <w:spacing w:val="-2"/>
        </w:rPr>
        <w:t>16.7</w:t>
      </w:r>
      <w:r>
        <w:rPr>
          <w:spacing w:val="-2"/>
        </w:rPr>
        <w:t>～</w:t>
      </w:r>
      <w:r>
        <w:rPr>
          <w:rFonts w:ascii="Times New Roman" w:hAnsi="Times New Roman" w:eastAsia="Times New Roman"/>
          <w:spacing w:val="-2"/>
        </w:rPr>
        <w:t>33.3mmol/L</w:t>
      </w:r>
      <w:r>
        <w:rPr>
          <w:spacing w:val="-2"/>
        </w:rPr>
        <w:t>（</w:t>
      </w:r>
      <w:r>
        <w:rPr>
          <w:rFonts w:ascii="Times New Roman" w:hAnsi="Times New Roman" w:eastAsia="Times New Roman"/>
          <w:spacing w:val="-2"/>
        </w:rPr>
        <w:t>300</w:t>
      </w:r>
      <w:r>
        <w:rPr>
          <w:spacing w:val="-2"/>
        </w:rPr>
        <w:t>～</w:t>
      </w:r>
      <w:r>
        <w:rPr>
          <w:rFonts w:ascii="Times New Roman" w:hAnsi="Times New Roman" w:eastAsia="Times New Roman"/>
          <w:spacing w:val="-2"/>
        </w:rPr>
        <w:t>600mg/dl</w:t>
      </w:r>
      <w:r>
        <w:rPr>
          <w:spacing w:val="-2"/>
        </w:rPr>
        <w:t>）</w:t>
      </w:r>
      <w:r>
        <w:rPr>
          <w:spacing w:val="-5"/>
        </w:rPr>
        <w:t>以上；</w:t>
      </w:r>
    </w:p>
    <w:p>
      <w:pPr>
        <w:pStyle w:val="ListParagraph"/>
        <w:numPr>
          <w:ilvl w:val="0"/>
          <w:numId w:val="91"/>
        </w:numPr>
        <w:tabs>
          <w:tab w:pos="762" w:val="left" w:leader="none"/>
        </w:tabs>
        <w:spacing w:line="240" w:lineRule="auto" w:before="43" w:after="0"/>
        <w:ind w:left="761" w:right="0" w:hanging="530"/>
        <w:jc w:val="left"/>
        <w:rPr>
          <w:sz w:val="21"/>
        </w:rPr>
      </w:pPr>
      <w:r>
        <w:rPr>
          <w:spacing w:val="-3"/>
          <w:sz w:val="21"/>
        </w:rPr>
        <w:t>医生有糖尿病周围神经病、糖尿病眼底病、糖尿病肾病的明确诊断；</w:t>
      </w:r>
    </w:p>
    <w:p>
      <w:pPr>
        <w:pStyle w:val="ListParagraph"/>
        <w:numPr>
          <w:ilvl w:val="0"/>
          <w:numId w:val="91"/>
        </w:numPr>
        <w:tabs>
          <w:tab w:pos="762" w:val="left" w:leader="none"/>
        </w:tabs>
        <w:spacing w:line="240" w:lineRule="auto" w:before="42" w:after="0"/>
        <w:ind w:left="761" w:right="0" w:hanging="530"/>
        <w:jc w:val="left"/>
        <w:rPr>
          <w:sz w:val="21"/>
        </w:rPr>
      </w:pPr>
      <w:r>
        <w:rPr>
          <w:spacing w:val="-5"/>
          <w:sz w:val="21"/>
        </w:rPr>
        <w:t>入住认可的医院的重症加强护理病房不少于 </w:t>
      </w:r>
      <w:r>
        <w:rPr>
          <w:rFonts w:ascii="Times New Roman" w:eastAsia="Times New Roman"/>
          <w:spacing w:val="-2"/>
          <w:sz w:val="21"/>
        </w:rPr>
        <w:t>48</w:t>
      </w:r>
      <w:r>
        <w:rPr>
          <w:rFonts w:ascii="Times New Roman" w:eastAsia="Times New Roman"/>
          <w:spacing w:val="5"/>
          <w:sz w:val="21"/>
        </w:rPr>
        <w:t> </w:t>
      </w:r>
      <w:r>
        <w:rPr>
          <w:spacing w:val="-5"/>
          <w:sz w:val="21"/>
        </w:rPr>
        <w:t>小时。</w:t>
      </w:r>
    </w:p>
    <w:p>
      <w:pPr>
        <w:spacing w:after="0" w:line="240" w:lineRule="auto"/>
        <w:jc w:val="left"/>
        <w:rPr>
          <w:sz w:val="21"/>
        </w:rPr>
        <w:sectPr>
          <w:type w:val="continuous"/>
          <w:pgSz w:w="11910" w:h="16840"/>
          <w:pgMar w:header="566" w:footer="664" w:top="1340" w:bottom="860" w:left="900" w:right="720"/>
          <w:cols w:num="2" w:equalWidth="0">
            <w:col w:w="2551" w:space="111"/>
            <w:col w:w="7628"/>
          </w:cols>
        </w:sectPr>
      </w:pPr>
    </w:p>
    <w:p>
      <w:pPr>
        <w:pStyle w:val="BodyText"/>
        <w:spacing w:before="1"/>
        <w:rPr>
          <w:sz w:val="11"/>
        </w:rPr>
      </w:pPr>
    </w:p>
    <w:p>
      <w:pPr>
        <w:pStyle w:val="ListParagraph"/>
        <w:numPr>
          <w:ilvl w:val="2"/>
          <w:numId w:val="86"/>
        </w:numPr>
        <w:tabs>
          <w:tab w:pos="1190" w:val="left" w:leader="none"/>
          <w:tab w:pos="1191" w:val="left" w:leader="none"/>
        </w:tabs>
        <w:spacing w:line="235" w:lineRule="auto" w:before="10" w:after="0"/>
        <w:ind w:left="2895" w:right="451" w:hanging="2663"/>
        <w:jc w:val="left"/>
        <w:rPr>
          <w:sz w:val="21"/>
        </w:rPr>
      </w:pPr>
      <w:r>
        <w:rPr>
          <w:rFonts w:ascii="微软雅黑" w:eastAsia="微软雅黑"/>
          <w:b/>
          <w:spacing w:val="-24"/>
          <w:sz w:val="21"/>
        </w:rPr>
        <w:t>心房纤颤</w:t>
      </w:r>
      <w:r>
        <w:rPr>
          <w:rFonts w:ascii="微软雅黑" w:eastAsia="微软雅黑"/>
          <w:b/>
          <w:sz w:val="21"/>
        </w:rPr>
        <w:t>（手术）</w:t>
      </w:r>
      <w:r>
        <w:rPr>
          <w:rFonts w:ascii="微软雅黑" w:eastAsia="微软雅黑"/>
          <w:b/>
          <w:spacing w:val="30"/>
          <w:sz w:val="21"/>
        </w:rPr>
        <w:t> </w:t>
      </w:r>
      <w:r>
        <w:rPr>
          <w:sz w:val="21"/>
        </w:rPr>
        <w:t>指心脏的心房脱离正常窦性心律的控制而快速地、不规则颤动，带动心室和</w:t>
      </w:r>
      <w:r>
        <w:rPr>
          <w:spacing w:val="-2"/>
          <w:sz w:val="21"/>
        </w:rPr>
        <w:t>整个心脏快速跳动的病症，须符合如下两个条件：</w:t>
      </w:r>
    </w:p>
    <w:p>
      <w:pPr>
        <w:pStyle w:val="ListParagraph"/>
        <w:numPr>
          <w:ilvl w:val="3"/>
          <w:numId w:val="86"/>
        </w:numPr>
        <w:tabs>
          <w:tab w:pos="3425" w:val="left" w:leader="none"/>
        </w:tabs>
        <w:spacing w:line="240" w:lineRule="auto" w:before="43" w:after="0"/>
        <w:ind w:left="3424" w:right="0" w:hanging="530"/>
        <w:jc w:val="left"/>
        <w:rPr>
          <w:sz w:val="21"/>
        </w:rPr>
      </w:pPr>
      <w:r>
        <w:rPr>
          <w:spacing w:val="-3"/>
          <w:sz w:val="21"/>
        </w:rPr>
        <w:t>通过心电图和动态心电图确定诊断，为持续性或永久性心房纤颤；</w:t>
      </w:r>
    </w:p>
    <w:p>
      <w:pPr>
        <w:pStyle w:val="ListParagraph"/>
        <w:numPr>
          <w:ilvl w:val="3"/>
          <w:numId w:val="86"/>
        </w:numPr>
        <w:tabs>
          <w:tab w:pos="3425" w:val="left" w:leader="none"/>
        </w:tabs>
        <w:spacing w:line="240" w:lineRule="auto" w:before="43" w:after="0"/>
        <w:ind w:left="3424" w:right="0" w:hanging="530"/>
        <w:jc w:val="left"/>
        <w:rPr>
          <w:sz w:val="21"/>
        </w:rPr>
      </w:pPr>
      <w:r>
        <w:rPr>
          <w:spacing w:val="-3"/>
          <w:sz w:val="21"/>
        </w:rPr>
        <w:t>进行房颤射频消融术，或者其它开胸心房纤颤外科手术。</w:t>
      </w:r>
    </w:p>
    <w:p>
      <w:pPr>
        <w:pStyle w:val="BodyText"/>
        <w:spacing w:before="1"/>
        <w:rPr>
          <w:sz w:val="11"/>
        </w:rPr>
      </w:pPr>
    </w:p>
    <w:p>
      <w:pPr>
        <w:spacing w:after="0"/>
        <w:rPr>
          <w:sz w:val="11"/>
        </w:rPr>
        <w:sectPr>
          <w:type w:val="continuous"/>
          <w:pgSz w:w="11910" w:h="16840"/>
          <w:pgMar w:header="566" w:footer="664" w:top="1340" w:bottom="860" w:left="900" w:right="720"/>
        </w:sectPr>
      </w:pPr>
    </w:p>
    <w:p>
      <w:pPr>
        <w:pStyle w:val="ListParagraph"/>
        <w:numPr>
          <w:ilvl w:val="2"/>
          <w:numId w:val="86"/>
        </w:numPr>
        <w:tabs>
          <w:tab w:pos="1190" w:val="left" w:leader="none"/>
          <w:tab w:pos="1191" w:val="left" w:leader="none"/>
        </w:tabs>
        <w:spacing w:line="350" w:lineRule="exact" w:before="5" w:after="0"/>
        <w:ind w:left="1190" w:right="0" w:hanging="959"/>
        <w:jc w:val="left"/>
        <w:rPr>
          <w:rFonts w:ascii="微软雅黑" w:eastAsia="微软雅黑"/>
          <w:b/>
          <w:sz w:val="21"/>
        </w:rPr>
      </w:pPr>
      <w:r>
        <w:rPr>
          <w:rFonts w:ascii="微软雅黑" w:eastAsia="微软雅黑"/>
          <w:b/>
          <w:spacing w:val="-2"/>
          <w:sz w:val="21"/>
        </w:rPr>
        <w:t>糖尿病并发症引</w:t>
      </w:r>
    </w:p>
    <w:p>
      <w:pPr>
        <w:spacing w:line="350" w:lineRule="exact" w:before="0"/>
        <w:ind w:left="1190" w:right="0" w:firstLine="0"/>
        <w:jc w:val="left"/>
        <w:rPr>
          <w:rFonts w:ascii="微软雅黑" w:eastAsia="微软雅黑"/>
          <w:b/>
          <w:sz w:val="21"/>
        </w:rPr>
      </w:pPr>
      <w:r>
        <w:rPr>
          <w:rFonts w:ascii="微软雅黑" w:eastAsia="微软雅黑"/>
          <w:b/>
          <w:spacing w:val="-2"/>
          <w:sz w:val="21"/>
        </w:rPr>
        <w:t>致的视网膜病</w:t>
      </w:r>
    </w:p>
    <w:p>
      <w:pPr>
        <w:pStyle w:val="BodyText"/>
        <w:spacing w:before="72"/>
        <w:ind w:left="186"/>
      </w:pPr>
      <w:r>
        <w:rPr/>
        <w:br w:type="column"/>
      </w:r>
      <w:r>
        <w:rPr>
          <w:spacing w:val="-3"/>
        </w:rPr>
        <w:t>必须符合所有下列情况方符合糖尿病视网膜病变的定义：</w:t>
      </w:r>
    </w:p>
    <w:p>
      <w:pPr>
        <w:pStyle w:val="ListParagraph"/>
        <w:numPr>
          <w:ilvl w:val="0"/>
          <w:numId w:val="92"/>
        </w:numPr>
        <w:tabs>
          <w:tab w:pos="716" w:val="left" w:leader="none"/>
        </w:tabs>
        <w:spacing w:line="240" w:lineRule="auto" w:before="43" w:after="0"/>
        <w:ind w:left="715" w:right="0" w:hanging="530"/>
        <w:jc w:val="left"/>
        <w:rPr>
          <w:sz w:val="21"/>
        </w:rPr>
      </w:pPr>
      <w:r>
        <w:rPr>
          <w:spacing w:val="-3"/>
          <w:sz w:val="21"/>
        </w:rPr>
        <w:t>确诊糖尿病视网膜病变时存在糖尿病；及</w:t>
      </w:r>
    </w:p>
    <w:p>
      <w:pPr>
        <w:pStyle w:val="ListParagraph"/>
        <w:numPr>
          <w:ilvl w:val="0"/>
          <w:numId w:val="92"/>
        </w:numPr>
        <w:tabs>
          <w:tab w:pos="716" w:val="left" w:leader="none"/>
        </w:tabs>
        <w:spacing w:line="240" w:lineRule="auto" w:before="43" w:after="0"/>
        <w:ind w:left="715" w:right="0" w:hanging="530"/>
        <w:jc w:val="left"/>
        <w:rPr>
          <w:sz w:val="21"/>
        </w:rPr>
      </w:pPr>
      <w:r>
        <w:rPr>
          <w:spacing w:val="-3"/>
          <w:sz w:val="21"/>
        </w:rPr>
        <w:t>透过眼底检查发现糖尿病视网膜病变的典型并发症；及</w:t>
      </w:r>
    </w:p>
    <w:p>
      <w:pPr>
        <w:pStyle w:val="ListParagraph"/>
        <w:numPr>
          <w:ilvl w:val="0"/>
          <w:numId w:val="92"/>
        </w:numPr>
        <w:tabs>
          <w:tab w:pos="716" w:val="left" w:leader="none"/>
        </w:tabs>
        <w:spacing w:line="240" w:lineRule="auto" w:before="42" w:after="0"/>
        <w:ind w:left="715" w:right="0" w:hanging="530"/>
        <w:jc w:val="left"/>
        <w:rPr>
          <w:sz w:val="21"/>
        </w:rPr>
      </w:pPr>
      <w:r>
        <w:rPr>
          <w:spacing w:val="-25"/>
          <w:sz w:val="21"/>
        </w:rPr>
        <w:t>用 </w:t>
      </w:r>
      <w:r>
        <w:rPr>
          <w:rFonts w:ascii="Times New Roman" w:eastAsia="Times New Roman"/>
          <w:spacing w:val="-2"/>
          <w:sz w:val="21"/>
        </w:rPr>
        <w:t>Snellen</w:t>
      </w:r>
      <w:r>
        <w:rPr>
          <w:rFonts w:ascii="Times New Roman" w:eastAsia="Times New Roman"/>
          <w:spacing w:val="7"/>
          <w:sz w:val="21"/>
        </w:rPr>
        <w:t> </w:t>
      </w:r>
      <w:r>
        <w:rPr>
          <w:spacing w:val="-5"/>
          <w:sz w:val="21"/>
        </w:rPr>
        <w:t>视力检查表测量双眼的视力敏锐度为 </w:t>
      </w:r>
      <w:r>
        <w:rPr>
          <w:rFonts w:ascii="Times New Roman" w:eastAsia="Times New Roman"/>
          <w:spacing w:val="-2"/>
          <w:sz w:val="21"/>
        </w:rPr>
        <w:t>6/18</w:t>
      </w:r>
      <w:r>
        <w:rPr>
          <w:rFonts w:ascii="Times New Roman" w:eastAsia="Times New Roman"/>
          <w:spacing w:val="5"/>
          <w:sz w:val="21"/>
        </w:rPr>
        <w:t> </w:t>
      </w:r>
      <w:r>
        <w:rPr>
          <w:spacing w:val="-4"/>
          <w:sz w:val="21"/>
        </w:rPr>
        <w:t>线性差；及</w:t>
      </w:r>
    </w:p>
    <w:p>
      <w:pPr>
        <w:pStyle w:val="ListParagraph"/>
        <w:numPr>
          <w:ilvl w:val="0"/>
          <w:numId w:val="92"/>
        </w:numPr>
        <w:tabs>
          <w:tab w:pos="716" w:val="left" w:leader="none"/>
        </w:tabs>
        <w:spacing w:line="240" w:lineRule="auto" w:before="43" w:after="0"/>
        <w:ind w:left="715" w:right="0" w:hanging="530"/>
        <w:jc w:val="left"/>
        <w:rPr>
          <w:sz w:val="21"/>
        </w:rPr>
      </w:pPr>
      <w:r>
        <w:rPr>
          <w:spacing w:val="-3"/>
          <w:sz w:val="21"/>
        </w:rPr>
        <w:t>确实进行下列治疗以减轻视觉损害：</w:t>
      </w:r>
    </w:p>
    <w:p>
      <w:pPr>
        <w:spacing w:after="0" w:line="240" w:lineRule="auto"/>
        <w:jc w:val="left"/>
        <w:rPr>
          <w:sz w:val="21"/>
        </w:rPr>
        <w:sectPr>
          <w:type w:val="continuous"/>
          <w:pgSz w:w="11910" w:h="16840"/>
          <w:pgMar w:header="566" w:footer="664" w:top="1340" w:bottom="860" w:left="900" w:right="720"/>
          <w:cols w:num="2" w:equalWidth="0">
            <w:col w:w="2670" w:space="40"/>
            <w:col w:w="7580"/>
          </w:cols>
        </w:sectPr>
      </w:pPr>
    </w:p>
    <w:p>
      <w:pPr>
        <w:pStyle w:val="BodyText"/>
        <w:spacing w:before="85"/>
        <w:ind w:left="3068"/>
      </w:pPr>
      <w:r>
        <w:rPr>
          <w:spacing w:val="-4"/>
        </w:rPr>
        <w:t>① 激光凝固术；或</w:t>
      </w:r>
    </w:p>
    <w:p>
      <w:pPr>
        <w:pStyle w:val="BodyText"/>
        <w:spacing w:before="43"/>
        <w:ind w:left="3068"/>
      </w:pPr>
      <w:r>
        <w:rPr>
          <w:spacing w:val="-2"/>
        </w:rPr>
        <w:t>② 抗血管新生因子（</w:t>
      </w:r>
      <w:r>
        <w:rPr>
          <w:rFonts w:ascii="Times New Roman" w:hAnsi="Times New Roman" w:eastAsia="Times New Roman"/>
          <w:spacing w:val="-2"/>
        </w:rPr>
        <w:t>Anti-VEGF</w:t>
      </w:r>
      <w:r>
        <w:rPr>
          <w:spacing w:val="-2"/>
        </w:rPr>
        <w:t>）</w:t>
      </w:r>
      <w:r>
        <w:rPr>
          <w:spacing w:val="-4"/>
        </w:rPr>
        <w:t>注射；或</w:t>
      </w:r>
    </w:p>
    <w:p>
      <w:pPr>
        <w:pStyle w:val="BodyText"/>
        <w:spacing w:before="43"/>
        <w:ind w:left="3068"/>
      </w:pPr>
      <w:r>
        <w:rPr>
          <w:spacing w:val="-5"/>
        </w:rPr>
        <w:t>③ 玻璃体切除术；或</w:t>
      </w:r>
    </w:p>
    <w:p>
      <w:pPr>
        <w:pStyle w:val="BodyText"/>
        <w:spacing w:before="43"/>
        <w:ind w:left="3068"/>
      </w:pPr>
      <w:r>
        <w:rPr>
          <w:spacing w:val="-5"/>
        </w:rPr>
        <w:t>④ 视网膜手术；以及</w:t>
      </w:r>
    </w:p>
    <w:p>
      <w:pPr>
        <w:pStyle w:val="BodyText"/>
        <w:spacing w:before="1"/>
        <w:rPr>
          <w:sz w:val="5"/>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0"/>
        <w:gridCol w:w="1722"/>
        <w:gridCol w:w="7262"/>
      </w:tblGrid>
      <w:tr>
        <w:trPr>
          <w:trHeight w:val="665" w:hRule="atLeast"/>
        </w:trPr>
        <w:tc>
          <w:tcPr>
            <w:tcW w:w="2622" w:type="dxa"/>
            <w:gridSpan w:val="2"/>
          </w:tcPr>
          <w:p>
            <w:pPr>
              <w:pStyle w:val="TableParagraph"/>
              <w:rPr>
                <w:rFonts w:ascii="Times New Roman"/>
                <w:sz w:val="20"/>
              </w:rPr>
            </w:pPr>
          </w:p>
        </w:tc>
        <w:tc>
          <w:tcPr>
            <w:tcW w:w="7262" w:type="dxa"/>
          </w:tcPr>
          <w:p>
            <w:pPr>
              <w:pStyle w:val="TableParagraph"/>
              <w:spacing w:line="247" w:lineRule="exact"/>
              <w:ind w:left="90"/>
              <w:rPr>
                <w:sz w:val="21"/>
              </w:rPr>
            </w:pPr>
            <w:r>
              <w:rPr>
                <w:spacing w:val="-4"/>
                <w:sz w:val="21"/>
              </w:rPr>
              <w:t>（</w:t>
            </w:r>
            <w:r>
              <w:rPr>
                <w:rFonts w:ascii="Times New Roman" w:eastAsia="Times New Roman"/>
                <w:spacing w:val="-4"/>
                <w:sz w:val="21"/>
              </w:rPr>
              <w:t>5</w:t>
            </w:r>
            <w:r>
              <w:rPr>
                <w:spacing w:val="-4"/>
                <w:sz w:val="21"/>
              </w:rPr>
              <w:t>）糖尿病视网膜病变的诊断，视觉受损的程度（由上述所有情况证明）</w:t>
            </w:r>
            <w:r>
              <w:rPr>
                <w:spacing w:val="-10"/>
                <w:sz w:val="21"/>
              </w:rPr>
              <w:t>及</w:t>
            </w:r>
          </w:p>
          <w:p>
            <w:pPr>
              <w:pStyle w:val="TableParagraph"/>
              <w:spacing w:before="43"/>
              <w:ind w:left="90"/>
              <w:rPr>
                <w:sz w:val="21"/>
              </w:rPr>
            </w:pPr>
            <w:r>
              <w:rPr>
                <w:spacing w:val="-3"/>
                <w:sz w:val="21"/>
              </w:rPr>
              <w:t>治疗的必要性必须由眼科专科医生确定。</w:t>
            </w:r>
          </w:p>
        </w:tc>
      </w:tr>
      <w:tr>
        <w:trPr>
          <w:trHeight w:val="3345" w:hRule="atLeast"/>
        </w:trPr>
        <w:tc>
          <w:tcPr>
            <w:tcW w:w="900" w:type="dxa"/>
          </w:tcPr>
          <w:p>
            <w:pPr>
              <w:pStyle w:val="TableParagraph"/>
              <w:spacing w:before="40"/>
              <w:ind w:left="50"/>
              <w:rPr>
                <w:rFonts w:ascii="微软雅黑"/>
                <w:b/>
                <w:sz w:val="21"/>
              </w:rPr>
            </w:pPr>
            <w:r>
              <w:rPr>
                <w:rFonts w:ascii="微软雅黑"/>
                <w:b/>
                <w:spacing w:val="-2"/>
                <w:sz w:val="21"/>
              </w:rPr>
              <w:t>11.1.20</w:t>
            </w:r>
          </w:p>
        </w:tc>
        <w:tc>
          <w:tcPr>
            <w:tcW w:w="1722" w:type="dxa"/>
          </w:tcPr>
          <w:p>
            <w:pPr>
              <w:pStyle w:val="TableParagraph"/>
              <w:spacing w:line="194" w:lineRule="auto" w:before="92"/>
              <w:ind w:left="108" w:right="133"/>
              <w:jc w:val="both"/>
              <w:rPr>
                <w:rFonts w:ascii="微软雅黑" w:eastAsia="微软雅黑"/>
                <w:b/>
                <w:sz w:val="21"/>
              </w:rPr>
            </w:pPr>
            <w:r>
              <w:rPr>
                <w:rFonts w:ascii="微软雅黑" w:eastAsia="微软雅黑"/>
                <w:b/>
                <w:spacing w:val="-2"/>
                <w:sz w:val="21"/>
              </w:rPr>
              <w:t>特定周围动脉疾</w:t>
            </w:r>
            <w:r>
              <w:rPr>
                <w:rFonts w:ascii="微软雅黑" w:eastAsia="微软雅黑"/>
                <w:b/>
                <w:spacing w:val="-2"/>
                <w:sz w:val="21"/>
              </w:rPr>
              <w:t>病的血管介入治</w:t>
            </w:r>
            <w:r>
              <w:rPr>
                <w:rFonts w:ascii="微软雅黑" w:eastAsia="微软雅黑"/>
                <w:b/>
                <w:spacing w:val="-10"/>
                <w:sz w:val="21"/>
              </w:rPr>
              <w:t>疗</w:t>
            </w:r>
          </w:p>
        </w:tc>
        <w:tc>
          <w:tcPr>
            <w:tcW w:w="7262" w:type="dxa"/>
          </w:tcPr>
          <w:p>
            <w:pPr>
              <w:pStyle w:val="TableParagraph"/>
              <w:spacing w:before="107"/>
              <w:ind w:left="90"/>
              <w:rPr>
                <w:sz w:val="21"/>
              </w:rPr>
            </w:pPr>
            <w:r>
              <w:rPr>
                <w:spacing w:val="-3"/>
                <w:sz w:val="21"/>
              </w:rPr>
              <w:t>指为治疗一条或者一条以上的下列动脉狭窄而实施的血管介入治疗：</w:t>
            </w:r>
          </w:p>
          <w:p>
            <w:pPr>
              <w:pStyle w:val="TableParagraph"/>
              <w:numPr>
                <w:ilvl w:val="0"/>
                <w:numId w:val="93"/>
              </w:numPr>
              <w:tabs>
                <w:tab w:pos="620" w:val="left" w:leader="none"/>
              </w:tabs>
              <w:spacing w:line="240" w:lineRule="auto" w:before="43" w:after="0"/>
              <w:ind w:left="619" w:right="0" w:hanging="530"/>
              <w:jc w:val="left"/>
              <w:rPr>
                <w:sz w:val="21"/>
              </w:rPr>
            </w:pPr>
            <w:r>
              <w:rPr>
                <w:spacing w:val="-3"/>
                <w:sz w:val="21"/>
              </w:rPr>
              <w:t>为下肢或者上肢供血的动脉；</w:t>
            </w:r>
          </w:p>
          <w:p>
            <w:pPr>
              <w:pStyle w:val="TableParagraph"/>
              <w:numPr>
                <w:ilvl w:val="0"/>
                <w:numId w:val="93"/>
              </w:numPr>
              <w:tabs>
                <w:tab w:pos="620" w:val="left" w:leader="none"/>
              </w:tabs>
              <w:spacing w:line="240" w:lineRule="auto" w:before="43" w:after="0"/>
              <w:ind w:left="619" w:right="0" w:hanging="530"/>
              <w:jc w:val="left"/>
              <w:rPr>
                <w:sz w:val="21"/>
              </w:rPr>
            </w:pPr>
            <w:r>
              <w:rPr>
                <w:spacing w:val="-4"/>
                <w:sz w:val="21"/>
              </w:rPr>
              <w:t>肾动脉；</w:t>
            </w:r>
          </w:p>
          <w:p>
            <w:pPr>
              <w:pStyle w:val="TableParagraph"/>
              <w:numPr>
                <w:ilvl w:val="0"/>
                <w:numId w:val="93"/>
              </w:numPr>
              <w:tabs>
                <w:tab w:pos="620" w:val="left" w:leader="none"/>
              </w:tabs>
              <w:spacing w:line="278" w:lineRule="auto" w:before="43" w:after="0"/>
              <w:ind w:left="90" w:right="5066" w:firstLine="0"/>
              <w:jc w:val="left"/>
              <w:rPr>
                <w:sz w:val="21"/>
              </w:rPr>
            </w:pPr>
            <w:r>
              <w:rPr>
                <w:spacing w:val="-2"/>
                <w:sz w:val="21"/>
              </w:rPr>
              <w:t>肠系膜动脉。</w:t>
            </w:r>
            <w:r>
              <w:rPr>
                <w:spacing w:val="105"/>
                <w:sz w:val="21"/>
              </w:rPr>
              <w:t> </w:t>
            </w:r>
            <w:r>
              <w:rPr>
                <w:spacing w:val="-2"/>
                <w:sz w:val="21"/>
              </w:rPr>
              <w:t>须满足下列全部条件：</w:t>
            </w:r>
          </w:p>
          <w:p>
            <w:pPr>
              <w:pStyle w:val="TableParagraph"/>
              <w:numPr>
                <w:ilvl w:val="0"/>
                <w:numId w:val="94"/>
              </w:numPr>
              <w:tabs>
                <w:tab w:pos="620" w:val="left" w:leader="none"/>
              </w:tabs>
              <w:spacing w:line="269" w:lineRule="exact" w:before="0" w:after="0"/>
              <w:ind w:left="619" w:right="0" w:hanging="530"/>
              <w:jc w:val="left"/>
              <w:rPr>
                <w:sz w:val="21"/>
              </w:rPr>
            </w:pPr>
            <w:r>
              <w:rPr>
                <w:spacing w:val="-2"/>
                <w:sz w:val="21"/>
              </w:rPr>
              <w:t>经血管造影术证实一条或者一条以上的上述动脉狭窄达到 </w:t>
            </w:r>
            <w:r>
              <w:rPr>
                <w:sz w:val="21"/>
              </w:rPr>
              <w:t>50%或者以上</w:t>
            </w:r>
            <w:r>
              <w:rPr>
                <w:spacing w:val="-10"/>
                <w:sz w:val="21"/>
              </w:rPr>
              <w:t>；</w:t>
            </w:r>
          </w:p>
          <w:p>
            <w:pPr>
              <w:pStyle w:val="TableParagraph"/>
              <w:numPr>
                <w:ilvl w:val="0"/>
                <w:numId w:val="94"/>
              </w:numPr>
              <w:tabs>
                <w:tab w:pos="620" w:val="left" w:leader="none"/>
              </w:tabs>
              <w:spacing w:line="240" w:lineRule="auto" w:before="43" w:after="0"/>
              <w:ind w:left="619" w:right="0" w:hanging="530"/>
              <w:jc w:val="left"/>
              <w:rPr>
                <w:sz w:val="21"/>
              </w:rPr>
            </w:pPr>
            <w:r>
              <w:rPr>
                <w:spacing w:val="-3"/>
                <w:sz w:val="21"/>
              </w:rPr>
              <w:t>对一条或者一条以上的上述动脉施行了血管介入治疗，如血管成形术及</w:t>
            </w:r>
          </w:p>
          <w:p>
            <w:pPr>
              <w:pStyle w:val="TableParagraph"/>
              <w:spacing w:before="43"/>
              <w:ind w:left="90"/>
              <w:rPr>
                <w:sz w:val="21"/>
              </w:rPr>
            </w:pPr>
            <w:r>
              <w:rPr>
                <w:spacing w:val="-3"/>
                <w:sz w:val="21"/>
              </w:rPr>
              <w:t>/或者进行植入支架或者动脉粥样瘤清除手术。</w:t>
            </w:r>
          </w:p>
          <w:p>
            <w:pPr>
              <w:pStyle w:val="TableParagraph"/>
              <w:spacing w:line="278" w:lineRule="auto" w:before="43"/>
              <w:ind w:left="90" w:right="232"/>
              <w:rPr>
                <w:sz w:val="21"/>
              </w:rPr>
            </w:pPr>
            <w:r>
              <w:rPr>
                <w:spacing w:val="-2"/>
                <w:sz w:val="21"/>
              </w:rPr>
              <w:t>此诊断及治疗均须在认可的医院内由血管疾病的专科医生认为是医疗必需的</w:t>
            </w:r>
            <w:r>
              <w:rPr>
                <w:spacing w:val="-2"/>
                <w:sz w:val="21"/>
              </w:rPr>
              <w:t>情况下进行。</w:t>
            </w:r>
          </w:p>
        </w:tc>
      </w:tr>
      <w:tr>
        <w:trPr>
          <w:trHeight w:val="491" w:hRule="atLeast"/>
        </w:trPr>
        <w:tc>
          <w:tcPr>
            <w:tcW w:w="900" w:type="dxa"/>
          </w:tcPr>
          <w:p>
            <w:pPr>
              <w:pStyle w:val="TableParagraph"/>
              <w:spacing w:line="389" w:lineRule="exact" w:before="82"/>
              <w:ind w:left="50"/>
              <w:rPr>
                <w:rFonts w:ascii="微软雅黑" w:hAnsi="微软雅黑"/>
                <w:b/>
                <w:sz w:val="28"/>
              </w:rPr>
            </w:pPr>
            <w:r>
              <w:rPr>
                <w:rFonts w:ascii="微软雅黑" w:hAnsi="微软雅黑"/>
                <w:b/>
                <w:w w:val="100"/>
                <w:sz w:val="28"/>
              </w:rPr>
              <w:t>⒓</w:t>
            </w:r>
          </w:p>
        </w:tc>
        <w:tc>
          <w:tcPr>
            <w:tcW w:w="1722" w:type="dxa"/>
          </w:tcPr>
          <w:p>
            <w:pPr>
              <w:pStyle w:val="TableParagraph"/>
              <w:spacing w:line="391" w:lineRule="exact" w:before="80"/>
              <w:ind w:left="187"/>
              <w:rPr>
                <w:rFonts w:ascii="微软雅黑" w:eastAsia="微软雅黑"/>
                <w:b/>
                <w:sz w:val="24"/>
              </w:rPr>
            </w:pPr>
            <w:r>
              <w:rPr>
                <w:rFonts w:ascii="微软雅黑" w:eastAsia="微软雅黑"/>
                <w:b/>
                <w:spacing w:val="-2"/>
                <w:sz w:val="24"/>
              </w:rPr>
              <w:t>男性特定疾病</w:t>
            </w:r>
          </w:p>
        </w:tc>
        <w:tc>
          <w:tcPr>
            <w:tcW w:w="7262" w:type="dxa"/>
          </w:tcPr>
          <w:p>
            <w:pPr>
              <w:pStyle w:val="TableParagraph"/>
              <w:rPr>
                <w:rFonts w:ascii="Times New Roman"/>
                <w:sz w:val="20"/>
              </w:rPr>
            </w:pPr>
          </w:p>
        </w:tc>
      </w:tr>
    </w:tbl>
    <w:p>
      <w:pPr>
        <w:pStyle w:val="BodyText"/>
        <w:spacing w:before="9"/>
        <w:rPr>
          <w:sz w:val="14"/>
        </w:rPr>
      </w:pPr>
    </w:p>
    <w:p>
      <w:pPr>
        <w:spacing w:before="1"/>
        <w:ind w:left="1270" w:right="0" w:firstLine="0"/>
        <w:jc w:val="left"/>
        <w:rPr>
          <w:rFonts w:ascii="微软雅黑" w:eastAsia="微软雅黑"/>
          <w:b/>
          <w:sz w:val="21"/>
        </w:rPr>
      </w:pPr>
      <w:r>
        <w:rPr>
          <w:rFonts w:ascii="微软雅黑" w:eastAsia="微软雅黑"/>
          <w:b/>
          <w:spacing w:val="-3"/>
          <w:sz w:val="21"/>
        </w:rPr>
        <w:t>这部分描述的是本合同所称男性特定疾病的释义。</w:t>
      </w:r>
    </w:p>
    <w:p>
      <w:pPr>
        <w:pStyle w:val="BodyText"/>
        <w:spacing w:before="6"/>
        <w:rPr>
          <w:rFonts w:ascii="微软雅黑"/>
          <w:b/>
          <w:sz w:val="3"/>
        </w:rPr>
      </w:pPr>
      <w:r>
        <w:rPr/>
        <w:drawing>
          <wp:anchor distT="0" distB="0" distL="0" distR="0" allowOverlap="1" layoutInCell="1" locked="0" behindDoc="0" simplePos="0" relativeHeight="104">
            <wp:simplePos x="0" y="0"/>
            <wp:positionH relativeFrom="page">
              <wp:posOffset>649223</wp:posOffset>
            </wp:positionH>
            <wp:positionV relativeFrom="paragraph">
              <wp:posOffset>54421</wp:posOffset>
            </wp:positionV>
            <wp:extent cx="6375399" cy="9144"/>
            <wp:effectExtent l="0" t="0" r="0" b="0"/>
            <wp:wrapTopAndBottom/>
            <wp:docPr id="89" name="image18.png"/>
            <wp:cNvGraphicFramePr>
              <a:graphicFrameLocks noChangeAspect="1"/>
            </wp:cNvGraphicFramePr>
            <a:graphic>
              <a:graphicData uri="http://schemas.openxmlformats.org/drawingml/2006/picture">
                <pic:pic>
                  <pic:nvPicPr>
                    <pic:cNvPr id="90" name="image18.png"/>
                    <pic:cNvPicPr/>
                  </pic:nvPicPr>
                  <pic:blipFill>
                    <a:blip r:embed="rId37" cstate="print"/>
                    <a:stretch>
                      <a:fillRect/>
                    </a:stretch>
                  </pic:blipFill>
                  <pic:spPr>
                    <a:xfrm>
                      <a:off x="0" y="0"/>
                      <a:ext cx="6375399" cy="9144"/>
                    </a:xfrm>
                    <a:prstGeom prst="rect">
                      <a:avLst/>
                    </a:prstGeom>
                  </pic:spPr>
                </pic:pic>
              </a:graphicData>
            </a:graphic>
          </wp:anchor>
        </w:drawing>
      </w:r>
    </w:p>
    <w:p>
      <w:pPr>
        <w:pStyle w:val="BodyText"/>
        <w:spacing w:before="7"/>
        <w:rPr>
          <w:rFonts w:ascii="微软雅黑"/>
          <w:b/>
          <w:sz w:val="6"/>
        </w:rPr>
      </w:pPr>
    </w:p>
    <w:p>
      <w:pPr>
        <w:spacing w:after="0"/>
        <w:rPr>
          <w:rFonts w:ascii="微软雅黑"/>
          <w:sz w:val="6"/>
        </w:rPr>
        <w:sectPr>
          <w:headerReference w:type="default" r:id="rId45"/>
          <w:footerReference w:type="default" r:id="rId46"/>
          <w:pgSz w:w="11910" w:h="16840"/>
          <w:pgMar w:header="566" w:footer="664" w:top="1340" w:bottom="860" w:left="900" w:right="720"/>
          <w:pgNumType w:start="1"/>
        </w:sectPr>
      </w:pPr>
    </w:p>
    <w:p>
      <w:pPr>
        <w:pStyle w:val="ListParagraph"/>
        <w:numPr>
          <w:ilvl w:val="1"/>
          <w:numId w:val="95"/>
        </w:numPr>
        <w:tabs>
          <w:tab w:pos="1269" w:val="left" w:leader="none"/>
          <w:tab w:pos="1270" w:val="left" w:leader="none"/>
        </w:tabs>
        <w:spacing w:line="194" w:lineRule="auto" w:before="57" w:after="0"/>
        <w:ind w:left="1270" w:right="0" w:hanging="1038"/>
        <w:jc w:val="left"/>
        <w:rPr>
          <w:rFonts w:ascii="微软雅黑" w:eastAsia="微软雅黑"/>
          <w:b/>
          <w:sz w:val="21"/>
        </w:rPr>
      </w:pPr>
      <w:r>
        <w:rPr>
          <w:rFonts w:ascii="微软雅黑" w:eastAsia="微软雅黑"/>
          <w:b/>
          <w:spacing w:val="8"/>
          <w:sz w:val="21"/>
        </w:rPr>
        <w:t>男性特定疾病定</w:t>
      </w:r>
      <w:r>
        <w:rPr>
          <w:rFonts w:ascii="微软雅黑" w:eastAsia="微软雅黑"/>
          <w:b/>
          <w:spacing w:val="-10"/>
          <w:sz w:val="21"/>
        </w:rPr>
        <w:t>义</w:t>
      </w:r>
    </w:p>
    <w:p>
      <w:pPr>
        <w:pStyle w:val="BodyText"/>
        <w:spacing w:line="278" w:lineRule="auto" w:before="72"/>
        <w:ind w:left="164" w:right="296"/>
        <w:jc w:val="both"/>
      </w:pPr>
      <w:r>
        <w:rPr/>
        <w:br w:type="column"/>
      </w:r>
      <w:r>
        <w:rPr>
          <w:spacing w:val="-2"/>
        </w:rPr>
        <w:t>本合同所指男性特定疾病，是被保险人经认可的医院专科医生明确诊断，发</w:t>
      </w:r>
      <w:r>
        <w:rPr>
          <w:spacing w:val="-3"/>
        </w:rPr>
        <w:t>生符合以下定义所述条件的疾病、疾病状态或手术，共计 </w:t>
      </w:r>
      <w:r>
        <w:rPr>
          <w:spacing w:val="-2"/>
        </w:rPr>
        <w:t>9</w:t>
      </w:r>
      <w:r>
        <w:rPr>
          <w:spacing w:val="-7"/>
        </w:rPr>
        <w:t> 种。男性特定疾</w:t>
      </w:r>
      <w:r>
        <w:rPr>
          <w:spacing w:val="-2"/>
        </w:rPr>
        <w:t>病名称及定义如下：</w:t>
      </w:r>
    </w:p>
    <w:p>
      <w:pPr>
        <w:spacing w:after="0" w:line="278" w:lineRule="auto"/>
        <w:jc w:val="both"/>
        <w:sectPr>
          <w:type w:val="continuous"/>
          <w:pgSz w:w="11910" w:h="16840"/>
          <w:pgMar w:header="566" w:footer="664" w:top="1340" w:bottom="860" w:left="900" w:right="720"/>
          <w:cols w:num="2" w:equalWidth="0">
            <w:col w:w="2833" w:space="40"/>
            <w:col w:w="7417"/>
          </w:cols>
        </w:sectPr>
      </w:pPr>
    </w:p>
    <w:p>
      <w:pPr>
        <w:pStyle w:val="ListParagraph"/>
        <w:numPr>
          <w:ilvl w:val="2"/>
          <w:numId w:val="95"/>
        </w:numPr>
        <w:tabs>
          <w:tab w:pos="1269" w:val="left" w:leader="none"/>
          <w:tab w:pos="1270" w:val="left" w:leader="none"/>
          <w:tab w:pos="3036" w:val="left" w:leader="none"/>
        </w:tabs>
        <w:spacing w:line="240" w:lineRule="auto" w:before="103" w:after="0"/>
        <w:ind w:left="1270" w:right="0" w:hanging="1038"/>
        <w:jc w:val="left"/>
        <w:rPr>
          <w:sz w:val="21"/>
        </w:rPr>
      </w:pPr>
      <w:r>
        <w:rPr/>
        <w:pict>
          <v:shape style="position:absolute;margin-left:196.850006pt;margin-top:39.168167pt;width:71.8pt;height:14.4pt;mso-position-horizontal-relative:page;mso-position-vertical-relative:paragraph;z-index:15785472" type="#_x0000_t202" id="docshape105" filled="true" fillcolor="#e4e4e4" stroked="false">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w w:val="95"/>
                      <w:sz w:val="22"/>
                    </w:rPr>
                    <w:t>（1）</w:t>
                  </w:r>
                  <w:r>
                    <w:rPr>
                      <w:rFonts w:ascii="微软雅黑" w:eastAsia="微软雅黑"/>
                      <w:b/>
                      <w:color w:val="000000"/>
                      <w:w w:val="95"/>
                      <w:sz w:val="22"/>
                    </w:rPr>
                    <w:t>原</w:t>
                  </w:r>
                  <w:r>
                    <w:rPr>
                      <w:rFonts w:ascii="微软雅黑" w:eastAsia="微软雅黑"/>
                      <w:b/>
                      <w:color w:val="000000"/>
                      <w:w w:val="95"/>
                      <w:sz w:val="22"/>
                    </w:rPr>
                    <w:t>位</w:t>
                  </w:r>
                  <w:r>
                    <w:rPr>
                      <w:rFonts w:ascii="微软雅黑" w:eastAsia="微软雅黑"/>
                      <w:b/>
                      <w:color w:val="000000"/>
                      <w:w w:val="95"/>
                      <w:sz w:val="22"/>
                    </w:rPr>
                    <w:t>癌</w:t>
                  </w:r>
                  <w:r>
                    <w:rPr>
                      <w:rFonts w:ascii="微软雅黑" w:eastAsia="微软雅黑"/>
                      <w:b/>
                      <w:color w:val="000000"/>
                      <w:spacing w:val="-10"/>
                      <w:w w:val="95"/>
                      <w:sz w:val="22"/>
                    </w:rPr>
                    <w:t>；</w:t>
                  </w:r>
                </w:p>
              </w:txbxContent>
            </v:textbox>
            <v:fill type="solid"/>
            <w10:wrap type="none"/>
          </v:shape>
        </w:pict>
      </w:r>
      <w:r>
        <w:rPr>
          <w:rFonts w:ascii="微软雅黑" w:eastAsia="微软雅黑"/>
          <w:b/>
          <w:sz w:val="21"/>
        </w:rPr>
        <w:t>前列腺恶性肿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于前列腺组织的恶性</w:t>
      </w:r>
      <w:r>
        <w:rPr>
          <w:spacing w:val="-2"/>
          <w:sz w:val="21"/>
        </w:rPr>
        <w:t>肿</w:t>
      </w:r>
      <w:r>
        <w:rPr>
          <w:spacing w:val="-2"/>
          <w:sz w:val="21"/>
        </w:rPr>
        <w:t>瘤</w:t>
      </w:r>
      <w:r>
        <w:rPr>
          <w:spacing w:val="-2"/>
          <w:sz w:val="21"/>
        </w:rPr>
        <w:t>，国际疾病分类码为</w:t>
      </w:r>
      <w:r>
        <w:rPr>
          <w:spacing w:val="-45"/>
          <w:sz w:val="21"/>
        </w:rPr>
        <w:t> </w:t>
      </w:r>
      <w:r>
        <w:rPr>
          <w:spacing w:val="-2"/>
          <w:sz w:val="21"/>
        </w:rPr>
        <w:t>C61</w:t>
      </w:r>
      <w:r>
        <w:rPr>
          <w:spacing w:val="-41"/>
          <w:sz w:val="21"/>
        </w:rPr>
        <w:t> </w:t>
      </w:r>
      <w:r>
        <w:rPr>
          <w:spacing w:val="-2"/>
          <w:sz w:val="21"/>
        </w:rPr>
        <w:t>大</w:t>
      </w:r>
      <w:r>
        <w:rPr>
          <w:spacing w:val="-2"/>
          <w:sz w:val="21"/>
        </w:rPr>
        <w:t>类</w:t>
      </w:r>
      <w:r>
        <w:rPr>
          <w:spacing w:val="-10"/>
          <w:sz w:val="21"/>
        </w:rPr>
        <w:t>。</w:t>
      </w:r>
    </w:p>
    <w:p>
      <w:pPr>
        <w:pStyle w:val="BodyText"/>
        <w:ind w:left="3037"/>
        <w:rPr>
          <w:sz w:val="20"/>
        </w:rPr>
      </w:pPr>
      <w:r>
        <w:rPr>
          <w:sz w:val="20"/>
        </w:rPr>
        <w:pict>
          <v:shape style="width:132.5pt;height:14.4pt;mso-position-horizontal-relative:char;mso-position-vertical-relative:line" type="#_x0000_t202" id="docshape106" filled="true" fillcolor="#e4e4e4"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spacing w:val="-3"/>
                      <w:sz w:val="22"/>
                    </w:rPr>
                    <w:t>下列疾病不在保障范围内：</w:t>
                  </w:r>
                </w:p>
              </w:txbxContent>
            </v:textbox>
            <v:fill type="solid"/>
          </v:shape>
        </w:pict>
      </w:r>
      <w:r>
        <w:rPr>
          <w:sz w:val="20"/>
        </w:rPr>
      </w:r>
    </w:p>
    <w:p>
      <w:pPr>
        <w:pStyle w:val="BodyText"/>
        <w:spacing w:before="10"/>
        <w:rPr>
          <w:sz w:val="20"/>
        </w:rPr>
      </w:pPr>
      <w:r>
        <w:rPr/>
        <w:pict>
          <v:shape style="position:absolute;margin-left:307.489990pt;margin-top:14.519092pt;width:138.050pt;height:14.4pt;mso-position-horizontal-relative:page;mso-position-vertical-relative:paragraph;z-index:-19084800" type="#_x0000_t202" id="docshape107" filled="true" fillcolor="#e4e4e4" stroked="false">
            <v:textbox inset="0,0,0,0">
              <w:txbxContent>
                <w:p>
                  <w:pPr>
                    <w:spacing w:line="288" w:lineRule="exact" w:before="0"/>
                    <w:ind w:left="110" w:right="0" w:firstLine="0"/>
                    <w:jc w:val="left"/>
                    <w:rPr>
                      <w:rFonts w:ascii="微软雅黑" w:eastAsia="微软雅黑"/>
                      <w:b/>
                      <w:color w:val="000000"/>
                      <w:sz w:val="22"/>
                    </w:rPr>
                  </w:pPr>
                  <w:r>
                    <w:rPr>
                      <w:rFonts w:ascii="微软雅黑" w:eastAsia="微软雅黑"/>
                      <w:b/>
                      <w:color w:val="000000"/>
                      <w:spacing w:val="-1"/>
                      <w:sz w:val="22"/>
                    </w:rPr>
                    <w:t>期或更轻分期的前列腺癌；</w:t>
                  </w:r>
                </w:p>
              </w:txbxContent>
            </v:textbox>
            <v:fill type="solid"/>
            <w10:wrap type="none"/>
          </v:shape>
        </w:pict>
      </w:r>
      <w:r>
        <w:rPr/>
        <w:pict>
          <v:shape style="position:absolute;margin-left:282.529999pt;margin-top:14.519092pt;width:25pt;height:14.4pt;mso-position-horizontal-relative:page;mso-position-vertical-relative:paragraph;z-index:-19084288" type="#_x0000_t202" id="docshape108" filled="true" fillcolor="#d9d9d9" stroked="false">
            <v:textbox inset="0,0,0,0">
              <w:txbxContent>
                <w:p>
                  <w:pPr>
                    <w:spacing w:line="288" w:lineRule="exact" w:before="0"/>
                    <w:ind w:left="0" w:right="-15" w:firstLine="0"/>
                    <w:jc w:val="left"/>
                    <w:rPr>
                      <w:rFonts w:ascii="微软雅黑"/>
                      <w:b/>
                      <w:color w:val="000000"/>
                      <w:sz w:val="11"/>
                    </w:rPr>
                  </w:pPr>
                  <w:r>
                    <w:rPr>
                      <w:rFonts w:ascii="微软雅黑"/>
                      <w:b/>
                      <w:color w:val="000000"/>
                      <w:spacing w:val="-2"/>
                      <w:w w:val="65"/>
                      <w:position w:val="1"/>
                      <w:sz w:val="22"/>
                    </w:rPr>
                    <w:t>T</w:t>
                  </w:r>
                  <w:r>
                    <w:rPr>
                      <w:rFonts w:ascii="微软雅黑"/>
                      <w:b/>
                      <w:color w:val="000000"/>
                      <w:spacing w:val="-2"/>
                      <w:w w:val="65"/>
                      <w:sz w:val="11"/>
                    </w:rPr>
                    <w:t>1</w:t>
                  </w:r>
                  <w:r>
                    <w:rPr>
                      <w:rFonts w:ascii="微软雅黑"/>
                      <w:b/>
                      <w:color w:val="000000"/>
                      <w:spacing w:val="-2"/>
                      <w:w w:val="65"/>
                      <w:position w:val="1"/>
                      <w:sz w:val="22"/>
                    </w:rPr>
                    <w:t>N</w:t>
                  </w:r>
                  <w:r>
                    <w:rPr>
                      <w:rFonts w:ascii="微软雅黑"/>
                      <w:b/>
                      <w:color w:val="000000"/>
                      <w:spacing w:val="-2"/>
                      <w:w w:val="65"/>
                      <w:sz w:val="11"/>
                    </w:rPr>
                    <w:t>0</w:t>
                  </w:r>
                  <w:r>
                    <w:rPr>
                      <w:rFonts w:ascii="微软雅黑"/>
                      <w:b/>
                      <w:color w:val="000000"/>
                      <w:spacing w:val="-2"/>
                      <w:w w:val="65"/>
                      <w:position w:val="1"/>
                      <w:sz w:val="22"/>
                    </w:rPr>
                    <w:t>M</w:t>
                  </w:r>
                  <w:r>
                    <w:rPr>
                      <w:rFonts w:ascii="微软雅黑"/>
                      <w:b/>
                      <w:color w:val="000000"/>
                      <w:spacing w:val="-2"/>
                      <w:w w:val="65"/>
                      <w:sz w:val="11"/>
                    </w:rPr>
                    <w:t>0</w:t>
                  </w:r>
                </w:p>
              </w:txbxContent>
            </v:textbox>
            <v:fill type="solid"/>
            <w10:wrap type="none"/>
          </v:shape>
        </w:pict>
      </w:r>
      <w:r>
        <w:rPr/>
        <w:pict>
          <v:shape style="position:absolute;margin-left:196.850006pt;margin-top:14.519092pt;width:85.7pt;height:14.4pt;mso-position-horizontal-relative:page;mso-position-vertical-relative:paragraph;z-index:-15673344;mso-wrap-distance-left:0;mso-wrap-distance-right:0" type="#_x0000_t202" id="docshape109" filled="true" fillcolor="#e4e4e4" stroked="false">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85"/>
                      <w:sz w:val="22"/>
                    </w:rPr>
                    <w:t>（2）TNM</w:t>
                  </w:r>
                  <w:r>
                    <w:rPr>
                      <w:rFonts w:ascii="微软雅黑" w:eastAsia="微软雅黑"/>
                      <w:b/>
                      <w:color w:val="000000"/>
                      <w:spacing w:val="43"/>
                      <w:w w:val="85"/>
                      <w:sz w:val="22"/>
                    </w:rPr>
                    <w:t> </w:t>
                  </w:r>
                  <w:r>
                    <w:rPr>
                      <w:rFonts w:ascii="微软雅黑" w:eastAsia="微软雅黑"/>
                      <w:b/>
                      <w:color w:val="000000"/>
                      <w:w w:val="85"/>
                      <w:sz w:val="22"/>
                    </w:rPr>
                    <w:t>分</w:t>
                  </w:r>
                  <w:r>
                    <w:rPr>
                      <w:rFonts w:ascii="微软雅黑" w:eastAsia="微软雅黑"/>
                      <w:b/>
                      <w:color w:val="000000"/>
                      <w:w w:val="85"/>
                      <w:sz w:val="22"/>
                    </w:rPr>
                    <w:t>期</w:t>
                  </w:r>
                  <w:r>
                    <w:rPr>
                      <w:rFonts w:ascii="微软雅黑" w:eastAsia="微软雅黑"/>
                      <w:b/>
                      <w:color w:val="000000"/>
                      <w:spacing w:val="-10"/>
                      <w:w w:val="85"/>
                      <w:sz w:val="22"/>
                    </w:rPr>
                    <w:t>为</w:t>
                  </w:r>
                </w:p>
              </w:txbxContent>
            </v:textbox>
            <v:fill type="solid"/>
            <w10:wrap type="topAndBottom"/>
          </v:shape>
        </w:pict>
      </w:r>
    </w:p>
    <w:p>
      <w:pPr>
        <w:pStyle w:val="BodyText"/>
        <w:rPr>
          <w:sz w:val="2"/>
        </w:rPr>
      </w:pPr>
    </w:p>
    <w:p>
      <w:pPr>
        <w:pStyle w:val="BodyText"/>
        <w:ind w:left="3037"/>
        <w:rPr>
          <w:sz w:val="20"/>
        </w:rPr>
      </w:pPr>
      <w:r>
        <w:rPr>
          <w:sz w:val="20"/>
        </w:rPr>
        <w:pict>
          <v:shape style="width:160.25pt;height:14.4pt;mso-position-horizontal-relative:char;mso-position-vertical-relative:line" type="#_x0000_t202" id="docshape110" filled="true" fillcolor="#e4e4e4"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（3）</w:t>
                  </w:r>
                  <w:r>
                    <w:rPr>
                      <w:rFonts w:ascii="微软雅黑" w:eastAsia="微软雅黑"/>
                      <w:b/>
                      <w:color w:val="000000"/>
                      <w:spacing w:val="-1"/>
                      <w:w w:val="95"/>
                      <w:sz w:val="22"/>
                    </w:rPr>
                    <w:t>转移至前列腺的恶性肿瘤；</w:t>
                  </w:r>
                </w:p>
              </w:txbxContent>
            </v:textbox>
            <v:fill type="solid"/>
          </v:shape>
        </w:pict>
      </w:r>
      <w:r>
        <w:rPr>
          <w:sz w:val="20"/>
        </w:rPr>
      </w:r>
    </w:p>
    <w:p>
      <w:pPr>
        <w:pStyle w:val="BodyText"/>
        <w:ind w:left="3037"/>
        <w:rPr>
          <w:sz w:val="20"/>
        </w:rPr>
      </w:pPr>
      <w:r>
        <w:rPr>
          <w:sz w:val="20"/>
        </w:rPr>
        <w:pict>
          <v:shape style="width:259.6500pt;height:14.4pt;mso-position-horizontal-relative:char;mso-position-vertical-relative:line" type="#_x0000_t202" id="docshape111" filled="true" fillcolor="#e4e4e4"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（4）</w:t>
                  </w:r>
                  <w:r>
                    <w:rPr>
                      <w:rFonts w:ascii="微软雅黑" w:eastAsia="微软雅黑"/>
                      <w:b/>
                      <w:color w:val="000000"/>
                      <w:spacing w:val="-1"/>
                      <w:w w:val="95"/>
                      <w:sz w:val="22"/>
                    </w:rPr>
                    <w:t>感染艾滋病病毒或患艾滋病期间所患恶性肿瘤。</w:t>
                  </w:r>
                </w:p>
              </w:txbxContent>
            </v:textbox>
            <v:fill type="solid"/>
          </v:shape>
        </w:pict>
      </w:r>
      <w:r>
        <w:rPr>
          <w:sz w:val="20"/>
        </w:rPr>
      </w:r>
    </w:p>
    <w:p>
      <w:pPr>
        <w:pStyle w:val="BodyText"/>
        <w:spacing w:before="9"/>
        <w:rPr>
          <w:sz w:val="7"/>
        </w:rPr>
      </w:pPr>
    </w:p>
    <w:p>
      <w:pPr>
        <w:pStyle w:val="ListParagraph"/>
        <w:numPr>
          <w:ilvl w:val="2"/>
          <w:numId w:val="95"/>
        </w:numPr>
        <w:tabs>
          <w:tab w:pos="1269" w:val="left" w:leader="none"/>
          <w:tab w:pos="1270" w:val="left" w:leader="none"/>
          <w:tab w:pos="3036" w:val="left" w:leader="none"/>
        </w:tabs>
        <w:spacing w:line="240" w:lineRule="auto" w:before="5" w:after="0"/>
        <w:ind w:left="1270" w:right="0" w:hanging="1038"/>
        <w:jc w:val="left"/>
        <w:rPr>
          <w:sz w:val="21"/>
        </w:rPr>
      </w:pPr>
      <w:r>
        <w:rPr>
          <w:rFonts w:ascii="微软雅黑" w:eastAsia="微软雅黑"/>
          <w:b/>
          <w:sz w:val="21"/>
        </w:rPr>
        <w:t>胰腺恶性肿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于胰腺组织的恶性肿</w:t>
      </w:r>
      <w:r>
        <w:rPr>
          <w:spacing w:val="-2"/>
          <w:sz w:val="21"/>
        </w:rPr>
        <w:t>瘤</w:t>
      </w:r>
      <w:r>
        <w:rPr>
          <w:spacing w:val="-2"/>
          <w:sz w:val="21"/>
        </w:rPr>
        <w:t>，国际疾病分类码为</w:t>
      </w:r>
      <w:r>
        <w:rPr>
          <w:spacing w:val="-45"/>
          <w:sz w:val="21"/>
        </w:rPr>
        <w:t> </w:t>
      </w:r>
      <w:r>
        <w:rPr>
          <w:spacing w:val="-2"/>
          <w:sz w:val="21"/>
        </w:rPr>
        <w:t>C25</w:t>
      </w:r>
      <w:r>
        <w:rPr>
          <w:spacing w:val="-45"/>
          <w:sz w:val="21"/>
        </w:rPr>
        <w:t> </w:t>
      </w:r>
      <w:r>
        <w:rPr>
          <w:spacing w:val="-2"/>
          <w:sz w:val="21"/>
        </w:rPr>
        <w:t>大类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334"/>
        <w:gridCol w:w="2209"/>
      </w:tblGrid>
      <w:tr>
        <w:trPr>
          <w:trHeight w:val="285"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2" w:hRule="atLeast"/>
        </w:trPr>
        <w:tc>
          <w:tcPr>
            <w:tcW w:w="1435" w:type="dxa"/>
            <w:tcBorders>
              <w:top w:val="single" w:sz="12" w:space="0" w:color="FFFFFF"/>
              <w:bottom w:val="single" w:sz="12" w:space="0" w:color="FFFFFF"/>
            </w:tcBorders>
            <w:shd w:val="clear" w:color="auto" w:fill="E4E4E4"/>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1" w:hRule="atLeast"/>
        </w:trPr>
        <w:tc>
          <w:tcPr>
            <w:tcW w:w="2984"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胰</w:t>
            </w:r>
            <w:r>
              <w:rPr>
                <w:rFonts w:ascii="微软雅黑" w:eastAsia="微软雅黑"/>
                <w:b/>
                <w:w w:val="95"/>
                <w:sz w:val="22"/>
              </w:rPr>
              <w:t>腺</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2209" w:type="dxa"/>
            <w:tcBorders>
              <w:top w:val="single" w:sz="12" w:space="0" w:color="FFFFFF"/>
              <w:bottom w:val="single" w:sz="12" w:space="0" w:color="FFFFFF"/>
            </w:tcBorders>
          </w:tcPr>
          <w:p>
            <w:pPr>
              <w:pStyle w:val="TableParagraph"/>
              <w:rPr>
                <w:rFonts w:ascii="Times New Roman"/>
                <w:sz w:val="20"/>
              </w:rPr>
            </w:pPr>
          </w:p>
        </w:tc>
      </w:tr>
      <w:tr>
        <w:trPr>
          <w:trHeight w:val="284" w:hRule="atLeast"/>
        </w:trPr>
        <w:tc>
          <w:tcPr>
            <w:tcW w:w="5193" w:type="dxa"/>
            <w:gridSpan w:val="4"/>
            <w:tcBorders>
              <w:top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pStyle w:val="ListParagraph"/>
        <w:numPr>
          <w:ilvl w:val="2"/>
          <w:numId w:val="95"/>
        </w:numPr>
        <w:tabs>
          <w:tab w:pos="1269" w:val="left" w:leader="none"/>
          <w:tab w:pos="1270" w:val="left" w:leader="none"/>
          <w:tab w:pos="3036" w:val="left" w:leader="none"/>
        </w:tabs>
        <w:spacing w:line="240" w:lineRule="auto" w:before="122" w:after="0"/>
        <w:ind w:left="1270" w:right="0" w:hanging="1038"/>
        <w:jc w:val="left"/>
        <w:rPr>
          <w:sz w:val="21"/>
        </w:rPr>
      </w:pPr>
      <w:r>
        <w:rPr>
          <w:rFonts w:ascii="微软雅黑" w:eastAsia="微软雅黑"/>
          <w:b/>
          <w:sz w:val="21"/>
        </w:rPr>
        <w:t>食管恶性肿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于食管组织的恶性肿</w:t>
      </w:r>
      <w:r>
        <w:rPr>
          <w:spacing w:val="-2"/>
          <w:sz w:val="21"/>
        </w:rPr>
        <w:t>瘤</w:t>
      </w:r>
      <w:r>
        <w:rPr>
          <w:spacing w:val="-2"/>
          <w:sz w:val="21"/>
        </w:rPr>
        <w:t>，国际疾病分类码为</w:t>
      </w:r>
      <w:r>
        <w:rPr>
          <w:spacing w:val="-45"/>
          <w:sz w:val="21"/>
        </w:rPr>
        <w:t> </w:t>
      </w:r>
      <w:r>
        <w:rPr>
          <w:spacing w:val="-2"/>
          <w:sz w:val="21"/>
        </w:rPr>
        <w:t>C15</w:t>
      </w:r>
      <w:r>
        <w:rPr>
          <w:spacing w:val="-45"/>
          <w:sz w:val="21"/>
        </w:rPr>
        <w:t> </w:t>
      </w:r>
      <w:r>
        <w:rPr>
          <w:spacing w:val="-2"/>
          <w:sz w:val="21"/>
        </w:rPr>
        <w:t>大类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334"/>
        <w:gridCol w:w="2209"/>
      </w:tblGrid>
      <w:tr>
        <w:trPr>
          <w:trHeight w:val="285"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1" w:hRule="atLeast"/>
        </w:trPr>
        <w:tc>
          <w:tcPr>
            <w:tcW w:w="1435" w:type="dxa"/>
            <w:tcBorders>
              <w:top w:val="single" w:sz="12" w:space="0" w:color="FFFFFF"/>
              <w:bottom w:val="single" w:sz="12" w:space="0" w:color="FFFFFF"/>
            </w:tcBorders>
            <w:shd w:val="clear" w:color="auto" w:fill="E4E4E4"/>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1" w:hRule="atLeast"/>
        </w:trPr>
        <w:tc>
          <w:tcPr>
            <w:tcW w:w="2984"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食</w:t>
            </w:r>
            <w:r>
              <w:rPr>
                <w:rFonts w:ascii="微软雅黑" w:eastAsia="微软雅黑"/>
                <w:b/>
                <w:w w:val="95"/>
                <w:sz w:val="22"/>
              </w:rPr>
              <w:t>管</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2209"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5193" w:type="dxa"/>
            <w:gridSpan w:val="4"/>
            <w:tcBorders>
              <w:top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pStyle w:val="ListParagraph"/>
        <w:numPr>
          <w:ilvl w:val="2"/>
          <w:numId w:val="95"/>
        </w:numPr>
        <w:tabs>
          <w:tab w:pos="1269" w:val="left" w:leader="none"/>
          <w:tab w:pos="1270" w:val="left" w:leader="none"/>
          <w:tab w:pos="3036" w:val="left" w:leader="none"/>
        </w:tabs>
        <w:spacing w:line="344" w:lineRule="exact" w:before="121" w:after="0"/>
        <w:ind w:left="1270" w:right="0" w:hanging="1038"/>
        <w:jc w:val="left"/>
        <w:rPr>
          <w:sz w:val="21"/>
        </w:rPr>
      </w:pPr>
      <w:r>
        <w:rPr>
          <w:rFonts w:ascii="微软雅黑" w:eastAsia="微软雅黑"/>
          <w:b/>
          <w:sz w:val="21"/>
        </w:rPr>
        <w:t>胃恶性肿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于胃组织的恶性肿瘤，</w:t>
      </w:r>
      <w:r>
        <w:rPr>
          <w:spacing w:val="-2"/>
          <w:sz w:val="21"/>
        </w:rPr>
        <w:t>国</w:t>
      </w:r>
      <w:r>
        <w:rPr>
          <w:spacing w:val="-2"/>
          <w:sz w:val="21"/>
        </w:rPr>
        <w:t>际疾病分类码为</w:t>
      </w:r>
      <w:r>
        <w:rPr>
          <w:spacing w:val="-44"/>
          <w:sz w:val="21"/>
        </w:rPr>
        <w:t> </w:t>
      </w:r>
      <w:r>
        <w:rPr>
          <w:spacing w:val="-2"/>
          <w:sz w:val="21"/>
        </w:rPr>
        <w:t>C16</w:t>
      </w:r>
      <w:r>
        <w:rPr>
          <w:spacing w:val="-43"/>
          <w:sz w:val="21"/>
        </w:rPr>
        <w:t> </w:t>
      </w:r>
      <w:r>
        <w:rPr>
          <w:spacing w:val="-2"/>
          <w:sz w:val="21"/>
        </w:rPr>
        <w:t>大</w:t>
      </w:r>
      <w:r>
        <w:rPr>
          <w:spacing w:val="-2"/>
          <w:sz w:val="21"/>
        </w:rPr>
        <w:t>类</w:t>
      </w:r>
      <w:r>
        <w:rPr>
          <w:spacing w:val="-10"/>
          <w:sz w:val="21"/>
        </w:rPr>
        <w:t>。</w:t>
      </w:r>
    </w:p>
    <w:p>
      <w:pPr>
        <w:pStyle w:val="Heading1"/>
        <w:spacing w:line="363" w:lineRule="exact"/>
        <w:ind w:left="3037"/>
      </w:pPr>
      <w:r>
        <w:rPr>
          <w:color w:val="000000"/>
          <w:spacing w:val="-1"/>
          <w:shd w:fill="E4E4E4" w:color="auto" w:val="clear"/>
        </w:rPr>
        <w:t>下列疾病不在保障范围内：</w:t>
      </w:r>
    </w:p>
    <w:p>
      <w:pPr>
        <w:spacing w:after="0" w:line="363" w:lineRule="exact"/>
        <w:sectPr>
          <w:type w:val="continuous"/>
          <w:pgSz w:w="11910" w:h="16840"/>
          <w:pgMar w:header="566" w:footer="664" w:top="1340" w:bottom="860" w:left="900" w:right="720"/>
        </w:sectPr>
      </w:pPr>
    </w:p>
    <w:p>
      <w:pPr>
        <w:pStyle w:val="BodyText"/>
        <w:rPr>
          <w:rFonts w:ascii="微软雅黑"/>
          <w:b/>
          <w:sz w:val="4"/>
        </w:rPr>
      </w:pPr>
    </w:p>
    <w:p>
      <w:pPr>
        <w:pStyle w:val="BodyText"/>
        <w:spacing w:line="288" w:lineRule="exact"/>
        <w:ind w:left="3037"/>
        <w:rPr>
          <w:rFonts w:ascii="微软雅黑"/>
          <w:sz w:val="20"/>
        </w:rPr>
      </w:pPr>
      <w:r>
        <w:rPr>
          <w:rFonts w:ascii="微软雅黑"/>
          <w:position w:val="-5"/>
          <w:sz w:val="20"/>
        </w:rPr>
        <w:pict>
          <v:shape style="width:71.8pt;height:14.4pt;mso-position-horizontal-relative:char;mso-position-vertical-relative:line" type="#_x0000_t202" id="docshape112" filled="true" fillcolor="#e4e4e4" stroked="false">
            <w10:anchorlock/>
            <v:textbox inset="0,0,0,0">
              <w:txbxContent>
                <w:p>
                  <w:pPr>
                    <w:spacing w:line="288" w:lineRule="exact" w:before="0"/>
                    <w:ind w:left="0" w:right="-15" w:firstLine="0"/>
                    <w:jc w:val="left"/>
                    <w:rPr>
                      <w:rFonts w:ascii="微软雅黑" w:eastAsia="微软雅黑"/>
                      <w:b/>
                      <w:color w:val="000000"/>
                      <w:sz w:val="22"/>
                    </w:rPr>
                  </w:pPr>
                  <w:r>
                    <w:rPr>
                      <w:rFonts w:ascii="微软雅黑" w:eastAsia="微软雅黑"/>
                      <w:b/>
                      <w:color w:val="000000"/>
                      <w:w w:val="95"/>
                      <w:sz w:val="22"/>
                    </w:rPr>
                    <w:t>（1）</w:t>
                  </w:r>
                  <w:r>
                    <w:rPr>
                      <w:rFonts w:ascii="微软雅黑" w:eastAsia="微软雅黑"/>
                      <w:b/>
                      <w:color w:val="000000"/>
                      <w:spacing w:val="-3"/>
                      <w:w w:val="95"/>
                      <w:sz w:val="22"/>
                    </w:rPr>
                    <w:t>原位癌；</w:t>
                  </w:r>
                </w:p>
              </w:txbxContent>
            </v:textbox>
            <v:fill type="solid"/>
          </v:shape>
        </w:pict>
      </w:r>
      <w:r>
        <w:rPr>
          <w:rFonts w:ascii="微软雅黑"/>
          <w:position w:val="-5"/>
          <w:sz w:val="20"/>
        </w:rPr>
      </w:r>
    </w:p>
    <w:p>
      <w:pPr>
        <w:pStyle w:val="BodyText"/>
        <w:rPr>
          <w:rFonts w:ascii="微软雅黑"/>
          <w:b/>
          <w:sz w:val="2"/>
        </w:rPr>
      </w:pPr>
    </w:p>
    <w:p>
      <w:pPr>
        <w:pStyle w:val="BodyText"/>
        <w:spacing w:line="288" w:lineRule="exact"/>
        <w:ind w:left="3037"/>
        <w:rPr>
          <w:rFonts w:ascii="微软雅黑"/>
          <w:sz w:val="20"/>
        </w:rPr>
      </w:pPr>
      <w:r>
        <w:rPr>
          <w:rFonts w:ascii="微软雅黑"/>
          <w:position w:val="-5"/>
          <w:sz w:val="20"/>
        </w:rPr>
        <w:pict>
          <v:shape style="width:138.15pt;height:14.45pt;mso-position-horizontal-relative:char;mso-position-vertical-relative:line" type="#_x0000_t202" id="docshape113" filled="true" fillcolor="#e4e4e4"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（2）</w:t>
                  </w:r>
                  <w:r>
                    <w:rPr>
                      <w:rFonts w:ascii="微软雅黑" w:eastAsia="微软雅黑"/>
                      <w:b/>
                      <w:color w:val="000000"/>
                      <w:spacing w:val="-1"/>
                      <w:w w:val="95"/>
                      <w:sz w:val="22"/>
                    </w:rPr>
                    <w:t>转移至胃的恶性肿瘤；</w:t>
                  </w:r>
                </w:p>
              </w:txbxContent>
            </v:textbox>
            <v:fill type="solid"/>
          </v:shape>
        </w:pict>
      </w:r>
      <w:r>
        <w:rPr>
          <w:rFonts w:ascii="微软雅黑"/>
          <w:position w:val="-5"/>
          <w:sz w:val="20"/>
        </w:rPr>
      </w:r>
    </w:p>
    <w:p>
      <w:pPr>
        <w:pStyle w:val="BodyText"/>
        <w:spacing w:line="288" w:lineRule="exact"/>
        <w:ind w:left="3037"/>
        <w:rPr>
          <w:rFonts w:ascii="微软雅黑"/>
          <w:sz w:val="20"/>
        </w:rPr>
      </w:pPr>
      <w:r>
        <w:rPr>
          <w:rFonts w:ascii="微软雅黑"/>
          <w:position w:val="-5"/>
          <w:sz w:val="20"/>
        </w:rPr>
        <w:pict>
          <v:shape style="width:259.6500pt;height:14.4pt;mso-position-horizontal-relative:char;mso-position-vertical-relative:line" type="#_x0000_t202" id="docshape114" filled="true" fillcolor="#e4e4e4" stroked="false">
            <w10:anchorlock/>
            <v:textbox inset="0,0,0,0">
              <w:txbxContent>
                <w:p>
                  <w:pPr>
                    <w:spacing w:line="288" w:lineRule="exact" w:before="0"/>
                    <w:ind w:left="0" w:right="0" w:firstLine="0"/>
                    <w:jc w:val="left"/>
                    <w:rPr>
                      <w:rFonts w:ascii="微软雅黑" w:eastAsia="微软雅黑"/>
                      <w:b/>
                      <w:color w:val="000000"/>
                      <w:sz w:val="22"/>
                    </w:rPr>
                  </w:pPr>
                  <w:r>
                    <w:rPr>
                      <w:rFonts w:ascii="微软雅黑" w:eastAsia="微软雅黑"/>
                      <w:b/>
                      <w:color w:val="000000"/>
                      <w:w w:val="95"/>
                      <w:sz w:val="22"/>
                    </w:rPr>
                    <w:t>（3）</w:t>
                  </w:r>
                  <w:r>
                    <w:rPr>
                      <w:rFonts w:ascii="微软雅黑" w:eastAsia="微软雅黑"/>
                      <w:b/>
                      <w:color w:val="000000"/>
                      <w:spacing w:val="-1"/>
                      <w:w w:val="95"/>
                      <w:sz w:val="22"/>
                    </w:rPr>
                    <w:t>感染艾滋病病毒或患艾滋病期间所患恶性肿瘤。</w:t>
                  </w:r>
                </w:p>
              </w:txbxContent>
            </v:textbox>
            <v:fill type="solid"/>
          </v:shape>
        </w:pict>
      </w:r>
      <w:r>
        <w:rPr>
          <w:rFonts w:ascii="微软雅黑"/>
          <w:position w:val="-5"/>
          <w:sz w:val="20"/>
        </w:rPr>
      </w:r>
    </w:p>
    <w:p>
      <w:pPr>
        <w:pStyle w:val="BodyText"/>
        <w:spacing w:before="16"/>
        <w:rPr>
          <w:rFonts w:ascii="微软雅黑"/>
          <w:b/>
          <w:sz w:val="7"/>
        </w:rPr>
      </w:pPr>
    </w:p>
    <w:p>
      <w:pPr>
        <w:pStyle w:val="ListParagraph"/>
        <w:numPr>
          <w:ilvl w:val="2"/>
          <w:numId w:val="95"/>
        </w:numPr>
        <w:tabs>
          <w:tab w:pos="1269" w:val="left" w:leader="none"/>
          <w:tab w:pos="1270" w:val="left" w:leader="none"/>
          <w:tab w:pos="3036" w:val="left" w:leader="none"/>
        </w:tabs>
        <w:spacing w:line="240" w:lineRule="auto" w:before="5" w:after="0"/>
        <w:ind w:left="1270" w:right="0" w:hanging="1038"/>
        <w:jc w:val="left"/>
        <w:rPr>
          <w:sz w:val="21"/>
        </w:rPr>
      </w:pPr>
      <w:r>
        <w:rPr>
          <w:rFonts w:ascii="微软雅黑" w:eastAsia="微软雅黑"/>
          <w:b/>
          <w:sz w:val="21"/>
        </w:rPr>
        <w:t>肝恶性肿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于肝组织的恶性肿瘤，</w:t>
      </w:r>
      <w:r>
        <w:rPr>
          <w:spacing w:val="-2"/>
          <w:sz w:val="21"/>
        </w:rPr>
        <w:t>国</w:t>
      </w:r>
      <w:r>
        <w:rPr>
          <w:spacing w:val="-2"/>
          <w:sz w:val="21"/>
        </w:rPr>
        <w:t>际疾病分类码为C22大</w:t>
      </w:r>
      <w:r>
        <w:rPr>
          <w:spacing w:val="-2"/>
          <w:sz w:val="21"/>
        </w:rPr>
        <w:t>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113"/>
        <w:gridCol w:w="2430"/>
      </w:tblGrid>
      <w:tr>
        <w:trPr>
          <w:trHeight w:val="285"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2" w:hRule="atLeast"/>
        </w:trPr>
        <w:tc>
          <w:tcPr>
            <w:tcW w:w="1435" w:type="dxa"/>
            <w:tcBorders>
              <w:top w:val="single" w:sz="12" w:space="0" w:color="FFFFFF"/>
              <w:bottom w:val="single" w:sz="12" w:space="0" w:color="FFFFFF"/>
            </w:tcBorders>
            <w:shd w:val="clear" w:color="auto" w:fill="E4E4E4"/>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2" w:hRule="atLeast"/>
        </w:trPr>
        <w:tc>
          <w:tcPr>
            <w:tcW w:w="2763"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肝</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2430"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5193" w:type="dxa"/>
            <w:gridSpan w:val="4"/>
            <w:tcBorders>
              <w:top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pStyle w:val="ListParagraph"/>
        <w:numPr>
          <w:ilvl w:val="2"/>
          <w:numId w:val="95"/>
        </w:numPr>
        <w:tabs>
          <w:tab w:pos="1269" w:val="left" w:leader="none"/>
          <w:tab w:pos="1270" w:val="left" w:leader="none"/>
          <w:tab w:pos="3036" w:val="left" w:leader="none"/>
        </w:tabs>
        <w:spacing w:line="240" w:lineRule="auto" w:before="117" w:after="0"/>
        <w:ind w:left="1270" w:right="0" w:hanging="1038"/>
        <w:jc w:val="left"/>
        <w:rPr>
          <w:sz w:val="21"/>
        </w:rPr>
      </w:pPr>
      <w:r>
        <w:rPr>
          <w:rFonts w:ascii="微软雅黑" w:eastAsia="微软雅黑"/>
          <w:b/>
          <w:sz w:val="21"/>
        </w:rPr>
        <w:t>结肠恶性肿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于结肠组织的恶性肿</w:t>
      </w:r>
      <w:r>
        <w:rPr>
          <w:spacing w:val="-2"/>
          <w:sz w:val="21"/>
        </w:rPr>
        <w:t>瘤</w:t>
      </w:r>
      <w:r>
        <w:rPr>
          <w:spacing w:val="-2"/>
          <w:sz w:val="21"/>
        </w:rPr>
        <w:t>，国际疾病分类码为C18</w:t>
      </w:r>
      <w:r>
        <w:rPr>
          <w:spacing w:val="-2"/>
          <w:sz w:val="21"/>
        </w:rPr>
        <w:t>大</w:t>
      </w:r>
      <w:r>
        <w:rPr>
          <w:spacing w:val="-2"/>
          <w:sz w:val="21"/>
        </w:rPr>
        <w:t>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334"/>
        <w:gridCol w:w="2209"/>
      </w:tblGrid>
      <w:tr>
        <w:trPr>
          <w:trHeight w:val="285"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1" w:hRule="atLeast"/>
        </w:trPr>
        <w:tc>
          <w:tcPr>
            <w:tcW w:w="1435" w:type="dxa"/>
            <w:tcBorders>
              <w:top w:val="single" w:sz="12" w:space="0" w:color="FFFFFF"/>
              <w:bottom w:val="single" w:sz="12" w:space="0" w:color="FFFFFF"/>
            </w:tcBorders>
            <w:shd w:val="clear" w:color="auto" w:fill="E4E4E4"/>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2" w:hRule="atLeast"/>
        </w:trPr>
        <w:tc>
          <w:tcPr>
            <w:tcW w:w="2984"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结</w:t>
            </w:r>
            <w:r>
              <w:rPr>
                <w:rFonts w:ascii="微软雅黑" w:eastAsia="微软雅黑"/>
                <w:b/>
                <w:w w:val="95"/>
                <w:sz w:val="22"/>
              </w:rPr>
              <w:t>肠</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2209"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5193" w:type="dxa"/>
            <w:gridSpan w:val="4"/>
            <w:tcBorders>
              <w:top w:val="single" w:sz="12" w:space="0" w:color="FFFFFF"/>
            </w:tcBorders>
            <w:shd w:val="clear" w:color="auto" w:fill="E4E4E4"/>
          </w:tcPr>
          <w:p>
            <w:pPr>
              <w:pStyle w:val="TableParagraph"/>
              <w:spacing w:line="266"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pStyle w:val="ListParagraph"/>
        <w:numPr>
          <w:ilvl w:val="2"/>
          <w:numId w:val="95"/>
        </w:numPr>
        <w:tabs>
          <w:tab w:pos="1269" w:val="left" w:leader="none"/>
          <w:tab w:pos="1270" w:val="left" w:leader="none"/>
          <w:tab w:pos="3036" w:val="left" w:leader="none"/>
        </w:tabs>
        <w:spacing w:line="240" w:lineRule="auto" w:before="121" w:after="0"/>
        <w:ind w:left="1270" w:right="0" w:hanging="1038"/>
        <w:jc w:val="left"/>
        <w:rPr>
          <w:sz w:val="21"/>
        </w:rPr>
      </w:pPr>
      <w:r>
        <w:rPr>
          <w:rFonts w:ascii="微软雅黑" w:eastAsia="微软雅黑"/>
          <w:b/>
          <w:sz w:val="21"/>
        </w:rPr>
        <w:t>直肠恶性肿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于直肠组织的恶性肿</w:t>
      </w:r>
      <w:r>
        <w:rPr>
          <w:spacing w:val="-2"/>
          <w:sz w:val="21"/>
        </w:rPr>
        <w:t>瘤</w:t>
      </w:r>
      <w:r>
        <w:rPr>
          <w:spacing w:val="-2"/>
          <w:sz w:val="21"/>
        </w:rPr>
        <w:t>，国际疾病分类码为C20</w:t>
      </w:r>
      <w:r>
        <w:rPr>
          <w:spacing w:val="-2"/>
          <w:sz w:val="21"/>
        </w:rPr>
        <w:t>大</w:t>
      </w:r>
      <w:r>
        <w:rPr>
          <w:spacing w:val="-2"/>
          <w:sz w:val="21"/>
        </w:rPr>
        <w:t>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334"/>
        <w:gridCol w:w="2209"/>
      </w:tblGrid>
      <w:tr>
        <w:trPr>
          <w:trHeight w:val="285"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2" w:hRule="atLeast"/>
        </w:trPr>
        <w:tc>
          <w:tcPr>
            <w:tcW w:w="1435" w:type="dxa"/>
            <w:tcBorders>
              <w:top w:val="single" w:sz="12" w:space="0" w:color="FFFFFF"/>
              <w:bottom w:val="single" w:sz="12" w:space="0" w:color="FFFFFF"/>
            </w:tcBorders>
            <w:shd w:val="clear" w:color="auto" w:fill="E4E4E4"/>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1" w:hRule="atLeast"/>
        </w:trPr>
        <w:tc>
          <w:tcPr>
            <w:tcW w:w="2984"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直</w:t>
            </w:r>
            <w:r>
              <w:rPr>
                <w:rFonts w:ascii="微软雅黑" w:eastAsia="微软雅黑"/>
                <w:b/>
                <w:w w:val="95"/>
                <w:sz w:val="22"/>
              </w:rPr>
              <w:t>肠</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2209"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5193" w:type="dxa"/>
            <w:gridSpan w:val="4"/>
            <w:tcBorders>
              <w:top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pStyle w:val="ListParagraph"/>
        <w:numPr>
          <w:ilvl w:val="2"/>
          <w:numId w:val="95"/>
        </w:numPr>
        <w:tabs>
          <w:tab w:pos="1269" w:val="left" w:leader="none"/>
          <w:tab w:pos="1270" w:val="left" w:leader="none"/>
          <w:tab w:pos="3036" w:val="left" w:leader="none"/>
        </w:tabs>
        <w:spacing w:line="240" w:lineRule="auto" w:before="120" w:after="0"/>
        <w:ind w:left="1270" w:right="0" w:hanging="1038"/>
        <w:jc w:val="left"/>
        <w:rPr>
          <w:sz w:val="21"/>
        </w:rPr>
      </w:pPr>
      <w:r>
        <w:rPr>
          <w:rFonts w:ascii="微软雅黑" w:eastAsia="微软雅黑"/>
          <w:b/>
          <w:sz w:val="21"/>
        </w:rPr>
        <w:t>阴茎恶性肿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于阴茎组织的恶性肿</w:t>
      </w:r>
      <w:r>
        <w:rPr>
          <w:spacing w:val="-2"/>
          <w:sz w:val="21"/>
        </w:rPr>
        <w:t>瘤</w:t>
      </w:r>
      <w:r>
        <w:rPr>
          <w:spacing w:val="-2"/>
          <w:sz w:val="21"/>
        </w:rPr>
        <w:t>，国际疾病分类码为C60</w:t>
      </w:r>
      <w:r>
        <w:rPr>
          <w:spacing w:val="-2"/>
          <w:sz w:val="21"/>
        </w:rPr>
        <w:t>大</w:t>
      </w:r>
      <w:r>
        <w:rPr>
          <w:spacing w:val="-2"/>
          <w:sz w:val="21"/>
        </w:rPr>
        <w:t>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334"/>
        <w:gridCol w:w="2209"/>
      </w:tblGrid>
      <w:tr>
        <w:trPr>
          <w:trHeight w:val="284"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2" w:hRule="atLeast"/>
        </w:trPr>
        <w:tc>
          <w:tcPr>
            <w:tcW w:w="1435" w:type="dxa"/>
            <w:tcBorders>
              <w:top w:val="single" w:sz="12" w:space="0" w:color="FFFFFF"/>
              <w:bottom w:val="single" w:sz="12" w:space="0" w:color="FFFFFF"/>
            </w:tcBorders>
            <w:shd w:val="clear" w:color="auto" w:fill="E4E4E4"/>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2" w:hRule="atLeast"/>
        </w:trPr>
        <w:tc>
          <w:tcPr>
            <w:tcW w:w="2984"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阴</w:t>
            </w:r>
            <w:r>
              <w:rPr>
                <w:rFonts w:ascii="微软雅黑" w:eastAsia="微软雅黑"/>
                <w:b/>
                <w:w w:val="95"/>
                <w:sz w:val="22"/>
              </w:rPr>
              <w:t>茎</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2209" w:type="dxa"/>
            <w:tcBorders>
              <w:top w:val="single" w:sz="12" w:space="0" w:color="FFFFFF"/>
              <w:bottom w:val="single" w:sz="12" w:space="0" w:color="FFFFFF"/>
            </w:tcBorders>
          </w:tcPr>
          <w:p>
            <w:pPr>
              <w:pStyle w:val="TableParagraph"/>
              <w:rPr>
                <w:rFonts w:ascii="Times New Roman"/>
                <w:sz w:val="20"/>
              </w:rPr>
            </w:pPr>
          </w:p>
        </w:tc>
      </w:tr>
      <w:tr>
        <w:trPr>
          <w:trHeight w:val="284" w:hRule="atLeast"/>
        </w:trPr>
        <w:tc>
          <w:tcPr>
            <w:tcW w:w="5193" w:type="dxa"/>
            <w:gridSpan w:val="4"/>
            <w:tcBorders>
              <w:top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pStyle w:val="ListParagraph"/>
        <w:numPr>
          <w:ilvl w:val="2"/>
          <w:numId w:val="95"/>
        </w:numPr>
        <w:tabs>
          <w:tab w:pos="1269" w:val="left" w:leader="none"/>
          <w:tab w:pos="1270" w:val="left" w:leader="none"/>
          <w:tab w:pos="3036" w:val="left" w:leader="none"/>
        </w:tabs>
        <w:spacing w:line="240" w:lineRule="auto" w:before="122" w:after="0"/>
        <w:ind w:left="1270" w:right="0" w:hanging="1038"/>
        <w:jc w:val="left"/>
        <w:rPr>
          <w:sz w:val="21"/>
        </w:rPr>
      </w:pPr>
      <w:r>
        <w:rPr>
          <w:rFonts w:ascii="微软雅黑" w:eastAsia="微软雅黑"/>
          <w:b/>
          <w:sz w:val="21"/>
        </w:rPr>
        <w:t>睾丸恶性肿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于睾丸组织的恶性肿</w:t>
      </w:r>
      <w:r>
        <w:rPr>
          <w:spacing w:val="-2"/>
          <w:sz w:val="21"/>
        </w:rPr>
        <w:t>瘤</w:t>
      </w:r>
      <w:r>
        <w:rPr>
          <w:spacing w:val="-2"/>
          <w:sz w:val="21"/>
        </w:rPr>
        <w:t>，国际疾病分类码为C62</w:t>
      </w:r>
      <w:r>
        <w:rPr>
          <w:spacing w:val="-2"/>
          <w:sz w:val="21"/>
        </w:rPr>
        <w:t>大</w:t>
      </w:r>
      <w:r>
        <w:rPr>
          <w:spacing w:val="-2"/>
          <w:sz w:val="21"/>
        </w:rPr>
        <w:t>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334"/>
        <w:gridCol w:w="2209"/>
      </w:tblGrid>
      <w:tr>
        <w:trPr>
          <w:trHeight w:val="285"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1" w:hRule="atLeast"/>
        </w:trPr>
        <w:tc>
          <w:tcPr>
            <w:tcW w:w="1435" w:type="dxa"/>
            <w:tcBorders>
              <w:top w:val="single" w:sz="12" w:space="0" w:color="FFFFFF"/>
              <w:bottom w:val="single" w:sz="12" w:space="0" w:color="FFFFFF"/>
            </w:tcBorders>
            <w:shd w:val="clear" w:color="auto" w:fill="E4E4E4"/>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2" w:hRule="atLeast"/>
        </w:trPr>
        <w:tc>
          <w:tcPr>
            <w:tcW w:w="2984"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睾</w:t>
            </w:r>
            <w:r>
              <w:rPr>
                <w:rFonts w:ascii="微软雅黑" w:eastAsia="微软雅黑"/>
                <w:b/>
                <w:w w:val="95"/>
                <w:sz w:val="22"/>
              </w:rPr>
              <w:t>丸</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2209"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5193" w:type="dxa"/>
            <w:gridSpan w:val="4"/>
            <w:tcBorders>
              <w:top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pStyle w:val="BodyText"/>
        <w:spacing w:before="10"/>
        <w:rPr>
          <w:sz w:val="16"/>
        </w:rPr>
      </w:pPr>
    </w:p>
    <w:p>
      <w:pPr>
        <w:tabs>
          <w:tab w:pos="1269" w:val="left" w:leader="none"/>
        </w:tabs>
        <w:spacing w:before="0"/>
        <w:ind w:left="232" w:right="0" w:firstLine="0"/>
        <w:jc w:val="left"/>
        <w:rPr>
          <w:rFonts w:ascii="微软雅黑" w:hAnsi="微软雅黑" w:eastAsia="微软雅黑"/>
          <w:b/>
          <w:sz w:val="24"/>
        </w:rPr>
      </w:pPr>
      <w:r>
        <w:rPr>
          <w:rFonts w:ascii="微软雅黑" w:hAnsi="微软雅黑" w:eastAsia="微软雅黑"/>
          <w:b/>
          <w:spacing w:val="-10"/>
          <w:position w:val="-5"/>
          <w:sz w:val="28"/>
        </w:rPr>
        <w:t>⒔</w:t>
      </w:r>
      <w:r>
        <w:rPr>
          <w:rFonts w:ascii="微软雅黑" w:hAnsi="微软雅黑" w:eastAsia="微软雅黑"/>
          <w:b/>
          <w:position w:val="-5"/>
          <w:sz w:val="28"/>
        </w:rPr>
        <w:tab/>
      </w:r>
      <w:r>
        <w:rPr>
          <w:rFonts w:ascii="微软雅黑" w:hAnsi="微软雅黑" w:eastAsia="微软雅黑"/>
          <w:b/>
          <w:spacing w:val="-2"/>
          <w:sz w:val="24"/>
        </w:rPr>
        <w:t>女性特定疾病</w:t>
      </w:r>
    </w:p>
    <w:p>
      <w:pPr>
        <w:spacing w:before="75"/>
        <w:ind w:left="1270" w:right="0" w:firstLine="0"/>
        <w:jc w:val="left"/>
        <w:rPr>
          <w:rFonts w:ascii="微软雅黑" w:eastAsia="微软雅黑"/>
          <w:b/>
          <w:sz w:val="21"/>
        </w:rPr>
      </w:pPr>
      <w:r>
        <w:rPr>
          <w:rFonts w:ascii="微软雅黑" w:eastAsia="微软雅黑"/>
          <w:b/>
          <w:spacing w:val="-3"/>
          <w:sz w:val="21"/>
        </w:rPr>
        <w:t>这部分描述的是本合同所称女性特定疾病的释义。</w:t>
      </w:r>
    </w:p>
    <w:p>
      <w:pPr>
        <w:pStyle w:val="BodyText"/>
        <w:spacing w:before="6"/>
        <w:rPr>
          <w:rFonts w:ascii="微软雅黑"/>
          <w:b/>
          <w:sz w:val="3"/>
        </w:rPr>
      </w:pPr>
      <w:r>
        <w:rPr/>
        <w:drawing>
          <wp:anchor distT="0" distB="0" distL="0" distR="0" allowOverlap="1" layoutInCell="1" locked="0" behindDoc="0" simplePos="0" relativeHeight="115">
            <wp:simplePos x="0" y="0"/>
            <wp:positionH relativeFrom="page">
              <wp:posOffset>649223</wp:posOffset>
            </wp:positionH>
            <wp:positionV relativeFrom="paragraph">
              <wp:posOffset>54750</wp:posOffset>
            </wp:positionV>
            <wp:extent cx="6375399" cy="9143"/>
            <wp:effectExtent l="0" t="0" r="0" b="0"/>
            <wp:wrapTopAndBottom/>
            <wp:docPr id="91" name="image24.png"/>
            <wp:cNvGraphicFramePr>
              <a:graphicFrameLocks noChangeAspect="1"/>
            </wp:cNvGraphicFramePr>
            <a:graphic>
              <a:graphicData uri="http://schemas.openxmlformats.org/drawingml/2006/picture">
                <pic:pic>
                  <pic:nvPicPr>
                    <pic:cNvPr id="92" name="image24.png"/>
                    <pic:cNvPicPr/>
                  </pic:nvPicPr>
                  <pic:blipFill>
                    <a:blip r:embed="rId47" cstate="print"/>
                    <a:stretch>
                      <a:fillRect/>
                    </a:stretch>
                  </pic:blipFill>
                  <pic:spPr>
                    <a:xfrm>
                      <a:off x="0" y="0"/>
                      <a:ext cx="6375399" cy="9143"/>
                    </a:xfrm>
                    <a:prstGeom prst="rect">
                      <a:avLst/>
                    </a:prstGeom>
                  </pic:spPr>
                </pic:pic>
              </a:graphicData>
            </a:graphic>
          </wp:anchor>
        </w:drawing>
      </w:r>
    </w:p>
    <w:p>
      <w:pPr>
        <w:pStyle w:val="BodyText"/>
        <w:spacing w:before="7"/>
        <w:rPr>
          <w:rFonts w:ascii="微软雅黑"/>
          <w:b/>
          <w:sz w:val="6"/>
        </w:rPr>
      </w:pPr>
    </w:p>
    <w:p>
      <w:pPr>
        <w:spacing w:after="0"/>
        <w:rPr>
          <w:rFonts w:ascii="微软雅黑"/>
          <w:sz w:val="6"/>
        </w:rPr>
        <w:sectPr>
          <w:pgSz w:w="11910" w:h="16840"/>
          <w:pgMar w:header="566" w:footer="664" w:top="1340" w:bottom="860" w:left="900" w:right="720"/>
        </w:sectPr>
      </w:pPr>
    </w:p>
    <w:p>
      <w:pPr>
        <w:pStyle w:val="ListParagraph"/>
        <w:numPr>
          <w:ilvl w:val="1"/>
          <w:numId w:val="96"/>
        </w:numPr>
        <w:tabs>
          <w:tab w:pos="1269" w:val="left" w:leader="none"/>
          <w:tab w:pos="1270" w:val="left" w:leader="none"/>
        </w:tabs>
        <w:spacing w:line="194" w:lineRule="auto" w:before="57" w:after="0"/>
        <w:ind w:left="1270" w:right="0" w:hanging="1038"/>
        <w:jc w:val="left"/>
        <w:rPr>
          <w:rFonts w:ascii="微软雅黑" w:eastAsia="微软雅黑"/>
          <w:b/>
          <w:sz w:val="21"/>
        </w:rPr>
      </w:pPr>
      <w:r>
        <w:rPr>
          <w:rFonts w:ascii="微软雅黑" w:eastAsia="微软雅黑"/>
          <w:b/>
          <w:spacing w:val="8"/>
          <w:sz w:val="21"/>
        </w:rPr>
        <w:t>女性特定疾病定</w:t>
      </w:r>
      <w:r>
        <w:rPr>
          <w:rFonts w:ascii="微软雅黑" w:eastAsia="微软雅黑"/>
          <w:b/>
          <w:spacing w:val="-10"/>
          <w:sz w:val="21"/>
        </w:rPr>
        <w:t>义</w:t>
      </w:r>
    </w:p>
    <w:p>
      <w:pPr>
        <w:pStyle w:val="BodyText"/>
        <w:spacing w:line="278" w:lineRule="auto" w:before="72"/>
        <w:ind w:left="164" w:right="296"/>
        <w:jc w:val="both"/>
      </w:pPr>
      <w:r>
        <w:rPr/>
        <w:br w:type="column"/>
      </w:r>
      <w:r>
        <w:rPr>
          <w:spacing w:val="-2"/>
        </w:rPr>
        <w:t>本合同所指女性特定疾病，是被保险人经认可的医院专科医生明确诊断，发</w:t>
      </w:r>
      <w:r>
        <w:rPr>
          <w:spacing w:val="-3"/>
        </w:rPr>
        <w:t>生符合以下定义所述条件的疾病、疾病状态或手术，共计 </w:t>
      </w:r>
      <w:r>
        <w:rPr>
          <w:spacing w:val="-2"/>
        </w:rPr>
        <w:t>6</w:t>
      </w:r>
      <w:r>
        <w:rPr>
          <w:spacing w:val="-7"/>
        </w:rPr>
        <w:t> 种。女性特定疾</w:t>
      </w:r>
      <w:r>
        <w:rPr>
          <w:spacing w:val="-2"/>
        </w:rPr>
        <w:t>病名称及定义如下：</w:t>
      </w:r>
    </w:p>
    <w:p>
      <w:pPr>
        <w:spacing w:after="0" w:line="278" w:lineRule="auto"/>
        <w:jc w:val="both"/>
        <w:sectPr>
          <w:type w:val="continuous"/>
          <w:pgSz w:w="11910" w:h="16840"/>
          <w:pgMar w:header="566" w:footer="664" w:top="1340" w:bottom="860" w:left="900" w:right="720"/>
          <w:cols w:num="2" w:equalWidth="0">
            <w:col w:w="2833" w:space="40"/>
            <w:col w:w="7417"/>
          </w:cols>
        </w:sectPr>
      </w:pPr>
    </w:p>
    <w:p>
      <w:pPr>
        <w:pStyle w:val="ListParagraph"/>
        <w:numPr>
          <w:ilvl w:val="2"/>
          <w:numId w:val="96"/>
        </w:numPr>
        <w:tabs>
          <w:tab w:pos="1269" w:val="left" w:leader="none"/>
          <w:tab w:pos="1270" w:val="left" w:leader="none"/>
          <w:tab w:pos="3036" w:val="left" w:leader="none"/>
        </w:tabs>
        <w:spacing w:line="240" w:lineRule="auto" w:before="103" w:after="0"/>
        <w:ind w:left="1270" w:right="0" w:hanging="1038"/>
        <w:jc w:val="left"/>
        <w:rPr>
          <w:sz w:val="21"/>
        </w:rPr>
      </w:pPr>
      <w:r>
        <w:rPr>
          <w:rFonts w:ascii="微软雅黑" w:eastAsia="微软雅黑"/>
          <w:b/>
          <w:sz w:val="21"/>
        </w:rPr>
        <w:t>乳腺恶性肿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于乳腺组织的恶性肿</w:t>
      </w:r>
      <w:r>
        <w:rPr>
          <w:spacing w:val="-2"/>
          <w:sz w:val="21"/>
        </w:rPr>
        <w:t>瘤</w:t>
      </w:r>
      <w:r>
        <w:rPr>
          <w:spacing w:val="-2"/>
          <w:sz w:val="21"/>
        </w:rPr>
        <w:t>，国际疾病分类码为</w:t>
      </w:r>
      <w:r>
        <w:rPr>
          <w:spacing w:val="-45"/>
          <w:sz w:val="21"/>
        </w:rPr>
        <w:t> </w:t>
      </w:r>
      <w:r>
        <w:rPr>
          <w:spacing w:val="-2"/>
          <w:sz w:val="21"/>
        </w:rPr>
        <w:t>C50</w:t>
      </w:r>
      <w:r>
        <w:rPr>
          <w:spacing w:val="-45"/>
          <w:sz w:val="21"/>
        </w:rPr>
        <w:t> </w:t>
      </w:r>
      <w:r>
        <w:rPr>
          <w:spacing w:val="-2"/>
          <w:sz w:val="21"/>
        </w:rPr>
        <w:t>大类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334"/>
        <w:gridCol w:w="2209"/>
      </w:tblGrid>
      <w:tr>
        <w:trPr>
          <w:trHeight w:val="285"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2" w:hRule="atLeast"/>
        </w:trPr>
        <w:tc>
          <w:tcPr>
            <w:tcW w:w="1435" w:type="dxa"/>
            <w:tcBorders>
              <w:top w:val="single" w:sz="12" w:space="0" w:color="FFFFFF"/>
              <w:bottom w:val="single" w:sz="12" w:space="0" w:color="FFFFFF"/>
            </w:tcBorders>
            <w:shd w:val="clear" w:color="auto" w:fill="E4E4E4"/>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1" w:hRule="atLeast"/>
        </w:trPr>
        <w:tc>
          <w:tcPr>
            <w:tcW w:w="2984"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乳</w:t>
            </w:r>
            <w:r>
              <w:rPr>
                <w:rFonts w:ascii="微软雅黑" w:eastAsia="微软雅黑"/>
                <w:b/>
                <w:w w:val="95"/>
                <w:sz w:val="22"/>
              </w:rPr>
              <w:t>腺</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2209" w:type="dxa"/>
            <w:tcBorders>
              <w:top w:val="single" w:sz="12" w:space="0" w:color="FFFFFF"/>
              <w:bottom w:val="single" w:sz="12" w:space="0" w:color="FFFFFF"/>
            </w:tcBorders>
          </w:tcPr>
          <w:p>
            <w:pPr>
              <w:pStyle w:val="TableParagraph"/>
              <w:rPr>
                <w:rFonts w:ascii="Times New Roman"/>
                <w:sz w:val="20"/>
              </w:rPr>
            </w:pPr>
          </w:p>
        </w:tc>
      </w:tr>
      <w:tr>
        <w:trPr>
          <w:trHeight w:val="284" w:hRule="atLeast"/>
        </w:trPr>
        <w:tc>
          <w:tcPr>
            <w:tcW w:w="5193" w:type="dxa"/>
            <w:gridSpan w:val="4"/>
            <w:tcBorders>
              <w:top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spacing w:after="0" w:line="265" w:lineRule="exact"/>
        <w:rPr>
          <w:rFonts w:ascii="微软雅黑" w:eastAsia="微软雅黑"/>
          <w:sz w:val="22"/>
        </w:rPr>
        <w:sectPr>
          <w:type w:val="continuous"/>
          <w:pgSz w:w="11910" w:h="16840"/>
          <w:pgMar w:header="566" w:footer="664" w:top="1340" w:bottom="860" w:left="900" w:right="720"/>
        </w:sectPr>
      </w:pPr>
    </w:p>
    <w:p>
      <w:pPr>
        <w:pStyle w:val="ListParagraph"/>
        <w:numPr>
          <w:ilvl w:val="2"/>
          <w:numId w:val="96"/>
        </w:numPr>
        <w:tabs>
          <w:tab w:pos="1269" w:val="left" w:leader="none"/>
          <w:tab w:pos="1270" w:val="left" w:leader="none"/>
          <w:tab w:pos="3036" w:val="left" w:leader="none"/>
        </w:tabs>
        <w:spacing w:line="240" w:lineRule="auto" w:before="18" w:after="0"/>
        <w:ind w:left="1270" w:right="0" w:hanging="1038"/>
        <w:jc w:val="left"/>
        <w:rPr>
          <w:sz w:val="21"/>
        </w:rPr>
      </w:pPr>
      <w:r>
        <w:rPr>
          <w:rFonts w:ascii="微软雅黑" w:eastAsia="微软雅黑"/>
          <w:b/>
          <w:sz w:val="21"/>
        </w:rPr>
        <w:t>子宫颈恶性肿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于子宫颈组织的恶性</w:t>
      </w:r>
      <w:r>
        <w:rPr>
          <w:spacing w:val="-2"/>
          <w:sz w:val="21"/>
        </w:rPr>
        <w:t>肿</w:t>
      </w:r>
      <w:r>
        <w:rPr>
          <w:spacing w:val="-2"/>
          <w:sz w:val="21"/>
        </w:rPr>
        <w:t>瘤</w:t>
      </w:r>
      <w:r>
        <w:rPr>
          <w:spacing w:val="-2"/>
          <w:sz w:val="21"/>
        </w:rPr>
        <w:t>，国际疾病分类码为</w:t>
      </w:r>
      <w:r>
        <w:rPr>
          <w:spacing w:val="-45"/>
          <w:sz w:val="21"/>
        </w:rPr>
        <w:t> </w:t>
      </w:r>
      <w:r>
        <w:rPr>
          <w:spacing w:val="-2"/>
          <w:sz w:val="21"/>
        </w:rPr>
        <w:t>C53</w:t>
      </w:r>
      <w:r>
        <w:rPr>
          <w:spacing w:val="-41"/>
          <w:sz w:val="21"/>
        </w:rPr>
        <w:t> </w:t>
      </w:r>
      <w:r>
        <w:rPr>
          <w:spacing w:val="-2"/>
          <w:sz w:val="21"/>
        </w:rPr>
        <w:t>大</w:t>
      </w:r>
      <w:r>
        <w:rPr>
          <w:spacing w:val="-2"/>
          <w:sz w:val="21"/>
        </w:rPr>
        <w:t>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555"/>
        <w:gridCol w:w="1988"/>
      </w:tblGrid>
      <w:tr>
        <w:trPr>
          <w:trHeight w:val="285"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2" w:hRule="atLeast"/>
        </w:trPr>
        <w:tc>
          <w:tcPr>
            <w:tcW w:w="1435" w:type="dxa"/>
            <w:tcBorders>
              <w:top w:val="single" w:sz="12" w:space="0" w:color="FFFFFF"/>
              <w:bottom w:val="single" w:sz="12" w:space="0" w:color="FFFFFF"/>
            </w:tcBorders>
            <w:shd w:val="clear" w:color="auto" w:fill="E4E4E4"/>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2" w:hRule="atLeast"/>
        </w:trPr>
        <w:tc>
          <w:tcPr>
            <w:tcW w:w="3205"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子</w:t>
            </w:r>
            <w:r>
              <w:rPr>
                <w:rFonts w:ascii="微软雅黑" w:eastAsia="微软雅黑"/>
                <w:b/>
                <w:w w:val="95"/>
                <w:sz w:val="22"/>
              </w:rPr>
              <w:t>宫</w:t>
            </w:r>
            <w:r>
              <w:rPr>
                <w:rFonts w:ascii="微软雅黑" w:eastAsia="微软雅黑"/>
                <w:b/>
                <w:w w:val="95"/>
                <w:sz w:val="22"/>
              </w:rPr>
              <w:t>颈</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1988"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5193" w:type="dxa"/>
            <w:gridSpan w:val="4"/>
            <w:tcBorders>
              <w:top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pStyle w:val="ListParagraph"/>
        <w:numPr>
          <w:ilvl w:val="2"/>
          <w:numId w:val="96"/>
        </w:numPr>
        <w:tabs>
          <w:tab w:pos="1269" w:val="left" w:leader="none"/>
          <w:tab w:pos="1270" w:val="left" w:leader="none"/>
          <w:tab w:pos="3036" w:val="left" w:leader="none"/>
        </w:tabs>
        <w:spacing w:line="240" w:lineRule="auto" w:before="120" w:after="0"/>
        <w:ind w:left="1270" w:right="0" w:hanging="1038"/>
        <w:jc w:val="left"/>
        <w:rPr>
          <w:sz w:val="21"/>
        </w:rPr>
      </w:pPr>
      <w:r>
        <w:rPr>
          <w:rFonts w:ascii="微软雅黑" w:eastAsia="微软雅黑"/>
          <w:b/>
          <w:sz w:val="21"/>
        </w:rPr>
        <w:t>子宫恶性肿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于子宫组织的恶性肿</w:t>
      </w:r>
      <w:r>
        <w:rPr>
          <w:spacing w:val="-2"/>
          <w:sz w:val="21"/>
        </w:rPr>
        <w:t>瘤</w:t>
      </w:r>
      <w:r>
        <w:rPr>
          <w:spacing w:val="-2"/>
          <w:sz w:val="21"/>
        </w:rPr>
        <w:t>，国际疾病分类码为</w:t>
      </w:r>
      <w:r>
        <w:rPr>
          <w:spacing w:val="-45"/>
          <w:sz w:val="21"/>
        </w:rPr>
        <w:t> </w:t>
      </w:r>
      <w:r>
        <w:rPr>
          <w:spacing w:val="-2"/>
          <w:sz w:val="21"/>
        </w:rPr>
        <w:t>C55</w:t>
      </w:r>
      <w:r>
        <w:rPr>
          <w:spacing w:val="-45"/>
          <w:sz w:val="21"/>
        </w:rPr>
        <w:t> </w:t>
      </w:r>
      <w:r>
        <w:rPr>
          <w:spacing w:val="-2"/>
          <w:sz w:val="21"/>
        </w:rPr>
        <w:t>大类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334"/>
        <w:gridCol w:w="2209"/>
      </w:tblGrid>
      <w:tr>
        <w:trPr>
          <w:trHeight w:val="285"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2" w:hRule="atLeast"/>
        </w:trPr>
        <w:tc>
          <w:tcPr>
            <w:tcW w:w="1435" w:type="dxa"/>
            <w:tcBorders>
              <w:top w:val="single" w:sz="12" w:space="0" w:color="FFFFFF"/>
              <w:bottom w:val="single" w:sz="12" w:space="0" w:color="FFFFFF"/>
            </w:tcBorders>
            <w:shd w:val="clear" w:color="auto" w:fill="E4E4E4"/>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2" w:hRule="atLeast"/>
        </w:trPr>
        <w:tc>
          <w:tcPr>
            <w:tcW w:w="2984"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子</w:t>
            </w:r>
            <w:r>
              <w:rPr>
                <w:rFonts w:ascii="微软雅黑" w:eastAsia="微软雅黑"/>
                <w:b/>
                <w:w w:val="95"/>
                <w:sz w:val="22"/>
              </w:rPr>
              <w:t>宫</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2209"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5193" w:type="dxa"/>
            <w:gridSpan w:val="4"/>
            <w:tcBorders>
              <w:top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pStyle w:val="ListParagraph"/>
        <w:numPr>
          <w:ilvl w:val="2"/>
          <w:numId w:val="96"/>
        </w:numPr>
        <w:tabs>
          <w:tab w:pos="1269" w:val="left" w:leader="none"/>
          <w:tab w:pos="1270" w:val="left" w:leader="none"/>
          <w:tab w:pos="3036" w:val="left" w:leader="none"/>
        </w:tabs>
        <w:spacing w:line="240" w:lineRule="auto" w:before="116" w:after="0"/>
        <w:ind w:left="1270" w:right="0" w:hanging="1038"/>
        <w:jc w:val="left"/>
        <w:rPr>
          <w:sz w:val="21"/>
        </w:rPr>
      </w:pPr>
      <w:r>
        <w:rPr>
          <w:rFonts w:ascii="微软雅黑" w:eastAsia="微软雅黑"/>
          <w:b/>
          <w:sz w:val="21"/>
        </w:rPr>
        <w:t>卵巢恶性肿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于卵巢组织的恶性肿</w:t>
      </w:r>
      <w:r>
        <w:rPr>
          <w:spacing w:val="-2"/>
          <w:sz w:val="21"/>
        </w:rPr>
        <w:t>瘤</w:t>
      </w:r>
      <w:r>
        <w:rPr>
          <w:spacing w:val="-2"/>
          <w:sz w:val="21"/>
        </w:rPr>
        <w:t>，国际疾病分类码为</w:t>
      </w:r>
      <w:r>
        <w:rPr>
          <w:spacing w:val="-45"/>
          <w:sz w:val="21"/>
        </w:rPr>
        <w:t> </w:t>
      </w:r>
      <w:r>
        <w:rPr>
          <w:spacing w:val="-2"/>
          <w:sz w:val="21"/>
        </w:rPr>
        <w:t>C56</w:t>
      </w:r>
      <w:r>
        <w:rPr>
          <w:spacing w:val="-45"/>
          <w:sz w:val="21"/>
        </w:rPr>
        <w:t> </w:t>
      </w:r>
      <w:r>
        <w:rPr>
          <w:spacing w:val="-2"/>
          <w:sz w:val="21"/>
        </w:rPr>
        <w:t>大类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334"/>
        <w:gridCol w:w="2209"/>
      </w:tblGrid>
      <w:tr>
        <w:trPr>
          <w:trHeight w:val="285"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2" w:hRule="atLeast"/>
        </w:trPr>
        <w:tc>
          <w:tcPr>
            <w:tcW w:w="1435" w:type="dxa"/>
            <w:tcBorders>
              <w:top w:val="single" w:sz="12" w:space="0" w:color="FFFFFF"/>
              <w:bottom w:val="single" w:sz="12" w:space="0" w:color="FFFFFF"/>
            </w:tcBorders>
            <w:shd w:val="clear" w:color="auto" w:fill="E4E4E4"/>
          </w:tcPr>
          <w:p>
            <w:pPr>
              <w:pStyle w:val="TableParagraph"/>
              <w:spacing w:line="263"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2" w:hRule="atLeast"/>
        </w:trPr>
        <w:tc>
          <w:tcPr>
            <w:tcW w:w="2984"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卵</w:t>
            </w:r>
            <w:r>
              <w:rPr>
                <w:rFonts w:ascii="微软雅黑" w:eastAsia="微软雅黑"/>
                <w:b/>
                <w:w w:val="95"/>
                <w:sz w:val="22"/>
              </w:rPr>
              <w:t>巢</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2209"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5193" w:type="dxa"/>
            <w:gridSpan w:val="4"/>
            <w:tcBorders>
              <w:top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pStyle w:val="ListParagraph"/>
        <w:numPr>
          <w:ilvl w:val="2"/>
          <w:numId w:val="96"/>
        </w:numPr>
        <w:tabs>
          <w:tab w:pos="1269" w:val="left" w:leader="none"/>
          <w:tab w:pos="1270" w:val="left" w:leader="none"/>
          <w:tab w:pos="3036" w:val="left" w:leader="none"/>
        </w:tabs>
        <w:spacing w:line="240" w:lineRule="auto" w:before="120" w:after="0"/>
        <w:ind w:left="1270" w:right="0" w:hanging="1038"/>
        <w:jc w:val="left"/>
        <w:rPr>
          <w:sz w:val="21"/>
        </w:rPr>
      </w:pPr>
      <w:r>
        <w:rPr>
          <w:rFonts w:ascii="微软雅黑" w:eastAsia="微软雅黑"/>
          <w:b/>
          <w:sz w:val="21"/>
        </w:rPr>
        <w:t>输卵管恶性肿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于输卵管组织的恶性</w:t>
      </w:r>
      <w:r>
        <w:rPr>
          <w:spacing w:val="-2"/>
          <w:sz w:val="21"/>
        </w:rPr>
        <w:t>肿</w:t>
      </w:r>
      <w:r>
        <w:rPr>
          <w:spacing w:val="-2"/>
          <w:sz w:val="21"/>
        </w:rPr>
        <w:t>瘤</w:t>
      </w:r>
      <w:r>
        <w:rPr>
          <w:spacing w:val="-2"/>
          <w:sz w:val="21"/>
        </w:rPr>
        <w:t>，国际疾病分类码为</w:t>
      </w:r>
      <w:r>
        <w:rPr>
          <w:spacing w:val="-45"/>
          <w:sz w:val="21"/>
        </w:rPr>
        <w:t> </w:t>
      </w:r>
      <w:r>
        <w:rPr>
          <w:spacing w:val="-2"/>
          <w:sz w:val="21"/>
        </w:rPr>
        <w:t>C57</w:t>
      </w:r>
      <w:r>
        <w:rPr>
          <w:spacing w:val="-41"/>
          <w:sz w:val="21"/>
        </w:rPr>
        <w:t> </w:t>
      </w:r>
      <w:r>
        <w:rPr>
          <w:spacing w:val="-2"/>
          <w:sz w:val="21"/>
        </w:rPr>
        <w:t>大</w:t>
      </w:r>
      <w:r>
        <w:rPr>
          <w:spacing w:val="-2"/>
          <w:sz w:val="21"/>
        </w:rPr>
        <w:t>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555"/>
        <w:gridCol w:w="1988"/>
      </w:tblGrid>
      <w:tr>
        <w:trPr>
          <w:trHeight w:val="285"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2" w:hRule="atLeast"/>
        </w:trPr>
        <w:tc>
          <w:tcPr>
            <w:tcW w:w="1435" w:type="dxa"/>
            <w:tcBorders>
              <w:top w:val="single" w:sz="12" w:space="0" w:color="FFFFFF"/>
              <w:bottom w:val="single" w:sz="12" w:space="0" w:color="FFFFFF"/>
            </w:tcBorders>
            <w:shd w:val="clear" w:color="auto" w:fill="E4E4E4"/>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1" w:hRule="atLeast"/>
        </w:trPr>
        <w:tc>
          <w:tcPr>
            <w:tcW w:w="3205"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输</w:t>
            </w:r>
            <w:r>
              <w:rPr>
                <w:rFonts w:ascii="微软雅黑" w:eastAsia="微软雅黑"/>
                <w:b/>
                <w:w w:val="95"/>
                <w:sz w:val="22"/>
              </w:rPr>
              <w:t>卵</w:t>
            </w:r>
            <w:r>
              <w:rPr>
                <w:rFonts w:ascii="微软雅黑" w:eastAsia="微软雅黑"/>
                <w:b/>
                <w:w w:val="95"/>
                <w:sz w:val="22"/>
              </w:rPr>
              <w:t>管</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1988"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5193" w:type="dxa"/>
            <w:gridSpan w:val="4"/>
            <w:tcBorders>
              <w:top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pStyle w:val="ListParagraph"/>
        <w:numPr>
          <w:ilvl w:val="2"/>
          <w:numId w:val="96"/>
        </w:numPr>
        <w:tabs>
          <w:tab w:pos="1269" w:val="left" w:leader="none"/>
          <w:tab w:pos="1270" w:val="left" w:leader="none"/>
          <w:tab w:pos="3036" w:val="left" w:leader="none"/>
        </w:tabs>
        <w:spacing w:line="240" w:lineRule="auto" w:before="121" w:after="0"/>
        <w:ind w:left="1270" w:right="0" w:hanging="1038"/>
        <w:jc w:val="left"/>
        <w:rPr>
          <w:sz w:val="21"/>
        </w:rPr>
      </w:pPr>
      <w:r>
        <w:rPr>
          <w:rFonts w:ascii="微软雅黑" w:eastAsia="微软雅黑"/>
          <w:b/>
          <w:sz w:val="21"/>
        </w:rPr>
        <w:t>阴道恶性肿</w:t>
      </w:r>
      <w:r>
        <w:rPr>
          <w:rFonts w:ascii="微软雅黑" w:eastAsia="微软雅黑"/>
          <w:b/>
          <w:spacing w:val="-10"/>
          <w:sz w:val="21"/>
        </w:rPr>
        <w:t>瘤</w:t>
      </w:r>
      <w:r>
        <w:rPr>
          <w:rFonts w:ascii="微软雅黑" w:eastAsia="微软雅黑"/>
          <w:b/>
          <w:sz w:val="21"/>
        </w:rPr>
        <w:tab/>
      </w:r>
      <w:r>
        <w:rPr>
          <w:spacing w:val="-2"/>
          <w:sz w:val="21"/>
        </w:rPr>
        <w:t>原</w:t>
      </w:r>
      <w:r>
        <w:rPr>
          <w:spacing w:val="-2"/>
          <w:sz w:val="21"/>
        </w:rPr>
        <w:t>发</w:t>
      </w:r>
      <w:r>
        <w:rPr>
          <w:spacing w:val="-2"/>
          <w:sz w:val="21"/>
        </w:rPr>
        <w:t>于阴道组织的恶性肿</w:t>
      </w:r>
      <w:r>
        <w:rPr>
          <w:spacing w:val="-2"/>
          <w:sz w:val="21"/>
        </w:rPr>
        <w:t>瘤</w:t>
      </w:r>
      <w:r>
        <w:rPr>
          <w:spacing w:val="-2"/>
          <w:sz w:val="21"/>
        </w:rPr>
        <w:t>，国际疾病分类码为</w:t>
      </w:r>
      <w:r>
        <w:rPr>
          <w:spacing w:val="-45"/>
          <w:sz w:val="21"/>
        </w:rPr>
        <w:t> </w:t>
      </w:r>
      <w:r>
        <w:rPr>
          <w:spacing w:val="-2"/>
          <w:sz w:val="21"/>
        </w:rPr>
        <w:t>C52</w:t>
      </w:r>
      <w:r>
        <w:rPr>
          <w:spacing w:val="-45"/>
          <w:sz w:val="21"/>
        </w:rPr>
        <w:t> </w:t>
      </w:r>
      <w:r>
        <w:rPr>
          <w:spacing w:val="-2"/>
          <w:sz w:val="21"/>
        </w:rPr>
        <w:t>大类</w:t>
      </w:r>
      <w:r>
        <w:rPr>
          <w:spacing w:val="-10"/>
          <w:sz w:val="21"/>
        </w:rPr>
        <w:t>。</w:t>
      </w:r>
    </w:p>
    <w:tbl>
      <w:tblPr>
        <w:tblW w:w="0" w:type="auto"/>
        <w:jc w:val="left"/>
        <w:tblInd w:w="30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215"/>
        <w:gridCol w:w="334"/>
        <w:gridCol w:w="2209"/>
      </w:tblGrid>
      <w:tr>
        <w:trPr>
          <w:trHeight w:val="285" w:hRule="atLeast"/>
        </w:trPr>
        <w:tc>
          <w:tcPr>
            <w:tcW w:w="2650" w:type="dxa"/>
            <w:gridSpan w:val="2"/>
            <w:tcBorders>
              <w:bottom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spacing w:val="-1"/>
                <w:sz w:val="22"/>
              </w:rPr>
              <w:t>下列疾病不在保障范围内：</w:t>
            </w:r>
          </w:p>
        </w:tc>
        <w:tc>
          <w:tcPr>
            <w:tcW w:w="2543" w:type="dxa"/>
            <w:gridSpan w:val="2"/>
            <w:tcBorders>
              <w:bottom w:val="single" w:sz="12" w:space="0" w:color="FFFFFF"/>
            </w:tcBorders>
          </w:tcPr>
          <w:p>
            <w:pPr>
              <w:pStyle w:val="TableParagraph"/>
              <w:rPr>
                <w:rFonts w:ascii="Times New Roman"/>
                <w:sz w:val="20"/>
              </w:rPr>
            </w:pPr>
          </w:p>
        </w:tc>
      </w:tr>
      <w:tr>
        <w:trPr>
          <w:trHeight w:val="281" w:hRule="atLeast"/>
        </w:trPr>
        <w:tc>
          <w:tcPr>
            <w:tcW w:w="1435" w:type="dxa"/>
            <w:tcBorders>
              <w:top w:val="single" w:sz="12" w:space="0" w:color="FFFFFF"/>
              <w:bottom w:val="single" w:sz="12" w:space="0" w:color="FFFFFF"/>
            </w:tcBorders>
            <w:shd w:val="clear" w:color="auto" w:fill="E4E4E4"/>
          </w:tcPr>
          <w:p>
            <w:pPr>
              <w:pStyle w:val="TableParagraph"/>
              <w:spacing w:line="262" w:lineRule="exact"/>
              <w:ind w:right="-15"/>
              <w:rPr>
                <w:rFonts w:ascii="微软雅黑" w:eastAsia="微软雅黑"/>
                <w:b/>
                <w:sz w:val="22"/>
              </w:rPr>
            </w:pPr>
            <w:r>
              <w:rPr>
                <w:rFonts w:ascii="微软雅黑" w:eastAsia="微软雅黑"/>
                <w:b/>
                <w:w w:val="95"/>
                <w:sz w:val="22"/>
              </w:rPr>
              <w:t>（1）</w:t>
            </w:r>
            <w:r>
              <w:rPr>
                <w:rFonts w:ascii="微软雅黑" w:eastAsia="微软雅黑"/>
                <w:b/>
                <w:w w:val="95"/>
                <w:sz w:val="22"/>
              </w:rPr>
              <w:t>原</w:t>
            </w:r>
            <w:r>
              <w:rPr>
                <w:rFonts w:ascii="微软雅黑" w:eastAsia="微软雅黑"/>
                <w:b/>
                <w:w w:val="95"/>
                <w:sz w:val="22"/>
              </w:rPr>
              <w:t>位</w:t>
            </w:r>
            <w:r>
              <w:rPr>
                <w:rFonts w:ascii="微软雅黑" w:eastAsia="微软雅黑"/>
                <w:b/>
                <w:w w:val="95"/>
                <w:sz w:val="22"/>
              </w:rPr>
              <w:t>癌</w:t>
            </w:r>
            <w:r>
              <w:rPr>
                <w:rFonts w:ascii="微软雅黑" w:eastAsia="微软雅黑"/>
                <w:b/>
                <w:spacing w:val="-10"/>
                <w:w w:val="95"/>
                <w:sz w:val="22"/>
              </w:rPr>
              <w:t>；</w:t>
            </w:r>
          </w:p>
        </w:tc>
        <w:tc>
          <w:tcPr>
            <w:tcW w:w="3758" w:type="dxa"/>
            <w:gridSpan w:val="3"/>
            <w:tcBorders>
              <w:top w:val="single" w:sz="12" w:space="0" w:color="FFFFFF"/>
              <w:bottom w:val="single" w:sz="12" w:space="0" w:color="FFFFFF"/>
            </w:tcBorders>
          </w:tcPr>
          <w:p>
            <w:pPr>
              <w:pStyle w:val="TableParagraph"/>
              <w:rPr>
                <w:rFonts w:ascii="Times New Roman"/>
                <w:sz w:val="20"/>
              </w:rPr>
            </w:pPr>
          </w:p>
        </w:tc>
      </w:tr>
      <w:tr>
        <w:trPr>
          <w:trHeight w:val="282" w:hRule="atLeast"/>
        </w:trPr>
        <w:tc>
          <w:tcPr>
            <w:tcW w:w="2984" w:type="dxa"/>
            <w:gridSpan w:val="3"/>
            <w:tcBorders>
              <w:top w:val="single" w:sz="12" w:space="0" w:color="FFFFFF"/>
              <w:bottom w:val="single" w:sz="12" w:space="0" w:color="FFFFFF"/>
            </w:tcBorders>
            <w:shd w:val="clear" w:color="auto" w:fill="E4E4E4"/>
          </w:tcPr>
          <w:p>
            <w:pPr>
              <w:pStyle w:val="TableParagraph"/>
              <w:spacing w:line="262" w:lineRule="exact"/>
              <w:rPr>
                <w:rFonts w:ascii="微软雅黑" w:eastAsia="微软雅黑"/>
                <w:b/>
                <w:sz w:val="22"/>
              </w:rPr>
            </w:pPr>
            <w:r>
              <w:rPr>
                <w:rFonts w:ascii="微软雅黑" w:eastAsia="微软雅黑"/>
                <w:b/>
                <w:w w:val="95"/>
                <w:sz w:val="22"/>
              </w:rPr>
              <w:t>（2）</w:t>
            </w:r>
            <w:r>
              <w:rPr>
                <w:rFonts w:ascii="微软雅黑" w:eastAsia="微软雅黑"/>
                <w:b/>
                <w:w w:val="95"/>
                <w:sz w:val="22"/>
              </w:rPr>
              <w:t>转</w:t>
            </w:r>
            <w:r>
              <w:rPr>
                <w:rFonts w:ascii="微软雅黑" w:eastAsia="微软雅黑"/>
                <w:b/>
                <w:w w:val="95"/>
                <w:sz w:val="22"/>
              </w:rPr>
              <w:t>移</w:t>
            </w:r>
            <w:r>
              <w:rPr>
                <w:rFonts w:ascii="微软雅黑" w:eastAsia="微软雅黑"/>
                <w:b/>
                <w:w w:val="95"/>
                <w:sz w:val="22"/>
              </w:rPr>
              <w:t>至</w:t>
            </w:r>
            <w:r>
              <w:rPr>
                <w:rFonts w:ascii="微软雅黑" w:eastAsia="微软雅黑"/>
                <w:b/>
                <w:w w:val="95"/>
                <w:sz w:val="22"/>
              </w:rPr>
              <w:t>阴</w:t>
            </w:r>
            <w:r>
              <w:rPr>
                <w:rFonts w:ascii="微软雅黑" w:eastAsia="微软雅黑"/>
                <w:b/>
                <w:w w:val="95"/>
                <w:sz w:val="22"/>
              </w:rPr>
              <w:t>道</w:t>
            </w:r>
            <w:r>
              <w:rPr>
                <w:rFonts w:ascii="微软雅黑" w:eastAsia="微软雅黑"/>
                <w:b/>
                <w:w w:val="95"/>
                <w:sz w:val="22"/>
              </w:rPr>
              <w:t>的</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c>
          <w:tcPr>
            <w:tcW w:w="2209" w:type="dxa"/>
            <w:tcBorders>
              <w:top w:val="single" w:sz="12" w:space="0" w:color="FFFFFF"/>
              <w:bottom w:val="single" w:sz="12" w:space="0" w:color="FFFFFF"/>
            </w:tcBorders>
          </w:tcPr>
          <w:p>
            <w:pPr>
              <w:pStyle w:val="TableParagraph"/>
              <w:rPr>
                <w:rFonts w:ascii="Times New Roman"/>
                <w:sz w:val="20"/>
              </w:rPr>
            </w:pPr>
          </w:p>
        </w:tc>
      </w:tr>
      <w:tr>
        <w:trPr>
          <w:trHeight w:val="285" w:hRule="atLeast"/>
        </w:trPr>
        <w:tc>
          <w:tcPr>
            <w:tcW w:w="5193" w:type="dxa"/>
            <w:gridSpan w:val="4"/>
            <w:tcBorders>
              <w:top w:val="single" w:sz="12" w:space="0" w:color="FFFFFF"/>
            </w:tcBorders>
            <w:shd w:val="clear" w:color="auto" w:fill="E4E4E4"/>
          </w:tcPr>
          <w:p>
            <w:pPr>
              <w:pStyle w:val="TableParagraph"/>
              <w:spacing w:line="265" w:lineRule="exact"/>
              <w:rPr>
                <w:rFonts w:ascii="微软雅黑" w:eastAsia="微软雅黑"/>
                <w:b/>
                <w:sz w:val="22"/>
              </w:rPr>
            </w:pPr>
            <w:r>
              <w:rPr>
                <w:rFonts w:ascii="微软雅黑" w:eastAsia="微软雅黑"/>
                <w:b/>
                <w:w w:val="95"/>
                <w:sz w:val="22"/>
              </w:rPr>
              <w:t>（3）</w:t>
            </w:r>
            <w:r>
              <w:rPr>
                <w:rFonts w:ascii="微软雅黑" w:eastAsia="微软雅黑"/>
                <w:b/>
                <w:w w:val="95"/>
                <w:sz w:val="22"/>
              </w:rPr>
              <w:t>感</w:t>
            </w:r>
            <w:r>
              <w:rPr>
                <w:rFonts w:ascii="微软雅黑" w:eastAsia="微软雅黑"/>
                <w:b/>
                <w:w w:val="95"/>
                <w:sz w:val="22"/>
              </w:rPr>
              <w:t>染</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病</w:t>
            </w:r>
            <w:r>
              <w:rPr>
                <w:rFonts w:ascii="微软雅黑" w:eastAsia="微软雅黑"/>
                <w:b/>
                <w:w w:val="95"/>
                <w:sz w:val="22"/>
              </w:rPr>
              <w:t>毒</w:t>
            </w:r>
            <w:r>
              <w:rPr>
                <w:rFonts w:ascii="微软雅黑" w:eastAsia="微软雅黑"/>
                <w:b/>
                <w:w w:val="95"/>
                <w:sz w:val="22"/>
              </w:rPr>
              <w:t>或</w:t>
            </w:r>
            <w:r>
              <w:rPr>
                <w:rFonts w:ascii="微软雅黑" w:eastAsia="微软雅黑"/>
                <w:b/>
                <w:w w:val="95"/>
                <w:sz w:val="22"/>
              </w:rPr>
              <w:t>患</w:t>
            </w:r>
            <w:r>
              <w:rPr>
                <w:rFonts w:ascii="微软雅黑" w:eastAsia="微软雅黑"/>
                <w:b/>
                <w:w w:val="95"/>
                <w:sz w:val="22"/>
              </w:rPr>
              <w:t>艾</w:t>
            </w:r>
            <w:r>
              <w:rPr>
                <w:rFonts w:ascii="微软雅黑" w:eastAsia="微软雅黑"/>
                <w:b/>
                <w:w w:val="95"/>
                <w:sz w:val="22"/>
              </w:rPr>
              <w:t>滋</w:t>
            </w:r>
            <w:r>
              <w:rPr>
                <w:rFonts w:ascii="微软雅黑" w:eastAsia="微软雅黑"/>
                <w:b/>
                <w:w w:val="95"/>
                <w:sz w:val="22"/>
              </w:rPr>
              <w:t>病</w:t>
            </w:r>
            <w:r>
              <w:rPr>
                <w:rFonts w:ascii="微软雅黑" w:eastAsia="微软雅黑"/>
                <w:b/>
                <w:w w:val="95"/>
                <w:sz w:val="22"/>
              </w:rPr>
              <w:t>期</w:t>
            </w:r>
            <w:r>
              <w:rPr>
                <w:rFonts w:ascii="微软雅黑" w:eastAsia="微软雅黑"/>
                <w:b/>
                <w:w w:val="95"/>
                <w:sz w:val="22"/>
              </w:rPr>
              <w:t>间</w:t>
            </w:r>
            <w:r>
              <w:rPr>
                <w:rFonts w:ascii="微软雅黑" w:eastAsia="微软雅黑"/>
                <w:b/>
                <w:w w:val="95"/>
                <w:sz w:val="22"/>
              </w:rPr>
              <w:t>所</w:t>
            </w:r>
            <w:r>
              <w:rPr>
                <w:rFonts w:ascii="微软雅黑" w:eastAsia="微软雅黑"/>
                <w:b/>
                <w:w w:val="95"/>
                <w:sz w:val="22"/>
              </w:rPr>
              <w:t>患</w:t>
            </w:r>
            <w:r>
              <w:rPr>
                <w:rFonts w:ascii="微软雅黑" w:eastAsia="微软雅黑"/>
                <w:b/>
                <w:w w:val="95"/>
                <w:sz w:val="22"/>
              </w:rPr>
              <w:t>恶</w:t>
            </w:r>
            <w:r>
              <w:rPr>
                <w:rFonts w:ascii="微软雅黑" w:eastAsia="微软雅黑"/>
                <w:b/>
                <w:w w:val="95"/>
                <w:sz w:val="22"/>
              </w:rPr>
              <w:t>性</w:t>
            </w:r>
            <w:r>
              <w:rPr>
                <w:rFonts w:ascii="微软雅黑" w:eastAsia="微软雅黑"/>
                <w:b/>
                <w:w w:val="95"/>
                <w:sz w:val="22"/>
              </w:rPr>
              <w:t>肿</w:t>
            </w:r>
            <w:r>
              <w:rPr>
                <w:rFonts w:ascii="微软雅黑" w:eastAsia="微软雅黑"/>
                <w:b/>
                <w:w w:val="95"/>
                <w:sz w:val="22"/>
              </w:rPr>
              <w:t>瘤</w:t>
            </w:r>
            <w:r>
              <w:rPr>
                <w:rFonts w:ascii="微软雅黑" w:eastAsia="微软雅黑"/>
                <w:b/>
                <w:spacing w:val="-10"/>
                <w:w w:val="95"/>
                <w:sz w:val="22"/>
              </w:rPr>
              <w:t>。</w:t>
            </w:r>
          </w:p>
        </w:tc>
      </w:tr>
    </w:tbl>
    <w:p>
      <w:pPr>
        <w:spacing w:after="0" w:line="265" w:lineRule="exact"/>
        <w:rPr>
          <w:rFonts w:ascii="微软雅黑" w:eastAsia="微软雅黑"/>
          <w:sz w:val="22"/>
        </w:rPr>
        <w:sectPr>
          <w:pgSz w:w="11910" w:h="16840"/>
          <w:pgMar w:header="566" w:footer="664" w:top="1340" w:bottom="860" w:left="900" w:right="720"/>
        </w:sectPr>
      </w:pPr>
    </w:p>
    <w:p>
      <w:pPr>
        <w:spacing w:before="18"/>
        <w:ind w:left="232" w:right="0" w:firstLine="0"/>
        <w:jc w:val="left"/>
        <w:rPr>
          <w:rFonts w:ascii="微软雅黑" w:eastAsia="微软雅黑"/>
          <w:b/>
          <w:sz w:val="21"/>
        </w:rPr>
      </w:pPr>
      <w:r>
        <w:rPr>
          <w:rFonts w:ascii="微软雅黑" w:eastAsia="微软雅黑"/>
          <w:b/>
          <w:w w:val="90"/>
          <w:sz w:val="21"/>
        </w:rPr>
        <w:t>附</w:t>
      </w:r>
      <w:r>
        <w:rPr>
          <w:rFonts w:ascii="微软雅黑" w:eastAsia="微软雅黑"/>
          <w:b/>
          <w:w w:val="90"/>
          <w:sz w:val="21"/>
        </w:rPr>
        <w:t>表</w:t>
      </w:r>
      <w:r>
        <w:rPr>
          <w:rFonts w:ascii="微软雅黑" w:eastAsia="微软雅黑"/>
          <w:b/>
          <w:w w:val="90"/>
          <w:sz w:val="21"/>
        </w:rPr>
        <w:t>：</w:t>
      </w:r>
      <w:r>
        <w:rPr>
          <w:rFonts w:ascii="微软雅黑" w:eastAsia="微软雅黑"/>
          <w:b/>
          <w:w w:val="90"/>
          <w:sz w:val="21"/>
        </w:rPr>
        <w:t>甲</w:t>
      </w:r>
      <w:r>
        <w:rPr>
          <w:rFonts w:ascii="微软雅黑" w:eastAsia="微软雅黑"/>
          <w:b/>
          <w:w w:val="90"/>
          <w:sz w:val="21"/>
        </w:rPr>
        <w:t>状</w:t>
      </w:r>
      <w:r>
        <w:rPr>
          <w:rFonts w:ascii="微软雅黑" w:eastAsia="微软雅黑"/>
          <w:b/>
          <w:w w:val="90"/>
          <w:sz w:val="21"/>
        </w:rPr>
        <w:t>腺</w:t>
      </w:r>
      <w:r>
        <w:rPr>
          <w:rFonts w:ascii="微软雅黑" w:eastAsia="微软雅黑"/>
          <w:b/>
          <w:w w:val="90"/>
          <w:sz w:val="21"/>
        </w:rPr>
        <w:t>癌</w:t>
      </w:r>
      <w:r>
        <w:rPr>
          <w:rFonts w:ascii="微软雅黑" w:eastAsia="微软雅黑"/>
          <w:b/>
          <w:w w:val="90"/>
          <w:sz w:val="21"/>
        </w:rPr>
        <w:t>的</w:t>
      </w:r>
      <w:r>
        <w:rPr>
          <w:rFonts w:ascii="微软雅黑" w:eastAsia="微软雅黑"/>
          <w:b/>
          <w:w w:val="90"/>
          <w:sz w:val="21"/>
        </w:rPr>
        <w:t>TNM</w:t>
      </w:r>
      <w:r>
        <w:rPr>
          <w:rFonts w:ascii="微软雅黑" w:eastAsia="微软雅黑"/>
          <w:b/>
          <w:w w:val="90"/>
          <w:sz w:val="21"/>
        </w:rPr>
        <w:t>分</w:t>
      </w:r>
      <w:r>
        <w:rPr>
          <w:rFonts w:ascii="微软雅黑" w:eastAsia="微软雅黑"/>
          <w:b/>
          <w:spacing w:val="-10"/>
          <w:w w:val="90"/>
          <w:sz w:val="21"/>
        </w:rPr>
        <w:t>期</w:t>
      </w:r>
    </w:p>
    <w:p>
      <w:pPr>
        <w:pStyle w:val="BodyText"/>
        <w:spacing w:line="278" w:lineRule="auto" w:before="148"/>
        <w:ind w:left="232" w:right="490"/>
      </w:pPr>
      <w:r>
        <w:rPr>
          <w:spacing w:val="-2"/>
        </w:rPr>
        <w:t>甲状腺癌的TNM分期采用目前现行的AJCC第八版定义标准，我国国家卫生健康委员会2018年发布的《甲状</w:t>
      </w:r>
      <w:r>
        <w:rPr>
          <w:spacing w:val="-2"/>
        </w:rPr>
        <w:t>腺癌诊疗规范（2018年版）》也采用此定义标准，具体见下：</w:t>
      </w:r>
    </w:p>
    <w:p>
      <w:pPr>
        <w:spacing w:line="324" w:lineRule="auto" w:before="172"/>
        <w:ind w:left="232" w:right="4919" w:firstLine="0"/>
        <w:jc w:val="left"/>
        <w:rPr>
          <w:sz w:val="18"/>
        </w:rPr>
      </w:pPr>
      <w:r>
        <w:rPr>
          <w:spacing w:val="-2"/>
          <w:sz w:val="18"/>
        </w:rPr>
        <w:t>甲状腺乳头状癌、滤泡癌、低分化癌、Hürthle细胞癌和未分化癌 pTX：原发肿瘤不能评估</w:t>
      </w:r>
    </w:p>
    <w:p>
      <w:pPr>
        <w:spacing w:line="324" w:lineRule="auto" w:before="1"/>
        <w:ind w:left="232" w:right="6805" w:firstLine="0"/>
        <w:jc w:val="left"/>
        <w:rPr>
          <w:sz w:val="18"/>
        </w:rPr>
      </w:pPr>
      <w:r>
        <w:rPr>
          <w:spacing w:val="-2"/>
          <w:sz w:val="18"/>
        </w:rPr>
        <w:t>pT0：无肿瘤证据</w:t>
      </w:r>
      <w:r>
        <w:rPr>
          <w:spacing w:val="80"/>
          <w:w w:val="150"/>
          <w:sz w:val="18"/>
        </w:rPr>
        <w:t>        </w:t>
      </w:r>
      <w:r>
        <w:rPr>
          <w:spacing w:val="-2"/>
          <w:sz w:val="18"/>
        </w:rPr>
        <w:t>pT1：肿瘤局限在甲状腺内，最大径≤2cm</w:t>
      </w:r>
    </w:p>
    <w:p>
      <w:pPr>
        <w:spacing w:before="1"/>
        <w:ind w:left="653" w:right="0" w:firstLine="0"/>
        <w:jc w:val="left"/>
        <w:rPr>
          <w:sz w:val="18"/>
        </w:rPr>
      </w:pPr>
      <w:r>
        <w:rPr>
          <w:sz w:val="18"/>
        </w:rPr>
        <w:t>T1a</w:t>
      </w:r>
      <w:r>
        <w:rPr>
          <w:spacing w:val="-1"/>
          <w:sz w:val="18"/>
        </w:rPr>
        <w:t>肿瘤最大径≤</w:t>
      </w:r>
      <w:r>
        <w:rPr>
          <w:spacing w:val="-4"/>
          <w:sz w:val="18"/>
        </w:rPr>
        <w:t>1cm</w:t>
      </w:r>
    </w:p>
    <w:p>
      <w:pPr>
        <w:spacing w:line="324" w:lineRule="auto" w:before="82"/>
        <w:ind w:left="232" w:right="7351" w:firstLine="420"/>
        <w:jc w:val="left"/>
        <w:rPr>
          <w:sz w:val="18"/>
        </w:rPr>
      </w:pPr>
      <w:r>
        <w:rPr>
          <w:spacing w:val="-2"/>
          <w:sz w:val="18"/>
        </w:rPr>
        <w:t>T1b肿瘤最大径＞1cm，≤2cm pT2：肿瘤2～4cm</w:t>
      </w:r>
    </w:p>
    <w:p>
      <w:pPr>
        <w:spacing w:line="324" w:lineRule="auto" w:before="1"/>
        <w:ind w:left="232" w:right="5191" w:firstLine="0"/>
        <w:jc w:val="left"/>
        <w:rPr>
          <w:sz w:val="18"/>
        </w:rPr>
      </w:pPr>
      <w:r>
        <w:rPr>
          <w:spacing w:val="-2"/>
          <w:sz w:val="18"/>
        </w:rPr>
        <w:t>pT3：肿瘤＞4cm，局限于甲状腺内或大体侵犯甲状腺外带状肌 pT3a：肿瘤＞4cm，局限于甲状腺内</w:t>
      </w:r>
      <w:r>
        <w:rPr>
          <w:spacing w:val="80"/>
          <w:w w:val="150"/>
          <w:sz w:val="18"/>
        </w:rPr>
        <w:t>        </w:t>
      </w:r>
      <w:r>
        <w:rPr>
          <w:spacing w:val="-2"/>
          <w:sz w:val="18"/>
        </w:rPr>
        <w:t>pT3b：大体侵犯甲状腺外带状肌，无论肿瘤大小</w:t>
      </w:r>
    </w:p>
    <w:p>
      <w:pPr>
        <w:spacing w:line="324" w:lineRule="auto" w:before="3"/>
        <w:ind w:left="232" w:right="4411" w:firstLine="420"/>
        <w:jc w:val="left"/>
        <w:rPr>
          <w:sz w:val="18"/>
        </w:rPr>
      </w:pPr>
      <w:r>
        <w:rPr>
          <w:spacing w:val="-2"/>
          <w:sz w:val="18"/>
        </w:rPr>
        <w:t>带状肌包括：胸骨舌骨肌、胸骨甲状肌、甲状舌骨肌、肩胛舌骨肌 pT4：大体侵犯甲状腺外带状肌外</w:t>
      </w:r>
    </w:p>
    <w:p>
      <w:pPr>
        <w:spacing w:line="324" w:lineRule="auto" w:before="1"/>
        <w:ind w:left="232" w:right="5911" w:firstLine="0"/>
        <w:jc w:val="left"/>
        <w:rPr>
          <w:sz w:val="18"/>
        </w:rPr>
      </w:pPr>
      <w:r>
        <w:rPr>
          <w:spacing w:val="-2"/>
          <w:sz w:val="18"/>
        </w:rPr>
        <w:t>pT4a：侵犯喉、气管、食管、喉反神经及皮下软组织 pT4b：侵犯椎前筋膜，或包裹颈动脉、纵隔血管</w:t>
      </w:r>
    </w:p>
    <w:p>
      <w:pPr>
        <w:spacing w:line="324" w:lineRule="auto" w:before="1"/>
        <w:ind w:left="232" w:right="8157" w:firstLine="0"/>
        <w:jc w:val="left"/>
        <w:rPr>
          <w:sz w:val="18"/>
        </w:rPr>
      </w:pPr>
      <w:r>
        <w:rPr>
          <w:spacing w:val="-2"/>
          <w:sz w:val="18"/>
        </w:rPr>
        <w:t>甲状腺髓样癌</w:t>
      </w:r>
      <w:r>
        <w:rPr>
          <w:spacing w:val="80"/>
          <w:sz w:val="18"/>
        </w:rPr>
        <w:t>   </w:t>
      </w:r>
      <w:r>
        <w:rPr>
          <w:spacing w:val="-2"/>
          <w:sz w:val="18"/>
        </w:rPr>
        <w:t>pTX：原发肿瘤不能评估 pT0：无肿瘤证据</w:t>
      </w:r>
    </w:p>
    <w:p>
      <w:pPr>
        <w:spacing w:line="324" w:lineRule="auto" w:before="2"/>
        <w:ind w:left="593" w:right="6805" w:hanging="361"/>
        <w:jc w:val="left"/>
        <w:rPr>
          <w:sz w:val="18"/>
        </w:rPr>
      </w:pPr>
      <w:r>
        <w:rPr>
          <w:spacing w:val="-2"/>
          <w:sz w:val="18"/>
        </w:rPr>
        <w:t>pT1：肿瘤局限在甲状腺内，最大径≤2c</w:t>
      </w:r>
      <w:r>
        <w:rPr>
          <w:spacing w:val="-2"/>
          <w:sz w:val="18"/>
        </w:rPr>
        <w:t>m T1a肿瘤最大径≤1cm</w:t>
      </w:r>
    </w:p>
    <w:p>
      <w:pPr>
        <w:spacing w:line="324" w:lineRule="auto" w:before="1"/>
        <w:ind w:left="232" w:right="7351" w:firstLine="360"/>
        <w:jc w:val="left"/>
        <w:rPr>
          <w:sz w:val="18"/>
        </w:rPr>
      </w:pPr>
      <w:r>
        <w:rPr>
          <w:spacing w:val="-2"/>
          <w:sz w:val="18"/>
        </w:rPr>
        <w:t>T1b肿瘤最大径＞1cm，≤2cm pT2：肿瘤2～4cm</w:t>
      </w:r>
    </w:p>
    <w:p>
      <w:pPr>
        <w:spacing w:line="324" w:lineRule="auto" w:before="2"/>
        <w:ind w:left="232" w:right="5191" w:firstLine="0"/>
        <w:jc w:val="left"/>
        <w:rPr>
          <w:sz w:val="18"/>
        </w:rPr>
      </w:pPr>
      <w:r>
        <w:rPr>
          <w:spacing w:val="-2"/>
          <w:sz w:val="18"/>
        </w:rPr>
        <w:t>pT3：肿瘤＞4cm，局限于甲状腺内或大体侵犯甲状腺外带状肌 pT3a：肿瘤＞4cm，局限于甲状腺内</w:t>
      </w:r>
      <w:r>
        <w:rPr>
          <w:spacing w:val="80"/>
          <w:w w:val="150"/>
          <w:sz w:val="18"/>
        </w:rPr>
        <w:t>        </w:t>
      </w:r>
      <w:r>
        <w:rPr>
          <w:spacing w:val="-2"/>
          <w:sz w:val="18"/>
        </w:rPr>
        <w:t>pT3b：大体侵犯甲状腺外带状肌，无论肿瘤大小</w:t>
      </w:r>
    </w:p>
    <w:p>
      <w:pPr>
        <w:spacing w:line="324" w:lineRule="auto" w:before="2"/>
        <w:ind w:left="232" w:right="4471" w:firstLine="360"/>
        <w:jc w:val="left"/>
        <w:rPr>
          <w:sz w:val="18"/>
        </w:rPr>
      </w:pPr>
      <w:r>
        <w:rPr>
          <w:spacing w:val="-2"/>
          <w:sz w:val="18"/>
        </w:rPr>
        <w:t>带状肌包括：胸骨舌骨肌、胸骨甲状肌、甲状舌骨肌、肩胛舌骨肌 pT4：进展期病变</w:t>
      </w:r>
    </w:p>
    <w:p>
      <w:pPr>
        <w:spacing w:line="324" w:lineRule="auto" w:before="1"/>
        <w:ind w:left="232" w:right="691" w:firstLine="0"/>
        <w:jc w:val="left"/>
        <w:rPr>
          <w:sz w:val="18"/>
        </w:rPr>
      </w:pPr>
      <w:r>
        <w:rPr>
          <w:spacing w:val="-2"/>
          <w:sz w:val="18"/>
        </w:rPr>
        <w:t>pT4a：中度进展，任何大小的肿瘤，侵犯甲状腺外颈部周围器官和软组织，如喉、气管、食管、喉反神经及皮下软组织 pT4b：重度进展，任何大小的肿瘤，侵犯椎前筋膜，或包裹颈动脉、纵隔血管</w:t>
      </w:r>
    </w:p>
    <w:p>
      <w:pPr>
        <w:spacing w:line="324" w:lineRule="auto" w:before="2"/>
        <w:ind w:left="232" w:right="7351" w:firstLine="0"/>
        <w:jc w:val="left"/>
        <w:rPr>
          <w:sz w:val="18"/>
        </w:rPr>
      </w:pPr>
      <w:r>
        <w:rPr>
          <w:spacing w:val="-2"/>
          <w:sz w:val="18"/>
        </w:rPr>
        <w:t>区域淋巴结：适用于所有甲状腺癌 pNx：区域淋巴结无法评估</w:t>
      </w:r>
      <w:r>
        <w:rPr>
          <w:spacing w:val="80"/>
          <w:sz w:val="18"/>
        </w:rPr>
        <w:t>  </w:t>
      </w:r>
      <w:r>
        <w:rPr>
          <w:spacing w:val="-2"/>
          <w:sz w:val="18"/>
        </w:rPr>
        <w:t>pN0：无淋巴结转移证据</w:t>
      </w:r>
      <w:r>
        <w:rPr>
          <w:spacing w:val="80"/>
          <w:sz w:val="18"/>
        </w:rPr>
        <w:t>   </w:t>
      </w:r>
      <w:r>
        <w:rPr>
          <w:spacing w:val="-2"/>
          <w:sz w:val="18"/>
        </w:rPr>
        <w:t>pN1：区域淋巴结转移</w:t>
      </w:r>
    </w:p>
    <w:p>
      <w:pPr>
        <w:spacing w:line="326" w:lineRule="auto" w:before="2"/>
        <w:ind w:left="232" w:right="1859" w:firstLine="0"/>
        <w:jc w:val="left"/>
        <w:rPr>
          <w:sz w:val="18"/>
        </w:rPr>
      </w:pPr>
      <w:r>
        <w:rPr>
          <w:spacing w:val="-2"/>
          <w:sz w:val="18"/>
        </w:rPr>
        <w:t>pN1a：转移至Ⅵ、Ⅶ区（包括气管旁、气管前、喉前/Delphian或上纵隔）淋巴结，可以为单侧或双侧。</w:t>
      </w:r>
      <w:r>
        <w:rPr>
          <w:spacing w:val="-2"/>
          <w:sz w:val="18"/>
        </w:rPr>
        <w:t> pN1b：单侧、双侧或对侧颈淋巴结转移（包括Ⅰ、Ⅱ、Ⅲ、Ⅳ或Ⅴ区）淋巴结或咽后淋巴结转移。</w:t>
      </w:r>
    </w:p>
    <w:p>
      <w:pPr>
        <w:spacing w:line="324" w:lineRule="auto" w:before="0"/>
        <w:ind w:left="232" w:right="7531" w:firstLine="0"/>
        <w:jc w:val="left"/>
        <w:rPr>
          <w:sz w:val="18"/>
        </w:rPr>
      </w:pPr>
      <w:r>
        <w:rPr>
          <w:spacing w:val="-2"/>
          <w:sz w:val="18"/>
        </w:rPr>
        <w:t>远处转移：适用于所有甲状腺癌 M0：无远处转移</w:t>
      </w:r>
      <w:r>
        <w:rPr>
          <w:spacing w:val="80"/>
          <w:w w:val="150"/>
          <w:sz w:val="18"/>
        </w:rPr>
        <w:t>     </w:t>
      </w:r>
      <w:r>
        <w:rPr>
          <w:spacing w:val="-2"/>
          <w:sz w:val="18"/>
        </w:rPr>
        <w:t>M1：有远处转移</w:t>
      </w:r>
    </w:p>
    <w:p>
      <w:pPr>
        <w:spacing w:after="0" w:line="324" w:lineRule="auto"/>
        <w:jc w:val="left"/>
        <w:rPr>
          <w:sz w:val="18"/>
        </w:rPr>
        <w:sectPr>
          <w:pgSz w:w="11910" w:h="16840"/>
          <w:pgMar w:header="566" w:footer="664" w:top="1340" w:bottom="860" w:left="900" w:right="720"/>
        </w:sectPr>
      </w:pPr>
    </w:p>
    <w:p>
      <w:pPr>
        <w:pStyle w:val="BodyText"/>
        <w:spacing w:before="11"/>
        <w:rPr>
          <w:sz w:val="4"/>
        </w:rPr>
      </w:pPr>
    </w:p>
    <w:tbl>
      <w:tblPr>
        <w:tblW w:w="0" w:type="auto"/>
        <w:jc w:val="left"/>
        <w:tblInd w:w="1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50"/>
        <w:gridCol w:w="1747"/>
        <w:gridCol w:w="1747"/>
        <w:gridCol w:w="1750"/>
      </w:tblGrid>
      <w:tr>
        <w:trPr>
          <w:trHeight w:val="311" w:hRule="atLeast"/>
        </w:trPr>
        <w:tc>
          <w:tcPr>
            <w:tcW w:w="6994" w:type="dxa"/>
            <w:gridSpan w:val="4"/>
          </w:tcPr>
          <w:p>
            <w:pPr>
              <w:pStyle w:val="TableParagraph"/>
              <w:spacing w:before="22"/>
              <w:ind w:left="110"/>
              <w:rPr>
                <w:sz w:val="21"/>
              </w:rPr>
            </w:pPr>
            <w:r>
              <w:rPr>
                <w:spacing w:val="-2"/>
                <w:sz w:val="21"/>
              </w:rPr>
              <w:t>乳头状或滤泡状癌（分化型</w:t>
            </w:r>
            <w:r>
              <w:rPr>
                <w:spacing w:val="-10"/>
                <w:sz w:val="21"/>
              </w:rPr>
              <w:t>）</w:t>
            </w:r>
          </w:p>
        </w:tc>
      </w:tr>
      <w:tr>
        <w:trPr>
          <w:trHeight w:val="312" w:hRule="atLeast"/>
        </w:trPr>
        <w:tc>
          <w:tcPr>
            <w:tcW w:w="6994" w:type="dxa"/>
            <w:gridSpan w:val="4"/>
          </w:tcPr>
          <w:p>
            <w:pPr>
              <w:pStyle w:val="TableParagraph"/>
              <w:spacing w:before="23"/>
              <w:ind w:left="110"/>
              <w:rPr>
                <w:sz w:val="21"/>
              </w:rPr>
            </w:pPr>
            <w:r>
              <w:rPr>
                <w:spacing w:val="-2"/>
                <w:sz w:val="21"/>
              </w:rPr>
              <w:t>年龄＜55</w:t>
            </w:r>
            <w:r>
              <w:rPr>
                <w:spacing w:val="-10"/>
                <w:sz w:val="21"/>
              </w:rPr>
              <w:t>岁</w:t>
            </w:r>
          </w:p>
        </w:tc>
      </w:tr>
      <w:tr>
        <w:trPr>
          <w:trHeight w:val="311" w:hRule="atLeast"/>
        </w:trPr>
        <w:tc>
          <w:tcPr>
            <w:tcW w:w="1750" w:type="dxa"/>
          </w:tcPr>
          <w:p>
            <w:pPr>
              <w:pStyle w:val="TableParagraph"/>
              <w:rPr>
                <w:rFonts w:ascii="Times New Roman"/>
                <w:sz w:val="20"/>
              </w:rPr>
            </w:pPr>
          </w:p>
        </w:tc>
        <w:tc>
          <w:tcPr>
            <w:tcW w:w="1747" w:type="dxa"/>
          </w:tcPr>
          <w:p>
            <w:pPr>
              <w:pStyle w:val="TableParagraph"/>
              <w:spacing w:before="22"/>
              <w:ind w:left="108"/>
              <w:rPr>
                <w:sz w:val="21"/>
              </w:rPr>
            </w:pPr>
            <w:r>
              <w:rPr>
                <w:w w:val="100"/>
                <w:sz w:val="21"/>
              </w:rPr>
              <w:t>T</w:t>
            </w:r>
          </w:p>
        </w:tc>
        <w:tc>
          <w:tcPr>
            <w:tcW w:w="1747" w:type="dxa"/>
          </w:tcPr>
          <w:p>
            <w:pPr>
              <w:pStyle w:val="TableParagraph"/>
              <w:spacing w:before="22"/>
              <w:ind w:left="108"/>
              <w:rPr>
                <w:sz w:val="21"/>
              </w:rPr>
            </w:pPr>
            <w:r>
              <w:rPr>
                <w:w w:val="100"/>
                <w:sz w:val="21"/>
              </w:rPr>
              <w:t>N</w:t>
            </w:r>
          </w:p>
        </w:tc>
        <w:tc>
          <w:tcPr>
            <w:tcW w:w="1750" w:type="dxa"/>
          </w:tcPr>
          <w:p>
            <w:pPr>
              <w:pStyle w:val="TableParagraph"/>
              <w:spacing w:before="22"/>
              <w:ind w:left="111"/>
              <w:rPr>
                <w:sz w:val="21"/>
              </w:rPr>
            </w:pPr>
            <w:r>
              <w:rPr>
                <w:w w:val="100"/>
                <w:sz w:val="21"/>
              </w:rPr>
              <w:t>M</w:t>
            </w:r>
          </w:p>
        </w:tc>
      </w:tr>
      <w:tr>
        <w:trPr>
          <w:trHeight w:val="311" w:hRule="atLeast"/>
        </w:trPr>
        <w:tc>
          <w:tcPr>
            <w:tcW w:w="1750" w:type="dxa"/>
          </w:tcPr>
          <w:p>
            <w:pPr>
              <w:pStyle w:val="TableParagraph"/>
              <w:spacing w:before="22"/>
              <w:ind w:left="110"/>
              <w:rPr>
                <w:sz w:val="21"/>
              </w:rPr>
            </w:pPr>
            <w:r>
              <w:rPr>
                <w:spacing w:val="-5"/>
                <w:sz w:val="21"/>
              </w:rPr>
              <w:t>Ⅰ期</w:t>
            </w:r>
          </w:p>
        </w:tc>
        <w:tc>
          <w:tcPr>
            <w:tcW w:w="1747" w:type="dxa"/>
          </w:tcPr>
          <w:p>
            <w:pPr>
              <w:pStyle w:val="TableParagraph"/>
              <w:spacing w:before="22"/>
              <w:ind w:left="108"/>
              <w:rPr>
                <w:sz w:val="21"/>
              </w:rPr>
            </w:pPr>
            <w:r>
              <w:rPr>
                <w:spacing w:val="-5"/>
                <w:sz w:val="21"/>
              </w:rPr>
              <w:t>任何</w:t>
            </w:r>
          </w:p>
        </w:tc>
        <w:tc>
          <w:tcPr>
            <w:tcW w:w="1747" w:type="dxa"/>
          </w:tcPr>
          <w:p>
            <w:pPr>
              <w:pStyle w:val="TableParagraph"/>
              <w:spacing w:before="22"/>
              <w:ind w:left="108"/>
              <w:rPr>
                <w:sz w:val="21"/>
              </w:rPr>
            </w:pPr>
            <w:r>
              <w:rPr>
                <w:spacing w:val="-5"/>
                <w:sz w:val="21"/>
              </w:rPr>
              <w:t>任何</w:t>
            </w:r>
          </w:p>
        </w:tc>
        <w:tc>
          <w:tcPr>
            <w:tcW w:w="1750" w:type="dxa"/>
          </w:tcPr>
          <w:p>
            <w:pPr>
              <w:pStyle w:val="TableParagraph"/>
              <w:spacing w:before="22"/>
              <w:ind w:left="111"/>
              <w:rPr>
                <w:sz w:val="21"/>
              </w:rPr>
            </w:pPr>
            <w:r>
              <w:rPr>
                <w:w w:val="100"/>
                <w:sz w:val="21"/>
              </w:rPr>
              <w:t>0</w:t>
            </w:r>
          </w:p>
        </w:tc>
      </w:tr>
      <w:tr>
        <w:trPr>
          <w:trHeight w:val="313" w:hRule="atLeast"/>
        </w:trPr>
        <w:tc>
          <w:tcPr>
            <w:tcW w:w="1750" w:type="dxa"/>
          </w:tcPr>
          <w:p>
            <w:pPr>
              <w:pStyle w:val="TableParagraph"/>
              <w:spacing w:before="25"/>
              <w:ind w:left="110"/>
              <w:rPr>
                <w:sz w:val="21"/>
              </w:rPr>
            </w:pPr>
            <w:r>
              <w:rPr>
                <w:spacing w:val="-5"/>
                <w:sz w:val="21"/>
              </w:rPr>
              <w:t>Ⅱ期</w:t>
            </w:r>
          </w:p>
        </w:tc>
        <w:tc>
          <w:tcPr>
            <w:tcW w:w="1747" w:type="dxa"/>
          </w:tcPr>
          <w:p>
            <w:pPr>
              <w:pStyle w:val="TableParagraph"/>
              <w:spacing w:before="25"/>
              <w:ind w:left="108"/>
              <w:rPr>
                <w:sz w:val="21"/>
              </w:rPr>
            </w:pPr>
            <w:r>
              <w:rPr>
                <w:spacing w:val="-5"/>
                <w:sz w:val="21"/>
              </w:rPr>
              <w:t>任何</w:t>
            </w:r>
          </w:p>
        </w:tc>
        <w:tc>
          <w:tcPr>
            <w:tcW w:w="1747" w:type="dxa"/>
          </w:tcPr>
          <w:p>
            <w:pPr>
              <w:pStyle w:val="TableParagraph"/>
              <w:spacing w:before="25"/>
              <w:ind w:left="108"/>
              <w:rPr>
                <w:sz w:val="21"/>
              </w:rPr>
            </w:pPr>
            <w:r>
              <w:rPr>
                <w:spacing w:val="-5"/>
                <w:sz w:val="21"/>
              </w:rPr>
              <w:t>任何</w:t>
            </w:r>
          </w:p>
        </w:tc>
        <w:tc>
          <w:tcPr>
            <w:tcW w:w="1750" w:type="dxa"/>
          </w:tcPr>
          <w:p>
            <w:pPr>
              <w:pStyle w:val="TableParagraph"/>
              <w:spacing w:before="25"/>
              <w:ind w:left="111"/>
              <w:rPr>
                <w:sz w:val="21"/>
              </w:rPr>
            </w:pPr>
            <w:r>
              <w:rPr>
                <w:w w:val="100"/>
                <w:sz w:val="21"/>
              </w:rPr>
              <w:t>1</w:t>
            </w:r>
          </w:p>
        </w:tc>
      </w:tr>
      <w:tr>
        <w:trPr>
          <w:trHeight w:val="311" w:hRule="atLeast"/>
        </w:trPr>
        <w:tc>
          <w:tcPr>
            <w:tcW w:w="6994" w:type="dxa"/>
            <w:gridSpan w:val="4"/>
          </w:tcPr>
          <w:p>
            <w:pPr>
              <w:pStyle w:val="TableParagraph"/>
              <w:spacing w:before="22"/>
              <w:ind w:left="110"/>
              <w:rPr>
                <w:sz w:val="21"/>
              </w:rPr>
            </w:pPr>
            <w:r>
              <w:rPr>
                <w:spacing w:val="-2"/>
                <w:sz w:val="21"/>
              </w:rPr>
              <w:t>年龄≥55</w:t>
            </w:r>
            <w:r>
              <w:rPr>
                <w:spacing w:val="-10"/>
                <w:sz w:val="21"/>
              </w:rPr>
              <w:t>岁</w:t>
            </w:r>
          </w:p>
        </w:tc>
      </w:tr>
      <w:tr>
        <w:trPr>
          <w:trHeight w:val="311" w:hRule="atLeast"/>
        </w:trPr>
        <w:tc>
          <w:tcPr>
            <w:tcW w:w="1750" w:type="dxa"/>
          </w:tcPr>
          <w:p>
            <w:pPr>
              <w:pStyle w:val="TableParagraph"/>
              <w:spacing w:before="22"/>
              <w:ind w:left="110"/>
              <w:rPr>
                <w:sz w:val="21"/>
              </w:rPr>
            </w:pPr>
            <w:r>
              <w:rPr>
                <w:spacing w:val="-5"/>
                <w:sz w:val="21"/>
              </w:rPr>
              <w:t>Ⅰ期</w:t>
            </w:r>
          </w:p>
        </w:tc>
        <w:tc>
          <w:tcPr>
            <w:tcW w:w="1747" w:type="dxa"/>
          </w:tcPr>
          <w:p>
            <w:pPr>
              <w:pStyle w:val="TableParagraph"/>
              <w:spacing w:before="22"/>
              <w:ind w:left="108"/>
              <w:rPr>
                <w:sz w:val="21"/>
              </w:rPr>
            </w:pPr>
            <w:r>
              <w:rPr>
                <w:w w:val="100"/>
                <w:sz w:val="21"/>
              </w:rPr>
              <w:t>1</w:t>
            </w:r>
          </w:p>
        </w:tc>
        <w:tc>
          <w:tcPr>
            <w:tcW w:w="1747" w:type="dxa"/>
          </w:tcPr>
          <w:p>
            <w:pPr>
              <w:pStyle w:val="TableParagraph"/>
              <w:spacing w:before="22"/>
              <w:ind w:left="108"/>
              <w:rPr>
                <w:sz w:val="21"/>
              </w:rPr>
            </w:pPr>
            <w:r>
              <w:rPr>
                <w:spacing w:val="-5"/>
                <w:sz w:val="21"/>
              </w:rPr>
              <w:t>0/x</w:t>
            </w:r>
          </w:p>
        </w:tc>
        <w:tc>
          <w:tcPr>
            <w:tcW w:w="1750" w:type="dxa"/>
          </w:tcPr>
          <w:p>
            <w:pPr>
              <w:pStyle w:val="TableParagraph"/>
              <w:spacing w:before="22"/>
              <w:ind w:left="111"/>
              <w:rPr>
                <w:sz w:val="21"/>
              </w:rPr>
            </w:pPr>
            <w:r>
              <w:rPr>
                <w:w w:val="100"/>
                <w:sz w:val="21"/>
              </w:rPr>
              <w:t>0</w:t>
            </w:r>
          </w:p>
        </w:tc>
      </w:tr>
      <w:tr>
        <w:trPr>
          <w:trHeight w:val="311" w:hRule="atLeast"/>
        </w:trPr>
        <w:tc>
          <w:tcPr>
            <w:tcW w:w="1750" w:type="dxa"/>
          </w:tcPr>
          <w:p>
            <w:pPr>
              <w:pStyle w:val="TableParagraph"/>
              <w:rPr>
                <w:rFonts w:ascii="Times New Roman"/>
                <w:sz w:val="20"/>
              </w:rPr>
            </w:pPr>
          </w:p>
        </w:tc>
        <w:tc>
          <w:tcPr>
            <w:tcW w:w="1747" w:type="dxa"/>
          </w:tcPr>
          <w:p>
            <w:pPr>
              <w:pStyle w:val="TableParagraph"/>
              <w:spacing w:before="22"/>
              <w:ind w:left="108"/>
              <w:rPr>
                <w:sz w:val="21"/>
              </w:rPr>
            </w:pPr>
            <w:r>
              <w:rPr>
                <w:w w:val="100"/>
                <w:sz w:val="21"/>
              </w:rPr>
              <w:t>2</w:t>
            </w:r>
          </w:p>
        </w:tc>
        <w:tc>
          <w:tcPr>
            <w:tcW w:w="1747" w:type="dxa"/>
          </w:tcPr>
          <w:p>
            <w:pPr>
              <w:pStyle w:val="TableParagraph"/>
              <w:spacing w:before="22"/>
              <w:ind w:left="108"/>
              <w:rPr>
                <w:sz w:val="21"/>
              </w:rPr>
            </w:pPr>
            <w:r>
              <w:rPr>
                <w:spacing w:val="-5"/>
                <w:sz w:val="21"/>
              </w:rPr>
              <w:t>0/x</w:t>
            </w:r>
          </w:p>
        </w:tc>
        <w:tc>
          <w:tcPr>
            <w:tcW w:w="1750" w:type="dxa"/>
          </w:tcPr>
          <w:p>
            <w:pPr>
              <w:pStyle w:val="TableParagraph"/>
              <w:spacing w:before="22"/>
              <w:ind w:left="111"/>
              <w:rPr>
                <w:sz w:val="21"/>
              </w:rPr>
            </w:pPr>
            <w:r>
              <w:rPr>
                <w:w w:val="100"/>
                <w:sz w:val="21"/>
              </w:rPr>
              <w:t>0</w:t>
            </w:r>
          </w:p>
        </w:tc>
      </w:tr>
      <w:tr>
        <w:trPr>
          <w:trHeight w:val="311" w:hRule="atLeast"/>
        </w:trPr>
        <w:tc>
          <w:tcPr>
            <w:tcW w:w="1750" w:type="dxa"/>
          </w:tcPr>
          <w:p>
            <w:pPr>
              <w:pStyle w:val="TableParagraph"/>
              <w:spacing w:before="22"/>
              <w:ind w:left="110"/>
              <w:rPr>
                <w:sz w:val="21"/>
              </w:rPr>
            </w:pPr>
            <w:r>
              <w:rPr>
                <w:spacing w:val="-5"/>
                <w:sz w:val="21"/>
              </w:rPr>
              <w:t>Ⅱ期</w:t>
            </w:r>
          </w:p>
        </w:tc>
        <w:tc>
          <w:tcPr>
            <w:tcW w:w="1747" w:type="dxa"/>
          </w:tcPr>
          <w:p>
            <w:pPr>
              <w:pStyle w:val="TableParagraph"/>
              <w:spacing w:before="22"/>
              <w:ind w:left="108"/>
              <w:rPr>
                <w:sz w:val="21"/>
              </w:rPr>
            </w:pPr>
            <w:r>
              <w:rPr>
                <w:spacing w:val="-5"/>
                <w:sz w:val="21"/>
              </w:rPr>
              <w:t>1～2</w:t>
            </w:r>
          </w:p>
        </w:tc>
        <w:tc>
          <w:tcPr>
            <w:tcW w:w="1747" w:type="dxa"/>
          </w:tcPr>
          <w:p>
            <w:pPr>
              <w:pStyle w:val="TableParagraph"/>
              <w:spacing w:before="22"/>
              <w:ind w:left="108"/>
              <w:rPr>
                <w:sz w:val="21"/>
              </w:rPr>
            </w:pPr>
            <w:r>
              <w:rPr>
                <w:w w:val="100"/>
                <w:sz w:val="21"/>
              </w:rPr>
              <w:t>1</w:t>
            </w:r>
          </w:p>
        </w:tc>
        <w:tc>
          <w:tcPr>
            <w:tcW w:w="1750" w:type="dxa"/>
          </w:tcPr>
          <w:p>
            <w:pPr>
              <w:pStyle w:val="TableParagraph"/>
              <w:spacing w:before="22"/>
              <w:ind w:left="111"/>
              <w:rPr>
                <w:sz w:val="21"/>
              </w:rPr>
            </w:pPr>
            <w:r>
              <w:rPr>
                <w:w w:val="100"/>
                <w:sz w:val="21"/>
              </w:rPr>
              <w:t>0</w:t>
            </w:r>
          </w:p>
        </w:tc>
      </w:tr>
      <w:tr>
        <w:trPr>
          <w:trHeight w:val="311" w:hRule="atLeast"/>
        </w:trPr>
        <w:tc>
          <w:tcPr>
            <w:tcW w:w="1750" w:type="dxa"/>
          </w:tcPr>
          <w:p>
            <w:pPr>
              <w:pStyle w:val="TableParagraph"/>
              <w:rPr>
                <w:rFonts w:ascii="Times New Roman"/>
                <w:sz w:val="20"/>
              </w:rPr>
            </w:pPr>
          </w:p>
        </w:tc>
        <w:tc>
          <w:tcPr>
            <w:tcW w:w="1747" w:type="dxa"/>
          </w:tcPr>
          <w:p>
            <w:pPr>
              <w:pStyle w:val="TableParagraph"/>
              <w:spacing w:before="22"/>
              <w:ind w:left="108"/>
              <w:rPr>
                <w:sz w:val="21"/>
              </w:rPr>
            </w:pPr>
            <w:r>
              <w:rPr>
                <w:spacing w:val="-2"/>
                <w:sz w:val="21"/>
              </w:rPr>
              <w:t>3a～3b</w:t>
            </w:r>
          </w:p>
        </w:tc>
        <w:tc>
          <w:tcPr>
            <w:tcW w:w="1747" w:type="dxa"/>
          </w:tcPr>
          <w:p>
            <w:pPr>
              <w:pStyle w:val="TableParagraph"/>
              <w:spacing w:before="22"/>
              <w:ind w:left="108"/>
              <w:rPr>
                <w:sz w:val="21"/>
              </w:rPr>
            </w:pPr>
            <w:r>
              <w:rPr>
                <w:spacing w:val="-5"/>
                <w:sz w:val="21"/>
              </w:rPr>
              <w:t>任何</w:t>
            </w:r>
          </w:p>
        </w:tc>
        <w:tc>
          <w:tcPr>
            <w:tcW w:w="1750" w:type="dxa"/>
          </w:tcPr>
          <w:p>
            <w:pPr>
              <w:pStyle w:val="TableParagraph"/>
              <w:spacing w:before="22"/>
              <w:ind w:left="111"/>
              <w:rPr>
                <w:sz w:val="21"/>
              </w:rPr>
            </w:pPr>
            <w:r>
              <w:rPr>
                <w:w w:val="100"/>
                <w:sz w:val="21"/>
              </w:rPr>
              <w:t>0</w:t>
            </w:r>
          </w:p>
        </w:tc>
      </w:tr>
      <w:tr>
        <w:trPr>
          <w:trHeight w:val="314" w:hRule="atLeast"/>
        </w:trPr>
        <w:tc>
          <w:tcPr>
            <w:tcW w:w="1750" w:type="dxa"/>
          </w:tcPr>
          <w:p>
            <w:pPr>
              <w:pStyle w:val="TableParagraph"/>
              <w:spacing w:before="25"/>
              <w:ind w:left="110"/>
              <w:rPr>
                <w:sz w:val="21"/>
              </w:rPr>
            </w:pPr>
            <w:r>
              <w:rPr>
                <w:spacing w:val="-5"/>
                <w:sz w:val="21"/>
              </w:rPr>
              <w:t>Ⅲ期</w:t>
            </w:r>
          </w:p>
        </w:tc>
        <w:tc>
          <w:tcPr>
            <w:tcW w:w="1747" w:type="dxa"/>
          </w:tcPr>
          <w:p>
            <w:pPr>
              <w:pStyle w:val="TableParagraph"/>
              <w:spacing w:before="25"/>
              <w:ind w:left="108"/>
              <w:rPr>
                <w:sz w:val="21"/>
              </w:rPr>
            </w:pPr>
            <w:r>
              <w:rPr>
                <w:spacing w:val="-5"/>
                <w:sz w:val="21"/>
              </w:rPr>
              <w:t>4a</w:t>
            </w:r>
          </w:p>
        </w:tc>
        <w:tc>
          <w:tcPr>
            <w:tcW w:w="1747" w:type="dxa"/>
          </w:tcPr>
          <w:p>
            <w:pPr>
              <w:pStyle w:val="TableParagraph"/>
              <w:spacing w:before="25"/>
              <w:ind w:left="108"/>
              <w:rPr>
                <w:sz w:val="21"/>
              </w:rPr>
            </w:pPr>
            <w:r>
              <w:rPr>
                <w:spacing w:val="-5"/>
                <w:sz w:val="21"/>
              </w:rPr>
              <w:t>任何</w:t>
            </w:r>
          </w:p>
        </w:tc>
        <w:tc>
          <w:tcPr>
            <w:tcW w:w="1750" w:type="dxa"/>
          </w:tcPr>
          <w:p>
            <w:pPr>
              <w:pStyle w:val="TableParagraph"/>
              <w:spacing w:before="25"/>
              <w:ind w:left="111"/>
              <w:rPr>
                <w:sz w:val="21"/>
              </w:rPr>
            </w:pPr>
            <w:r>
              <w:rPr>
                <w:w w:val="100"/>
                <w:sz w:val="21"/>
              </w:rPr>
              <w:t>0</w:t>
            </w:r>
          </w:p>
        </w:tc>
      </w:tr>
      <w:tr>
        <w:trPr>
          <w:trHeight w:val="311" w:hRule="atLeast"/>
        </w:trPr>
        <w:tc>
          <w:tcPr>
            <w:tcW w:w="1750" w:type="dxa"/>
          </w:tcPr>
          <w:p>
            <w:pPr>
              <w:pStyle w:val="TableParagraph"/>
              <w:spacing w:before="22"/>
              <w:ind w:left="110"/>
              <w:rPr>
                <w:sz w:val="21"/>
              </w:rPr>
            </w:pPr>
            <w:r>
              <w:rPr>
                <w:sz w:val="21"/>
              </w:rPr>
              <w:t>ⅣA</w:t>
            </w:r>
            <w:r>
              <w:rPr>
                <w:spacing w:val="-10"/>
                <w:sz w:val="21"/>
              </w:rPr>
              <w:t>期</w:t>
            </w:r>
          </w:p>
        </w:tc>
        <w:tc>
          <w:tcPr>
            <w:tcW w:w="1747" w:type="dxa"/>
          </w:tcPr>
          <w:p>
            <w:pPr>
              <w:pStyle w:val="TableParagraph"/>
              <w:spacing w:before="22"/>
              <w:ind w:left="108"/>
              <w:rPr>
                <w:sz w:val="21"/>
              </w:rPr>
            </w:pPr>
            <w:r>
              <w:rPr>
                <w:spacing w:val="-5"/>
                <w:sz w:val="21"/>
              </w:rPr>
              <w:t>4b</w:t>
            </w:r>
          </w:p>
        </w:tc>
        <w:tc>
          <w:tcPr>
            <w:tcW w:w="1747" w:type="dxa"/>
          </w:tcPr>
          <w:p>
            <w:pPr>
              <w:pStyle w:val="TableParagraph"/>
              <w:spacing w:before="22"/>
              <w:ind w:left="108"/>
              <w:rPr>
                <w:sz w:val="21"/>
              </w:rPr>
            </w:pPr>
            <w:r>
              <w:rPr>
                <w:spacing w:val="-5"/>
                <w:sz w:val="21"/>
              </w:rPr>
              <w:t>任何</w:t>
            </w:r>
          </w:p>
        </w:tc>
        <w:tc>
          <w:tcPr>
            <w:tcW w:w="1750" w:type="dxa"/>
          </w:tcPr>
          <w:p>
            <w:pPr>
              <w:pStyle w:val="TableParagraph"/>
              <w:spacing w:before="22"/>
              <w:ind w:left="111"/>
              <w:rPr>
                <w:sz w:val="21"/>
              </w:rPr>
            </w:pPr>
            <w:r>
              <w:rPr>
                <w:w w:val="100"/>
                <w:sz w:val="21"/>
              </w:rPr>
              <w:t>0</w:t>
            </w:r>
          </w:p>
        </w:tc>
      </w:tr>
      <w:tr>
        <w:trPr>
          <w:trHeight w:val="312" w:hRule="atLeast"/>
        </w:trPr>
        <w:tc>
          <w:tcPr>
            <w:tcW w:w="1750" w:type="dxa"/>
          </w:tcPr>
          <w:p>
            <w:pPr>
              <w:pStyle w:val="TableParagraph"/>
              <w:spacing w:before="22"/>
              <w:ind w:left="110"/>
              <w:rPr>
                <w:sz w:val="21"/>
              </w:rPr>
            </w:pPr>
            <w:r>
              <w:rPr>
                <w:sz w:val="21"/>
              </w:rPr>
              <w:t>ⅣB</w:t>
            </w:r>
            <w:r>
              <w:rPr>
                <w:spacing w:val="-10"/>
                <w:sz w:val="21"/>
              </w:rPr>
              <w:t>期</w:t>
            </w:r>
          </w:p>
        </w:tc>
        <w:tc>
          <w:tcPr>
            <w:tcW w:w="1747" w:type="dxa"/>
          </w:tcPr>
          <w:p>
            <w:pPr>
              <w:pStyle w:val="TableParagraph"/>
              <w:spacing w:before="22"/>
              <w:ind w:left="108"/>
              <w:rPr>
                <w:sz w:val="21"/>
              </w:rPr>
            </w:pPr>
            <w:r>
              <w:rPr>
                <w:spacing w:val="-5"/>
                <w:sz w:val="21"/>
              </w:rPr>
              <w:t>任何</w:t>
            </w:r>
          </w:p>
        </w:tc>
        <w:tc>
          <w:tcPr>
            <w:tcW w:w="1747" w:type="dxa"/>
          </w:tcPr>
          <w:p>
            <w:pPr>
              <w:pStyle w:val="TableParagraph"/>
              <w:spacing w:before="22"/>
              <w:ind w:left="108"/>
              <w:rPr>
                <w:sz w:val="21"/>
              </w:rPr>
            </w:pPr>
            <w:r>
              <w:rPr>
                <w:spacing w:val="-5"/>
                <w:sz w:val="21"/>
              </w:rPr>
              <w:t>任何</w:t>
            </w:r>
          </w:p>
        </w:tc>
        <w:tc>
          <w:tcPr>
            <w:tcW w:w="1750" w:type="dxa"/>
          </w:tcPr>
          <w:p>
            <w:pPr>
              <w:pStyle w:val="TableParagraph"/>
              <w:spacing w:before="22"/>
              <w:ind w:left="111"/>
              <w:rPr>
                <w:sz w:val="21"/>
              </w:rPr>
            </w:pPr>
            <w:r>
              <w:rPr>
                <w:w w:val="100"/>
                <w:sz w:val="21"/>
              </w:rPr>
              <w:t>1</w:t>
            </w:r>
          </w:p>
        </w:tc>
      </w:tr>
      <w:tr>
        <w:trPr>
          <w:trHeight w:val="311" w:hRule="atLeast"/>
        </w:trPr>
        <w:tc>
          <w:tcPr>
            <w:tcW w:w="6994" w:type="dxa"/>
            <w:gridSpan w:val="4"/>
          </w:tcPr>
          <w:p>
            <w:pPr>
              <w:pStyle w:val="TableParagraph"/>
              <w:spacing w:before="22"/>
              <w:ind w:left="110"/>
              <w:rPr>
                <w:sz w:val="21"/>
              </w:rPr>
            </w:pPr>
            <w:r>
              <w:rPr>
                <w:spacing w:val="-2"/>
                <w:sz w:val="21"/>
              </w:rPr>
              <w:t>髓样癌（所有年龄组</w:t>
            </w:r>
            <w:r>
              <w:rPr>
                <w:spacing w:val="-10"/>
                <w:sz w:val="21"/>
              </w:rPr>
              <w:t>）</w:t>
            </w:r>
          </w:p>
        </w:tc>
      </w:tr>
      <w:tr>
        <w:trPr>
          <w:trHeight w:val="311" w:hRule="atLeast"/>
        </w:trPr>
        <w:tc>
          <w:tcPr>
            <w:tcW w:w="1750" w:type="dxa"/>
          </w:tcPr>
          <w:p>
            <w:pPr>
              <w:pStyle w:val="TableParagraph"/>
              <w:spacing w:before="22"/>
              <w:ind w:left="110"/>
              <w:rPr>
                <w:sz w:val="21"/>
              </w:rPr>
            </w:pPr>
            <w:r>
              <w:rPr>
                <w:spacing w:val="-5"/>
                <w:sz w:val="21"/>
              </w:rPr>
              <w:t>Ⅰ期</w:t>
            </w:r>
          </w:p>
        </w:tc>
        <w:tc>
          <w:tcPr>
            <w:tcW w:w="1747" w:type="dxa"/>
          </w:tcPr>
          <w:p>
            <w:pPr>
              <w:pStyle w:val="TableParagraph"/>
              <w:spacing w:before="22"/>
              <w:ind w:left="108"/>
              <w:rPr>
                <w:sz w:val="21"/>
              </w:rPr>
            </w:pPr>
            <w:r>
              <w:rPr>
                <w:w w:val="100"/>
                <w:sz w:val="21"/>
              </w:rPr>
              <w:t>1</w:t>
            </w:r>
          </w:p>
        </w:tc>
        <w:tc>
          <w:tcPr>
            <w:tcW w:w="1747" w:type="dxa"/>
          </w:tcPr>
          <w:p>
            <w:pPr>
              <w:pStyle w:val="TableParagraph"/>
              <w:spacing w:before="22"/>
              <w:ind w:left="108"/>
              <w:rPr>
                <w:sz w:val="21"/>
              </w:rPr>
            </w:pPr>
            <w:r>
              <w:rPr>
                <w:w w:val="100"/>
                <w:sz w:val="21"/>
              </w:rPr>
              <w:t>0</w:t>
            </w:r>
          </w:p>
        </w:tc>
        <w:tc>
          <w:tcPr>
            <w:tcW w:w="1750" w:type="dxa"/>
          </w:tcPr>
          <w:p>
            <w:pPr>
              <w:pStyle w:val="TableParagraph"/>
              <w:spacing w:before="22"/>
              <w:ind w:left="111"/>
              <w:rPr>
                <w:sz w:val="21"/>
              </w:rPr>
            </w:pPr>
            <w:r>
              <w:rPr>
                <w:w w:val="100"/>
                <w:sz w:val="21"/>
              </w:rPr>
              <w:t>0</w:t>
            </w:r>
          </w:p>
        </w:tc>
      </w:tr>
      <w:tr>
        <w:trPr>
          <w:trHeight w:val="311" w:hRule="atLeast"/>
        </w:trPr>
        <w:tc>
          <w:tcPr>
            <w:tcW w:w="1750" w:type="dxa"/>
          </w:tcPr>
          <w:p>
            <w:pPr>
              <w:pStyle w:val="TableParagraph"/>
              <w:spacing w:before="22"/>
              <w:ind w:left="110"/>
              <w:rPr>
                <w:sz w:val="21"/>
              </w:rPr>
            </w:pPr>
            <w:r>
              <w:rPr>
                <w:spacing w:val="-5"/>
                <w:sz w:val="21"/>
              </w:rPr>
              <w:t>Ⅱ期</w:t>
            </w:r>
          </w:p>
        </w:tc>
        <w:tc>
          <w:tcPr>
            <w:tcW w:w="1747" w:type="dxa"/>
          </w:tcPr>
          <w:p>
            <w:pPr>
              <w:pStyle w:val="TableParagraph"/>
              <w:spacing w:before="22"/>
              <w:ind w:left="108"/>
              <w:rPr>
                <w:sz w:val="21"/>
              </w:rPr>
            </w:pPr>
            <w:r>
              <w:rPr>
                <w:spacing w:val="-5"/>
                <w:sz w:val="21"/>
              </w:rPr>
              <w:t>2～3</w:t>
            </w:r>
          </w:p>
        </w:tc>
        <w:tc>
          <w:tcPr>
            <w:tcW w:w="1747" w:type="dxa"/>
          </w:tcPr>
          <w:p>
            <w:pPr>
              <w:pStyle w:val="TableParagraph"/>
              <w:spacing w:before="22"/>
              <w:ind w:left="108"/>
              <w:rPr>
                <w:sz w:val="21"/>
              </w:rPr>
            </w:pPr>
            <w:r>
              <w:rPr>
                <w:w w:val="100"/>
                <w:sz w:val="21"/>
              </w:rPr>
              <w:t>0</w:t>
            </w:r>
          </w:p>
        </w:tc>
        <w:tc>
          <w:tcPr>
            <w:tcW w:w="1750" w:type="dxa"/>
          </w:tcPr>
          <w:p>
            <w:pPr>
              <w:pStyle w:val="TableParagraph"/>
              <w:spacing w:before="22"/>
              <w:ind w:left="111"/>
              <w:rPr>
                <w:sz w:val="21"/>
              </w:rPr>
            </w:pPr>
            <w:r>
              <w:rPr>
                <w:w w:val="100"/>
                <w:sz w:val="21"/>
              </w:rPr>
              <w:t>0</w:t>
            </w:r>
          </w:p>
        </w:tc>
      </w:tr>
      <w:tr>
        <w:trPr>
          <w:trHeight w:val="314" w:hRule="atLeast"/>
        </w:trPr>
        <w:tc>
          <w:tcPr>
            <w:tcW w:w="1750" w:type="dxa"/>
          </w:tcPr>
          <w:p>
            <w:pPr>
              <w:pStyle w:val="TableParagraph"/>
              <w:spacing w:before="25"/>
              <w:ind w:left="110"/>
              <w:rPr>
                <w:sz w:val="21"/>
              </w:rPr>
            </w:pPr>
            <w:r>
              <w:rPr>
                <w:spacing w:val="-5"/>
                <w:sz w:val="21"/>
              </w:rPr>
              <w:t>Ⅲ期</w:t>
            </w:r>
          </w:p>
        </w:tc>
        <w:tc>
          <w:tcPr>
            <w:tcW w:w="1747" w:type="dxa"/>
          </w:tcPr>
          <w:p>
            <w:pPr>
              <w:pStyle w:val="TableParagraph"/>
              <w:spacing w:before="25"/>
              <w:ind w:left="108"/>
              <w:rPr>
                <w:sz w:val="21"/>
              </w:rPr>
            </w:pPr>
            <w:r>
              <w:rPr>
                <w:spacing w:val="-5"/>
                <w:sz w:val="21"/>
              </w:rPr>
              <w:t>1～3</w:t>
            </w:r>
          </w:p>
        </w:tc>
        <w:tc>
          <w:tcPr>
            <w:tcW w:w="1747" w:type="dxa"/>
          </w:tcPr>
          <w:p>
            <w:pPr>
              <w:pStyle w:val="TableParagraph"/>
              <w:spacing w:before="25"/>
              <w:ind w:left="108"/>
              <w:rPr>
                <w:sz w:val="21"/>
              </w:rPr>
            </w:pPr>
            <w:r>
              <w:rPr>
                <w:spacing w:val="-5"/>
                <w:sz w:val="21"/>
              </w:rPr>
              <w:t>1a</w:t>
            </w:r>
          </w:p>
        </w:tc>
        <w:tc>
          <w:tcPr>
            <w:tcW w:w="1750" w:type="dxa"/>
          </w:tcPr>
          <w:p>
            <w:pPr>
              <w:pStyle w:val="TableParagraph"/>
              <w:spacing w:before="25"/>
              <w:ind w:left="111"/>
              <w:rPr>
                <w:sz w:val="21"/>
              </w:rPr>
            </w:pPr>
            <w:r>
              <w:rPr>
                <w:w w:val="100"/>
                <w:sz w:val="21"/>
              </w:rPr>
              <w:t>0</w:t>
            </w:r>
          </w:p>
        </w:tc>
      </w:tr>
      <w:tr>
        <w:trPr>
          <w:trHeight w:val="311" w:hRule="atLeast"/>
        </w:trPr>
        <w:tc>
          <w:tcPr>
            <w:tcW w:w="1750" w:type="dxa"/>
          </w:tcPr>
          <w:p>
            <w:pPr>
              <w:pStyle w:val="TableParagraph"/>
              <w:spacing w:before="22"/>
              <w:ind w:left="110"/>
              <w:rPr>
                <w:sz w:val="21"/>
              </w:rPr>
            </w:pPr>
            <w:r>
              <w:rPr>
                <w:sz w:val="21"/>
              </w:rPr>
              <w:t>ⅣA</w:t>
            </w:r>
            <w:r>
              <w:rPr>
                <w:spacing w:val="-10"/>
                <w:sz w:val="21"/>
              </w:rPr>
              <w:t>期</w:t>
            </w:r>
          </w:p>
        </w:tc>
        <w:tc>
          <w:tcPr>
            <w:tcW w:w="1747" w:type="dxa"/>
          </w:tcPr>
          <w:p>
            <w:pPr>
              <w:pStyle w:val="TableParagraph"/>
              <w:spacing w:before="22"/>
              <w:ind w:left="108"/>
              <w:rPr>
                <w:sz w:val="21"/>
              </w:rPr>
            </w:pPr>
            <w:r>
              <w:rPr>
                <w:spacing w:val="-5"/>
                <w:sz w:val="21"/>
              </w:rPr>
              <w:t>4a</w:t>
            </w:r>
          </w:p>
        </w:tc>
        <w:tc>
          <w:tcPr>
            <w:tcW w:w="1747" w:type="dxa"/>
          </w:tcPr>
          <w:p>
            <w:pPr>
              <w:pStyle w:val="TableParagraph"/>
              <w:spacing w:before="22"/>
              <w:ind w:left="108"/>
              <w:rPr>
                <w:sz w:val="21"/>
              </w:rPr>
            </w:pPr>
            <w:r>
              <w:rPr>
                <w:spacing w:val="-5"/>
                <w:sz w:val="21"/>
              </w:rPr>
              <w:t>任何</w:t>
            </w:r>
          </w:p>
        </w:tc>
        <w:tc>
          <w:tcPr>
            <w:tcW w:w="1750" w:type="dxa"/>
          </w:tcPr>
          <w:p>
            <w:pPr>
              <w:pStyle w:val="TableParagraph"/>
              <w:spacing w:before="22"/>
              <w:ind w:left="111"/>
              <w:rPr>
                <w:sz w:val="21"/>
              </w:rPr>
            </w:pPr>
            <w:r>
              <w:rPr>
                <w:w w:val="100"/>
                <w:sz w:val="21"/>
              </w:rPr>
              <w:t>0</w:t>
            </w:r>
          </w:p>
        </w:tc>
      </w:tr>
      <w:tr>
        <w:trPr>
          <w:trHeight w:val="311" w:hRule="atLeast"/>
        </w:trPr>
        <w:tc>
          <w:tcPr>
            <w:tcW w:w="1750" w:type="dxa"/>
          </w:tcPr>
          <w:p>
            <w:pPr>
              <w:pStyle w:val="TableParagraph"/>
              <w:rPr>
                <w:rFonts w:ascii="Times New Roman"/>
                <w:sz w:val="20"/>
              </w:rPr>
            </w:pPr>
          </w:p>
        </w:tc>
        <w:tc>
          <w:tcPr>
            <w:tcW w:w="1747" w:type="dxa"/>
          </w:tcPr>
          <w:p>
            <w:pPr>
              <w:pStyle w:val="TableParagraph"/>
              <w:spacing w:before="22"/>
              <w:ind w:left="108"/>
              <w:rPr>
                <w:sz w:val="21"/>
              </w:rPr>
            </w:pPr>
            <w:r>
              <w:rPr>
                <w:spacing w:val="-5"/>
                <w:sz w:val="21"/>
              </w:rPr>
              <w:t>1～3</w:t>
            </w:r>
          </w:p>
        </w:tc>
        <w:tc>
          <w:tcPr>
            <w:tcW w:w="1747" w:type="dxa"/>
          </w:tcPr>
          <w:p>
            <w:pPr>
              <w:pStyle w:val="TableParagraph"/>
              <w:spacing w:before="22"/>
              <w:ind w:left="108"/>
              <w:rPr>
                <w:sz w:val="21"/>
              </w:rPr>
            </w:pPr>
            <w:r>
              <w:rPr>
                <w:spacing w:val="-5"/>
                <w:sz w:val="21"/>
              </w:rPr>
              <w:t>1b</w:t>
            </w:r>
          </w:p>
        </w:tc>
        <w:tc>
          <w:tcPr>
            <w:tcW w:w="1750" w:type="dxa"/>
          </w:tcPr>
          <w:p>
            <w:pPr>
              <w:pStyle w:val="TableParagraph"/>
              <w:spacing w:before="22"/>
              <w:ind w:left="111"/>
              <w:rPr>
                <w:sz w:val="21"/>
              </w:rPr>
            </w:pPr>
            <w:r>
              <w:rPr>
                <w:w w:val="100"/>
                <w:sz w:val="21"/>
              </w:rPr>
              <w:t>0</w:t>
            </w:r>
          </w:p>
        </w:tc>
      </w:tr>
      <w:tr>
        <w:trPr>
          <w:trHeight w:val="311" w:hRule="atLeast"/>
        </w:trPr>
        <w:tc>
          <w:tcPr>
            <w:tcW w:w="1750" w:type="dxa"/>
          </w:tcPr>
          <w:p>
            <w:pPr>
              <w:pStyle w:val="TableParagraph"/>
              <w:spacing w:before="22"/>
              <w:ind w:left="110"/>
              <w:rPr>
                <w:sz w:val="21"/>
              </w:rPr>
            </w:pPr>
            <w:r>
              <w:rPr>
                <w:sz w:val="21"/>
              </w:rPr>
              <w:t>ⅣB</w:t>
            </w:r>
            <w:r>
              <w:rPr>
                <w:spacing w:val="-10"/>
                <w:sz w:val="21"/>
              </w:rPr>
              <w:t>期</w:t>
            </w:r>
          </w:p>
        </w:tc>
        <w:tc>
          <w:tcPr>
            <w:tcW w:w="1747" w:type="dxa"/>
          </w:tcPr>
          <w:p>
            <w:pPr>
              <w:pStyle w:val="TableParagraph"/>
              <w:spacing w:before="22"/>
              <w:ind w:left="108"/>
              <w:rPr>
                <w:sz w:val="21"/>
              </w:rPr>
            </w:pPr>
            <w:r>
              <w:rPr>
                <w:spacing w:val="-5"/>
                <w:sz w:val="21"/>
              </w:rPr>
              <w:t>4b</w:t>
            </w:r>
          </w:p>
        </w:tc>
        <w:tc>
          <w:tcPr>
            <w:tcW w:w="1747" w:type="dxa"/>
          </w:tcPr>
          <w:p>
            <w:pPr>
              <w:pStyle w:val="TableParagraph"/>
              <w:spacing w:before="22"/>
              <w:ind w:left="108"/>
              <w:rPr>
                <w:sz w:val="21"/>
              </w:rPr>
            </w:pPr>
            <w:r>
              <w:rPr>
                <w:spacing w:val="-5"/>
                <w:sz w:val="21"/>
              </w:rPr>
              <w:t>任何</w:t>
            </w:r>
          </w:p>
        </w:tc>
        <w:tc>
          <w:tcPr>
            <w:tcW w:w="1750" w:type="dxa"/>
          </w:tcPr>
          <w:p>
            <w:pPr>
              <w:pStyle w:val="TableParagraph"/>
              <w:spacing w:before="22"/>
              <w:ind w:left="111"/>
              <w:rPr>
                <w:sz w:val="21"/>
              </w:rPr>
            </w:pPr>
            <w:r>
              <w:rPr>
                <w:w w:val="100"/>
                <w:sz w:val="21"/>
              </w:rPr>
              <w:t>0</w:t>
            </w:r>
          </w:p>
        </w:tc>
      </w:tr>
      <w:tr>
        <w:trPr>
          <w:trHeight w:val="311" w:hRule="atLeast"/>
        </w:trPr>
        <w:tc>
          <w:tcPr>
            <w:tcW w:w="1750" w:type="dxa"/>
          </w:tcPr>
          <w:p>
            <w:pPr>
              <w:pStyle w:val="TableParagraph"/>
              <w:spacing w:before="22"/>
              <w:ind w:left="110"/>
              <w:rPr>
                <w:sz w:val="21"/>
              </w:rPr>
            </w:pPr>
            <w:r>
              <w:rPr>
                <w:sz w:val="21"/>
              </w:rPr>
              <w:t>ⅣC</w:t>
            </w:r>
            <w:r>
              <w:rPr>
                <w:spacing w:val="-10"/>
                <w:sz w:val="21"/>
              </w:rPr>
              <w:t>期</w:t>
            </w:r>
          </w:p>
        </w:tc>
        <w:tc>
          <w:tcPr>
            <w:tcW w:w="1747" w:type="dxa"/>
          </w:tcPr>
          <w:p>
            <w:pPr>
              <w:pStyle w:val="TableParagraph"/>
              <w:spacing w:before="22"/>
              <w:ind w:left="108"/>
              <w:rPr>
                <w:sz w:val="21"/>
              </w:rPr>
            </w:pPr>
            <w:r>
              <w:rPr>
                <w:spacing w:val="-5"/>
                <w:sz w:val="21"/>
              </w:rPr>
              <w:t>任何</w:t>
            </w:r>
          </w:p>
        </w:tc>
        <w:tc>
          <w:tcPr>
            <w:tcW w:w="1747" w:type="dxa"/>
          </w:tcPr>
          <w:p>
            <w:pPr>
              <w:pStyle w:val="TableParagraph"/>
              <w:spacing w:before="22"/>
              <w:ind w:left="108"/>
              <w:rPr>
                <w:sz w:val="21"/>
              </w:rPr>
            </w:pPr>
            <w:r>
              <w:rPr>
                <w:spacing w:val="-5"/>
                <w:sz w:val="21"/>
              </w:rPr>
              <w:t>任何</w:t>
            </w:r>
          </w:p>
        </w:tc>
        <w:tc>
          <w:tcPr>
            <w:tcW w:w="1750" w:type="dxa"/>
          </w:tcPr>
          <w:p>
            <w:pPr>
              <w:pStyle w:val="TableParagraph"/>
              <w:spacing w:before="22"/>
              <w:ind w:left="111"/>
              <w:rPr>
                <w:sz w:val="21"/>
              </w:rPr>
            </w:pPr>
            <w:r>
              <w:rPr>
                <w:w w:val="100"/>
                <w:sz w:val="21"/>
              </w:rPr>
              <w:t>1</w:t>
            </w:r>
          </w:p>
        </w:tc>
      </w:tr>
      <w:tr>
        <w:trPr>
          <w:trHeight w:val="311" w:hRule="atLeast"/>
        </w:trPr>
        <w:tc>
          <w:tcPr>
            <w:tcW w:w="6994" w:type="dxa"/>
            <w:gridSpan w:val="4"/>
          </w:tcPr>
          <w:p>
            <w:pPr>
              <w:pStyle w:val="TableParagraph"/>
              <w:spacing w:before="22"/>
              <w:ind w:left="110"/>
              <w:rPr>
                <w:sz w:val="21"/>
              </w:rPr>
            </w:pPr>
            <w:r>
              <w:rPr>
                <w:spacing w:val="-2"/>
                <w:sz w:val="21"/>
              </w:rPr>
              <w:t>未分化癌（所有年龄组</w:t>
            </w:r>
            <w:r>
              <w:rPr>
                <w:spacing w:val="-10"/>
                <w:sz w:val="21"/>
              </w:rPr>
              <w:t>）</w:t>
            </w:r>
          </w:p>
        </w:tc>
      </w:tr>
      <w:tr>
        <w:trPr>
          <w:trHeight w:val="313" w:hRule="atLeast"/>
        </w:trPr>
        <w:tc>
          <w:tcPr>
            <w:tcW w:w="1750" w:type="dxa"/>
          </w:tcPr>
          <w:p>
            <w:pPr>
              <w:pStyle w:val="TableParagraph"/>
              <w:spacing w:before="25"/>
              <w:ind w:left="110"/>
              <w:rPr>
                <w:sz w:val="21"/>
              </w:rPr>
            </w:pPr>
            <w:r>
              <w:rPr>
                <w:sz w:val="21"/>
              </w:rPr>
              <w:t>ⅣA</w:t>
            </w:r>
            <w:r>
              <w:rPr>
                <w:spacing w:val="-10"/>
                <w:sz w:val="21"/>
              </w:rPr>
              <w:t>期</w:t>
            </w:r>
          </w:p>
        </w:tc>
        <w:tc>
          <w:tcPr>
            <w:tcW w:w="1747" w:type="dxa"/>
          </w:tcPr>
          <w:p>
            <w:pPr>
              <w:pStyle w:val="TableParagraph"/>
              <w:spacing w:before="25"/>
              <w:ind w:left="108"/>
              <w:rPr>
                <w:sz w:val="21"/>
              </w:rPr>
            </w:pPr>
            <w:r>
              <w:rPr>
                <w:spacing w:val="-4"/>
                <w:sz w:val="21"/>
              </w:rPr>
              <w:t>1～3a</w:t>
            </w:r>
          </w:p>
        </w:tc>
        <w:tc>
          <w:tcPr>
            <w:tcW w:w="1747" w:type="dxa"/>
          </w:tcPr>
          <w:p>
            <w:pPr>
              <w:pStyle w:val="TableParagraph"/>
              <w:spacing w:before="25"/>
              <w:ind w:left="108"/>
              <w:rPr>
                <w:sz w:val="21"/>
              </w:rPr>
            </w:pPr>
            <w:r>
              <w:rPr>
                <w:spacing w:val="-5"/>
                <w:sz w:val="21"/>
              </w:rPr>
              <w:t>0/x</w:t>
            </w:r>
          </w:p>
        </w:tc>
        <w:tc>
          <w:tcPr>
            <w:tcW w:w="1750" w:type="dxa"/>
          </w:tcPr>
          <w:p>
            <w:pPr>
              <w:pStyle w:val="TableParagraph"/>
              <w:spacing w:before="25"/>
              <w:ind w:left="111"/>
              <w:rPr>
                <w:sz w:val="21"/>
              </w:rPr>
            </w:pPr>
            <w:r>
              <w:rPr>
                <w:w w:val="100"/>
                <w:sz w:val="21"/>
              </w:rPr>
              <w:t>0</w:t>
            </w:r>
          </w:p>
        </w:tc>
      </w:tr>
      <w:tr>
        <w:trPr>
          <w:trHeight w:val="311" w:hRule="atLeast"/>
        </w:trPr>
        <w:tc>
          <w:tcPr>
            <w:tcW w:w="1750" w:type="dxa"/>
          </w:tcPr>
          <w:p>
            <w:pPr>
              <w:pStyle w:val="TableParagraph"/>
              <w:spacing w:before="22"/>
              <w:ind w:left="110"/>
              <w:rPr>
                <w:sz w:val="21"/>
              </w:rPr>
            </w:pPr>
            <w:r>
              <w:rPr>
                <w:sz w:val="21"/>
              </w:rPr>
              <w:t>ⅣB</w:t>
            </w:r>
            <w:r>
              <w:rPr>
                <w:spacing w:val="-10"/>
                <w:sz w:val="21"/>
              </w:rPr>
              <w:t>期</w:t>
            </w:r>
          </w:p>
        </w:tc>
        <w:tc>
          <w:tcPr>
            <w:tcW w:w="1747" w:type="dxa"/>
          </w:tcPr>
          <w:p>
            <w:pPr>
              <w:pStyle w:val="TableParagraph"/>
              <w:spacing w:before="22"/>
              <w:ind w:left="108"/>
              <w:rPr>
                <w:sz w:val="21"/>
              </w:rPr>
            </w:pPr>
            <w:r>
              <w:rPr>
                <w:spacing w:val="-4"/>
                <w:sz w:val="21"/>
              </w:rPr>
              <w:t>1～3a</w:t>
            </w:r>
          </w:p>
        </w:tc>
        <w:tc>
          <w:tcPr>
            <w:tcW w:w="1747" w:type="dxa"/>
          </w:tcPr>
          <w:p>
            <w:pPr>
              <w:pStyle w:val="TableParagraph"/>
              <w:spacing w:before="22"/>
              <w:ind w:left="108"/>
              <w:rPr>
                <w:sz w:val="21"/>
              </w:rPr>
            </w:pPr>
            <w:r>
              <w:rPr>
                <w:w w:val="100"/>
                <w:sz w:val="21"/>
              </w:rPr>
              <w:t>1</w:t>
            </w:r>
          </w:p>
        </w:tc>
        <w:tc>
          <w:tcPr>
            <w:tcW w:w="1750" w:type="dxa"/>
          </w:tcPr>
          <w:p>
            <w:pPr>
              <w:pStyle w:val="TableParagraph"/>
              <w:spacing w:before="22"/>
              <w:ind w:left="111"/>
              <w:rPr>
                <w:sz w:val="21"/>
              </w:rPr>
            </w:pPr>
            <w:r>
              <w:rPr>
                <w:w w:val="100"/>
                <w:sz w:val="21"/>
              </w:rPr>
              <w:t>0</w:t>
            </w:r>
          </w:p>
        </w:tc>
      </w:tr>
      <w:tr>
        <w:trPr>
          <w:trHeight w:val="311" w:hRule="atLeast"/>
        </w:trPr>
        <w:tc>
          <w:tcPr>
            <w:tcW w:w="1750" w:type="dxa"/>
          </w:tcPr>
          <w:p>
            <w:pPr>
              <w:pStyle w:val="TableParagraph"/>
              <w:rPr>
                <w:rFonts w:ascii="Times New Roman"/>
                <w:sz w:val="20"/>
              </w:rPr>
            </w:pPr>
          </w:p>
        </w:tc>
        <w:tc>
          <w:tcPr>
            <w:tcW w:w="1747" w:type="dxa"/>
          </w:tcPr>
          <w:p>
            <w:pPr>
              <w:pStyle w:val="TableParagraph"/>
              <w:spacing w:before="23"/>
              <w:ind w:left="108"/>
              <w:rPr>
                <w:sz w:val="21"/>
              </w:rPr>
            </w:pPr>
            <w:r>
              <w:rPr>
                <w:spacing w:val="-4"/>
                <w:sz w:val="21"/>
              </w:rPr>
              <w:t>3b～4</w:t>
            </w:r>
          </w:p>
        </w:tc>
        <w:tc>
          <w:tcPr>
            <w:tcW w:w="1747" w:type="dxa"/>
          </w:tcPr>
          <w:p>
            <w:pPr>
              <w:pStyle w:val="TableParagraph"/>
              <w:spacing w:before="23"/>
              <w:ind w:left="108"/>
              <w:rPr>
                <w:sz w:val="21"/>
              </w:rPr>
            </w:pPr>
            <w:r>
              <w:rPr>
                <w:spacing w:val="-5"/>
                <w:sz w:val="21"/>
              </w:rPr>
              <w:t>任何</w:t>
            </w:r>
          </w:p>
        </w:tc>
        <w:tc>
          <w:tcPr>
            <w:tcW w:w="1750" w:type="dxa"/>
          </w:tcPr>
          <w:p>
            <w:pPr>
              <w:pStyle w:val="TableParagraph"/>
              <w:spacing w:before="23"/>
              <w:ind w:left="111"/>
              <w:rPr>
                <w:sz w:val="21"/>
              </w:rPr>
            </w:pPr>
            <w:r>
              <w:rPr>
                <w:w w:val="100"/>
                <w:sz w:val="21"/>
              </w:rPr>
              <w:t>0</w:t>
            </w:r>
          </w:p>
        </w:tc>
      </w:tr>
      <w:tr>
        <w:trPr>
          <w:trHeight w:val="311" w:hRule="atLeast"/>
        </w:trPr>
        <w:tc>
          <w:tcPr>
            <w:tcW w:w="1750" w:type="dxa"/>
          </w:tcPr>
          <w:p>
            <w:pPr>
              <w:pStyle w:val="TableParagraph"/>
              <w:spacing w:before="22"/>
              <w:ind w:left="110"/>
              <w:rPr>
                <w:sz w:val="21"/>
              </w:rPr>
            </w:pPr>
            <w:r>
              <w:rPr>
                <w:sz w:val="21"/>
              </w:rPr>
              <w:t>ⅣC</w:t>
            </w:r>
            <w:r>
              <w:rPr>
                <w:spacing w:val="-10"/>
                <w:sz w:val="21"/>
              </w:rPr>
              <w:t>期</w:t>
            </w:r>
          </w:p>
        </w:tc>
        <w:tc>
          <w:tcPr>
            <w:tcW w:w="1747" w:type="dxa"/>
          </w:tcPr>
          <w:p>
            <w:pPr>
              <w:pStyle w:val="TableParagraph"/>
              <w:spacing w:before="22"/>
              <w:ind w:left="108"/>
              <w:rPr>
                <w:sz w:val="21"/>
              </w:rPr>
            </w:pPr>
            <w:r>
              <w:rPr>
                <w:spacing w:val="-5"/>
                <w:sz w:val="21"/>
              </w:rPr>
              <w:t>任何</w:t>
            </w:r>
          </w:p>
        </w:tc>
        <w:tc>
          <w:tcPr>
            <w:tcW w:w="1747" w:type="dxa"/>
          </w:tcPr>
          <w:p>
            <w:pPr>
              <w:pStyle w:val="TableParagraph"/>
              <w:spacing w:before="22"/>
              <w:ind w:left="108"/>
              <w:rPr>
                <w:sz w:val="21"/>
              </w:rPr>
            </w:pPr>
            <w:r>
              <w:rPr>
                <w:spacing w:val="-5"/>
                <w:sz w:val="21"/>
              </w:rPr>
              <w:t>任何</w:t>
            </w:r>
          </w:p>
        </w:tc>
        <w:tc>
          <w:tcPr>
            <w:tcW w:w="1750" w:type="dxa"/>
          </w:tcPr>
          <w:p>
            <w:pPr>
              <w:pStyle w:val="TableParagraph"/>
              <w:spacing w:before="22"/>
              <w:ind w:left="111"/>
              <w:rPr>
                <w:sz w:val="21"/>
              </w:rPr>
            </w:pPr>
            <w:r>
              <w:rPr>
                <w:w w:val="100"/>
                <w:sz w:val="21"/>
              </w:rPr>
              <w:t>1</w:t>
            </w:r>
          </w:p>
        </w:tc>
      </w:tr>
    </w:tbl>
    <w:p>
      <w:pPr>
        <w:pStyle w:val="BodyText"/>
        <w:spacing w:before="8"/>
        <w:rPr>
          <w:sz w:val="22"/>
        </w:rPr>
      </w:pPr>
    </w:p>
    <w:p>
      <w:pPr>
        <w:spacing w:before="17"/>
        <w:ind w:left="879" w:right="1059" w:firstLine="0"/>
        <w:jc w:val="center"/>
        <w:rPr>
          <w:rFonts w:ascii="微软雅黑" w:hAnsi="微软雅黑" w:eastAsia="微软雅黑"/>
          <w:b/>
          <w:sz w:val="18"/>
        </w:rPr>
      </w:pPr>
      <w:r>
        <w:rPr>
          <w:rFonts w:ascii="微软雅黑" w:hAnsi="微软雅黑" w:eastAsia="微软雅黑"/>
          <w:b/>
          <w:spacing w:val="-1"/>
          <w:sz w:val="18"/>
        </w:rPr>
        <w:t>注：以上表格中“年龄”指患者病理组织标本获取日期时的年龄。</w:t>
      </w:r>
    </w:p>
    <w:sectPr>
      <w:pgSz w:w="11910" w:h="16840"/>
      <w:pgMar w:header="566" w:footer="664" w:top="1340" w:bottom="860" w:left="90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微软雅黑">
    <w:altName w:val="微软雅黑"/>
    <w:charset w:val="86"/>
    <w:family w:val="swiss"/>
    <w:pitch w:val="variable"/>
  </w:font>
  <w:font w:name="Wingdings">
    <w:altName w:val="Wingdings"/>
    <w:charset w:val="2"/>
    <w:family w:val="auto"/>
    <w:pitch w:val="variable"/>
  </w:font>
  <w:font w:name="等线">
    <w:altName w:val="等线"/>
    <w:charset w:val="86"/>
    <w:family w:val="auto"/>
    <w:pitch w:val="variable"/>
  </w:font>
  <w:font w:name="MS Gothic">
    <w:altName w:val="MS Gothic"/>
    <w:charset w:val="0"/>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730011pt;margin-top:797.715942pt;width:24.4pt;height:12pt;mso-position-horizontal-relative:page;mso-position-vertical-relative:page;z-index:-19137536" type="#_x0000_t202" id="docshape3" filled="false" stroked="false">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2"/>
                    <w:sz w:val="18"/>
                  </w:rPr>
                  <w:t> </w:t>
                </w:r>
                <w:r>
                  <w:rPr>
                    <w:rFonts w:ascii="Times New Roman"/>
                    <w:b/>
                    <w:spacing w:val="-5"/>
                    <w:sz w:val="18"/>
                  </w:rPr>
                  <w:fldChar w:fldCharType="begin"/>
                </w:r>
                <w:r>
                  <w:rPr>
                    <w:rFonts w:ascii="Times New Roman"/>
                    <w:b/>
                    <w:spacing w:val="-5"/>
                    <w:sz w:val="18"/>
                  </w:rPr>
                  <w:instrText> NUMPAGES </w:instrText>
                </w:r>
                <w:r>
                  <w:rPr>
                    <w:rFonts w:ascii="Times New Roman"/>
                    <w:b/>
                    <w:spacing w:val="-5"/>
                    <w:sz w:val="18"/>
                  </w:rPr>
                  <w:fldChar w:fldCharType="separate"/>
                </w:r>
                <w:r>
                  <w:rPr>
                    <w:rFonts w:ascii="Times New Roman"/>
                    <w:b/>
                    <w:spacing w:val="-5"/>
                    <w:sz w:val="18"/>
                  </w:rPr>
                  <w:t>45</w:t>
                </w:r>
                <w:r>
                  <w:rPr>
                    <w:rFonts w:ascii="Times New Roman"/>
                    <w:b/>
                    <w:spacing w:val="-5"/>
                    <w:sz w:val="18"/>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450012pt;margin-top:797.715942pt;width:27.1pt;height:12pt;mso-position-horizontal-relative:page;mso-position-vertical-relative:page;z-index:-19135488" type="#_x0000_t202" id="docshape27" filled="false" stroked="false">
          <v:textbox inset="0,0,0,0">
            <w:txbxContent>
              <w:p>
                <w:pPr>
                  <w:spacing w:before="12"/>
                  <w:ind w:left="20" w:right="0" w:firstLine="0"/>
                  <w:jc w:val="left"/>
                  <w:rPr>
                    <w:rFonts w:ascii="Times New Roman"/>
                    <w:b/>
                    <w:sz w:val="18"/>
                  </w:rPr>
                </w:pPr>
                <w:r>
                  <w:rPr>
                    <w:rFonts w:ascii="Times New Roman"/>
                    <w:b/>
                    <w:sz w:val="18"/>
                  </w:rPr>
                  <w:t>10</w:t>
                </w:r>
                <w:r>
                  <w:rPr>
                    <w:rFonts w:ascii="Times New Roman"/>
                    <w:b/>
                    <w:spacing w:val="-1"/>
                    <w:sz w:val="18"/>
                  </w:rPr>
                  <w:t> </w:t>
                </w:r>
                <w:r>
                  <w:rPr>
                    <w:rFonts w:ascii="Times New Roman"/>
                    <w:sz w:val="18"/>
                  </w:rPr>
                  <w:t>/</w:t>
                </w:r>
                <w:r>
                  <w:rPr>
                    <w:rFonts w:ascii="Times New Roman"/>
                    <w:spacing w:val="-1"/>
                    <w:sz w:val="18"/>
                  </w:rPr>
                  <w:t> </w:t>
                </w:r>
                <w:r>
                  <w:rPr>
                    <w:rFonts w:ascii="Times New Roman"/>
                    <w:b/>
                    <w:spacing w:val="-5"/>
                    <w:sz w:val="18"/>
                  </w:rPr>
                  <w:t>45</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690002pt;margin-top:797.715942pt;width:26.6pt;height:12pt;mso-position-horizontal-relative:page;mso-position-vertical-relative:page;z-index:-19133440" type="#_x0000_t202" id="docshape30" filled="false" stroked="false">
          <v:textbox inset="0,0,0,0">
            <w:txbxContent>
              <w:p>
                <w:pPr>
                  <w:spacing w:before="12"/>
                  <w:ind w:left="20" w:right="0" w:firstLine="0"/>
                  <w:jc w:val="left"/>
                  <w:rPr>
                    <w:rFonts w:ascii="Times New Roman"/>
                    <w:b/>
                    <w:sz w:val="18"/>
                  </w:rPr>
                </w:pPr>
                <w:r>
                  <w:rPr>
                    <w:rFonts w:ascii="Times New Roman"/>
                    <w:b/>
                    <w:sz w:val="18"/>
                  </w:rPr>
                  <w:t>11</w:t>
                </w:r>
                <w:r>
                  <w:rPr>
                    <w:rFonts w:ascii="Times New Roman"/>
                    <w:b/>
                    <w:spacing w:val="-5"/>
                    <w:sz w:val="18"/>
                  </w:rPr>
                  <w:t> </w:t>
                </w:r>
                <w:r>
                  <w:rPr>
                    <w:rFonts w:ascii="Times New Roman"/>
                    <w:sz w:val="18"/>
                  </w:rPr>
                  <w:t>/</w:t>
                </w:r>
                <w:r>
                  <w:rPr>
                    <w:rFonts w:ascii="Times New Roman"/>
                    <w:spacing w:val="-7"/>
                    <w:sz w:val="18"/>
                  </w:rPr>
                  <w:t> </w:t>
                </w:r>
                <w:r>
                  <w:rPr>
                    <w:rFonts w:ascii="Times New Roman"/>
                    <w:b/>
                    <w:spacing w:val="-5"/>
                    <w:sz w:val="18"/>
                  </w:rPr>
                  <w:t>45</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450012pt;margin-top:797.715942pt;width:27.1pt;height:12pt;mso-position-horizontal-relative:page;mso-position-vertical-relative:page;z-index:-19131392" type="#_x0000_t202" id="docshape33" filled="false" stroked="false">
          <v:textbox inset="0,0,0,0">
            <w:txbxContent>
              <w:p>
                <w:pPr>
                  <w:spacing w:before="12"/>
                  <w:ind w:left="20" w:right="0" w:firstLine="0"/>
                  <w:jc w:val="left"/>
                  <w:rPr>
                    <w:rFonts w:ascii="Times New Roman"/>
                    <w:b/>
                    <w:sz w:val="18"/>
                  </w:rPr>
                </w:pPr>
                <w:r>
                  <w:rPr>
                    <w:rFonts w:ascii="Times New Roman"/>
                    <w:b/>
                    <w:sz w:val="18"/>
                  </w:rPr>
                  <w:t>1</w:t>
                </w: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1"/>
                    <w:sz w:val="18"/>
                  </w:rPr>
                  <w:t> </w:t>
                </w:r>
                <w:r>
                  <w:rPr>
                    <w:rFonts w:ascii="Times New Roman"/>
                    <w:b/>
                    <w:spacing w:val="-5"/>
                    <w:sz w:val="18"/>
                  </w:rPr>
                  <w:fldChar w:fldCharType="begin"/>
                </w:r>
                <w:r>
                  <w:rPr>
                    <w:rFonts w:ascii="Times New Roman"/>
                    <w:b/>
                    <w:spacing w:val="-5"/>
                    <w:sz w:val="18"/>
                  </w:rPr>
                  <w:instrText> NUMPAGES </w:instrText>
                </w:r>
                <w:r>
                  <w:rPr>
                    <w:rFonts w:ascii="Times New Roman"/>
                    <w:b/>
                    <w:spacing w:val="-5"/>
                    <w:sz w:val="18"/>
                  </w:rPr>
                  <w:fldChar w:fldCharType="separate"/>
                </w:r>
                <w:r>
                  <w:rPr>
                    <w:rFonts w:ascii="Times New Roman"/>
                    <w:b/>
                    <w:spacing w:val="-5"/>
                    <w:sz w:val="18"/>
                  </w:rPr>
                  <w:t>45</w:t>
                </w:r>
                <w:r>
                  <w:rPr>
                    <w:rFonts w:ascii="Times New Roman"/>
                    <w:b/>
                    <w:spacing w:val="-5"/>
                    <w:sz w:val="18"/>
                  </w:rPr>
                  <w:fldChar w:fldCharType="end"/>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450012pt;margin-top:797.715942pt;width:27.1pt;height:12pt;mso-position-horizontal-relative:page;mso-position-vertical-relative:page;z-index:-19129344" type="#_x0000_t202" id="docshape54" filled="false" stroked="false">
          <v:textbox inset="0,0,0,0">
            <w:txbxContent>
              <w:p>
                <w:pPr>
                  <w:spacing w:before="12"/>
                  <w:ind w:left="20" w:right="0" w:firstLine="0"/>
                  <w:jc w:val="left"/>
                  <w:rPr>
                    <w:rFonts w:ascii="Times New Roman"/>
                    <w:b/>
                    <w:sz w:val="18"/>
                  </w:rPr>
                </w:pPr>
                <w:r>
                  <w:rPr>
                    <w:rFonts w:ascii="Times New Roman"/>
                    <w:b/>
                    <w:sz w:val="18"/>
                  </w:rPr>
                  <w:t>20</w:t>
                </w:r>
                <w:r>
                  <w:rPr>
                    <w:rFonts w:ascii="Times New Roman"/>
                    <w:b/>
                    <w:spacing w:val="-1"/>
                    <w:sz w:val="18"/>
                  </w:rPr>
                  <w:t> </w:t>
                </w:r>
                <w:r>
                  <w:rPr>
                    <w:rFonts w:ascii="Times New Roman"/>
                    <w:sz w:val="18"/>
                  </w:rPr>
                  <w:t>/</w:t>
                </w:r>
                <w:r>
                  <w:rPr>
                    <w:rFonts w:ascii="Times New Roman"/>
                    <w:spacing w:val="-1"/>
                    <w:sz w:val="18"/>
                  </w:rPr>
                  <w:t> </w:t>
                </w:r>
                <w:r>
                  <w:rPr>
                    <w:rFonts w:ascii="Times New Roman"/>
                    <w:b/>
                    <w:spacing w:val="-5"/>
                    <w:sz w:val="18"/>
                  </w:rPr>
                  <w:t>45</w:t>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450012pt;margin-top:797.715942pt;width:27.1pt;height:12pt;mso-position-horizontal-relative:page;mso-position-vertical-relative:page;z-index:-19127296" type="#_x0000_t202" id="docshape57" filled="false" stroked="false">
          <v:textbox inset="0,0,0,0">
            <w:txbxContent>
              <w:p>
                <w:pPr>
                  <w:spacing w:before="12"/>
                  <w:ind w:left="20" w:right="0" w:firstLine="0"/>
                  <w:jc w:val="left"/>
                  <w:rPr>
                    <w:rFonts w:ascii="Times New Roman"/>
                    <w:b/>
                    <w:sz w:val="18"/>
                  </w:rPr>
                </w:pPr>
                <w:r>
                  <w:rPr>
                    <w:rFonts w:ascii="Times New Roman"/>
                    <w:b/>
                    <w:sz w:val="18"/>
                  </w:rPr>
                  <w:t>2</w:t>
                </w: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1"/>
                    <w:sz w:val="18"/>
                  </w:rPr>
                  <w:t> </w:t>
                </w:r>
                <w:r>
                  <w:rPr>
                    <w:rFonts w:ascii="Times New Roman"/>
                    <w:b/>
                    <w:spacing w:val="-5"/>
                    <w:sz w:val="18"/>
                  </w:rPr>
                  <w:fldChar w:fldCharType="begin"/>
                </w:r>
                <w:r>
                  <w:rPr>
                    <w:rFonts w:ascii="Times New Roman"/>
                    <w:b/>
                    <w:spacing w:val="-5"/>
                    <w:sz w:val="18"/>
                  </w:rPr>
                  <w:instrText> NUMPAGES </w:instrText>
                </w:r>
                <w:r>
                  <w:rPr>
                    <w:rFonts w:ascii="Times New Roman"/>
                    <w:b/>
                    <w:spacing w:val="-5"/>
                    <w:sz w:val="18"/>
                  </w:rPr>
                  <w:fldChar w:fldCharType="separate"/>
                </w:r>
                <w:r>
                  <w:rPr>
                    <w:rFonts w:ascii="Times New Roman"/>
                    <w:b/>
                    <w:spacing w:val="-5"/>
                    <w:sz w:val="18"/>
                  </w:rPr>
                  <w:t>45</w:t>
                </w:r>
                <w:r>
                  <w:rPr>
                    <w:rFonts w:ascii="Times New Roman"/>
                    <w:b/>
                    <w:spacing w:val="-5"/>
                    <w:sz w:val="18"/>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450012pt;margin-top:797.715942pt;width:27.1pt;height:12pt;mso-position-horizontal-relative:page;mso-position-vertical-relative:page;z-index:-19125248" type="#_x0000_t202" id="docshape66" filled="false" stroked="false">
          <v:textbox inset="0,0,0,0">
            <w:txbxContent>
              <w:p>
                <w:pPr>
                  <w:spacing w:before="12"/>
                  <w:ind w:left="20" w:right="0" w:firstLine="0"/>
                  <w:jc w:val="left"/>
                  <w:rPr>
                    <w:rFonts w:ascii="Times New Roman"/>
                    <w:b/>
                    <w:sz w:val="18"/>
                  </w:rPr>
                </w:pPr>
                <w:r>
                  <w:rPr>
                    <w:rFonts w:ascii="Times New Roman"/>
                    <w:b/>
                    <w:sz w:val="18"/>
                  </w:rPr>
                  <w:t>30</w:t>
                </w:r>
                <w:r>
                  <w:rPr>
                    <w:rFonts w:ascii="Times New Roman"/>
                    <w:b/>
                    <w:spacing w:val="-1"/>
                    <w:sz w:val="18"/>
                  </w:rPr>
                  <w:t> </w:t>
                </w:r>
                <w:r>
                  <w:rPr>
                    <w:rFonts w:ascii="Times New Roman"/>
                    <w:sz w:val="18"/>
                  </w:rPr>
                  <w:t>/</w:t>
                </w:r>
                <w:r>
                  <w:rPr>
                    <w:rFonts w:ascii="Times New Roman"/>
                    <w:spacing w:val="-1"/>
                    <w:sz w:val="18"/>
                  </w:rPr>
                  <w:t> </w:t>
                </w:r>
                <w:r>
                  <w:rPr>
                    <w:rFonts w:ascii="Times New Roman"/>
                    <w:b/>
                    <w:spacing w:val="-5"/>
                    <w:sz w:val="18"/>
                  </w:rPr>
                  <w:t>45</w:t>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450012pt;margin-top:797.715942pt;width:27.1pt;height:12pt;mso-position-horizontal-relative:page;mso-position-vertical-relative:page;z-index:-19123200" type="#_x0000_t202" id="docshape69" filled="false" stroked="false">
          <v:textbox inset="0,0,0,0">
            <w:txbxContent>
              <w:p>
                <w:pPr>
                  <w:spacing w:before="12"/>
                  <w:ind w:left="20" w:right="0" w:firstLine="0"/>
                  <w:jc w:val="left"/>
                  <w:rPr>
                    <w:rFonts w:ascii="Times New Roman"/>
                    <w:b/>
                    <w:sz w:val="18"/>
                  </w:rPr>
                </w:pPr>
                <w:r>
                  <w:rPr>
                    <w:rFonts w:ascii="Times New Roman"/>
                    <w:b/>
                    <w:sz w:val="18"/>
                  </w:rPr>
                  <w:t>3</w:t>
                </w: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1"/>
                    <w:sz w:val="18"/>
                  </w:rPr>
                  <w:t> </w:t>
                </w:r>
                <w:r>
                  <w:rPr>
                    <w:rFonts w:ascii="Times New Roman"/>
                    <w:b/>
                    <w:spacing w:val="-5"/>
                    <w:sz w:val="18"/>
                  </w:rPr>
                  <w:fldChar w:fldCharType="begin"/>
                </w:r>
                <w:r>
                  <w:rPr>
                    <w:rFonts w:ascii="Times New Roman"/>
                    <w:b/>
                    <w:spacing w:val="-5"/>
                    <w:sz w:val="18"/>
                  </w:rPr>
                  <w:instrText> NUMPAGES </w:instrText>
                </w:r>
                <w:r>
                  <w:rPr>
                    <w:rFonts w:ascii="Times New Roman"/>
                    <w:b/>
                    <w:spacing w:val="-5"/>
                    <w:sz w:val="18"/>
                  </w:rPr>
                  <w:fldChar w:fldCharType="separate"/>
                </w:r>
                <w:r>
                  <w:rPr>
                    <w:rFonts w:ascii="Times New Roman"/>
                    <w:b/>
                    <w:spacing w:val="-5"/>
                    <w:sz w:val="18"/>
                  </w:rPr>
                  <w:t>45</w:t>
                </w:r>
                <w:r>
                  <w:rPr>
                    <w:rFonts w:ascii="Times New Roman"/>
                    <w:b/>
                    <w:spacing w:val="-5"/>
                    <w:sz w:val="18"/>
                  </w:rPr>
                  <w:fldChar w:fldCharType="end"/>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450012pt;margin-top:797.715942pt;width:27.1pt;height:12pt;mso-position-horizontal-relative:page;mso-position-vertical-relative:page;z-index:-19121152" type="#_x0000_t202" id="docshape96" filled="false" stroked="false">
          <v:textbox inset="0,0,0,0">
            <w:txbxContent>
              <w:p>
                <w:pPr>
                  <w:spacing w:before="12"/>
                  <w:ind w:left="20" w:right="0" w:firstLine="0"/>
                  <w:jc w:val="left"/>
                  <w:rPr>
                    <w:rFonts w:ascii="Times New Roman"/>
                    <w:b/>
                    <w:sz w:val="18"/>
                  </w:rPr>
                </w:pPr>
                <w:r>
                  <w:rPr>
                    <w:rFonts w:ascii="Times New Roman"/>
                    <w:b/>
                    <w:sz w:val="18"/>
                  </w:rPr>
                  <w:t>40</w:t>
                </w:r>
                <w:r>
                  <w:rPr>
                    <w:rFonts w:ascii="Times New Roman"/>
                    <w:b/>
                    <w:spacing w:val="-1"/>
                    <w:sz w:val="18"/>
                  </w:rPr>
                  <w:t> </w:t>
                </w:r>
                <w:r>
                  <w:rPr>
                    <w:rFonts w:ascii="Times New Roman"/>
                    <w:sz w:val="18"/>
                  </w:rPr>
                  <w:t>/</w:t>
                </w:r>
                <w:r>
                  <w:rPr>
                    <w:rFonts w:ascii="Times New Roman"/>
                    <w:spacing w:val="-1"/>
                    <w:sz w:val="18"/>
                  </w:rPr>
                  <w:t> </w:t>
                </w:r>
                <w:r>
                  <w:rPr>
                    <w:rFonts w:ascii="Times New Roman"/>
                    <w:b/>
                    <w:spacing w:val="-5"/>
                    <w:sz w:val="18"/>
                  </w:rPr>
                  <w:t>45</w:t>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450012pt;margin-top:797.715942pt;width:27.1pt;height:12pt;mso-position-horizontal-relative:page;mso-position-vertical-relative:page;z-index:-19119104" type="#_x0000_t202" id="docshape104" filled="false" stroked="false">
          <v:textbox inset="0,0,0,0">
            <w:txbxContent>
              <w:p>
                <w:pPr>
                  <w:spacing w:before="12"/>
                  <w:ind w:left="20" w:right="0" w:firstLine="0"/>
                  <w:jc w:val="left"/>
                  <w:rPr>
                    <w:rFonts w:ascii="Times New Roman"/>
                    <w:b/>
                    <w:sz w:val="18"/>
                  </w:rPr>
                </w:pPr>
                <w:r>
                  <w:rPr>
                    <w:rFonts w:ascii="Times New Roman"/>
                    <w:b/>
                    <w:sz w:val="18"/>
                  </w:rPr>
                  <w:t>4</w:t>
                </w:r>
                <w:r>
                  <w:rPr>
                    <w:rFonts w:ascii="Times New Roman"/>
                    <w:b/>
                    <w:sz w:val="18"/>
                  </w:rPr>
                  <w:fldChar w:fldCharType="begin"/>
                </w:r>
                <w:r>
                  <w:rPr>
                    <w:rFonts w:ascii="Times New Roman"/>
                    <w:b/>
                    <w:sz w:val="18"/>
                  </w:rPr>
                  <w:instrText>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pacing w:val="-1"/>
                    <w:sz w:val="18"/>
                  </w:rPr>
                  <w:t> </w:t>
                </w:r>
                <w:r>
                  <w:rPr>
                    <w:rFonts w:ascii="Times New Roman"/>
                    <w:sz w:val="18"/>
                  </w:rPr>
                  <w:t>/</w:t>
                </w:r>
                <w:r>
                  <w:rPr>
                    <w:rFonts w:ascii="Times New Roman"/>
                    <w:spacing w:val="-1"/>
                    <w:sz w:val="18"/>
                  </w:rPr>
                  <w:t> </w:t>
                </w:r>
                <w:r>
                  <w:rPr>
                    <w:rFonts w:ascii="Times New Roman"/>
                    <w:b/>
                    <w:spacing w:val="-5"/>
                    <w:sz w:val="18"/>
                  </w:rPr>
                  <w:fldChar w:fldCharType="begin"/>
                </w:r>
                <w:r>
                  <w:rPr>
                    <w:rFonts w:ascii="Times New Roman"/>
                    <w:b/>
                    <w:spacing w:val="-5"/>
                    <w:sz w:val="18"/>
                  </w:rPr>
                  <w:instrText> NUMPAGES </w:instrText>
                </w:r>
                <w:r>
                  <w:rPr>
                    <w:rFonts w:ascii="Times New Roman"/>
                    <w:b/>
                    <w:spacing w:val="-5"/>
                    <w:sz w:val="18"/>
                  </w:rPr>
                  <w:fldChar w:fldCharType="separate"/>
                </w:r>
                <w:r>
                  <w:rPr>
                    <w:rFonts w:ascii="Times New Roman"/>
                    <w:b/>
                    <w:spacing w:val="-5"/>
                    <w:sz w:val="18"/>
                  </w:rPr>
                  <w:t>45</w:t>
                </w:r>
                <w:r>
                  <w:rPr>
                    <w:rFonts w:ascii="Times New Roman"/>
                    <w:b/>
                    <w:spacing w:val="-5"/>
                    <w:sz w:val="18"/>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4177408">
          <wp:simplePos x="0" y="0"/>
          <wp:positionH relativeFrom="page">
            <wp:posOffset>719327</wp:posOffset>
          </wp:positionH>
          <wp:positionV relativeFrom="page">
            <wp:posOffset>359663</wp:posOffset>
          </wp:positionV>
          <wp:extent cx="941832" cy="228600"/>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9138560"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355.950012pt;margin-top:37.299965pt;width:183.85pt;height:12pt;mso-position-horizontal-relative:page;mso-position-vertical-relative:page;z-index:-19138048" type="#_x0000_t202" id="docshape2" filled="false" stroked="false">
          <v:textbox inset="0,0,0,0">
            <w:txbxContent>
              <w:p>
                <w:pPr>
                  <w:spacing w:before="0"/>
                  <w:ind w:left="20" w:right="0" w:firstLine="0"/>
                  <w:jc w:val="left"/>
                  <w:rPr>
                    <w:sz w:val="18"/>
                  </w:rPr>
                </w:pPr>
                <w:r>
                  <w:rPr>
                    <w:spacing w:val="-2"/>
                    <w:sz w:val="18"/>
                  </w:rPr>
                  <w:t>百年康多保（</w:t>
                </w:r>
                <w:r>
                  <w:rPr>
                    <w:rFonts w:ascii="Times New Roman" w:eastAsia="Times New Roman"/>
                    <w:spacing w:val="-2"/>
                    <w:sz w:val="18"/>
                  </w:rPr>
                  <w:t>2022</w:t>
                </w:r>
                <w:r>
                  <w:rPr>
                    <w:rFonts w:ascii="Times New Roman" w:eastAsia="Times New Roman"/>
                    <w:spacing w:val="26"/>
                    <w:sz w:val="18"/>
                  </w:rPr>
                  <w:t> </w:t>
                </w:r>
                <w:r>
                  <w:rPr>
                    <w:spacing w:val="-2"/>
                    <w:sz w:val="18"/>
                  </w:rPr>
                  <w:t>版）</w:t>
                </w:r>
                <w:r>
                  <w:rPr>
                    <w:spacing w:val="-3"/>
                    <w:sz w:val="18"/>
                  </w:rPr>
                  <w:t>终身重大疾病保险条款</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4179456">
          <wp:simplePos x="0" y="0"/>
          <wp:positionH relativeFrom="page">
            <wp:posOffset>719327</wp:posOffset>
          </wp:positionH>
          <wp:positionV relativeFrom="page">
            <wp:posOffset>359663</wp:posOffset>
          </wp:positionV>
          <wp:extent cx="941832" cy="228600"/>
          <wp:effectExtent l="0" t="0" r="0" b="0"/>
          <wp:wrapNone/>
          <wp:docPr id="35" name="image1.jpeg"/>
          <wp:cNvGraphicFramePr>
            <a:graphicFrameLocks noChangeAspect="1"/>
          </wp:cNvGraphicFramePr>
          <a:graphic>
            <a:graphicData uri="http://schemas.openxmlformats.org/drawingml/2006/picture">
              <pic:pic>
                <pic:nvPicPr>
                  <pic:cNvPr id="36"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9136512" id="docshape25" filled="true" fillcolor="#000000" stroked="false">
          <v:fill type="solid"/>
          <w10:wrap type="none"/>
        </v:rect>
      </w:pict>
    </w:r>
    <w:r>
      <w:rPr/>
      <w:pict>
        <v:shape style="position:absolute;margin-left:355.950012pt;margin-top:37.299965pt;width:183.85pt;height:12pt;mso-position-horizontal-relative:page;mso-position-vertical-relative:page;z-index:-19136000" type="#_x0000_t202" id="docshape26" filled="false" stroked="false">
          <v:textbox inset="0,0,0,0">
            <w:txbxContent>
              <w:p>
                <w:pPr>
                  <w:spacing w:before="0"/>
                  <w:ind w:left="20" w:right="0" w:firstLine="0"/>
                  <w:jc w:val="left"/>
                  <w:rPr>
                    <w:sz w:val="18"/>
                  </w:rPr>
                </w:pPr>
                <w:r>
                  <w:rPr>
                    <w:spacing w:val="-2"/>
                    <w:sz w:val="18"/>
                  </w:rPr>
                  <w:t>百年康多保（</w:t>
                </w:r>
                <w:r>
                  <w:rPr>
                    <w:rFonts w:ascii="Times New Roman" w:eastAsia="Times New Roman"/>
                    <w:spacing w:val="-2"/>
                    <w:sz w:val="18"/>
                  </w:rPr>
                  <w:t>2022</w:t>
                </w:r>
                <w:r>
                  <w:rPr>
                    <w:rFonts w:ascii="Times New Roman" w:eastAsia="Times New Roman"/>
                    <w:spacing w:val="26"/>
                    <w:sz w:val="18"/>
                  </w:rPr>
                  <w:t> </w:t>
                </w:r>
                <w:r>
                  <w:rPr>
                    <w:spacing w:val="-2"/>
                    <w:sz w:val="18"/>
                  </w:rPr>
                  <w:t>版）</w:t>
                </w:r>
                <w:r>
                  <w:rPr>
                    <w:spacing w:val="-3"/>
                    <w:sz w:val="18"/>
                  </w:rPr>
                  <w:t>终身重大疾病保险条款</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4181504">
          <wp:simplePos x="0" y="0"/>
          <wp:positionH relativeFrom="page">
            <wp:posOffset>719327</wp:posOffset>
          </wp:positionH>
          <wp:positionV relativeFrom="page">
            <wp:posOffset>359663</wp:posOffset>
          </wp:positionV>
          <wp:extent cx="941832" cy="228600"/>
          <wp:effectExtent l="0" t="0" r="0" b="0"/>
          <wp:wrapNone/>
          <wp:docPr id="41" name="image1.jpeg"/>
          <wp:cNvGraphicFramePr>
            <a:graphicFrameLocks noChangeAspect="1"/>
          </wp:cNvGraphicFramePr>
          <a:graphic>
            <a:graphicData uri="http://schemas.openxmlformats.org/drawingml/2006/picture">
              <pic:pic>
                <pic:nvPicPr>
                  <pic:cNvPr id="42"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9134464" id="docshape28" filled="true" fillcolor="#000000" stroked="false">
          <v:fill type="solid"/>
          <w10:wrap type="none"/>
        </v:rect>
      </w:pict>
    </w:r>
    <w:r>
      <w:rPr/>
      <w:pict>
        <v:shape style="position:absolute;margin-left:355.950012pt;margin-top:37.299965pt;width:183.85pt;height:12pt;mso-position-horizontal-relative:page;mso-position-vertical-relative:page;z-index:-19133952" type="#_x0000_t202" id="docshape29" filled="false" stroked="false">
          <v:textbox inset="0,0,0,0">
            <w:txbxContent>
              <w:p>
                <w:pPr>
                  <w:spacing w:before="0"/>
                  <w:ind w:left="20" w:right="0" w:firstLine="0"/>
                  <w:jc w:val="left"/>
                  <w:rPr>
                    <w:sz w:val="18"/>
                  </w:rPr>
                </w:pPr>
                <w:r>
                  <w:rPr>
                    <w:spacing w:val="-2"/>
                    <w:sz w:val="18"/>
                  </w:rPr>
                  <w:t>百年康多保（</w:t>
                </w:r>
                <w:r>
                  <w:rPr>
                    <w:rFonts w:ascii="Times New Roman" w:eastAsia="Times New Roman"/>
                    <w:spacing w:val="-2"/>
                    <w:sz w:val="18"/>
                  </w:rPr>
                  <w:t>2022</w:t>
                </w:r>
                <w:r>
                  <w:rPr>
                    <w:rFonts w:ascii="Times New Roman" w:eastAsia="Times New Roman"/>
                    <w:spacing w:val="26"/>
                    <w:sz w:val="18"/>
                  </w:rPr>
                  <w:t> </w:t>
                </w:r>
                <w:r>
                  <w:rPr>
                    <w:spacing w:val="-2"/>
                    <w:sz w:val="18"/>
                  </w:rPr>
                  <w:t>版）</w:t>
                </w:r>
                <w:r>
                  <w:rPr>
                    <w:spacing w:val="-3"/>
                    <w:sz w:val="18"/>
                  </w:rPr>
                  <w:t>终身重大疾病保险条款</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4183552">
          <wp:simplePos x="0" y="0"/>
          <wp:positionH relativeFrom="page">
            <wp:posOffset>719327</wp:posOffset>
          </wp:positionH>
          <wp:positionV relativeFrom="page">
            <wp:posOffset>359663</wp:posOffset>
          </wp:positionV>
          <wp:extent cx="941832" cy="228600"/>
          <wp:effectExtent l="0" t="0" r="0" b="0"/>
          <wp:wrapNone/>
          <wp:docPr id="47" name="image1.jpeg"/>
          <wp:cNvGraphicFramePr>
            <a:graphicFrameLocks noChangeAspect="1"/>
          </wp:cNvGraphicFramePr>
          <a:graphic>
            <a:graphicData uri="http://schemas.openxmlformats.org/drawingml/2006/picture">
              <pic:pic>
                <pic:nvPicPr>
                  <pic:cNvPr id="48"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9132416" id="docshape31" filled="true" fillcolor="#000000" stroked="false">
          <v:fill type="solid"/>
          <w10:wrap type="none"/>
        </v:rect>
      </w:pict>
    </w:r>
    <w:r>
      <w:rPr/>
      <w:pict>
        <v:shape style="position:absolute;margin-left:355.950012pt;margin-top:37.299965pt;width:183.85pt;height:12pt;mso-position-horizontal-relative:page;mso-position-vertical-relative:page;z-index:-19131904" type="#_x0000_t202" id="docshape32" filled="false" stroked="false">
          <v:textbox inset="0,0,0,0">
            <w:txbxContent>
              <w:p>
                <w:pPr>
                  <w:spacing w:before="0"/>
                  <w:ind w:left="20" w:right="0" w:firstLine="0"/>
                  <w:jc w:val="left"/>
                  <w:rPr>
                    <w:sz w:val="18"/>
                  </w:rPr>
                </w:pPr>
                <w:r>
                  <w:rPr>
                    <w:spacing w:val="-2"/>
                    <w:sz w:val="18"/>
                  </w:rPr>
                  <w:t>百年康多保（</w:t>
                </w:r>
                <w:r>
                  <w:rPr>
                    <w:rFonts w:ascii="Times New Roman" w:eastAsia="Times New Roman"/>
                    <w:spacing w:val="-2"/>
                    <w:sz w:val="18"/>
                  </w:rPr>
                  <w:t>2022</w:t>
                </w:r>
                <w:r>
                  <w:rPr>
                    <w:rFonts w:ascii="Times New Roman" w:eastAsia="Times New Roman"/>
                    <w:spacing w:val="26"/>
                    <w:sz w:val="18"/>
                  </w:rPr>
                  <w:t> </w:t>
                </w:r>
                <w:r>
                  <w:rPr>
                    <w:spacing w:val="-2"/>
                    <w:sz w:val="18"/>
                  </w:rPr>
                  <w:t>版）</w:t>
                </w:r>
                <w:r>
                  <w:rPr>
                    <w:spacing w:val="-3"/>
                    <w:sz w:val="18"/>
                  </w:rPr>
                  <w:t>终身重大疾病保险条款</w:t>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4185600">
          <wp:simplePos x="0" y="0"/>
          <wp:positionH relativeFrom="page">
            <wp:posOffset>719327</wp:posOffset>
          </wp:positionH>
          <wp:positionV relativeFrom="page">
            <wp:posOffset>359663</wp:posOffset>
          </wp:positionV>
          <wp:extent cx="941832" cy="228600"/>
          <wp:effectExtent l="0" t="0" r="0" b="0"/>
          <wp:wrapNone/>
          <wp:docPr id="63" name="image1.jpeg"/>
          <wp:cNvGraphicFramePr>
            <a:graphicFrameLocks noChangeAspect="1"/>
          </wp:cNvGraphicFramePr>
          <a:graphic>
            <a:graphicData uri="http://schemas.openxmlformats.org/drawingml/2006/picture">
              <pic:pic>
                <pic:nvPicPr>
                  <pic:cNvPr id="64"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9130368" id="docshape52" filled="true" fillcolor="#000000" stroked="false">
          <v:fill type="solid"/>
          <w10:wrap type="none"/>
        </v:rect>
      </w:pict>
    </w:r>
    <w:r>
      <w:rPr/>
      <w:pict>
        <v:shape style="position:absolute;margin-left:355.950012pt;margin-top:37.299965pt;width:183.85pt;height:12pt;mso-position-horizontal-relative:page;mso-position-vertical-relative:page;z-index:-19129856" type="#_x0000_t202" id="docshape53" filled="false" stroked="false">
          <v:textbox inset="0,0,0,0">
            <w:txbxContent>
              <w:p>
                <w:pPr>
                  <w:spacing w:before="0"/>
                  <w:ind w:left="20" w:right="0" w:firstLine="0"/>
                  <w:jc w:val="left"/>
                  <w:rPr>
                    <w:sz w:val="18"/>
                  </w:rPr>
                </w:pPr>
                <w:r>
                  <w:rPr>
                    <w:spacing w:val="-2"/>
                    <w:sz w:val="18"/>
                  </w:rPr>
                  <w:t>百年康多保（</w:t>
                </w:r>
                <w:r>
                  <w:rPr>
                    <w:rFonts w:ascii="Times New Roman" w:eastAsia="Times New Roman"/>
                    <w:spacing w:val="-2"/>
                    <w:sz w:val="18"/>
                  </w:rPr>
                  <w:t>2022</w:t>
                </w:r>
                <w:r>
                  <w:rPr>
                    <w:rFonts w:ascii="Times New Roman" w:eastAsia="Times New Roman"/>
                    <w:spacing w:val="26"/>
                    <w:sz w:val="18"/>
                  </w:rPr>
                  <w:t> </w:t>
                </w:r>
                <w:r>
                  <w:rPr>
                    <w:spacing w:val="-2"/>
                    <w:sz w:val="18"/>
                  </w:rPr>
                  <w:t>版）</w:t>
                </w:r>
                <w:r>
                  <w:rPr>
                    <w:spacing w:val="-3"/>
                    <w:sz w:val="18"/>
                  </w:rPr>
                  <w:t>终身重大疾病保险条款</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4187648">
          <wp:simplePos x="0" y="0"/>
          <wp:positionH relativeFrom="page">
            <wp:posOffset>719327</wp:posOffset>
          </wp:positionH>
          <wp:positionV relativeFrom="page">
            <wp:posOffset>359663</wp:posOffset>
          </wp:positionV>
          <wp:extent cx="941832" cy="228600"/>
          <wp:effectExtent l="0" t="0" r="0" b="0"/>
          <wp:wrapNone/>
          <wp:docPr id="65" name="image1.jpeg"/>
          <wp:cNvGraphicFramePr>
            <a:graphicFrameLocks noChangeAspect="1"/>
          </wp:cNvGraphicFramePr>
          <a:graphic>
            <a:graphicData uri="http://schemas.openxmlformats.org/drawingml/2006/picture">
              <pic:pic>
                <pic:nvPicPr>
                  <pic:cNvPr id="66"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9128320" id="docshape55" filled="true" fillcolor="#000000" stroked="false">
          <v:fill type="solid"/>
          <w10:wrap type="none"/>
        </v:rect>
      </w:pict>
    </w:r>
    <w:r>
      <w:rPr/>
      <w:pict>
        <v:shape style="position:absolute;margin-left:355.950012pt;margin-top:37.299965pt;width:183.85pt;height:12pt;mso-position-horizontal-relative:page;mso-position-vertical-relative:page;z-index:-19127808" type="#_x0000_t202" id="docshape56" filled="false" stroked="false">
          <v:textbox inset="0,0,0,0">
            <w:txbxContent>
              <w:p>
                <w:pPr>
                  <w:spacing w:before="0"/>
                  <w:ind w:left="20" w:right="0" w:firstLine="0"/>
                  <w:jc w:val="left"/>
                  <w:rPr>
                    <w:sz w:val="18"/>
                  </w:rPr>
                </w:pPr>
                <w:r>
                  <w:rPr>
                    <w:spacing w:val="-2"/>
                    <w:sz w:val="18"/>
                  </w:rPr>
                  <w:t>百年康多保（</w:t>
                </w:r>
                <w:r>
                  <w:rPr>
                    <w:rFonts w:ascii="Times New Roman" w:eastAsia="Times New Roman"/>
                    <w:spacing w:val="-2"/>
                    <w:sz w:val="18"/>
                  </w:rPr>
                  <w:t>2022</w:t>
                </w:r>
                <w:r>
                  <w:rPr>
                    <w:rFonts w:ascii="Times New Roman" w:eastAsia="Times New Roman"/>
                    <w:spacing w:val="26"/>
                    <w:sz w:val="18"/>
                  </w:rPr>
                  <w:t> </w:t>
                </w:r>
                <w:r>
                  <w:rPr>
                    <w:spacing w:val="-2"/>
                    <w:sz w:val="18"/>
                  </w:rPr>
                  <w:t>版）</w:t>
                </w:r>
                <w:r>
                  <w:rPr>
                    <w:spacing w:val="-3"/>
                    <w:sz w:val="18"/>
                  </w:rPr>
                  <w:t>终身重大疾病保险条款</w:t>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4189696">
          <wp:simplePos x="0" y="0"/>
          <wp:positionH relativeFrom="page">
            <wp:posOffset>719327</wp:posOffset>
          </wp:positionH>
          <wp:positionV relativeFrom="page">
            <wp:posOffset>359663</wp:posOffset>
          </wp:positionV>
          <wp:extent cx="941832" cy="228600"/>
          <wp:effectExtent l="0" t="0" r="0" b="0"/>
          <wp:wrapNone/>
          <wp:docPr id="69" name="image1.jpeg"/>
          <wp:cNvGraphicFramePr>
            <a:graphicFrameLocks noChangeAspect="1"/>
          </wp:cNvGraphicFramePr>
          <a:graphic>
            <a:graphicData uri="http://schemas.openxmlformats.org/drawingml/2006/picture">
              <pic:pic>
                <pic:nvPicPr>
                  <pic:cNvPr id="70"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9126272" id="docshape64" filled="true" fillcolor="#000000" stroked="false">
          <v:fill type="solid"/>
          <w10:wrap type="none"/>
        </v:rect>
      </w:pict>
    </w:r>
    <w:r>
      <w:rPr/>
      <w:pict>
        <v:shape style="position:absolute;margin-left:355.950012pt;margin-top:37.299965pt;width:183.85pt;height:12pt;mso-position-horizontal-relative:page;mso-position-vertical-relative:page;z-index:-19125760" type="#_x0000_t202" id="docshape65" filled="false" stroked="false">
          <v:textbox inset="0,0,0,0">
            <w:txbxContent>
              <w:p>
                <w:pPr>
                  <w:spacing w:before="0"/>
                  <w:ind w:left="20" w:right="0" w:firstLine="0"/>
                  <w:jc w:val="left"/>
                  <w:rPr>
                    <w:sz w:val="18"/>
                  </w:rPr>
                </w:pPr>
                <w:r>
                  <w:rPr>
                    <w:spacing w:val="-2"/>
                    <w:sz w:val="18"/>
                  </w:rPr>
                  <w:t>百年康多保（</w:t>
                </w:r>
                <w:r>
                  <w:rPr>
                    <w:rFonts w:ascii="Times New Roman" w:eastAsia="Times New Roman"/>
                    <w:spacing w:val="-2"/>
                    <w:sz w:val="18"/>
                  </w:rPr>
                  <w:t>2022</w:t>
                </w:r>
                <w:r>
                  <w:rPr>
                    <w:rFonts w:ascii="Times New Roman" w:eastAsia="Times New Roman"/>
                    <w:spacing w:val="26"/>
                    <w:sz w:val="18"/>
                  </w:rPr>
                  <w:t> </w:t>
                </w:r>
                <w:r>
                  <w:rPr>
                    <w:spacing w:val="-2"/>
                    <w:sz w:val="18"/>
                  </w:rPr>
                  <w:t>版）</w:t>
                </w:r>
                <w:r>
                  <w:rPr>
                    <w:spacing w:val="-3"/>
                    <w:sz w:val="18"/>
                  </w:rPr>
                  <w:t>终身重大疾病保险条款</w:t>
                </w:r>
              </w:p>
            </w:txbxContent>
          </v:textbox>
          <w10:wrap type="non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4191744">
          <wp:simplePos x="0" y="0"/>
          <wp:positionH relativeFrom="page">
            <wp:posOffset>719327</wp:posOffset>
          </wp:positionH>
          <wp:positionV relativeFrom="page">
            <wp:posOffset>359663</wp:posOffset>
          </wp:positionV>
          <wp:extent cx="941832" cy="228600"/>
          <wp:effectExtent l="0" t="0" r="0" b="0"/>
          <wp:wrapNone/>
          <wp:docPr id="71" name="image1.jpeg"/>
          <wp:cNvGraphicFramePr>
            <a:graphicFrameLocks noChangeAspect="1"/>
          </wp:cNvGraphicFramePr>
          <a:graphic>
            <a:graphicData uri="http://schemas.openxmlformats.org/drawingml/2006/picture">
              <pic:pic>
                <pic:nvPicPr>
                  <pic:cNvPr id="72"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9124224" id="docshape67" filled="true" fillcolor="#000000" stroked="false">
          <v:fill type="solid"/>
          <w10:wrap type="none"/>
        </v:rect>
      </w:pict>
    </w:r>
    <w:r>
      <w:rPr/>
      <w:pict>
        <v:shape style="position:absolute;margin-left:355.950012pt;margin-top:37.299965pt;width:183.85pt;height:12pt;mso-position-horizontal-relative:page;mso-position-vertical-relative:page;z-index:-19123712" type="#_x0000_t202" id="docshape68" filled="false" stroked="false">
          <v:textbox inset="0,0,0,0">
            <w:txbxContent>
              <w:p>
                <w:pPr>
                  <w:spacing w:before="0"/>
                  <w:ind w:left="20" w:right="0" w:firstLine="0"/>
                  <w:jc w:val="left"/>
                  <w:rPr>
                    <w:sz w:val="18"/>
                  </w:rPr>
                </w:pPr>
                <w:r>
                  <w:rPr>
                    <w:spacing w:val="-2"/>
                    <w:sz w:val="18"/>
                  </w:rPr>
                  <w:t>百年康多保（</w:t>
                </w:r>
                <w:r>
                  <w:rPr>
                    <w:rFonts w:ascii="Times New Roman" w:eastAsia="Times New Roman"/>
                    <w:spacing w:val="-2"/>
                    <w:sz w:val="18"/>
                  </w:rPr>
                  <w:t>2022</w:t>
                </w:r>
                <w:r>
                  <w:rPr>
                    <w:rFonts w:ascii="Times New Roman" w:eastAsia="Times New Roman"/>
                    <w:spacing w:val="26"/>
                    <w:sz w:val="18"/>
                  </w:rPr>
                  <w:t> </w:t>
                </w:r>
                <w:r>
                  <w:rPr>
                    <w:spacing w:val="-2"/>
                    <w:sz w:val="18"/>
                  </w:rPr>
                  <w:t>版）</w:t>
                </w:r>
                <w:r>
                  <w:rPr>
                    <w:spacing w:val="-3"/>
                    <w:sz w:val="18"/>
                  </w:rPr>
                  <w:t>终身重大疾病保险条款</w:t>
                </w:r>
              </w:p>
            </w:txbxContent>
          </v:textbox>
          <w10:wrap type="non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4193792">
          <wp:simplePos x="0" y="0"/>
          <wp:positionH relativeFrom="page">
            <wp:posOffset>719327</wp:posOffset>
          </wp:positionH>
          <wp:positionV relativeFrom="page">
            <wp:posOffset>359663</wp:posOffset>
          </wp:positionV>
          <wp:extent cx="941832" cy="228600"/>
          <wp:effectExtent l="0" t="0" r="0" b="0"/>
          <wp:wrapNone/>
          <wp:docPr id="85" name="image1.jpeg"/>
          <wp:cNvGraphicFramePr>
            <a:graphicFrameLocks noChangeAspect="1"/>
          </wp:cNvGraphicFramePr>
          <a:graphic>
            <a:graphicData uri="http://schemas.openxmlformats.org/drawingml/2006/picture">
              <pic:pic>
                <pic:nvPicPr>
                  <pic:cNvPr id="86"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9122176" id="docshape94" filled="true" fillcolor="#000000" stroked="false">
          <v:fill type="solid"/>
          <w10:wrap type="none"/>
        </v:rect>
      </w:pict>
    </w:r>
    <w:r>
      <w:rPr/>
      <w:pict>
        <v:shape style="position:absolute;margin-left:355.950012pt;margin-top:37.299965pt;width:183.85pt;height:12pt;mso-position-horizontal-relative:page;mso-position-vertical-relative:page;z-index:-19121664" type="#_x0000_t202" id="docshape95" filled="false" stroked="false">
          <v:textbox inset="0,0,0,0">
            <w:txbxContent>
              <w:p>
                <w:pPr>
                  <w:spacing w:before="0"/>
                  <w:ind w:left="20" w:right="0" w:firstLine="0"/>
                  <w:jc w:val="left"/>
                  <w:rPr>
                    <w:sz w:val="18"/>
                  </w:rPr>
                </w:pPr>
                <w:r>
                  <w:rPr>
                    <w:spacing w:val="-2"/>
                    <w:sz w:val="18"/>
                  </w:rPr>
                  <w:t>百年康多保（</w:t>
                </w:r>
                <w:r>
                  <w:rPr>
                    <w:rFonts w:ascii="Times New Roman" w:eastAsia="Times New Roman"/>
                    <w:spacing w:val="-2"/>
                    <w:sz w:val="18"/>
                  </w:rPr>
                  <w:t>2022</w:t>
                </w:r>
                <w:r>
                  <w:rPr>
                    <w:rFonts w:ascii="Times New Roman" w:eastAsia="Times New Roman"/>
                    <w:spacing w:val="26"/>
                    <w:sz w:val="18"/>
                  </w:rPr>
                  <w:t> </w:t>
                </w:r>
                <w:r>
                  <w:rPr>
                    <w:spacing w:val="-2"/>
                    <w:sz w:val="18"/>
                  </w:rPr>
                  <w:t>版）</w:t>
                </w:r>
                <w:r>
                  <w:rPr>
                    <w:spacing w:val="-3"/>
                    <w:sz w:val="18"/>
                  </w:rPr>
                  <w:t>终身重大疾病保险条款</w:t>
                </w:r>
              </w:p>
            </w:txbxContent>
          </v:textbox>
          <w10:wrap type="non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4195840">
          <wp:simplePos x="0" y="0"/>
          <wp:positionH relativeFrom="page">
            <wp:posOffset>719327</wp:posOffset>
          </wp:positionH>
          <wp:positionV relativeFrom="page">
            <wp:posOffset>359663</wp:posOffset>
          </wp:positionV>
          <wp:extent cx="941832" cy="228600"/>
          <wp:effectExtent l="0" t="0" r="0" b="0"/>
          <wp:wrapNone/>
          <wp:docPr id="87" name="image1.jpeg"/>
          <wp:cNvGraphicFramePr>
            <a:graphicFrameLocks noChangeAspect="1"/>
          </wp:cNvGraphicFramePr>
          <a:graphic>
            <a:graphicData uri="http://schemas.openxmlformats.org/drawingml/2006/picture">
              <pic:pic>
                <pic:nvPicPr>
                  <pic:cNvPr id="88" name="image1.jpeg"/>
                  <pic:cNvPicPr/>
                </pic:nvPicPr>
                <pic:blipFill>
                  <a:blip r:embed="rId1" cstate="print"/>
                  <a:stretch>
                    <a:fillRect/>
                  </a:stretch>
                </pic:blipFill>
                <pic:spPr>
                  <a:xfrm>
                    <a:off x="0" y="0"/>
                    <a:ext cx="941832" cy="228600"/>
                  </a:xfrm>
                  <a:prstGeom prst="rect">
                    <a:avLst/>
                  </a:prstGeom>
                </pic:spPr>
              </pic:pic>
            </a:graphicData>
          </a:graphic>
        </wp:anchor>
      </w:drawing>
    </w:r>
    <w:r>
      <w:rPr/>
      <w:pict>
        <v:rect style="position:absolute;margin-left:55.200001pt;margin-top:50.039982pt;width:484.9pt;height:.72pt;mso-position-horizontal-relative:page;mso-position-vertical-relative:page;z-index:-19120128" id="docshape102" filled="true" fillcolor="#000000" stroked="false">
          <v:fill type="solid"/>
          <w10:wrap type="none"/>
        </v:rect>
      </w:pict>
    </w:r>
    <w:r>
      <w:rPr/>
      <w:pict>
        <v:shape style="position:absolute;margin-left:355.950012pt;margin-top:37.299965pt;width:183.85pt;height:12pt;mso-position-horizontal-relative:page;mso-position-vertical-relative:page;z-index:-19119616" type="#_x0000_t202" id="docshape103" filled="false" stroked="false">
          <v:textbox inset="0,0,0,0">
            <w:txbxContent>
              <w:p>
                <w:pPr>
                  <w:spacing w:before="0"/>
                  <w:ind w:left="20" w:right="0" w:firstLine="0"/>
                  <w:jc w:val="left"/>
                  <w:rPr>
                    <w:sz w:val="18"/>
                  </w:rPr>
                </w:pPr>
                <w:r>
                  <w:rPr>
                    <w:spacing w:val="-2"/>
                    <w:sz w:val="18"/>
                  </w:rPr>
                  <w:t>百年康多保（</w:t>
                </w:r>
                <w:r>
                  <w:rPr>
                    <w:rFonts w:ascii="Times New Roman" w:eastAsia="Times New Roman"/>
                    <w:spacing w:val="-2"/>
                    <w:sz w:val="18"/>
                  </w:rPr>
                  <w:t>2022</w:t>
                </w:r>
                <w:r>
                  <w:rPr>
                    <w:rFonts w:ascii="Times New Roman" w:eastAsia="Times New Roman"/>
                    <w:spacing w:val="26"/>
                    <w:sz w:val="18"/>
                  </w:rPr>
                  <w:t> </w:t>
                </w:r>
                <w:r>
                  <w:rPr>
                    <w:spacing w:val="-2"/>
                    <w:sz w:val="18"/>
                  </w:rPr>
                  <w:t>版）</w:t>
                </w:r>
                <w:r>
                  <w:rPr>
                    <w:spacing w:val="-3"/>
                    <w:sz w:val="18"/>
                  </w:rPr>
                  <w:t>终身重大疾病保险条款</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5">
    <w:multiLevelType w:val="hybridMultilevel"/>
    <w:lvl w:ilvl="0">
      <w:start w:val="13"/>
      <w:numFmt w:val="decimal"/>
      <w:lvlText w:val="%1"/>
      <w:lvlJc w:val="left"/>
      <w:pPr>
        <w:ind w:left="1270" w:hanging="1038"/>
        <w:jc w:val="left"/>
      </w:pPr>
      <w:rPr>
        <w:rFonts w:hint="default"/>
        <w:lang w:val="en-US" w:eastAsia="zh-CN" w:bidi="ar-SA"/>
      </w:rPr>
    </w:lvl>
    <w:lvl w:ilvl="1">
      <w:start w:val="1"/>
      <w:numFmt w:val="decimal"/>
      <w:lvlText w:val="%1.%2"/>
      <w:lvlJc w:val="left"/>
      <w:pPr>
        <w:ind w:left="1270" w:hanging="1038"/>
        <w:jc w:val="left"/>
      </w:pPr>
      <w:rPr>
        <w:rFonts w:hint="default" w:ascii="微软雅黑" w:hAnsi="微软雅黑" w:eastAsia="微软雅黑" w:cs="微软雅黑"/>
        <w:b/>
        <w:bCs/>
        <w:i w:val="0"/>
        <w:iCs w:val="0"/>
        <w:w w:val="94"/>
        <w:sz w:val="21"/>
        <w:szCs w:val="21"/>
        <w:lang w:val="en-US" w:eastAsia="zh-CN" w:bidi="ar-SA"/>
      </w:rPr>
    </w:lvl>
    <w:lvl w:ilvl="2">
      <w:start w:val="1"/>
      <w:numFmt w:val="decimal"/>
      <w:lvlText w:val="%1.%2.%3"/>
      <w:lvlJc w:val="left"/>
      <w:pPr>
        <w:ind w:left="1270" w:hanging="1038"/>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1745" w:hanging="1038"/>
      </w:pPr>
      <w:rPr>
        <w:rFonts w:hint="default"/>
        <w:lang w:val="en-US" w:eastAsia="zh-CN" w:bidi="ar-SA"/>
      </w:rPr>
    </w:lvl>
    <w:lvl w:ilvl="4">
      <w:start w:val="0"/>
      <w:numFmt w:val="bullet"/>
      <w:lvlText w:val="•"/>
      <w:lvlJc w:val="left"/>
      <w:pPr>
        <w:ind w:left="1900" w:hanging="1038"/>
      </w:pPr>
      <w:rPr>
        <w:rFonts w:hint="default"/>
        <w:lang w:val="en-US" w:eastAsia="zh-CN" w:bidi="ar-SA"/>
      </w:rPr>
    </w:lvl>
    <w:lvl w:ilvl="5">
      <w:start w:val="0"/>
      <w:numFmt w:val="bullet"/>
      <w:lvlText w:val="•"/>
      <w:lvlJc w:val="left"/>
      <w:pPr>
        <w:ind w:left="2056" w:hanging="1038"/>
      </w:pPr>
      <w:rPr>
        <w:rFonts w:hint="default"/>
        <w:lang w:val="en-US" w:eastAsia="zh-CN" w:bidi="ar-SA"/>
      </w:rPr>
    </w:lvl>
    <w:lvl w:ilvl="6">
      <w:start w:val="0"/>
      <w:numFmt w:val="bullet"/>
      <w:lvlText w:val="•"/>
      <w:lvlJc w:val="left"/>
      <w:pPr>
        <w:ind w:left="2211" w:hanging="1038"/>
      </w:pPr>
      <w:rPr>
        <w:rFonts w:hint="default"/>
        <w:lang w:val="en-US" w:eastAsia="zh-CN" w:bidi="ar-SA"/>
      </w:rPr>
    </w:lvl>
    <w:lvl w:ilvl="7">
      <w:start w:val="0"/>
      <w:numFmt w:val="bullet"/>
      <w:lvlText w:val="•"/>
      <w:lvlJc w:val="left"/>
      <w:pPr>
        <w:ind w:left="2366" w:hanging="1038"/>
      </w:pPr>
      <w:rPr>
        <w:rFonts w:hint="default"/>
        <w:lang w:val="en-US" w:eastAsia="zh-CN" w:bidi="ar-SA"/>
      </w:rPr>
    </w:lvl>
    <w:lvl w:ilvl="8">
      <w:start w:val="0"/>
      <w:numFmt w:val="bullet"/>
      <w:lvlText w:val="•"/>
      <w:lvlJc w:val="left"/>
      <w:pPr>
        <w:ind w:left="2521" w:hanging="1038"/>
      </w:pPr>
      <w:rPr>
        <w:rFonts w:hint="default"/>
        <w:lang w:val="en-US" w:eastAsia="zh-CN" w:bidi="ar-SA"/>
      </w:rPr>
    </w:lvl>
  </w:abstractNum>
  <w:abstractNum w:abstractNumId="94">
    <w:multiLevelType w:val="hybridMultilevel"/>
    <w:lvl w:ilvl="0">
      <w:start w:val="12"/>
      <w:numFmt w:val="decimal"/>
      <w:lvlText w:val="%1"/>
      <w:lvlJc w:val="left"/>
      <w:pPr>
        <w:ind w:left="1270" w:hanging="1038"/>
        <w:jc w:val="left"/>
      </w:pPr>
      <w:rPr>
        <w:rFonts w:hint="default"/>
        <w:lang w:val="en-US" w:eastAsia="zh-CN" w:bidi="ar-SA"/>
      </w:rPr>
    </w:lvl>
    <w:lvl w:ilvl="1">
      <w:start w:val="1"/>
      <w:numFmt w:val="decimal"/>
      <w:lvlText w:val="%1.%2"/>
      <w:lvlJc w:val="left"/>
      <w:pPr>
        <w:ind w:left="1270" w:hanging="1038"/>
        <w:jc w:val="left"/>
      </w:pPr>
      <w:rPr>
        <w:rFonts w:hint="default" w:ascii="微软雅黑" w:hAnsi="微软雅黑" w:eastAsia="微软雅黑" w:cs="微软雅黑"/>
        <w:b/>
        <w:bCs/>
        <w:i w:val="0"/>
        <w:iCs w:val="0"/>
        <w:w w:val="94"/>
        <w:sz w:val="21"/>
        <w:szCs w:val="21"/>
        <w:lang w:val="en-US" w:eastAsia="zh-CN" w:bidi="ar-SA"/>
      </w:rPr>
    </w:lvl>
    <w:lvl w:ilvl="2">
      <w:start w:val="1"/>
      <w:numFmt w:val="decimal"/>
      <w:lvlText w:val="%1.%2.%3"/>
      <w:lvlJc w:val="left"/>
      <w:pPr>
        <w:ind w:left="1270" w:hanging="1038"/>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1745" w:hanging="1038"/>
      </w:pPr>
      <w:rPr>
        <w:rFonts w:hint="default"/>
        <w:lang w:val="en-US" w:eastAsia="zh-CN" w:bidi="ar-SA"/>
      </w:rPr>
    </w:lvl>
    <w:lvl w:ilvl="4">
      <w:start w:val="0"/>
      <w:numFmt w:val="bullet"/>
      <w:lvlText w:val="•"/>
      <w:lvlJc w:val="left"/>
      <w:pPr>
        <w:ind w:left="1900" w:hanging="1038"/>
      </w:pPr>
      <w:rPr>
        <w:rFonts w:hint="default"/>
        <w:lang w:val="en-US" w:eastAsia="zh-CN" w:bidi="ar-SA"/>
      </w:rPr>
    </w:lvl>
    <w:lvl w:ilvl="5">
      <w:start w:val="0"/>
      <w:numFmt w:val="bullet"/>
      <w:lvlText w:val="•"/>
      <w:lvlJc w:val="left"/>
      <w:pPr>
        <w:ind w:left="2056" w:hanging="1038"/>
      </w:pPr>
      <w:rPr>
        <w:rFonts w:hint="default"/>
        <w:lang w:val="en-US" w:eastAsia="zh-CN" w:bidi="ar-SA"/>
      </w:rPr>
    </w:lvl>
    <w:lvl w:ilvl="6">
      <w:start w:val="0"/>
      <w:numFmt w:val="bullet"/>
      <w:lvlText w:val="•"/>
      <w:lvlJc w:val="left"/>
      <w:pPr>
        <w:ind w:left="2211" w:hanging="1038"/>
      </w:pPr>
      <w:rPr>
        <w:rFonts w:hint="default"/>
        <w:lang w:val="en-US" w:eastAsia="zh-CN" w:bidi="ar-SA"/>
      </w:rPr>
    </w:lvl>
    <w:lvl w:ilvl="7">
      <w:start w:val="0"/>
      <w:numFmt w:val="bullet"/>
      <w:lvlText w:val="•"/>
      <w:lvlJc w:val="left"/>
      <w:pPr>
        <w:ind w:left="2366" w:hanging="1038"/>
      </w:pPr>
      <w:rPr>
        <w:rFonts w:hint="default"/>
        <w:lang w:val="en-US" w:eastAsia="zh-CN" w:bidi="ar-SA"/>
      </w:rPr>
    </w:lvl>
    <w:lvl w:ilvl="8">
      <w:start w:val="0"/>
      <w:numFmt w:val="bullet"/>
      <w:lvlText w:val="•"/>
      <w:lvlJc w:val="left"/>
      <w:pPr>
        <w:ind w:left="2521" w:hanging="1038"/>
      </w:pPr>
      <w:rPr>
        <w:rFonts w:hint="default"/>
        <w:lang w:val="en-US" w:eastAsia="zh-CN" w:bidi="ar-SA"/>
      </w:rPr>
    </w:lvl>
  </w:abstractNum>
  <w:abstractNum w:abstractNumId="93">
    <w:multiLevelType w:val="hybridMultilevel"/>
    <w:lvl w:ilvl="0">
      <w:start w:val="1"/>
      <w:numFmt w:val="decimal"/>
      <w:lvlText w:val="（%1）"/>
      <w:lvlJc w:val="left"/>
      <w:pPr>
        <w:ind w:left="619" w:hanging="529"/>
        <w:jc w:val="left"/>
      </w:pPr>
      <w:rPr>
        <w:rFonts w:hint="default" w:ascii="宋体" w:hAnsi="宋体" w:eastAsia="宋体" w:cs="宋体"/>
        <w:b w:val="0"/>
        <w:bCs w:val="0"/>
        <w:i w:val="0"/>
        <w:iCs w:val="0"/>
        <w:spacing w:val="-77"/>
        <w:w w:val="100"/>
        <w:sz w:val="19"/>
        <w:szCs w:val="19"/>
        <w:lang w:val="en-US" w:eastAsia="zh-CN" w:bidi="ar-SA"/>
      </w:rPr>
    </w:lvl>
    <w:lvl w:ilvl="1">
      <w:start w:val="0"/>
      <w:numFmt w:val="bullet"/>
      <w:lvlText w:val="•"/>
      <w:lvlJc w:val="left"/>
      <w:pPr>
        <w:ind w:left="1284" w:hanging="529"/>
      </w:pPr>
      <w:rPr>
        <w:rFonts w:hint="default"/>
        <w:lang w:val="en-US" w:eastAsia="zh-CN" w:bidi="ar-SA"/>
      </w:rPr>
    </w:lvl>
    <w:lvl w:ilvl="2">
      <w:start w:val="0"/>
      <w:numFmt w:val="bullet"/>
      <w:lvlText w:val="•"/>
      <w:lvlJc w:val="left"/>
      <w:pPr>
        <w:ind w:left="1948" w:hanging="529"/>
      </w:pPr>
      <w:rPr>
        <w:rFonts w:hint="default"/>
        <w:lang w:val="en-US" w:eastAsia="zh-CN" w:bidi="ar-SA"/>
      </w:rPr>
    </w:lvl>
    <w:lvl w:ilvl="3">
      <w:start w:val="0"/>
      <w:numFmt w:val="bullet"/>
      <w:lvlText w:val="•"/>
      <w:lvlJc w:val="left"/>
      <w:pPr>
        <w:ind w:left="2612" w:hanging="529"/>
      </w:pPr>
      <w:rPr>
        <w:rFonts w:hint="default"/>
        <w:lang w:val="en-US" w:eastAsia="zh-CN" w:bidi="ar-SA"/>
      </w:rPr>
    </w:lvl>
    <w:lvl w:ilvl="4">
      <w:start w:val="0"/>
      <w:numFmt w:val="bullet"/>
      <w:lvlText w:val="•"/>
      <w:lvlJc w:val="left"/>
      <w:pPr>
        <w:ind w:left="3276" w:hanging="529"/>
      </w:pPr>
      <w:rPr>
        <w:rFonts w:hint="default"/>
        <w:lang w:val="en-US" w:eastAsia="zh-CN" w:bidi="ar-SA"/>
      </w:rPr>
    </w:lvl>
    <w:lvl w:ilvl="5">
      <w:start w:val="0"/>
      <w:numFmt w:val="bullet"/>
      <w:lvlText w:val="•"/>
      <w:lvlJc w:val="left"/>
      <w:pPr>
        <w:ind w:left="3941" w:hanging="529"/>
      </w:pPr>
      <w:rPr>
        <w:rFonts w:hint="default"/>
        <w:lang w:val="en-US" w:eastAsia="zh-CN" w:bidi="ar-SA"/>
      </w:rPr>
    </w:lvl>
    <w:lvl w:ilvl="6">
      <w:start w:val="0"/>
      <w:numFmt w:val="bullet"/>
      <w:lvlText w:val="•"/>
      <w:lvlJc w:val="left"/>
      <w:pPr>
        <w:ind w:left="4605" w:hanging="529"/>
      </w:pPr>
      <w:rPr>
        <w:rFonts w:hint="default"/>
        <w:lang w:val="en-US" w:eastAsia="zh-CN" w:bidi="ar-SA"/>
      </w:rPr>
    </w:lvl>
    <w:lvl w:ilvl="7">
      <w:start w:val="0"/>
      <w:numFmt w:val="bullet"/>
      <w:lvlText w:val="•"/>
      <w:lvlJc w:val="left"/>
      <w:pPr>
        <w:ind w:left="5269" w:hanging="529"/>
      </w:pPr>
      <w:rPr>
        <w:rFonts w:hint="default"/>
        <w:lang w:val="en-US" w:eastAsia="zh-CN" w:bidi="ar-SA"/>
      </w:rPr>
    </w:lvl>
    <w:lvl w:ilvl="8">
      <w:start w:val="0"/>
      <w:numFmt w:val="bullet"/>
      <w:lvlText w:val="•"/>
      <w:lvlJc w:val="left"/>
      <w:pPr>
        <w:ind w:left="5933" w:hanging="529"/>
      </w:pPr>
      <w:rPr>
        <w:rFonts w:hint="default"/>
        <w:lang w:val="en-US" w:eastAsia="zh-CN" w:bidi="ar-SA"/>
      </w:rPr>
    </w:lvl>
  </w:abstractNum>
  <w:abstractNum w:abstractNumId="92">
    <w:multiLevelType w:val="hybridMultilevel"/>
    <w:lvl w:ilvl="0">
      <w:start w:val="1"/>
      <w:numFmt w:val="decimal"/>
      <w:lvlText w:val="（%1）"/>
      <w:lvlJc w:val="left"/>
      <w:pPr>
        <w:ind w:left="61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84" w:hanging="529"/>
      </w:pPr>
      <w:rPr>
        <w:rFonts w:hint="default"/>
        <w:lang w:val="en-US" w:eastAsia="zh-CN" w:bidi="ar-SA"/>
      </w:rPr>
    </w:lvl>
    <w:lvl w:ilvl="2">
      <w:start w:val="0"/>
      <w:numFmt w:val="bullet"/>
      <w:lvlText w:val="•"/>
      <w:lvlJc w:val="left"/>
      <w:pPr>
        <w:ind w:left="1948" w:hanging="529"/>
      </w:pPr>
      <w:rPr>
        <w:rFonts w:hint="default"/>
        <w:lang w:val="en-US" w:eastAsia="zh-CN" w:bidi="ar-SA"/>
      </w:rPr>
    </w:lvl>
    <w:lvl w:ilvl="3">
      <w:start w:val="0"/>
      <w:numFmt w:val="bullet"/>
      <w:lvlText w:val="•"/>
      <w:lvlJc w:val="left"/>
      <w:pPr>
        <w:ind w:left="2612" w:hanging="529"/>
      </w:pPr>
      <w:rPr>
        <w:rFonts w:hint="default"/>
        <w:lang w:val="en-US" w:eastAsia="zh-CN" w:bidi="ar-SA"/>
      </w:rPr>
    </w:lvl>
    <w:lvl w:ilvl="4">
      <w:start w:val="0"/>
      <w:numFmt w:val="bullet"/>
      <w:lvlText w:val="•"/>
      <w:lvlJc w:val="left"/>
      <w:pPr>
        <w:ind w:left="3276" w:hanging="529"/>
      </w:pPr>
      <w:rPr>
        <w:rFonts w:hint="default"/>
        <w:lang w:val="en-US" w:eastAsia="zh-CN" w:bidi="ar-SA"/>
      </w:rPr>
    </w:lvl>
    <w:lvl w:ilvl="5">
      <w:start w:val="0"/>
      <w:numFmt w:val="bullet"/>
      <w:lvlText w:val="•"/>
      <w:lvlJc w:val="left"/>
      <w:pPr>
        <w:ind w:left="3941" w:hanging="529"/>
      </w:pPr>
      <w:rPr>
        <w:rFonts w:hint="default"/>
        <w:lang w:val="en-US" w:eastAsia="zh-CN" w:bidi="ar-SA"/>
      </w:rPr>
    </w:lvl>
    <w:lvl w:ilvl="6">
      <w:start w:val="0"/>
      <w:numFmt w:val="bullet"/>
      <w:lvlText w:val="•"/>
      <w:lvlJc w:val="left"/>
      <w:pPr>
        <w:ind w:left="4605" w:hanging="529"/>
      </w:pPr>
      <w:rPr>
        <w:rFonts w:hint="default"/>
        <w:lang w:val="en-US" w:eastAsia="zh-CN" w:bidi="ar-SA"/>
      </w:rPr>
    </w:lvl>
    <w:lvl w:ilvl="7">
      <w:start w:val="0"/>
      <w:numFmt w:val="bullet"/>
      <w:lvlText w:val="•"/>
      <w:lvlJc w:val="left"/>
      <w:pPr>
        <w:ind w:left="5269" w:hanging="529"/>
      </w:pPr>
      <w:rPr>
        <w:rFonts w:hint="default"/>
        <w:lang w:val="en-US" w:eastAsia="zh-CN" w:bidi="ar-SA"/>
      </w:rPr>
    </w:lvl>
    <w:lvl w:ilvl="8">
      <w:start w:val="0"/>
      <w:numFmt w:val="bullet"/>
      <w:lvlText w:val="•"/>
      <w:lvlJc w:val="left"/>
      <w:pPr>
        <w:ind w:left="5933" w:hanging="529"/>
      </w:pPr>
      <w:rPr>
        <w:rFonts w:hint="default"/>
        <w:lang w:val="en-US" w:eastAsia="zh-CN" w:bidi="ar-SA"/>
      </w:rPr>
    </w:lvl>
  </w:abstractNum>
  <w:abstractNum w:abstractNumId="91">
    <w:multiLevelType w:val="hybridMultilevel"/>
    <w:lvl w:ilvl="0">
      <w:start w:val="1"/>
      <w:numFmt w:val="decimal"/>
      <w:lvlText w:val="（%1）"/>
      <w:lvlJc w:val="left"/>
      <w:pPr>
        <w:ind w:left="71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5" w:hanging="529"/>
      </w:pPr>
      <w:rPr>
        <w:rFonts w:hint="default"/>
        <w:lang w:val="en-US" w:eastAsia="zh-CN" w:bidi="ar-SA"/>
      </w:rPr>
    </w:lvl>
    <w:lvl w:ilvl="2">
      <w:start w:val="0"/>
      <w:numFmt w:val="bullet"/>
      <w:lvlText w:val="•"/>
      <w:lvlJc w:val="left"/>
      <w:pPr>
        <w:ind w:left="2091" w:hanging="529"/>
      </w:pPr>
      <w:rPr>
        <w:rFonts w:hint="default"/>
        <w:lang w:val="en-US" w:eastAsia="zh-CN" w:bidi="ar-SA"/>
      </w:rPr>
    </w:lvl>
    <w:lvl w:ilvl="3">
      <w:start w:val="0"/>
      <w:numFmt w:val="bullet"/>
      <w:lvlText w:val="•"/>
      <w:lvlJc w:val="left"/>
      <w:pPr>
        <w:ind w:left="2777" w:hanging="529"/>
      </w:pPr>
      <w:rPr>
        <w:rFonts w:hint="default"/>
        <w:lang w:val="en-US" w:eastAsia="zh-CN" w:bidi="ar-SA"/>
      </w:rPr>
    </w:lvl>
    <w:lvl w:ilvl="4">
      <w:start w:val="0"/>
      <w:numFmt w:val="bullet"/>
      <w:lvlText w:val="•"/>
      <w:lvlJc w:val="left"/>
      <w:pPr>
        <w:ind w:left="3462" w:hanging="529"/>
      </w:pPr>
      <w:rPr>
        <w:rFonts w:hint="default"/>
        <w:lang w:val="en-US" w:eastAsia="zh-CN" w:bidi="ar-SA"/>
      </w:rPr>
    </w:lvl>
    <w:lvl w:ilvl="5">
      <w:start w:val="0"/>
      <w:numFmt w:val="bullet"/>
      <w:lvlText w:val="•"/>
      <w:lvlJc w:val="left"/>
      <w:pPr>
        <w:ind w:left="4148" w:hanging="529"/>
      </w:pPr>
      <w:rPr>
        <w:rFonts w:hint="default"/>
        <w:lang w:val="en-US" w:eastAsia="zh-CN" w:bidi="ar-SA"/>
      </w:rPr>
    </w:lvl>
    <w:lvl w:ilvl="6">
      <w:start w:val="0"/>
      <w:numFmt w:val="bullet"/>
      <w:lvlText w:val="•"/>
      <w:lvlJc w:val="left"/>
      <w:pPr>
        <w:ind w:left="4834" w:hanging="529"/>
      </w:pPr>
      <w:rPr>
        <w:rFonts w:hint="default"/>
        <w:lang w:val="en-US" w:eastAsia="zh-CN" w:bidi="ar-SA"/>
      </w:rPr>
    </w:lvl>
    <w:lvl w:ilvl="7">
      <w:start w:val="0"/>
      <w:numFmt w:val="bullet"/>
      <w:lvlText w:val="•"/>
      <w:lvlJc w:val="left"/>
      <w:pPr>
        <w:ind w:left="5520" w:hanging="529"/>
      </w:pPr>
      <w:rPr>
        <w:rFonts w:hint="default"/>
        <w:lang w:val="en-US" w:eastAsia="zh-CN" w:bidi="ar-SA"/>
      </w:rPr>
    </w:lvl>
    <w:lvl w:ilvl="8">
      <w:start w:val="0"/>
      <w:numFmt w:val="bullet"/>
      <w:lvlText w:val="•"/>
      <w:lvlJc w:val="left"/>
      <w:pPr>
        <w:ind w:left="6205" w:hanging="529"/>
      </w:pPr>
      <w:rPr>
        <w:rFonts w:hint="default"/>
        <w:lang w:val="en-US" w:eastAsia="zh-CN" w:bidi="ar-SA"/>
      </w:rPr>
    </w:lvl>
  </w:abstractNum>
  <w:abstractNum w:abstractNumId="90">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6" w:hanging="529"/>
      </w:pPr>
      <w:rPr>
        <w:rFonts w:hint="default"/>
        <w:lang w:val="en-US" w:eastAsia="zh-CN" w:bidi="ar-SA"/>
      </w:rPr>
    </w:lvl>
    <w:lvl w:ilvl="2">
      <w:start w:val="0"/>
      <w:numFmt w:val="bullet"/>
      <w:lvlText w:val="•"/>
      <w:lvlJc w:val="left"/>
      <w:pPr>
        <w:ind w:left="2132" w:hanging="529"/>
      </w:pPr>
      <w:rPr>
        <w:rFonts w:hint="default"/>
        <w:lang w:val="en-US" w:eastAsia="zh-CN" w:bidi="ar-SA"/>
      </w:rPr>
    </w:lvl>
    <w:lvl w:ilvl="3">
      <w:start w:val="0"/>
      <w:numFmt w:val="bullet"/>
      <w:lvlText w:val="•"/>
      <w:lvlJc w:val="left"/>
      <w:pPr>
        <w:ind w:left="2819" w:hanging="529"/>
      </w:pPr>
      <w:rPr>
        <w:rFonts w:hint="default"/>
        <w:lang w:val="en-US" w:eastAsia="zh-CN" w:bidi="ar-SA"/>
      </w:rPr>
    </w:lvl>
    <w:lvl w:ilvl="4">
      <w:start w:val="0"/>
      <w:numFmt w:val="bullet"/>
      <w:lvlText w:val="•"/>
      <w:lvlJc w:val="left"/>
      <w:pPr>
        <w:ind w:left="3505" w:hanging="529"/>
      </w:pPr>
      <w:rPr>
        <w:rFonts w:hint="default"/>
        <w:lang w:val="en-US" w:eastAsia="zh-CN" w:bidi="ar-SA"/>
      </w:rPr>
    </w:lvl>
    <w:lvl w:ilvl="5">
      <w:start w:val="0"/>
      <w:numFmt w:val="bullet"/>
      <w:lvlText w:val="•"/>
      <w:lvlJc w:val="left"/>
      <w:pPr>
        <w:ind w:left="4191" w:hanging="529"/>
      </w:pPr>
      <w:rPr>
        <w:rFonts w:hint="default"/>
        <w:lang w:val="en-US" w:eastAsia="zh-CN" w:bidi="ar-SA"/>
      </w:rPr>
    </w:lvl>
    <w:lvl w:ilvl="6">
      <w:start w:val="0"/>
      <w:numFmt w:val="bullet"/>
      <w:lvlText w:val="•"/>
      <w:lvlJc w:val="left"/>
      <w:pPr>
        <w:ind w:left="4878" w:hanging="529"/>
      </w:pPr>
      <w:rPr>
        <w:rFonts w:hint="default"/>
        <w:lang w:val="en-US" w:eastAsia="zh-CN" w:bidi="ar-SA"/>
      </w:rPr>
    </w:lvl>
    <w:lvl w:ilvl="7">
      <w:start w:val="0"/>
      <w:numFmt w:val="bullet"/>
      <w:lvlText w:val="•"/>
      <w:lvlJc w:val="left"/>
      <w:pPr>
        <w:ind w:left="5564" w:hanging="529"/>
      </w:pPr>
      <w:rPr>
        <w:rFonts w:hint="default"/>
        <w:lang w:val="en-US" w:eastAsia="zh-CN" w:bidi="ar-SA"/>
      </w:rPr>
    </w:lvl>
    <w:lvl w:ilvl="8">
      <w:start w:val="0"/>
      <w:numFmt w:val="bullet"/>
      <w:lvlText w:val="•"/>
      <w:lvlJc w:val="left"/>
      <w:pPr>
        <w:ind w:left="6251" w:hanging="529"/>
      </w:pPr>
      <w:rPr>
        <w:rFonts w:hint="default"/>
        <w:lang w:val="en-US" w:eastAsia="zh-CN" w:bidi="ar-SA"/>
      </w:rPr>
    </w:lvl>
  </w:abstractNum>
  <w:abstractNum w:abstractNumId="89">
    <w:multiLevelType w:val="hybridMultilevel"/>
    <w:lvl w:ilvl="0">
      <w:start w:val="1"/>
      <w:numFmt w:val="decimal"/>
      <w:lvlText w:val="（%1）"/>
      <w:lvlJc w:val="left"/>
      <w:pPr>
        <w:ind w:left="71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5" w:hanging="529"/>
      </w:pPr>
      <w:rPr>
        <w:rFonts w:hint="default"/>
        <w:lang w:val="en-US" w:eastAsia="zh-CN" w:bidi="ar-SA"/>
      </w:rPr>
    </w:lvl>
    <w:lvl w:ilvl="2">
      <w:start w:val="0"/>
      <w:numFmt w:val="bullet"/>
      <w:lvlText w:val="•"/>
      <w:lvlJc w:val="left"/>
      <w:pPr>
        <w:ind w:left="2091" w:hanging="529"/>
      </w:pPr>
      <w:rPr>
        <w:rFonts w:hint="default"/>
        <w:lang w:val="en-US" w:eastAsia="zh-CN" w:bidi="ar-SA"/>
      </w:rPr>
    </w:lvl>
    <w:lvl w:ilvl="3">
      <w:start w:val="0"/>
      <w:numFmt w:val="bullet"/>
      <w:lvlText w:val="•"/>
      <w:lvlJc w:val="left"/>
      <w:pPr>
        <w:ind w:left="2777" w:hanging="529"/>
      </w:pPr>
      <w:rPr>
        <w:rFonts w:hint="default"/>
        <w:lang w:val="en-US" w:eastAsia="zh-CN" w:bidi="ar-SA"/>
      </w:rPr>
    </w:lvl>
    <w:lvl w:ilvl="4">
      <w:start w:val="0"/>
      <w:numFmt w:val="bullet"/>
      <w:lvlText w:val="•"/>
      <w:lvlJc w:val="left"/>
      <w:pPr>
        <w:ind w:left="3462" w:hanging="529"/>
      </w:pPr>
      <w:rPr>
        <w:rFonts w:hint="default"/>
        <w:lang w:val="en-US" w:eastAsia="zh-CN" w:bidi="ar-SA"/>
      </w:rPr>
    </w:lvl>
    <w:lvl w:ilvl="5">
      <w:start w:val="0"/>
      <w:numFmt w:val="bullet"/>
      <w:lvlText w:val="•"/>
      <w:lvlJc w:val="left"/>
      <w:pPr>
        <w:ind w:left="4148" w:hanging="529"/>
      </w:pPr>
      <w:rPr>
        <w:rFonts w:hint="default"/>
        <w:lang w:val="en-US" w:eastAsia="zh-CN" w:bidi="ar-SA"/>
      </w:rPr>
    </w:lvl>
    <w:lvl w:ilvl="6">
      <w:start w:val="0"/>
      <w:numFmt w:val="bullet"/>
      <w:lvlText w:val="•"/>
      <w:lvlJc w:val="left"/>
      <w:pPr>
        <w:ind w:left="4834" w:hanging="529"/>
      </w:pPr>
      <w:rPr>
        <w:rFonts w:hint="default"/>
        <w:lang w:val="en-US" w:eastAsia="zh-CN" w:bidi="ar-SA"/>
      </w:rPr>
    </w:lvl>
    <w:lvl w:ilvl="7">
      <w:start w:val="0"/>
      <w:numFmt w:val="bullet"/>
      <w:lvlText w:val="•"/>
      <w:lvlJc w:val="left"/>
      <w:pPr>
        <w:ind w:left="5520" w:hanging="529"/>
      </w:pPr>
      <w:rPr>
        <w:rFonts w:hint="default"/>
        <w:lang w:val="en-US" w:eastAsia="zh-CN" w:bidi="ar-SA"/>
      </w:rPr>
    </w:lvl>
    <w:lvl w:ilvl="8">
      <w:start w:val="0"/>
      <w:numFmt w:val="bullet"/>
      <w:lvlText w:val="•"/>
      <w:lvlJc w:val="left"/>
      <w:pPr>
        <w:ind w:left="6205" w:hanging="529"/>
      </w:pPr>
      <w:rPr>
        <w:rFonts w:hint="default"/>
        <w:lang w:val="en-US" w:eastAsia="zh-CN" w:bidi="ar-SA"/>
      </w:rPr>
    </w:lvl>
  </w:abstractNum>
  <w:abstractNum w:abstractNumId="88">
    <w:multiLevelType w:val="hybridMultilevel"/>
    <w:lvl w:ilvl="0">
      <w:start w:val="1"/>
      <w:numFmt w:val="decimal"/>
      <w:lvlText w:val="（%1）"/>
      <w:lvlJc w:val="left"/>
      <w:pPr>
        <w:ind w:left="71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5" w:hanging="529"/>
      </w:pPr>
      <w:rPr>
        <w:rFonts w:hint="default"/>
        <w:lang w:val="en-US" w:eastAsia="zh-CN" w:bidi="ar-SA"/>
      </w:rPr>
    </w:lvl>
    <w:lvl w:ilvl="2">
      <w:start w:val="0"/>
      <w:numFmt w:val="bullet"/>
      <w:lvlText w:val="•"/>
      <w:lvlJc w:val="left"/>
      <w:pPr>
        <w:ind w:left="2091" w:hanging="529"/>
      </w:pPr>
      <w:rPr>
        <w:rFonts w:hint="default"/>
        <w:lang w:val="en-US" w:eastAsia="zh-CN" w:bidi="ar-SA"/>
      </w:rPr>
    </w:lvl>
    <w:lvl w:ilvl="3">
      <w:start w:val="0"/>
      <w:numFmt w:val="bullet"/>
      <w:lvlText w:val="•"/>
      <w:lvlJc w:val="left"/>
      <w:pPr>
        <w:ind w:left="2777" w:hanging="529"/>
      </w:pPr>
      <w:rPr>
        <w:rFonts w:hint="default"/>
        <w:lang w:val="en-US" w:eastAsia="zh-CN" w:bidi="ar-SA"/>
      </w:rPr>
    </w:lvl>
    <w:lvl w:ilvl="4">
      <w:start w:val="0"/>
      <w:numFmt w:val="bullet"/>
      <w:lvlText w:val="•"/>
      <w:lvlJc w:val="left"/>
      <w:pPr>
        <w:ind w:left="3462" w:hanging="529"/>
      </w:pPr>
      <w:rPr>
        <w:rFonts w:hint="default"/>
        <w:lang w:val="en-US" w:eastAsia="zh-CN" w:bidi="ar-SA"/>
      </w:rPr>
    </w:lvl>
    <w:lvl w:ilvl="5">
      <w:start w:val="0"/>
      <w:numFmt w:val="bullet"/>
      <w:lvlText w:val="•"/>
      <w:lvlJc w:val="left"/>
      <w:pPr>
        <w:ind w:left="4148" w:hanging="529"/>
      </w:pPr>
      <w:rPr>
        <w:rFonts w:hint="default"/>
        <w:lang w:val="en-US" w:eastAsia="zh-CN" w:bidi="ar-SA"/>
      </w:rPr>
    </w:lvl>
    <w:lvl w:ilvl="6">
      <w:start w:val="0"/>
      <w:numFmt w:val="bullet"/>
      <w:lvlText w:val="•"/>
      <w:lvlJc w:val="left"/>
      <w:pPr>
        <w:ind w:left="4834" w:hanging="529"/>
      </w:pPr>
      <w:rPr>
        <w:rFonts w:hint="default"/>
        <w:lang w:val="en-US" w:eastAsia="zh-CN" w:bidi="ar-SA"/>
      </w:rPr>
    </w:lvl>
    <w:lvl w:ilvl="7">
      <w:start w:val="0"/>
      <w:numFmt w:val="bullet"/>
      <w:lvlText w:val="•"/>
      <w:lvlJc w:val="left"/>
      <w:pPr>
        <w:ind w:left="5520" w:hanging="529"/>
      </w:pPr>
      <w:rPr>
        <w:rFonts w:hint="default"/>
        <w:lang w:val="en-US" w:eastAsia="zh-CN" w:bidi="ar-SA"/>
      </w:rPr>
    </w:lvl>
    <w:lvl w:ilvl="8">
      <w:start w:val="0"/>
      <w:numFmt w:val="bullet"/>
      <w:lvlText w:val="•"/>
      <w:lvlJc w:val="left"/>
      <w:pPr>
        <w:ind w:left="6205" w:hanging="529"/>
      </w:pPr>
      <w:rPr>
        <w:rFonts w:hint="default"/>
        <w:lang w:val="en-US" w:eastAsia="zh-CN" w:bidi="ar-SA"/>
      </w:rPr>
    </w:lvl>
  </w:abstractNum>
  <w:abstractNum w:abstractNumId="87">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6" w:hanging="529"/>
      </w:pPr>
      <w:rPr>
        <w:rFonts w:hint="default"/>
        <w:lang w:val="en-US" w:eastAsia="zh-CN" w:bidi="ar-SA"/>
      </w:rPr>
    </w:lvl>
    <w:lvl w:ilvl="2">
      <w:start w:val="0"/>
      <w:numFmt w:val="bullet"/>
      <w:lvlText w:val="•"/>
      <w:lvlJc w:val="left"/>
      <w:pPr>
        <w:ind w:left="2132" w:hanging="529"/>
      </w:pPr>
      <w:rPr>
        <w:rFonts w:hint="default"/>
        <w:lang w:val="en-US" w:eastAsia="zh-CN" w:bidi="ar-SA"/>
      </w:rPr>
    </w:lvl>
    <w:lvl w:ilvl="3">
      <w:start w:val="0"/>
      <w:numFmt w:val="bullet"/>
      <w:lvlText w:val="•"/>
      <w:lvlJc w:val="left"/>
      <w:pPr>
        <w:ind w:left="2819" w:hanging="529"/>
      </w:pPr>
      <w:rPr>
        <w:rFonts w:hint="default"/>
        <w:lang w:val="en-US" w:eastAsia="zh-CN" w:bidi="ar-SA"/>
      </w:rPr>
    </w:lvl>
    <w:lvl w:ilvl="4">
      <w:start w:val="0"/>
      <w:numFmt w:val="bullet"/>
      <w:lvlText w:val="•"/>
      <w:lvlJc w:val="left"/>
      <w:pPr>
        <w:ind w:left="3505" w:hanging="529"/>
      </w:pPr>
      <w:rPr>
        <w:rFonts w:hint="default"/>
        <w:lang w:val="en-US" w:eastAsia="zh-CN" w:bidi="ar-SA"/>
      </w:rPr>
    </w:lvl>
    <w:lvl w:ilvl="5">
      <w:start w:val="0"/>
      <w:numFmt w:val="bullet"/>
      <w:lvlText w:val="•"/>
      <w:lvlJc w:val="left"/>
      <w:pPr>
        <w:ind w:left="4191" w:hanging="529"/>
      </w:pPr>
      <w:rPr>
        <w:rFonts w:hint="default"/>
        <w:lang w:val="en-US" w:eastAsia="zh-CN" w:bidi="ar-SA"/>
      </w:rPr>
    </w:lvl>
    <w:lvl w:ilvl="6">
      <w:start w:val="0"/>
      <w:numFmt w:val="bullet"/>
      <w:lvlText w:val="•"/>
      <w:lvlJc w:val="left"/>
      <w:pPr>
        <w:ind w:left="4878" w:hanging="529"/>
      </w:pPr>
      <w:rPr>
        <w:rFonts w:hint="default"/>
        <w:lang w:val="en-US" w:eastAsia="zh-CN" w:bidi="ar-SA"/>
      </w:rPr>
    </w:lvl>
    <w:lvl w:ilvl="7">
      <w:start w:val="0"/>
      <w:numFmt w:val="bullet"/>
      <w:lvlText w:val="•"/>
      <w:lvlJc w:val="left"/>
      <w:pPr>
        <w:ind w:left="5564" w:hanging="529"/>
      </w:pPr>
      <w:rPr>
        <w:rFonts w:hint="default"/>
        <w:lang w:val="en-US" w:eastAsia="zh-CN" w:bidi="ar-SA"/>
      </w:rPr>
    </w:lvl>
    <w:lvl w:ilvl="8">
      <w:start w:val="0"/>
      <w:numFmt w:val="bullet"/>
      <w:lvlText w:val="•"/>
      <w:lvlJc w:val="left"/>
      <w:pPr>
        <w:ind w:left="6251" w:hanging="529"/>
      </w:pPr>
      <w:rPr>
        <w:rFonts w:hint="default"/>
        <w:lang w:val="en-US" w:eastAsia="zh-CN" w:bidi="ar-SA"/>
      </w:rPr>
    </w:lvl>
  </w:abstractNum>
  <w:abstractNum w:abstractNumId="86">
    <w:multiLevelType w:val="hybridMultilevel"/>
    <w:lvl w:ilvl="0">
      <w:start w:val="1"/>
      <w:numFmt w:val="decimal"/>
      <w:lvlText w:val="（%1）"/>
      <w:lvlJc w:val="left"/>
      <w:pPr>
        <w:ind w:left="71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5" w:hanging="529"/>
      </w:pPr>
      <w:rPr>
        <w:rFonts w:hint="default"/>
        <w:lang w:val="en-US" w:eastAsia="zh-CN" w:bidi="ar-SA"/>
      </w:rPr>
    </w:lvl>
    <w:lvl w:ilvl="2">
      <w:start w:val="0"/>
      <w:numFmt w:val="bullet"/>
      <w:lvlText w:val="•"/>
      <w:lvlJc w:val="left"/>
      <w:pPr>
        <w:ind w:left="2091" w:hanging="529"/>
      </w:pPr>
      <w:rPr>
        <w:rFonts w:hint="default"/>
        <w:lang w:val="en-US" w:eastAsia="zh-CN" w:bidi="ar-SA"/>
      </w:rPr>
    </w:lvl>
    <w:lvl w:ilvl="3">
      <w:start w:val="0"/>
      <w:numFmt w:val="bullet"/>
      <w:lvlText w:val="•"/>
      <w:lvlJc w:val="left"/>
      <w:pPr>
        <w:ind w:left="2777" w:hanging="529"/>
      </w:pPr>
      <w:rPr>
        <w:rFonts w:hint="default"/>
        <w:lang w:val="en-US" w:eastAsia="zh-CN" w:bidi="ar-SA"/>
      </w:rPr>
    </w:lvl>
    <w:lvl w:ilvl="4">
      <w:start w:val="0"/>
      <w:numFmt w:val="bullet"/>
      <w:lvlText w:val="•"/>
      <w:lvlJc w:val="left"/>
      <w:pPr>
        <w:ind w:left="3462" w:hanging="529"/>
      </w:pPr>
      <w:rPr>
        <w:rFonts w:hint="default"/>
        <w:lang w:val="en-US" w:eastAsia="zh-CN" w:bidi="ar-SA"/>
      </w:rPr>
    </w:lvl>
    <w:lvl w:ilvl="5">
      <w:start w:val="0"/>
      <w:numFmt w:val="bullet"/>
      <w:lvlText w:val="•"/>
      <w:lvlJc w:val="left"/>
      <w:pPr>
        <w:ind w:left="4148" w:hanging="529"/>
      </w:pPr>
      <w:rPr>
        <w:rFonts w:hint="default"/>
        <w:lang w:val="en-US" w:eastAsia="zh-CN" w:bidi="ar-SA"/>
      </w:rPr>
    </w:lvl>
    <w:lvl w:ilvl="6">
      <w:start w:val="0"/>
      <w:numFmt w:val="bullet"/>
      <w:lvlText w:val="•"/>
      <w:lvlJc w:val="left"/>
      <w:pPr>
        <w:ind w:left="4834" w:hanging="529"/>
      </w:pPr>
      <w:rPr>
        <w:rFonts w:hint="default"/>
        <w:lang w:val="en-US" w:eastAsia="zh-CN" w:bidi="ar-SA"/>
      </w:rPr>
    </w:lvl>
    <w:lvl w:ilvl="7">
      <w:start w:val="0"/>
      <w:numFmt w:val="bullet"/>
      <w:lvlText w:val="•"/>
      <w:lvlJc w:val="left"/>
      <w:pPr>
        <w:ind w:left="5520" w:hanging="529"/>
      </w:pPr>
      <w:rPr>
        <w:rFonts w:hint="default"/>
        <w:lang w:val="en-US" w:eastAsia="zh-CN" w:bidi="ar-SA"/>
      </w:rPr>
    </w:lvl>
    <w:lvl w:ilvl="8">
      <w:start w:val="0"/>
      <w:numFmt w:val="bullet"/>
      <w:lvlText w:val="•"/>
      <w:lvlJc w:val="left"/>
      <w:pPr>
        <w:ind w:left="6205" w:hanging="529"/>
      </w:pPr>
      <w:rPr>
        <w:rFonts w:hint="default"/>
        <w:lang w:val="en-US" w:eastAsia="zh-CN" w:bidi="ar-SA"/>
      </w:rPr>
    </w:lvl>
  </w:abstractNum>
  <w:abstractNum w:abstractNumId="85">
    <w:multiLevelType w:val="hybridMultilevel"/>
    <w:lvl w:ilvl="0">
      <w:start w:val="11"/>
      <w:numFmt w:val="decimal"/>
      <w:lvlText w:val="%1"/>
      <w:lvlJc w:val="left"/>
      <w:pPr>
        <w:ind w:left="1190" w:hanging="958"/>
        <w:jc w:val="left"/>
      </w:pPr>
      <w:rPr>
        <w:rFonts w:hint="default"/>
        <w:lang w:val="en-US" w:eastAsia="zh-CN" w:bidi="ar-SA"/>
      </w:rPr>
    </w:lvl>
    <w:lvl w:ilvl="1">
      <w:start w:val="1"/>
      <w:numFmt w:val="decimal"/>
      <w:lvlText w:val="%1.%2"/>
      <w:lvlJc w:val="left"/>
      <w:pPr>
        <w:ind w:left="1190" w:hanging="958"/>
        <w:jc w:val="left"/>
      </w:pPr>
      <w:rPr>
        <w:rFonts w:hint="default"/>
        <w:lang w:val="en-US" w:eastAsia="zh-CN" w:bidi="ar-SA"/>
      </w:rPr>
    </w:lvl>
    <w:lvl w:ilvl="2">
      <w:start w:val="13"/>
      <w:numFmt w:val="decimal"/>
      <w:lvlText w:val="%1.%2.%3"/>
      <w:lvlJc w:val="left"/>
      <w:pPr>
        <w:ind w:left="1190" w:hanging="958"/>
        <w:jc w:val="left"/>
      </w:pPr>
      <w:rPr>
        <w:rFonts w:hint="default" w:ascii="微软雅黑" w:hAnsi="微软雅黑" w:eastAsia="微软雅黑" w:cs="微软雅黑"/>
        <w:b/>
        <w:bCs/>
        <w:i w:val="0"/>
        <w:iCs w:val="0"/>
        <w:w w:val="81"/>
        <w:sz w:val="21"/>
        <w:szCs w:val="21"/>
        <w:lang w:val="en-US" w:eastAsia="zh-CN" w:bidi="ar-SA"/>
      </w:rPr>
    </w:lvl>
    <w:lvl w:ilvl="3">
      <w:start w:val="1"/>
      <w:numFmt w:val="decimal"/>
      <w:lvlText w:val="（%4）"/>
      <w:lvlJc w:val="left"/>
      <w:pPr>
        <w:ind w:left="3424"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169" w:hanging="529"/>
      </w:pPr>
      <w:rPr>
        <w:rFonts w:hint="default"/>
        <w:lang w:val="en-US" w:eastAsia="zh-CN" w:bidi="ar-SA"/>
      </w:rPr>
    </w:lvl>
    <w:lvl w:ilvl="5">
      <w:start w:val="0"/>
      <w:numFmt w:val="bullet"/>
      <w:lvlText w:val="•"/>
      <w:lvlJc w:val="left"/>
      <w:pPr>
        <w:ind w:left="3086" w:hanging="529"/>
      </w:pPr>
      <w:rPr>
        <w:rFonts w:hint="default"/>
        <w:lang w:val="en-US" w:eastAsia="zh-CN" w:bidi="ar-SA"/>
      </w:rPr>
    </w:lvl>
    <w:lvl w:ilvl="6">
      <w:start w:val="0"/>
      <w:numFmt w:val="bullet"/>
      <w:lvlText w:val="•"/>
      <w:lvlJc w:val="left"/>
      <w:pPr>
        <w:ind w:left="3002" w:hanging="529"/>
      </w:pPr>
      <w:rPr>
        <w:rFonts w:hint="default"/>
        <w:lang w:val="en-US" w:eastAsia="zh-CN" w:bidi="ar-SA"/>
      </w:rPr>
    </w:lvl>
    <w:lvl w:ilvl="7">
      <w:start w:val="0"/>
      <w:numFmt w:val="bullet"/>
      <w:lvlText w:val="•"/>
      <w:lvlJc w:val="left"/>
      <w:pPr>
        <w:ind w:left="2919" w:hanging="529"/>
      </w:pPr>
      <w:rPr>
        <w:rFonts w:hint="default"/>
        <w:lang w:val="en-US" w:eastAsia="zh-CN" w:bidi="ar-SA"/>
      </w:rPr>
    </w:lvl>
    <w:lvl w:ilvl="8">
      <w:start w:val="0"/>
      <w:numFmt w:val="bullet"/>
      <w:lvlText w:val="•"/>
      <w:lvlJc w:val="left"/>
      <w:pPr>
        <w:ind w:left="2836" w:hanging="529"/>
      </w:pPr>
      <w:rPr>
        <w:rFonts w:hint="default"/>
        <w:lang w:val="en-US" w:eastAsia="zh-CN" w:bidi="ar-SA"/>
      </w:rPr>
    </w:lvl>
  </w:abstractNum>
  <w:abstractNum w:abstractNumId="84">
    <w:multiLevelType w:val="hybridMultilevel"/>
    <w:lvl w:ilvl="0">
      <w:start w:val="1"/>
      <w:numFmt w:val="decimal"/>
      <w:lvlText w:val="（%1）"/>
      <w:lvlJc w:val="left"/>
      <w:pPr>
        <w:ind w:left="58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44" w:hanging="529"/>
      </w:pPr>
      <w:rPr>
        <w:rFonts w:hint="default"/>
        <w:lang w:val="en-US" w:eastAsia="zh-CN" w:bidi="ar-SA"/>
      </w:rPr>
    </w:lvl>
    <w:lvl w:ilvl="2">
      <w:start w:val="0"/>
      <w:numFmt w:val="bullet"/>
      <w:lvlText w:val="•"/>
      <w:lvlJc w:val="left"/>
      <w:pPr>
        <w:ind w:left="1909" w:hanging="529"/>
      </w:pPr>
      <w:rPr>
        <w:rFonts w:hint="default"/>
        <w:lang w:val="en-US" w:eastAsia="zh-CN" w:bidi="ar-SA"/>
      </w:rPr>
    </w:lvl>
    <w:lvl w:ilvl="3">
      <w:start w:val="0"/>
      <w:numFmt w:val="bullet"/>
      <w:lvlText w:val="•"/>
      <w:lvlJc w:val="left"/>
      <w:pPr>
        <w:ind w:left="2574" w:hanging="529"/>
      </w:pPr>
      <w:rPr>
        <w:rFonts w:hint="default"/>
        <w:lang w:val="en-US" w:eastAsia="zh-CN" w:bidi="ar-SA"/>
      </w:rPr>
    </w:lvl>
    <w:lvl w:ilvl="4">
      <w:start w:val="0"/>
      <w:numFmt w:val="bullet"/>
      <w:lvlText w:val="•"/>
      <w:lvlJc w:val="left"/>
      <w:pPr>
        <w:ind w:left="3239" w:hanging="529"/>
      </w:pPr>
      <w:rPr>
        <w:rFonts w:hint="default"/>
        <w:lang w:val="en-US" w:eastAsia="zh-CN" w:bidi="ar-SA"/>
      </w:rPr>
    </w:lvl>
    <w:lvl w:ilvl="5">
      <w:start w:val="0"/>
      <w:numFmt w:val="bullet"/>
      <w:lvlText w:val="•"/>
      <w:lvlJc w:val="left"/>
      <w:pPr>
        <w:ind w:left="3904" w:hanging="529"/>
      </w:pPr>
      <w:rPr>
        <w:rFonts w:hint="default"/>
        <w:lang w:val="en-US" w:eastAsia="zh-CN" w:bidi="ar-SA"/>
      </w:rPr>
    </w:lvl>
    <w:lvl w:ilvl="6">
      <w:start w:val="0"/>
      <w:numFmt w:val="bullet"/>
      <w:lvlText w:val="•"/>
      <w:lvlJc w:val="left"/>
      <w:pPr>
        <w:ind w:left="4568" w:hanging="529"/>
      </w:pPr>
      <w:rPr>
        <w:rFonts w:hint="default"/>
        <w:lang w:val="en-US" w:eastAsia="zh-CN" w:bidi="ar-SA"/>
      </w:rPr>
    </w:lvl>
    <w:lvl w:ilvl="7">
      <w:start w:val="0"/>
      <w:numFmt w:val="bullet"/>
      <w:lvlText w:val="•"/>
      <w:lvlJc w:val="left"/>
      <w:pPr>
        <w:ind w:left="5233" w:hanging="529"/>
      </w:pPr>
      <w:rPr>
        <w:rFonts w:hint="default"/>
        <w:lang w:val="en-US" w:eastAsia="zh-CN" w:bidi="ar-SA"/>
      </w:rPr>
    </w:lvl>
    <w:lvl w:ilvl="8">
      <w:start w:val="0"/>
      <w:numFmt w:val="bullet"/>
      <w:lvlText w:val="•"/>
      <w:lvlJc w:val="left"/>
      <w:pPr>
        <w:ind w:left="5898" w:hanging="529"/>
      </w:pPr>
      <w:rPr>
        <w:rFonts w:hint="default"/>
        <w:lang w:val="en-US" w:eastAsia="zh-CN" w:bidi="ar-SA"/>
      </w:rPr>
    </w:lvl>
  </w:abstractNum>
  <w:abstractNum w:abstractNumId="83">
    <w:multiLevelType w:val="hybridMultilevel"/>
    <w:lvl w:ilvl="0">
      <w:start w:val="1"/>
      <w:numFmt w:val="decimal"/>
      <w:lvlText w:val="（%1）"/>
      <w:lvlJc w:val="left"/>
      <w:pPr>
        <w:ind w:left="58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44" w:hanging="529"/>
      </w:pPr>
      <w:rPr>
        <w:rFonts w:hint="default"/>
        <w:lang w:val="en-US" w:eastAsia="zh-CN" w:bidi="ar-SA"/>
      </w:rPr>
    </w:lvl>
    <w:lvl w:ilvl="2">
      <w:start w:val="0"/>
      <w:numFmt w:val="bullet"/>
      <w:lvlText w:val="•"/>
      <w:lvlJc w:val="left"/>
      <w:pPr>
        <w:ind w:left="1909" w:hanging="529"/>
      </w:pPr>
      <w:rPr>
        <w:rFonts w:hint="default"/>
        <w:lang w:val="en-US" w:eastAsia="zh-CN" w:bidi="ar-SA"/>
      </w:rPr>
    </w:lvl>
    <w:lvl w:ilvl="3">
      <w:start w:val="0"/>
      <w:numFmt w:val="bullet"/>
      <w:lvlText w:val="•"/>
      <w:lvlJc w:val="left"/>
      <w:pPr>
        <w:ind w:left="2574" w:hanging="529"/>
      </w:pPr>
      <w:rPr>
        <w:rFonts w:hint="default"/>
        <w:lang w:val="en-US" w:eastAsia="zh-CN" w:bidi="ar-SA"/>
      </w:rPr>
    </w:lvl>
    <w:lvl w:ilvl="4">
      <w:start w:val="0"/>
      <w:numFmt w:val="bullet"/>
      <w:lvlText w:val="•"/>
      <w:lvlJc w:val="left"/>
      <w:pPr>
        <w:ind w:left="3239" w:hanging="529"/>
      </w:pPr>
      <w:rPr>
        <w:rFonts w:hint="default"/>
        <w:lang w:val="en-US" w:eastAsia="zh-CN" w:bidi="ar-SA"/>
      </w:rPr>
    </w:lvl>
    <w:lvl w:ilvl="5">
      <w:start w:val="0"/>
      <w:numFmt w:val="bullet"/>
      <w:lvlText w:val="•"/>
      <w:lvlJc w:val="left"/>
      <w:pPr>
        <w:ind w:left="3904" w:hanging="529"/>
      </w:pPr>
      <w:rPr>
        <w:rFonts w:hint="default"/>
        <w:lang w:val="en-US" w:eastAsia="zh-CN" w:bidi="ar-SA"/>
      </w:rPr>
    </w:lvl>
    <w:lvl w:ilvl="6">
      <w:start w:val="0"/>
      <w:numFmt w:val="bullet"/>
      <w:lvlText w:val="•"/>
      <w:lvlJc w:val="left"/>
      <w:pPr>
        <w:ind w:left="4568" w:hanging="529"/>
      </w:pPr>
      <w:rPr>
        <w:rFonts w:hint="default"/>
        <w:lang w:val="en-US" w:eastAsia="zh-CN" w:bidi="ar-SA"/>
      </w:rPr>
    </w:lvl>
    <w:lvl w:ilvl="7">
      <w:start w:val="0"/>
      <w:numFmt w:val="bullet"/>
      <w:lvlText w:val="•"/>
      <w:lvlJc w:val="left"/>
      <w:pPr>
        <w:ind w:left="5233" w:hanging="529"/>
      </w:pPr>
      <w:rPr>
        <w:rFonts w:hint="default"/>
        <w:lang w:val="en-US" w:eastAsia="zh-CN" w:bidi="ar-SA"/>
      </w:rPr>
    </w:lvl>
    <w:lvl w:ilvl="8">
      <w:start w:val="0"/>
      <w:numFmt w:val="bullet"/>
      <w:lvlText w:val="•"/>
      <w:lvlJc w:val="left"/>
      <w:pPr>
        <w:ind w:left="5898" w:hanging="529"/>
      </w:pPr>
      <w:rPr>
        <w:rFonts w:hint="default"/>
        <w:lang w:val="en-US" w:eastAsia="zh-CN" w:bidi="ar-SA"/>
      </w:rPr>
    </w:lvl>
  </w:abstractNum>
  <w:abstractNum w:abstractNumId="82">
    <w:multiLevelType w:val="hybridMultilevel"/>
    <w:lvl w:ilvl="0">
      <w:start w:val="1"/>
      <w:numFmt w:val="decimal"/>
      <w:lvlText w:val="（%1）"/>
      <w:lvlJc w:val="left"/>
      <w:pPr>
        <w:ind w:left="58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44" w:hanging="529"/>
      </w:pPr>
      <w:rPr>
        <w:rFonts w:hint="default"/>
        <w:lang w:val="en-US" w:eastAsia="zh-CN" w:bidi="ar-SA"/>
      </w:rPr>
    </w:lvl>
    <w:lvl w:ilvl="2">
      <w:start w:val="0"/>
      <w:numFmt w:val="bullet"/>
      <w:lvlText w:val="•"/>
      <w:lvlJc w:val="left"/>
      <w:pPr>
        <w:ind w:left="1909" w:hanging="529"/>
      </w:pPr>
      <w:rPr>
        <w:rFonts w:hint="default"/>
        <w:lang w:val="en-US" w:eastAsia="zh-CN" w:bidi="ar-SA"/>
      </w:rPr>
    </w:lvl>
    <w:lvl w:ilvl="3">
      <w:start w:val="0"/>
      <w:numFmt w:val="bullet"/>
      <w:lvlText w:val="•"/>
      <w:lvlJc w:val="left"/>
      <w:pPr>
        <w:ind w:left="2574" w:hanging="529"/>
      </w:pPr>
      <w:rPr>
        <w:rFonts w:hint="default"/>
        <w:lang w:val="en-US" w:eastAsia="zh-CN" w:bidi="ar-SA"/>
      </w:rPr>
    </w:lvl>
    <w:lvl w:ilvl="4">
      <w:start w:val="0"/>
      <w:numFmt w:val="bullet"/>
      <w:lvlText w:val="•"/>
      <w:lvlJc w:val="left"/>
      <w:pPr>
        <w:ind w:left="3239" w:hanging="529"/>
      </w:pPr>
      <w:rPr>
        <w:rFonts w:hint="default"/>
        <w:lang w:val="en-US" w:eastAsia="zh-CN" w:bidi="ar-SA"/>
      </w:rPr>
    </w:lvl>
    <w:lvl w:ilvl="5">
      <w:start w:val="0"/>
      <w:numFmt w:val="bullet"/>
      <w:lvlText w:val="•"/>
      <w:lvlJc w:val="left"/>
      <w:pPr>
        <w:ind w:left="3904" w:hanging="529"/>
      </w:pPr>
      <w:rPr>
        <w:rFonts w:hint="default"/>
        <w:lang w:val="en-US" w:eastAsia="zh-CN" w:bidi="ar-SA"/>
      </w:rPr>
    </w:lvl>
    <w:lvl w:ilvl="6">
      <w:start w:val="0"/>
      <w:numFmt w:val="bullet"/>
      <w:lvlText w:val="•"/>
      <w:lvlJc w:val="left"/>
      <w:pPr>
        <w:ind w:left="4568" w:hanging="529"/>
      </w:pPr>
      <w:rPr>
        <w:rFonts w:hint="default"/>
        <w:lang w:val="en-US" w:eastAsia="zh-CN" w:bidi="ar-SA"/>
      </w:rPr>
    </w:lvl>
    <w:lvl w:ilvl="7">
      <w:start w:val="0"/>
      <w:numFmt w:val="bullet"/>
      <w:lvlText w:val="•"/>
      <w:lvlJc w:val="left"/>
      <w:pPr>
        <w:ind w:left="5233" w:hanging="529"/>
      </w:pPr>
      <w:rPr>
        <w:rFonts w:hint="default"/>
        <w:lang w:val="en-US" w:eastAsia="zh-CN" w:bidi="ar-SA"/>
      </w:rPr>
    </w:lvl>
    <w:lvl w:ilvl="8">
      <w:start w:val="0"/>
      <w:numFmt w:val="bullet"/>
      <w:lvlText w:val="•"/>
      <w:lvlJc w:val="left"/>
      <w:pPr>
        <w:ind w:left="5898" w:hanging="529"/>
      </w:pPr>
      <w:rPr>
        <w:rFonts w:hint="default"/>
        <w:lang w:val="en-US" w:eastAsia="zh-CN" w:bidi="ar-SA"/>
      </w:rPr>
    </w:lvl>
  </w:abstractNum>
  <w:abstractNum w:abstractNumId="81">
    <w:multiLevelType w:val="hybridMultilevel"/>
    <w:lvl w:ilvl="0">
      <w:start w:val="1"/>
      <w:numFmt w:val="decimal"/>
      <w:lvlText w:val="（%1）"/>
      <w:lvlJc w:val="left"/>
      <w:pPr>
        <w:ind w:left="581" w:hanging="527"/>
        <w:jc w:val="left"/>
      </w:pPr>
      <w:rPr>
        <w:rFonts w:hint="default" w:ascii="宋体" w:hAnsi="宋体" w:eastAsia="宋体" w:cs="宋体"/>
        <w:b w:val="0"/>
        <w:bCs w:val="0"/>
        <w:i w:val="0"/>
        <w:iCs w:val="0"/>
        <w:spacing w:val="-5"/>
        <w:w w:val="100"/>
        <w:sz w:val="19"/>
        <w:szCs w:val="19"/>
        <w:lang w:val="en-US" w:eastAsia="zh-CN" w:bidi="ar-SA"/>
      </w:rPr>
    </w:lvl>
    <w:lvl w:ilvl="1">
      <w:start w:val="0"/>
      <w:numFmt w:val="bullet"/>
      <w:lvlText w:val="•"/>
      <w:lvlJc w:val="left"/>
      <w:pPr>
        <w:ind w:left="1244" w:hanging="527"/>
      </w:pPr>
      <w:rPr>
        <w:rFonts w:hint="default"/>
        <w:lang w:val="en-US" w:eastAsia="zh-CN" w:bidi="ar-SA"/>
      </w:rPr>
    </w:lvl>
    <w:lvl w:ilvl="2">
      <w:start w:val="0"/>
      <w:numFmt w:val="bullet"/>
      <w:lvlText w:val="•"/>
      <w:lvlJc w:val="left"/>
      <w:pPr>
        <w:ind w:left="1909" w:hanging="527"/>
      </w:pPr>
      <w:rPr>
        <w:rFonts w:hint="default"/>
        <w:lang w:val="en-US" w:eastAsia="zh-CN" w:bidi="ar-SA"/>
      </w:rPr>
    </w:lvl>
    <w:lvl w:ilvl="3">
      <w:start w:val="0"/>
      <w:numFmt w:val="bullet"/>
      <w:lvlText w:val="•"/>
      <w:lvlJc w:val="left"/>
      <w:pPr>
        <w:ind w:left="2574" w:hanging="527"/>
      </w:pPr>
      <w:rPr>
        <w:rFonts w:hint="default"/>
        <w:lang w:val="en-US" w:eastAsia="zh-CN" w:bidi="ar-SA"/>
      </w:rPr>
    </w:lvl>
    <w:lvl w:ilvl="4">
      <w:start w:val="0"/>
      <w:numFmt w:val="bullet"/>
      <w:lvlText w:val="•"/>
      <w:lvlJc w:val="left"/>
      <w:pPr>
        <w:ind w:left="3239" w:hanging="527"/>
      </w:pPr>
      <w:rPr>
        <w:rFonts w:hint="default"/>
        <w:lang w:val="en-US" w:eastAsia="zh-CN" w:bidi="ar-SA"/>
      </w:rPr>
    </w:lvl>
    <w:lvl w:ilvl="5">
      <w:start w:val="0"/>
      <w:numFmt w:val="bullet"/>
      <w:lvlText w:val="•"/>
      <w:lvlJc w:val="left"/>
      <w:pPr>
        <w:ind w:left="3904" w:hanging="527"/>
      </w:pPr>
      <w:rPr>
        <w:rFonts w:hint="default"/>
        <w:lang w:val="en-US" w:eastAsia="zh-CN" w:bidi="ar-SA"/>
      </w:rPr>
    </w:lvl>
    <w:lvl w:ilvl="6">
      <w:start w:val="0"/>
      <w:numFmt w:val="bullet"/>
      <w:lvlText w:val="•"/>
      <w:lvlJc w:val="left"/>
      <w:pPr>
        <w:ind w:left="4568" w:hanging="527"/>
      </w:pPr>
      <w:rPr>
        <w:rFonts w:hint="default"/>
        <w:lang w:val="en-US" w:eastAsia="zh-CN" w:bidi="ar-SA"/>
      </w:rPr>
    </w:lvl>
    <w:lvl w:ilvl="7">
      <w:start w:val="0"/>
      <w:numFmt w:val="bullet"/>
      <w:lvlText w:val="•"/>
      <w:lvlJc w:val="left"/>
      <w:pPr>
        <w:ind w:left="5233" w:hanging="527"/>
      </w:pPr>
      <w:rPr>
        <w:rFonts w:hint="default"/>
        <w:lang w:val="en-US" w:eastAsia="zh-CN" w:bidi="ar-SA"/>
      </w:rPr>
    </w:lvl>
    <w:lvl w:ilvl="8">
      <w:start w:val="0"/>
      <w:numFmt w:val="bullet"/>
      <w:lvlText w:val="•"/>
      <w:lvlJc w:val="left"/>
      <w:pPr>
        <w:ind w:left="5898" w:hanging="527"/>
      </w:pPr>
      <w:rPr>
        <w:rFonts w:hint="default"/>
        <w:lang w:val="en-US" w:eastAsia="zh-CN" w:bidi="ar-SA"/>
      </w:rPr>
    </w:lvl>
  </w:abstractNum>
  <w:abstractNum w:abstractNumId="80">
    <w:multiLevelType w:val="hybridMultilevel"/>
    <w:lvl w:ilvl="0">
      <w:start w:val="1"/>
      <w:numFmt w:val="decimal"/>
      <w:lvlText w:val="（%1）"/>
      <w:lvlJc w:val="left"/>
      <w:pPr>
        <w:ind w:left="68" w:hanging="529"/>
        <w:jc w:val="left"/>
      </w:pPr>
      <w:rPr>
        <w:rFonts w:hint="default" w:ascii="宋体" w:hAnsi="宋体" w:eastAsia="宋体" w:cs="宋体"/>
        <w:b w:val="0"/>
        <w:bCs w:val="0"/>
        <w:i w:val="0"/>
        <w:iCs w:val="0"/>
        <w:spacing w:val="-44"/>
        <w:w w:val="100"/>
        <w:sz w:val="19"/>
        <w:szCs w:val="19"/>
        <w:lang w:val="en-US" w:eastAsia="zh-CN" w:bidi="ar-SA"/>
      </w:rPr>
    </w:lvl>
    <w:lvl w:ilvl="1">
      <w:start w:val="0"/>
      <w:numFmt w:val="bullet"/>
      <w:lvlText w:val="•"/>
      <w:lvlJc w:val="left"/>
      <w:pPr>
        <w:ind w:left="3420" w:hanging="529"/>
      </w:pPr>
      <w:rPr>
        <w:rFonts w:hint="default"/>
        <w:lang w:val="en-US" w:eastAsia="zh-CN" w:bidi="ar-SA"/>
      </w:rPr>
    </w:lvl>
    <w:lvl w:ilvl="2">
      <w:start w:val="0"/>
      <w:numFmt w:val="bullet"/>
      <w:lvlText w:val="•"/>
      <w:lvlJc w:val="left"/>
      <w:pPr>
        <w:ind w:left="3868" w:hanging="529"/>
      </w:pPr>
      <w:rPr>
        <w:rFonts w:hint="default"/>
        <w:lang w:val="en-US" w:eastAsia="zh-CN" w:bidi="ar-SA"/>
      </w:rPr>
    </w:lvl>
    <w:lvl w:ilvl="3">
      <w:start w:val="0"/>
      <w:numFmt w:val="bullet"/>
      <w:lvlText w:val="•"/>
      <w:lvlJc w:val="left"/>
      <w:pPr>
        <w:ind w:left="4317" w:hanging="529"/>
      </w:pPr>
      <w:rPr>
        <w:rFonts w:hint="default"/>
        <w:lang w:val="en-US" w:eastAsia="zh-CN" w:bidi="ar-SA"/>
      </w:rPr>
    </w:lvl>
    <w:lvl w:ilvl="4">
      <w:start w:val="0"/>
      <w:numFmt w:val="bullet"/>
      <w:lvlText w:val="•"/>
      <w:lvlJc w:val="left"/>
      <w:pPr>
        <w:ind w:left="4766" w:hanging="529"/>
      </w:pPr>
      <w:rPr>
        <w:rFonts w:hint="default"/>
        <w:lang w:val="en-US" w:eastAsia="zh-CN" w:bidi="ar-SA"/>
      </w:rPr>
    </w:lvl>
    <w:lvl w:ilvl="5">
      <w:start w:val="0"/>
      <w:numFmt w:val="bullet"/>
      <w:lvlText w:val="•"/>
      <w:lvlJc w:val="left"/>
      <w:pPr>
        <w:ind w:left="5215" w:hanging="529"/>
      </w:pPr>
      <w:rPr>
        <w:rFonts w:hint="default"/>
        <w:lang w:val="en-US" w:eastAsia="zh-CN" w:bidi="ar-SA"/>
      </w:rPr>
    </w:lvl>
    <w:lvl w:ilvl="6">
      <w:start w:val="0"/>
      <w:numFmt w:val="bullet"/>
      <w:lvlText w:val="•"/>
      <w:lvlJc w:val="left"/>
      <w:pPr>
        <w:ind w:left="5664" w:hanging="529"/>
      </w:pPr>
      <w:rPr>
        <w:rFonts w:hint="default"/>
        <w:lang w:val="en-US" w:eastAsia="zh-CN" w:bidi="ar-SA"/>
      </w:rPr>
    </w:lvl>
    <w:lvl w:ilvl="7">
      <w:start w:val="0"/>
      <w:numFmt w:val="bullet"/>
      <w:lvlText w:val="•"/>
      <w:lvlJc w:val="left"/>
      <w:pPr>
        <w:ind w:left="6113" w:hanging="529"/>
      </w:pPr>
      <w:rPr>
        <w:rFonts w:hint="default"/>
        <w:lang w:val="en-US" w:eastAsia="zh-CN" w:bidi="ar-SA"/>
      </w:rPr>
    </w:lvl>
    <w:lvl w:ilvl="8">
      <w:start w:val="0"/>
      <w:numFmt w:val="bullet"/>
      <w:lvlText w:val="•"/>
      <w:lvlJc w:val="left"/>
      <w:pPr>
        <w:ind w:left="6561" w:hanging="529"/>
      </w:pPr>
      <w:rPr>
        <w:rFonts w:hint="default"/>
        <w:lang w:val="en-US" w:eastAsia="zh-CN" w:bidi="ar-SA"/>
      </w:rPr>
    </w:lvl>
  </w:abstractNum>
  <w:abstractNum w:abstractNumId="79">
    <w:multiLevelType w:val="hybridMultilevel"/>
    <w:lvl w:ilvl="0">
      <w:start w:val="1"/>
      <w:numFmt w:val="decimal"/>
      <w:lvlText w:val="（%1）"/>
      <w:lvlJc w:val="left"/>
      <w:pPr>
        <w:ind w:left="71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05" w:hanging="529"/>
      </w:pPr>
      <w:rPr>
        <w:rFonts w:hint="default"/>
        <w:lang w:val="en-US" w:eastAsia="zh-CN" w:bidi="ar-SA"/>
      </w:rPr>
    </w:lvl>
    <w:lvl w:ilvl="2">
      <w:start w:val="0"/>
      <w:numFmt w:val="bullet"/>
      <w:lvlText w:val="•"/>
      <w:lvlJc w:val="left"/>
      <w:pPr>
        <w:ind w:left="2091" w:hanging="529"/>
      </w:pPr>
      <w:rPr>
        <w:rFonts w:hint="default"/>
        <w:lang w:val="en-US" w:eastAsia="zh-CN" w:bidi="ar-SA"/>
      </w:rPr>
    </w:lvl>
    <w:lvl w:ilvl="3">
      <w:start w:val="0"/>
      <w:numFmt w:val="bullet"/>
      <w:lvlText w:val="•"/>
      <w:lvlJc w:val="left"/>
      <w:pPr>
        <w:ind w:left="2777" w:hanging="529"/>
      </w:pPr>
      <w:rPr>
        <w:rFonts w:hint="default"/>
        <w:lang w:val="en-US" w:eastAsia="zh-CN" w:bidi="ar-SA"/>
      </w:rPr>
    </w:lvl>
    <w:lvl w:ilvl="4">
      <w:start w:val="0"/>
      <w:numFmt w:val="bullet"/>
      <w:lvlText w:val="•"/>
      <w:lvlJc w:val="left"/>
      <w:pPr>
        <w:ind w:left="3462" w:hanging="529"/>
      </w:pPr>
      <w:rPr>
        <w:rFonts w:hint="default"/>
        <w:lang w:val="en-US" w:eastAsia="zh-CN" w:bidi="ar-SA"/>
      </w:rPr>
    </w:lvl>
    <w:lvl w:ilvl="5">
      <w:start w:val="0"/>
      <w:numFmt w:val="bullet"/>
      <w:lvlText w:val="•"/>
      <w:lvlJc w:val="left"/>
      <w:pPr>
        <w:ind w:left="4148" w:hanging="529"/>
      </w:pPr>
      <w:rPr>
        <w:rFonts w:hint="default"/>
        <w:lang w:val="en-US" w:eastAsia="zh-CN" w:bidi="ar-SA"/>
      </w:rPr>
    </w:lvl>
    <w:lvl w:ilvl="6">
      <w:start w:val="0"/>
      <w:numFmt w:val="bullet"/>
      <w:lvlText w:val="•"/>
      <w:lvlJc w:val="left"/>
      <w:pPr>
        <w:ind w:left="4834" w:hanging="529"/>
      </w:pPr>
      <w:rPr>
        <w:rFonts w:hint="default"/>
        <w:lang w:val="en-US" w:eastAsia="zh-CN" w:bidi="ar-SA"/>
      </w:rPr>
    </w:lvl>
    <w:lvl w:ilvl="7">
      <w:start w:val="0"/>
      <w:numFmt w:val="bullet"/>
      <w:lvlText w:val="•"/>
      <w:lvlJc w:val="left"/>
      <w:pPr>
        <w:ind w:left="5520" w:hanging="529"/>
      </w:pPr>
      <w:rPr>
        <w:rFonts w:hint="default"/>
        <w:lang w:val="en-US" w:eastAsia="zh-CN" w:bidi="ar-SA"/>
      </w:rPr>
    </w:lvl>
    <w:lvl w:ilvl="8">
      <w:start w:val="0"/>
      <w:numFmt w:val="bullet"/>
      <w:lvlText w:val="•"/>
      <w:lvlJc w:val="left"/>
      <w:pPr>
        <w:ind w:left="6205" w:hanging="529"/>
      </w:pPr>
      <w:rPr>
        <w:rFonts w:hint="default"/>
        <w:lang w:val="en-US" w:eastAsia="zh-CN" w:bidi="ar-SA"/>
      </w:rPr>
    </w:lvl>
  </w:abstractNum>
  <w:abstractNum w:abstractNumId="78">
    <w:multiLevelType w:val="hybridMultilevel"/>
    <w:lvl w:ilvl="0">
      <w:start w:val="11"/>
      <w:numFmt w:val="decimal"/>
      <w:lvlText w:val="%1"/>
      <w:lvlJc w:val="left"/>
      <w:pPr>
        <w:ind w:left="2895" w:hanging="958"/>
        <w:jc w:val="left"/>
      </w:pPr>
      <w:rPr>
        <w:rFonts w:hint="default"/>
        <w:lang w:val="en-US" w:eastAsia="zh-CN" w:bidi="ar-SA"/>
      </w:rPr>
    </w:lvl>
    <w:lvl w:ilvl="1">
      <w:start w:val="1"/>
      <w:numFmt w:val="decimal"/>
      <w:lvlText w:val="%1.%2"/>
      <w:lvlJc w:val="left"/>
      <w:pPr>
        <w:ind w:left="2895" w:hanging="958"/>
        <w:jc w:val="left"/>
      </w:pPr>
      <w:rPr>
        <w:rFonts w:hint="default" w:ascii="微软雅黑" w:hAnsi="微软雅黑" w:eastAsia="微软雅黑" w:cs="微软雅黑"/>
        <w:b/>
        <w:bCs/>
        <w:i w:val="0"/>
        <w:iCs w:val="0"/>
        <w:w w:val="94"/>
        <w:sz w:val="21"/>
        <w:szCs w:val="21"/>
        <w:lang w:val="en-US" w:eastAsia="zh-CN" w:bidi="ar-SA"/>
      </w:rPr>
    </w:lvl>
    <w:lvl w:ilvl="2">
      <w:start w:val="1"/>
      <w:numFmt w:val="decimal"/>
      <w:lvlText w:val="%1.%2.%3"/>
      <w:lvlJc w:val="left"/>
      <w:pPr>
        <w:ind w:left="1190" w:hanging="958"/>
        <w:jc w:val="left"/>
      </w:pPr>
      <w:rPr>
        <w:rFonts w:hint="default" w:ascii="微软雅黑" w:hAnsi="微软雅黑" w:eastAsia="微软雅黑" w:cs="微软雅黑"/>
        <w:b/>
        <w:bCs/>
        <w:i w:val="0"/>
        <w:iCs w:val="0"/>
        <w:w w:val="81"/>
        <w:sz w:val="21"/>
        <w:szCs w:val="21"/>
        <w:lang w:val="en-US" w:eastAsia="zh-CN" w:bidi="ar-SA"/>
      </w:rPr>
    </w:lvl>
    <w:lvl w:ilvl="3">
      <w:start w:val="1"/>
      <w:numFmt w:val="decimal"/>
      <w:lvlText w:val="（%4）"/>
      <w:lvlJc w:val="left"/>
      <w:pPr>
        <w:ind w:left="2895"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5362" w:hanging="529"/>
      </w:pPr>
      <w:rPr>
        <w:rFonts w:hint="default"/>
        <w:lang w:val="en-US" w:eastAsia="zh-CN" w:bidi="ar-SA"/>
      </w:rPr>
    </w:lvl>
    <w:lvl w:ilvl="5">
      <w:start w:val="0"/>
      <w:numFmt w:val="bullet"/>
      <w:lvlText w:val="•"/>
      <w:lvlJc w:val="left"/>
      <w:pPr>
        <w:ind w:left="6182" w:hanging="529"/>
      </w:pPr>
      <w:rPr>
        <w:rFonts w:hint="default"/>
        <w:lang w:val="en-US" w:eastAsia="zh-CN" w:bidi="ar-SA"/>
      </w:rPr>
    </w:lvl>
    <w:lvl w:ilvl="6">
      <w:start w:val="0"/>
      <w:numFmt w:val="bullet"/>
      <w:lvlText w:val="•"/>
      <w:lvlJc w:val="left"/>
      <w:pPr>
        <w:ind w:left="7003" w:hanging="529"/>
      </w:pPr>
      <w:rPr>
        <w:rFonts w:hint="default"/>
        <w:lang w:val="en-US" w:eastAsia="zh-CN" w:bidi="ar-SA"/>
      </w:rPr>
    </w:lvl>
    <w:lvl w:ilvl="7">
      <w:start w:val="0"/>
      <w:numFmt w:val="bullet"/>
      <w:lvlText w:val="•"/>
      <w:lvlJc w:val="left"/>
      <w:pPr>
        <w:ind w:left="7824" w:hanging="529"/>
      </w:pPr>
      <w:rPr>
        <w:rFonts w:hint="default"/>
        <w:lang w:val="en-US" w:eastAsia="zh-CN" w:bidi="ar-SA"/>
      </w:rPr>
    </w:lvl>
    <w:lvl w:ilvl="8">
      <w:start w:val="0"/>
      <w:numFmt w:val="bullet"/>
      <w:lvlText w:val="•"/>
      <w:lvlJc w:val="left"/>
      <w:pPr>
        <w:ind w:left="8644" w:hanging="529"/>
      </w:pPr>
      <w:rPr>
        <w:rFonts w:hint="default"/>
        <w:lang w:val="en-US" w:eastAsia="zh-CN" w:bidi="ar-SA"/>
      </w:rPr>
    </w:lvl>
  </w:abstractNum>
  <w:abstractNum w:abstractNumId="77">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6" w:hanging="529"/>
      </w:pPr>
      <w:rPr>
        <w:rFonts w:hint="default"/>
        <w:lang w:val="en-US" w:eastAsia="zh-CN" w:bidi="ar-SA"/>
      </w:rPr>
    </w:lvl>
    <w:lvl w:ilvl="2">
      <w:start w:val="0"/>
      <w:numFmt w:val="bullet"/>
      <w:lvlText w:val="•"/>
      <w:lvlJc w:val="left"/>
      <w:pPr>
        <w:ind w:left="2132" w:hanging="529"/>
      </w:pPr>
      <w:rPr>
        <w:rFonts w:hint="default"/>
        <w:lang w:val="en-US" w:eastAsia="zh-CN" w:bidi="ar-SA"/>
      </w:rPr>
    </w:lvl>
    <w:lvl w:ilvl="3">
      <w:start w:val="0"/>
      <w:numFmt w:val="bullet"/>
      <w:lvlText w:val="•"/>
      <w:lvlJc w:val="left"/>
      <w:pPr>
        <w:ind w:left="2819" w:hanging="529"/>
      </w:pPr>
      <w:rPr>
        <w:rFonts w:hint="default"/>
        <w:lang w:val="en-US" w:eastAsia="zh-CN" w:bidi="ar-SA"/>
      </w:rPr>
    </w:lvl>
    <w:lvl w:ilvl="4">
      <w:start w:val="0"/>
      <w:numFmt w:val="bullet"/>
      <w:lvlText w:val="•"/>
      <w:lvlJc w:val="left"/>
      <w:pPr>
        <w:ind w:left="3505" w:hanging="529"/>
      </w:pPr>
      <w:rPr>
        <w:rFonts w:hint="default"/>
        <w:lang w:val="en-US" w:eastAsia="zh-CN" w:bidi="ar-SA"/>
      </w:rPr>
    </w:lvl>
    <w:lvl w:ilvl="5">
      <w:start w:val="0"/>
      <w:numFmt w:val="bullet"/>
      <w:lvlText w:val="•"/>
      <w:lvlJc w:val="left"/>
      <w:pPr>
        <w:ind w:left="4191" w:hanging="529"/>
      </w:pPr>
      <w:rPr>
        <w:rFonts w:hint="default"/>
        <w:lang w:val="en-US" w:eastAsia="zh-CN" w:bidi="ar-SA"/>
      </w:rPr>
    </w:lvl>
    <w:lvl w:ilvl="6">
      <w:start w:val="0"/>
      <w:numFmt w:val="bullet"/>
      <w:lvlText w:val="•"/>
      <w:lvlJc w:val="left"/>
      <w:pPr>
        <w:ind w:left="4878" w:hanging="529"/>
      </w:pPr>
      <w:rPr>
        <w:rFonts w:hint="default"/>
        <w:lang w:val="en-US" w:eastAsia="zh-CN" w:bidi="ar-SA"/>
      </w:rPr>
    </w:lvl>
    <w:lvl w:ilvl="7">
      <w:start w:val="0"/>
      <w:numFmt w:val="bullet"/>
      <w:lvlText w:val="•"/>
      <w:lvlJc w:val="left"/>
      <w:pPr>
        <w:ind w:left="5564" w:hanging="529"/>
      </w:pPr>
      <w:rPr>
        <w:rFonts w:hint="default"/>
        <w:lang w:val="en-US" w:eastAsia="zh-CN" w:bidi="ar-SA"/>
      </w:rPr>
    </w:lvl>
    <w:lvl w:ilvl="8">
      <w:start w:val="0"/>
      <w:numFmt w:val="bullet"/>
      <w:lvlText w:val="•"/>
      <w:lvlJc w:val="left"/>
      <w:pPr>
        <w:ind w:left="6251" w:hanging="529"/>
      </w:pPr>
      <w:rPr>
        <w:rFonts w:hint="default"/>
        <w:lang w:val="en-US" w:eastAsia="zh-CN" w:bidi="ar-SA"/>
      </w:rPr>
    </w:lvl>
  </w:abstractNum>
  <w:abstractNum w:abstractNumId="76">
    <w:multiLevelType w:val="hybridMultilevel"/>
    <w:lvl w:ilvl="0">
      <w:start w:val="1"/>
      <w:numFmt w:val="decimal"/>
      <w:lvlText w:val="（%1）"/>
      <w:lvlJc w:val="left"/>
      <w:pPr>
        <w:ind w:left="23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978" w:hanging="529"/>
      </w:pPr>
      <w:rPr>
        <w:rFonts w:hint="default"/>
        <w:lang w:val="en-US" w:eastAsia="zh-CN" w:bidi="ar-SA"/>
      </w:rPr>
    </w:lvl>
    <w:lvl w:ilvl="2">
      <w:start w:val="0"/>
      <w:numFmt w:val="bullet"/>
      <w:lvlText w:val="•"/>
      <w:lvlJc w:val="left"/>
      <w:pPr>
        <w:ind w:left="1716" w:hanging="529"/>
      </w:pPr>
      <w:rPr>
        <w:rFonts w:hint="default"/>
        <w:lang w:val="en-US" w:eastAsia="zh-CN" w:bidi="ar-SA"/>
      </w:rPr>
    </w:lvl>
    <w:lvl w:ilvl="3">
      <w:start w:val="0"/>
      <w:numFmt w:val="bullet"/>
      <w:lvlText w:val="•"/>
      <w:lvlJc w:val="left"/>
      <w:pPr>
        <w:ind w:left="2455" w:hanging="529"/>
      </w:pPr>
      <w:rPr>
        <w:rFonts w:hint="default"/>
        <w:lang w:val="en-US" w:eastAsia="zh-CN" w:bidi="ar-SA"/>
      </w:rPr>
    </w:lvl>
    <w:lvl w:ilvl="4">
      <w:start w:val="0"/>
      <w:numFmt w:val="bullet"/>
      <w:lvlText w:val="•"/>
      <w:lvlJc w:val="left"/>
      <w:pPr>
        <w:ind w:left="3193" w:hanging="529"/>
      </w:pPr>
      <w:rPr>
        <w:rFonts w:hint="default"/>
        <w:lang w:val="en-US" w:eastAsia="zh-CN" w:bidi="ar-SA"/>
      </w:rPr>
    </w:lvl>
    <w:lvl w:ilvl="5">
      <w:start w:val="0"/>
      <w:numFmt w:val="bullet"/>
      <w:lvlText w:val="•"/>
      <w:lvlJc w:val="left"/>
      <w:pPr>
        <w:ind w:left="3931" w:hanging="529"/>
      </w:pPr>
      <w:rPr>
        <w:rFonts w:hint="default"/>
        <w:lang w:val="en-US" w:eastAsia="zh-CN" w:bidi="ar-SA"/>
      </w:rPr>
    </w:lvl>
    <w:lvl w:ilvl="6">
      <w:start w:val="0"/>
      <w:numFmt w:val="bullet"/>
      <w:lvlText w:val="•"/>
      <w:lvlJc w:val="left"/>
      <w:pPr>
        <w:ind w:left="4670" w:hanging="529"/>
      </w:pPr>
      <w:rPr>
        <w:rFonts w:hint="default"/>
        <w:lang w:val="en-US" w:eastAsia="zh-CN" w:bidi="ar-SA"/>
      </w:rPr>
    </w:lvl>
    <w:lvl w:ilvl="7">
      <w:start w:val="0"/>
      <w:numFmt w:val="bullet"/>
      <w:lvlText w:val="•"/>
      <w:lvlJc w:val="left"/>
      <w:pPr>
        <w:ind w:left="5408" w:hanging="529"/>
      </w:pPr>
      <w:rPr>
        <w:rFonts w:hint="default"/>
        <w:lang w:val="en-US" w:eastAsia="zh-CN" w:bidi="ar-SA"/>
      </w:rPr>
    </w:lvl>
    <w:lvl w:ilvl="8">
      <w:start w:val="0"/>
      <w:numFmt w:val="bullet"/>
      <w:lvlText w:val="•"/>
      <w:lvlJc w:val="left"/>
      <w:pPr>
        <w:ind w:left="6147" w:hanging="529"/>
      </w:pPr>
      <w:rPr>
        <w:rFonts w:hint="default"/>
        <w:lang w:val="en-US" w:eastAsia="zh-CN" w:bidi="ar-SA"/>
      </w:rPr>
    </w:lvl>
  </w:abstractNum>
  <w:abstractNum w:abstractNumId="75">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6" w:hanging="529"/>
      </w:pPr>
      <w:rPr>
        <w:rFonts w:hint="default"/>
        <w:lang w:val="en-US" w:eastAsia="zh-CN" w:bidi="ar-SA"/>
      </w:rPr>
    </w:lvl>
    <w:lvl w:ilvl="2">
      <w:start w:val="0"/>
      <w:numFmt w:val="bullet"/>
      <w:lvlText w:val="•"/>
      <w:lvlJc w:val="left"/>
      <w:pPr>
        <w:ind w:left="2132" w:hanging="529"/>
      </w:pPr>
      <w:rPr>
        <w:rFonts w:hint="default"/>
        <w:lang w:val="en-US" w:eastAsia="zh-CN" w:bidi="ar-SA"/>
      </w:rPr>
    </w:lvl>
    <w:lvl w:ilvl="3">
      <w:start w:val="0"/>
      <w:numFmt w:val="bullet"/>
      <w:lvlText w:val="•"/>
      <w:lvlJc w:val="left"/>
      <w:pPr>
        <w:ind w:left="2819" w:hanging="529"/>
      </w:pPr>
      <w:rPr>
        <w:rFonts w:hint="default"/>
        <w:lang w:val="en-US" w:eastAsia="zh-CN" w:bidi="ar-SA"/>
      </w:rPr>
    </w:lvl>
    <w:lvl w:ilvl="4">
      <w:start w:val="0"/>
      <w:numFmt w:val="bullet"/>
      <w:lvlText w:val="•"/>
      <w:lvlJc w:val="left"/>
      <w:pPr>
        <w:ind w:left="3505" w:hanging="529"/>
      </w:pPr>
      <w:rPr>
        <w:rFonts w:hint="default"/>
        <w:lang w:val="en-US" w:eastAsia="zh-CN" w:bidi="ar-SA"/>
      </w:rPr>
    </w:lvl>
    <w:lvl w:ilvl="5">
      <w:start w:val="0"/>
      <w:numFmt w:val="bullet"/>
      <w:lvlText w:val="•"/>
      <w:lvlJc w:val="left"/>
      <w:pPr>
        <w:ind w:left="4191" w:hanging="529"/>
      </w:pPr>
      <w:rPr>
        <w:rFonts w:hint="default"/>
        <w:lang w:val="en-US" w:eastAsia="zh-CN" w:bidi="ar-SA"/>
      </w:rPr>
    </w:lvl>
    <w:lvl w:ilvl="6">
      <w:start w:val="0"/>
      <w:numFmt w:val="bullet"/>
      <w:lvlText w:val="•"/>
      <w:lvlJc w:val="left"/>
      <w:pPr>
        <w:ind w:left="4878" w:hanging="529"/>
      </w:pPr>
      <w:rPr>
        <w:rFonts w:hint="default"/>
        <w:lang w:val="en-US" w:eastAsia="zh-CN" w:bidi="ar-SA"/>
      </w:rPr>
    </w:lvl>
    <w:lvl w:ilvl="7">
      <w:start w:val="0"/>
      <w:numFmt w:val="bullet"/>
      <w:lvlText w:val="•"/>
      <w:lvlJc w:val="left"/>
      <w:pPr>
        <w:ind w:left="5564" w:hanging="529"/>
      </w:pPr>
      <w:rPr>
        <w:rFonts w:hint="default"/>
        <w:lang w:val="en-US" w:eastAsia="zh-CN" w:bidi="ar-SA"/>
      </w:rPr>
    </w:lvl>
    <w:lvl w:ilvl="8">
      <w:start w:val="0"/>
      <w:numFmt w:val="bullet"/>
      <w:lvlText w:val="•"/>
      <w:lvlJc w:val="left"/>
      <w:pPr>
        <w:ind w:left="6251" w:hanging="529"/>
      </w:pPr>
      <w:rPr>
        <w:rFonts w:hint="default"/>
        <w:lang w:val="en-US" w:eastAsia="zh-CN" w:bidi="ar-SA"/>
      </w:rPr>
    </w:lvl>
  </w:abstractNum>
  <w:abstractNum w:abstractNumId="74">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6" w:hanging="529"/>
      </w:pPr>
      <w:rPr>
        <w:rFonts w:hint="default"/>
        <w:lang w:val="en-US" w:eastAsia="zh-CN" w:bidi="ar-SA"/>
      </w:rPr>
    </w:lvl>
    <w:lvl w:ilvl="2">
      <w:start w:val="0"/>
      <w:numFmt w:val="bullet"/>
      <w:lvlText w:val="•"/>
      <w:lvlJc w:val="left"/>
      <w:pPr>
        <w:ind w:left="2132" w:hanging="529"/>
      </w:pPr>
      <w:rPr>
        <w:rFonts w:hint="default"/>
        <w:lang w:val="en-US" w:eastAsia="zh-CN" w:bidi="ar-SA"/>
      </w:rPr>
    </w:lvl>
    <w:lvl w:ilvl="3">
      <w:start w:val="0"/>
      <w:numFmt w:val="bullet"/>
      <w:lvlText w:val="•"/>
      <w:lvlJc w:val="left"/>
      <w:pPr>
        <w:ind w:left="2819" w:hanging="529"/>
      </w:pPr>
      <w:rPr>
        <w:rFonts w:hint="default"/>
        <w:lang w:val="en-US" w:eastAsia="zh-CN" w:bidi="ar-SA"/>
      </w:rPr>
    </w:lvl>
    <w:lvl w:ilvl="4">
      <w:start w:val="0"/>
      <w:numFmt w:val="bullet"/>
      <w:lvlText w:val="•"/>
      <w:lvlJc w:val="left"/>
      <w:pPr>
        <w:ind w:left="3505" w:hanging="529"/>
      </w:pPr>
      <w:rPr>
        <w:rFonts w:hint="default"/>
        <w:lang w:val="en-US" w:eastAsia="zh-CN" w:bidi="ar-SA"/>
      </w:rPr>
    </w:lvl>
    <w:lvl w:ilvl="5">
      <w:start w:val="0"/>
      <w:numFmt w:val="bullet"/>
      <w:lvlText w:val="•"/>
      <w:lvlJc w:val="left"/>
      <w:pPr>
        <w:ind w:left="4191" w:hanging="529"/>
      </w:pPr>
      <w:rPr>
        <w:rFonts w:hint="default"/>
        <w:lang w:val="en-US" w:eastAsia="zh-CN" w:bidi="ar-SA"/>
      </w:rPr>
    </w:lvl>
    <w:lvl w:ilvl="6">
      <w:start w:val="0"/>
      <w:numFmt w:val="bullet"/>
      <w:lvlText w:val="•"/>
      <w:lvlJc w:val="left"/>
      <w:pPr>
        <w:ind w:left="4878" w:hanging="529"/>
      </w:pPr>
      <w:rPr>
        <w:rFonts w:hint="default"/>
        <w:lang w:val="en-US" w:eastAsia="zh-CN" w:bidi="ar-SA"/>
      </w:rPr>
    </w:lvl>
    <w:lvl w:ilvl="7">
      <w:start w:val="0"/>
      <w:numFmt w:val="bullet"/>
      <w:lvlText w:val="•"/>
      <w:lvlJc w:val="left"/>
      <w:pPr>
        <w:ind w:left="5564" w:hanging="529"/>
      </w:pPr>
      <w:rPr>
        <w:rFonts w:hint="default"/>
        <w:lang w:val="en-US" w:eastAsia="zh-CN" w:bidi="ar-SA"/>
      </w:rPr>
    </w:lvl>
    <w:lvl w:ilvl="8">
      <w:start w:val="0"/>
      <w:numFmt w:val="bullet"/>
      <w:lvlText w:val="•"/>
      <w:lvlJc w:val="left"/>
      <w:pPr>
        <w:ind w:left="6251" w:hanging="529"/>
      </w:pPr>
      <w:rPr>
        <w:rFonts w:hint="default"/>
        <w:lang w:val="en-US" w:eastAsia="zh-CN" w:bidi="ar-SA"/>
      </w:rPr>
    </w:lvl>
  </w:abstractNum>
  <w:abstractNum w:abstractNumId="73">
    <w:multiLevelType w:val="hybridMultilevel"/>
    <w:lvl w:ilvl="0">
      <w:start w:val="10"/>
      <w:numFmt w:val="decimal"/>
      <w:lvlText w:val="%1"/>
      <w:lvlJc w:val="left"/>
      <w:pPr>
        <w:ind w:left="2895" w:hanging="1038"/>
        <w:jc w:val="left"/>
      </w:pPr>
      <w:rPr>
        <w:rFonts w:hint="default"/>
        <w:lang w:val="en-US" w:eastAsia="zh-CN" w:bidi="ar-SA"/>
      </w:rPr>
    </w:lvl>
    <w:lvl w:ilvl="1">
      <w:start w:val="1"/>
      <w:numFmt w:val="decimal"/>
      <w:lvlText w:val="%1.%2"/>
      <w:lvlJc w:val="left"/>
      <w:pPr>
        <w:ind w:left="2895" w:hanging="1038"/>
        <w:jc w:val="left"/>
      </w:pPr>
      <w:rPr>
        <w:rFonts w:hint="default"/>
        <w:lang w:val="en-US" w:eastAsia="zh-CN" w:bidi="ar-SA"/>
      </w:rPr>
    </w:lvl>
    <w:lvl w:ilvl="2">
      <w:start w:val="18"/>
      <w:numFmt w:val="decimal"/>
      <w:lvlText w:val="%1.%2.%3"/>
      <w:lvlJc w:val="left"/>
      <w:pPr>
        <w:ind w:left="2895" w:hanging="1038"/>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5115" w:hanging="1038"/>
      </w:pPr>
      <w:rPr>
        <w:rFonts w:hint="default"/>
        <w:lang w:val="en-US" w:eastAsia="zh-CN" w:bidi="ar-SA"/>
      </w:rPr>
    </w:lvl>
    <w:lvl w:ilvl="4">
      <w:start w:val="0"/>
      <w:numFmt w:val="bullet"/>
      <w:lvlText w:val="•"/>
      <w:lvlJc w:val="left"/>
      <w:pPr>
        <w:ind w:left="5854" w:hanging="1038"/>
      </w:pPr>
      <w:rPr>
        <w:rFonts w:hint="default"/>
        <w:lang w:val="en-US" w:eastAsia="zh-CN" w:bidi="ar-SA"/>
      </w:rPr>
    </w:lvl>
    <w:lvl w:ilvl="5">
      <w:start w:val="0"/>
      <w:numFmt w:val="bullet"/>
      <w:lvlText w:val="•"/>
      <w:lvlJc w:val="left"/>
      <w:pPr>
        <w:ind w:left="6593" w:hanging="1038"/>
      </w:pPr>
      <w:rPr>
        <w:rFonts w:hint="default"/>
        <w:lang w:val="en-US" w:eastAsia="zh-CN" w:bidi="ar-SA"/>
      </w:rPr>
    </w:lvl>
    <w:lvl w:ilvl="6">
      <w:start w:val="0"/>
      <w:numFmt w:val="bullet"/>
      <w:lvlText w:val="•"/>
      <w:lvlJc w:val="left"/>
      <w:pPr>
        <w:ind w:left="7331" w:hanging="1038"/>
      </w:pPr>
      <w:rPr>
        <w:rFonts w:hint="default"/>
        <w:lang w:val="en-US" w:eastAsia="zh-CN" w:bidi="ar-SA"/>
      </w:rPr>
    </w:lvl>
    <w:lvl w:ilvl="7">
      <w:start w:val="0"/>
      <w:numFmt w:val="bullet"/>
      <w:lvlText w:val="•"/>
      <w:lvlJc w:val="left"/>
      <w:pPr>
        <w:ind w:left="8070" w:hanging="1038"/>
      </w:pPr>
      <w:rPr>
        <w:rFonts w:hint="default"/>
        <w:lang w:val="en-US" w:eastAsia="zh-CN" w:bidi="ar-SA"/>
      </w:rPr>
    </w:lvl>
    <w:lvl w:ilvl="8">
      <w:start w:val="0"/>
      <w:numFmt w:val="bullet"/>
      <w:lvlText w:val="•"/>
      <w:lvlJc w:val="left"/>
      <w:pPr>
        <w:ind w:left="8809" w:hanging="1038"/>
      </w:pPr>
      <w:rPr>
        <w:rFonts w:hint="default"/>
        <w:lang w:val="en-US" w:eastAsia="zh-CN" w:bidi="ar-SA"/>
      </w:rPr>
    </w:lvl>
  </w:abstractNum>
  <w:abstractNum w:abstractNumId="72">
    <w:multiLevelType w:val="hybridMultilevel"/>
    <w:lvl w:ilvl="0">
      <w:start w:val="1"/>
      <w:numFmt w:val="decimal"/>
      <w:lvlText w:val="（%1）"/>
      <w:lvlJc w:val="left"/>
      <w:pPr>
        <w:ind w:left="7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86" w:hanging="529"/>
      </w:pPr>
      <w:rPr>
        <w:rFonts w:hint="default"/>
        <w:lang w:val="en-US" w:eastAsia="zh-CN" w:bidi="ar-SA"/>
      </w:rPr>
    </w:lvl>
    <w:lvl w:ilvl="2">
      <w:start w:val="0"/>
      <w:numFmt w:val="bullet"/>
      <w:lvlText w:val="•"/>
      <w:lvlJc w:val="left"/>
      <w:pPr>
        <w:ind w:left="2073" w:hanging="529"/>
      </w:pPr>
      <w:rPr>
        <w:rFonts w:hint="default"/>
        <w:lang w:val="en-US" w:eastAsia="zh-CN" w:bidi="ar-SA"/>
      </w:rPr>
    </w:lvl>
    <w:lvl w:ilvl="3">
      <w:start w:val="0"/>
      <w:numFmt w:val="bullet"/>
      <w:lvlText w:val="•"/>
      <w:lvlJc w:val="left"/>
      <w:pPr>
        <w:ind w:left="2759" w:hanging="529"/>
      </w:pPr>
      <w:rPr>
        <w:rFonts w:hint="default"/>
        <w:lang w:val="en-US" w:eastAsia="zh-CN" w:bidi="ar-SA"/>
      </w:rPr>
    </w:lvl>
    <w:lvl w:ilvl="4">
      <w:start w:val="0"/>
      <w:numFmt w:val="bullet"/>
      <w:lvlText w:val="•"/>
      <w:lvlJc w:val="left"/>
      <w:pPr>
        <w:ind w:left="3446" w:hanging="529"/>
      </w:pPr>
      <w:rPr>
        <w:rFonts w:hint="default"/>
        <w:lang w:val="en-US" w:eastAsia="zh-CN" w:bidi="ar-SA"/>
      </w:rPr>
    </w:lvl>
    <w:lvl w:ilvl="5">
      <w:start w:val="0"/>
      <w:numFmt w:val="bullet"/>
      <w:lvlText w:val="•"/>
      <w:lvlJc w:val="left"/>
      <w:pPr>
        <w:ind w:left="4132" w:hanging="529"/>
      </w:pPr>
      <w:rPr>
        <w:rFonts w:hint="default"/>
        <w:lang w:val="en-US" w:eastAsia="zh-CN" w:bidi="ar-SA"/>
      </w:rPr>
    </w:lvl>
    <w:lvl w:ilvl="6">
      <w:start w:val="0"/>
      <w:numFmt w:val="bullet"/>
      <w:lvlText w:val="•"/>
      <w:lvlJc w:val="left"/>
      <w:pPr>
        <w:ind w:left="4819" w:hanging="529"/>
      </w:pPr>
      <w:rPr>
        <w:rFonts w:hint="default"/>
        <w:lang w:val="en-US" w:eastAsia="zh-CN" w:bidi="ar-SA"/>
      </w:rPr>
    </w:lvl>
    <w:lvl w:ilvl="7">
      <w:start w:val="0"/>
      <w:numFmt w:val="bullet"/>
      <w:lvlText w:val="•"/>
      <w:lvlJc w:val="left"/>
      <w:pPr>
        <w:ind w:left="5505" w:hanging="529"/>
      </w:pPr>
      <w:rPr>
        <w:rFonts w:hint="default"/>
        <w:lang w:val="en-US" w:eastAsia="zh-CN" w:bidi="ar-SA"/>
      </w:rPr>
    </w:lvl>
    <w:lvl w:ilvl="8">
      <w:start w:val="0"/>
      <w:numFmt w:val="bullet"/>
      <w:lvlText w:val="•"/>
      <w:lvlJc w:val="left"/>
      <w:pPr>
        <w:ind w:left="6192" w:hanging="529"/>
      </w:pPr>
      <w:rPr>
        <w:rFonts w:hint="default"/>
        <w:lang w:val="en-US" w:eastAsia="zh-CN" w:bidi="ar-SA"/>
      </w:rPr>
    </w:lvl>
  </w:abstractNum>
  <w:abstractNum w:abstractNumId="71">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6" w:hanging="529"/>
      </w:pPr>
      <w:rPr>
        <w:rFonts w:hint="default"/>
        <w:lang w:val="en-US" w:eastAsia="zh-CN" w:bidi="ar-SA"/>
      </w:rPr>
    </w:lvl>
    <w:lvl w:ilvl="2">
      <w:start w:val="0"/>
      <w:numFmt w:val="bullet"/>
      <w:lvlText w:val="•"/>
      <w:lvlJc w:val="left"/>
      <w:pPr>
        <w:ind w:left="2132" w:hanging="529"/>
      </w:pPr>
      <w:rPr>
        <w:rFonts w:hint="default"/>
        <w:lang w:val="en-US" w:eastAsia="zh-CN" w:bidi="ar-SA"/>
      </w:rPr>
    </w:lvl>
    <w:lvl w:ilvl="3">
      <w:start w:val="0"/>
      <w:numFmt w:val="bullet"/>
      <w:lvlText w:val="•"/>
      <w:lvlJc w:val="left"/>
      <w:pPr>
        <w:ind w:left="2819" w:hanging="529"/>
      </w:pPr>
      <w:rPr>
        <w:rFonts w:hint="default"/>
        <w:lang w:val="en-US" w:eastAsia="zh-CN" w:bidi="ar-SA"/>
      </w:rPr>
    </w:lvl>
    <w:lvl w:ilvl="4">
      <w:start w:val="0"/>
      <w:numFmt w:val="bullet"/>
      <w:lvlText w:val="•"/>
      <w:lvlJc w:val="left"/>
      <w:pPr>
        <w:ind w:left="3505" w:hanging="529"/>
      </w:pPr>
      <w:rPr>
        <w:rFonts w:hint="default"/>
        <w:lang w:val="en-US" w:eastAsia="zh-CN" w:bidi="ar-SA"/>
      </w:rPr>
    </w:lvl>
    <w:lvl w:ilvl="5">
      <w:start w:val="0"/>
      <w:numFmt w:val="bullet"/>
      <w:lvlText w:val="•"/>
      <w:lvlJc w:val="left"/>
      <w:pPr>
        <w:ind w:left="4191" w:hanging="529"/>
      </w:pPr>
      <w:rPr>
        <w:rFonts w:hint="default"/>
        <w:lang w:val="en-US" w:eastAsia="zh-CN" w:bidi="ar-SA"/>
      </w:rPr>
    </w:lvl>
    <w:lvl w:ilvl="6">
      <w:start w:val="0"/>
      <w:numFmt w:val="bullet"/>
      <w:lvlText w:val="•"/>
      <w:lvlJc w:val="left"/>
      <w:pPr>
        <w:ind w:left="4878" w:hanging="529"/>
      </w:pPr>
      <w:rPr>
        <w:rFonts w:hint="default"/>
        <w:lang w:val="en-US" w:eastAsia="zh-CN" w:bidi="ar-SA"/>
      </w:rPr>
    </w:lvl>
    <w:lvl w:ilvl="7">
      <w:start w:val="0"/>
      <w:numFmt w:val="bullet"/>
      <w:lvlText w:val="•"/>
      <w:lvlJc w:val="left"/>
      <w:pPr>
        <w:ind w:left="5564" w:hanging="529"/>
      </w:pPr>
      <w:rPr>
        <w:rFonts w:hint="default"/>
        <w:lang w:val="en-US" w:eastAsia="zh-CN" w:bidi="ar-SA"/>
      </w:rPr>
    </w:lvl>
    <w:lvl w:ilvl="8">
      <w:start w:val="0"/>
      <w:numFmt w:val="bullet"/>
      <w:lvlText w:val="•"/>
      <w:lvlJc w:val="left"/>
      <w:pPr>
        <w:ind w:left="6251" w:hanging="529"/>
      </w:pPr>
      <w:rPr>
        <w:rFonts w:hint="default"/>
        <w:lang w:val="en-US" w:eastAsia="zh-CN" w:bidi="ar-SA"/>
      </w:rPr>
    </w:lvl>
  </w:abstractNum>
  <w:abstractNum w:abstractNumId="70">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6" w:hanging="529"/>
      </w:pPr>
      <w:rPr>
        <w:rFonts w:hint="default"/>
        <w:lang w:val="en-US" w:eastAsia="zh-CN" w:bidi="ar-SA"/>
      </w:rPr>
    </w:lvl>
    <w:lvl w:ilvl="2">
      <w:start w:val="0"/>
      <w:numFmt w:val="bullet"/>
      <w:lvlText w:val="•"/>
      <w:lvlJc w:val="left"/>
      <w:pPr>
        <w:ind w:left="2132" w:hanging="529"/>
      </w:pPr>
      <w:rPr>
        <w:rFonts w:hint="default"/>
        <w:lang w:val="en-US" w:eastAsia="zh-CN" w:bidi="ar-SA"/>
      </w:rPr>
    </w:lvl>
    <w:lvl w:ilvl="3">
      <w:start w:val="0"/>
      <w:numFmt w:val="bullet"/>
      <w:lvlText w:val="•"/>
      <w:lvlJc w:val="left"/>
      <w:pPr>
        <w:ind w:left="2819" w:hanging="529"/>
      </w:pPr>
      <w:rPr>
        <w:rFonts w:hint="default"/>
        <w:lang w:val="en-US" w:eastAsia="zh-CN" w:bidi="ar-SA"/>
      </w:rPr>
    </w:lvl>
    <w:lvl w:ilvl="4">
      <w:start w:val="0"/>
      <w:numFmt w:val="bullet"/>
      <w:lvlText w:val="•"/>
      <w:lvlJc w:val="left"/>
      <w:pPr>
        <w:ind w:left="3505" w:hanging="529"/>
      </w:pPr>
      <w:rPr>
        <w:rFonts w:hint="default"/>
        <w:lang w:val="en-US" w:eastAsia="zh-CN" w:bidi="ar-SA"/>
      </w:rPr>
    </w:lvl>
    <w:lvl w:ilvl="5">
      <w:start w:val="0"/>
      <w:numFmt w:val="bullet"/>
      <w:lvlText w:val="•"/>
      <w:lvlJc w:val="left"/>
      <w:pPr>
        <w:ind w:left="4191" w:hanging="529"/>
      </w:pPr>
      <w:rPr>
        <w:rFonts w:hint="default"/>
        <w:lang w:val="en-US" w:eastAsia="zh-CN" w:bidi="ar-SA"/>
      </w:rPr>
    </w:lvl>
    <w:lvl w:ilvl="6">
      <w:start w:val="0"/>
      <w:numFmt w:val="bullet"/>
      <w:lvlText w:val="•"/>
      <w:lvlJc w:val="left"/>
      <w:pPr>
        <w:ind w:left="4878" w:hanging="529"/>
      </w:pPr>
      <w:rPr>
        <w:rFonts w:hint="default"/>
        <w:lang w:val="en-US" w:eastAsia="zh-CN" w:bidi="ar-SA"/>
      </w:rPr>
    </w:lvl>
    <w:lvl w:ilvl="7">
      <w:start w:val="0"/>
      <w:numFmt w:val="bullet"/>
      <w:lvlText w:val="•"/>
      <w:lvlJc w:val="left"/>
      <w:pPr>
        <w:ind w:left="5564" w:hanging="529"/>
      </w:pPr>
      <w:rPr>
        <w:rFonts w:hint="default"/>
        <w:lang w:val="en-US" w:eastAsia="zh-CN" w:bidi="ar-SA"/>
      </w:rPr>
    </w:lvl>
    <w:lvl w:ilvl="8">
      <w:start w:val="0"/>
      <w:numFmt w:val="bullet"/>
      <w:lvlText w:val="•"/>
      <w:lvlJc w:val="left"/>
      <w:pPr>
        <w:ind w:left="6251" w:hanging="529"/>
      </w:pPr>
      <w:rPr>
        <w:rFonts w:hint="default"/>
        <w:lang w:val="en-US" w:eastAsia="zh-CN" w:bidi="ar-SA"/>
      </w:rPr>
    </w:lvl>
  </w:abstractNum>
  <w:abstractNum w:abstractNumId="69">
    <w:multiLevelType w:val="hybridMultilevel"/>
    <w:lvl w:ilvl="0">
      <w:start w:val="10"/>
      <w:numFmt w:val="decimal"/>
      <w:lvlText w:val="%1"/>
      <w:lvlJc w:val="left"/>
      <w:pPr>
        <w:ind w:left="1270" w:hanging="1038"/>
        <w:jc w:val="left"/>
      </w:pPr>
      <w:rPr>
        <w:rFonts w:hint="default"/>
        <w:lang w:val="en-US" w:eastAsia="zh-CN" w:bidi="ar-SA"/>
      </w:rPr>
    </w:lvl>
    <w:lvl w:ilvl="1">
      <w:start w:val="1"/>
      <w:numFmt w:val="decimal"/>
      <w:lvlText w:val="%1.%2"/>
      <w:lvlJc w:val="left"/>
      <w:pPr>
        <w:ind w:left="1270" w:hanging="1038"/>
        <w:jc w:val="left"/>
      </w:pPr>
      <w:rPr>
        <w:rFonts w:hint="default"/>
        <w:lang w:val="en-US" w:eastAsia="zh-CN" w:bidi="ar-SA"/>
      </w:rPr>
    </w:lvl>
    <w:lvl w:ilvl="2">
      <w:start w:val="2"/>
      <w:numFmt w:val="decimal"/>
      <w:lvlText w:val="%1.%2.%3"/>
      <w:lvlJc w:val="left"/>
      <w:pPr>
        <w:ind w:left="1270" w:hanging="1038"/>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1669" w:hanging="1038"/>
      </w:pPr>
      <w:rPr>
        <w:rFonts w:hint="default"/>
        <w:lang w:val="en-US" w:eastAsia="zh-CN" w:bidi="ar-SA"/>
      </w:rPr>
    </w:lvl>
    <w:lvl w:ilvl="4">
      <w:start w:val="0"/>
      <w:numFmt w:val="bullet"/>
      <w:lvlText w:val="•"/>
      <w:lvlJc w:val="left"/>
      <w:pPr>
        <w:ind w:left="1798" w:hanging="1038"/>
      </w:pPr>
      <w:rPr>
        <w:rFonts w:hint="default"/>
        <w:lang w:val="en-US" w:eastAsia="zh-CN" w:bidi="ar-SA"/>
      </w:rPr>
    </w:lvl>
    <w:lvl w:ilvl="5">
      <w:start w:val="0"/>
      <w:numFmt w:val="bullet"/>
      <w:lvlText w:val="•"/>
      <w:lvlJc w:val="left"/>
      <w:pPr>
        <w:ind w:left="1928" w:hanging="1038"/>
      </w:pPr>
      <w:rPr>
        <w:rFonts w:hint="default"/>
        <w:lang w:val="en-US" w:eastAsia="zh-CN" w:bidi="ar-SA"/>
      </w:rPr>
    </w:lvl>
    <w:lvl w:ilvl="6">
      <w:start w:val="0"/>
      <w:numFmt w:val="bullet"/>
      <w:lvlText w:val="•"/>
      <w:lvlJc w:val="left"/>
      <w:pPr>
        <w:ind w:left="2058" w:hanging="1038"/>
      </w:pPr>
      <w:rPr>
        <w:rFonts w:hint="default"/>
        <w:lang w:val="en-US" w:eastAsia="zh-CN" w:bidi="ar-SA"/>
      </w:rPr>
    </w:lvl>
    <w:lvl w:ilvl="7">
      <w:start w:val="0"/>
      <w:numFmt w:val="bullet"/>
      <w:lvlText w:val="•"/>
      <w:lvlJc w:val="left"/>
      <w:pPr>
        <w:ind w:left="2188" w:hanging="1038"/>
      </w:pPr>
      <w:rPr>
        <w:rFonts w:hint="default"/>
        <w:lang w:val="en-US" w:eastAsia="zh-CN" w:bidi="ar-SA"/>
      </w:rPr>
    </w:lvl>
    <w:lvl w:ilvl="8">
      <w:start w:val="0"/>
      <w:numFmt w:val="bullet"/>
      <w:lvlText w:val="•"/>
      <w:lvlJc w:val="left"/>
      <w:pPr>
        <w:ind w:left="2317" w:hanging="1038"/>
      </w:pPr>
      <w:rPr>
        <w:rFonts w:hint="default"/>
        <w:lang w:val="en-US" w:eastAsia="zh-CN" w:bidi="ar-SA"/>
      </w:rPr>
    </w:lvl>
  </w:abstractNum>
  <w:abstractNum w:abstractNumId="68">
    <w:multiLevelType w:val="hybridMultilevel"/>
    <w:lvl w:ilvl="0">
      <w:start w:val="2"/>
      <w:numFmt w:val="decimal"/>
      <w:lvlText w:val="（%1）"/>
      <w:lvlJc w:val="left"/>
      <w:pPr>
        <w:ind w:left="708" w:hanging="529"/>
        <w:jc w:val="left"/>
      </w:pPr>
      <w:rPr>
        <w:rFonts w:hint="default" w:ascii="宋体" w:hAnsi="宋体" w:eastAsia="宋体" w:cs="宋体"/>
        <w:b w:val="0"/>
        <w:bCs w:val="0"/>
        <w:i w:val="0"/>
        <w:iCs w:val="0"/>
        <w:spacing w:val="-3"/>
        <w:w w:val="100"/>
        <w:position w:val="2"/>
        <w:sz w:val="19"/>
        <w:szCs w:val="19"/>
        <w:lang w:val="en-US" w:eastAsia="zh-CN" w:bidi="ar-SA"/>
      </w:rPr>
    </w:lvl>
    <w:lvl w:ilvl="1">
      <w:start w:val="0"/>
      <w:numFmt w:val="bullet"/>
      <w:lvlText w:val="•"/>
      <w:lvlJc w:val="left"/>
      <w:pPr>
        <w:ind w:left="1372" w:hanging="529"/>
      </w:pPr>
      <w:rPr>
        <w:rFonts w:hint="default"/>
        <w:lang w:val="en-US" w:eastAsia="zh-CN" w:bidi="ar-SA"/>
      </w:rPr>
    </w:lvl>
    <w:lvl w:ilvl="2">
      <w:start w:val="0"/>
      <w:numFmt w:val="bullet"/>
      <w:lvlText w:val="•"/>
      <w:lvlJc w:val="left"/>
      <w:pPr>
        <w:ind w:left="2044" w:hanging="529"/>
      </w:pPr>
      <w:rPr>
        <w:rFonts w:hint="default"/>
        <w:lang w:val="en-US" w:eastAsia="zh-CN" w:bidi="ar-SA"/>
      </w:rPr>
    </w:lvl>
    <w:lvl w:ilvl="3">
      <w:start w:val="0"/>
      <w:numFmt w:val="bullet"/>
      <w:lvlText w:val="•"/>
      <w:lvlJc w:val="left"/>
      <w:pPr>
        <w:ind w:left="2716" w:hanging="529"/>
      </w:pPr>
      <w:rPr>
        <w:rFonts w:hint="default"/>
        <w:lang w:val="en-US" w:eastAsia="zh-CN" w:bidi="ar-SA"/>
      </w:rPr>
    </w:lvl>
    <w:lvl w:ilvl="4">
      <w:start w:val="0"/>
      <w:numFmt w:val="bullet"/>
      <w:lvlText w:val="•"/>
      <w:lvlJc w:val="left"/>
      <w:pPr>
        <w:ind w:left="3389" w:hanging="529"/>
      </w:pPr>
      <w:rPr>
        <w:rFonts w:hint="default"/>
        <w:lang w:val="en-US" w:eastAsia="zh-CN" w:bidi="ar-SA"/>
      </w:rPr>
    </w:lvl>
    <w:lvl w:ilvl="5">
      <w:start w:val="0"/>
      <w:numFmt w:val="bullet"/>
      <w:lvlText w:val="•"/>
      <w:lvlJc w:val="left"/>
      <w:pPr>
        <w:ind w:left="4061" w:hanging="529"/>
      </w:pPr>
      <w:rPr>
        <w:rFonts w:hint="default"/>
        <w:lang w:val="en-US" w:eastAsia="zh-CN" w:bidi="ar-SA"/>
      </w:rPr>
    </w:lvl>
    <w:lvl w:ilvl="6">
      <w:start w:val="0"/>
      <w:numFmt w:val="bullet"/>
      <w:lvlText w:val="•"/>
      <w:lvlJc w:val="left"/>
      <w:pPr>
        <w:ind w:left="4733" w:hanging="529"/>
      </w:pPr>
      <w:rPr>
        <w:rFonts w:hint="default"/>
        <w:lang w:val="en-US" w:eastAsia="zh-CN" w:bidi="ar-SA"/>
      </w:rPr>
    </w:lvl>
    <w:lvl w:ilvl="7">
      <w:start w:val="0"/>
      <w:numFmt w:val="bullet"/>
      <w:lvlText w:val="•"/>
      <w:lvlJc w:val="left"/>
      <w:pPr>
        <w:ind w:left="5406" w:hanging="529"/>
      </w:pPr>
      <w:rPr>
        <w:rFonts w:hint="default"/>
        <w:lang w:val="en-US" w:eastAsia="zh-CN" w:bidi="ar-SA"/>
      </w:rPr>
    </w:lvl>
    <w:lvl w:ilvl="8">
      <w:start w:val="0"/>
      <w:numFmt w:val="bullet"/>
      <w:lvlText w:val="•"/>
      <w:lvlJc w:val="left"/>
      <w:pPr>
        <w:ind w:left="6078" w:hanging="529"/>
      </w:pPr>
      <w:rPr>
        <w:rFonts w:hint="default"/>
        <w:lang w:val="en-US" w:eastAsia="zh-CN" w:bidi="ar-SA"/>
      </w:rPr>
    </w:lvl>
  </w:abstractNum>
  <w:abstractNum w:abstractNumId="67">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6" w:hanging="529"/>
      </w:pPr>
      <w:rPr>
        <w:rFonts w:hint="default"/>
        <w:lang w:val="en-US" w:eastAsia="zh-CN" w:bidi="ar-SA"/>
      </w:rPr>
    </w:lvl>
    <w:lvl w:ilvl="2">
      <w:start w:val="0"/>
      <w:numFmt w:val="bullet"/>
      <w:lvlText w:val="•"/>
      <w:lvlJc w:val="left"/>
      <w:pPr>
        <w:ind w:left="2132" w:hanging="529"/>
      </w:pPr>
      <w:rPr>
        <w:rFonts w:hint="default"/>
        <w:lang w:val="en-US" w:eastAsia="zh-CN" w:bidi="ar-SA"/>
      </w:rPr>
    </w:lvl>
    <w:lvl w:ilvl="3">
      <w:start w:val="0"/>
      <w:numFmt w:val="bullet"/>
      <w:lvlText w:val="•"/>
      <w:lvlJc w:val="left"/>
      <w:pPr>
        <w:ind w:left="2819" w:hanging="529"/>
      </w:pPr>
      <w:rPr>
        <w:rFonts w:hint="default"/>
        <w:lang w:val="en-US" w:eastAsia="zh-CN" w:bidi="ar-SA"/>
      </w:rPr>
    </w:lvl>
    <w:lvl w:ilvl="4">
      <w:start w:val="0"/>
      <w:numFmt w:val="bullet"/>
      <w:lvlText w:val="•"/>
      <w:lvlJc w:val="left"/>
      <w:pPr>
        <w:ind w:left="3505" w:hanging="529"/>
      </w:pPr>
      <w:rPr>
        <w:rFonts w:hint="default"/>
        <w:lang w:val="en-US" w:eastAsia="zh-CN" w:bidi="ar-SA"/>
      </w:rPr>
    </w:lvl>
    <w:lvl w:ilvl="5">
      <w:start w:val="0"/>
      <w:numFmt w:val="bullet"/>
      <w:lvlText w:val="•"/>
      <w:lvlJc w:val="left"/>
      <w:pPr>
        <w:ind w:left="4191" w:hanging="529"/>
      </w:pPr>
      <w:rPr>
        <w:rFonts w:hint="default"/>
        <w:lang w:val="en-US" w:eastAsia="zh-CN" w:bidi="ar-SA"/>
      </w:rPr>
    </w:lvl>
    <w:lvl w:ilvl="6">
      <w:start w:val="0"/>
      <w:numFmt w:val="bullet"/>
      <w:lvlText w:val="•"/>
      <w:lvlJc w:val="left"/>
      <w:pPr>
        <w:ind w:left="4878" w:hanging="529"/>
      </w:pPr>
      <w:rPr>
        <w:rFonts w:hint="default"/>
        <w:lang w:val="en-US" w:eastAsia="zh-CN" w:bidi="ar-SA"/>
      </w:rPr>
    </w:lvl>
    <w:lvl w:ilvl="7">
      <w:start w:val="0"/>
      <w:numFmt w:val="bullet"/>
      <w:lvlText w:val="•"/>
      <w:lvlJc w:val="left"/>
      <w:pPr>
        <w:ind w:left="5564" w:hanging="529"/>
      </w:pPr>
      <w:rPr>
        <w:rFonts w:hint="default"/>
        <w:lang w:val="en-US" w:eastAsia="zh-CN" w:bidi="ar-SA"/>
      </w:rPr>
    </w:lvl>
    <w:lvl w:ilvl="8">
      <w:start w:val="0"/>
      <w:numFmt w:val="bullet"/>
      <w:lvlText w:val="•"/>
      <w:lvlJc w:val="left"/>
      <w:pPr>
        <w:ind w:left="6251" w:hanging="529"/>
      </w:pPr>
      <w:rPr>
        <w:rFonts w:hint="default"/>
        <w:lang w:val="en-US" w:eastAsia="zh-CN" w:bidi="ar-SA"/>
      </w:rPr>
    </w:lvl>
  </w:abstractNum>
  <w:abstractNum w:abstractNumId="66">
    <w:multiLevelType w:val="hybridMultilevel"/>
    <w:lvl w:ilvl="0">
      <w:start w:val="1"/>
      <w:numFmt w:val="decimal"/>
      <w:lvlText w:val="（%1）"/>
      <w:lvlJc w:val="left"/>
      <w:pPr>
        <w:ind w:left="23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978" w:hanging="529"/>
      </w:pPr>
      <w:rPr>
        <w:rFonts w:hint="default"/>
        <w:lang w:val="en-US" w:eastAsia="zh-CN" w:bidi="ar-SA"/>
      </w:rPr>
    </w:lvl>
    <w:lvl w:ilvl="2">
      <w:start w:val="0"/>
      <w:numFmt w:val="bullet"/>
      <w:lvlText w:val="•"/>
      <w:lvlJc w:val="left"/>
      <w:pPr>
        <w:ind w:left="1716" w:hanging="529"/>
      </w:pPr>
      <w:rPr>
        <w:rFonts w:hint="default"/>
        <w:lang w:val="en-US" w:eastAsia="zh-CN" w:bidi="ar-SA"/>
      </w:rPr>
    </w:lvl>
    <w:lvl w:ilvl="3">
      <w:start w:val="0"/>
      <w:numFmt w:val="bullet"/>
      <w:lvlText w:val="•"/>
      <w:lvlJc w:val="left"/>
      <w:pPr>
        <w:ind w:left="2455" w:hanging="529"/>
      </w:pPr>
      <w:rPr>
        <w:rFonts w:hint="default"/>
        <w:lang w:val="en-US" w:eastAsia="zh-CN" w:bidi="ar-SA"/>
      </w:rPr>
    </w:lvl>
    <w:lvl w:ilvl="4">
      <w:start w:val="0"/>
      <w:numFmt w:val="bullet"/>
      <w:lvlText w:val="•"/>
      <w:lvlJc w:val="left"/>
      <w:pPr>
        <w:ind w:left="3193" w:hanging="529"/>
      </w:pPr>
      <w:rPr>
        <w:rFonts w:hint="default"/>
        <w:lang w:val="en-US" w:eastAsia="zh-CN" w:bidi="ar-SA"/>
      </w:rPr>
    </w:lvl>
    <w:lvl w:ilvl="5">
      <w:start w:val="0"/>
      <w:numFmt w:val="bullet"/>
      <w:lvlText w:val="•"/>
      <w:lvlJc w:val="left"/>
      <w:pPr>
        <w:ind w:left="3931" w:hanging="529"/>
      </w:pPr>
      <w:rPr>
        <w:rFonts w:hint="default"/>
        <w:lang w:val="en-US" w:eastAsia="zh-CN" w:bidi="ar-SA"/>
      </w:rPr>
    </w:lvl>
    <w:lvl w:ilvl="6">
      <w:start w:val="0"/>
      <w:numFmt w:val="bullet"/>
      <w:lvlText w:val="•"/>
      <w:lvlJc w:val="left"/>
      <w:pPr>
        <w:ind w:left="4670" w:hanging="529"/>
      </w:pPr>
      <w:rPr>
        <w:rFonts w:hint="default"/>
        <w:lang w:val="en-US" w:eastAsia="zh-CN" w:bidi="ar-SA"/>
      </w:rPr>
    </w:lvl>
    <w:lvl w:ilvl="7">
      <w:start w:val="0"/>
      <w:numFmt w:val="bullet"/>
      <w:lvlText w:val="•"/>
      <w:lvlJc w:val="left"/>
      <w:pPr>
        <w:ind w:left="5408" w:hanging="529"/>
      </w:pPr>
      <w:rPr>
        <w:rFonts w:hint="default"/>
        <w:lang w:val="en-US" w:eastAsia="zh-CN" w:bidi="ar-SA"/>
      </w:rPr>
    </w:lvl>
    <w:lvl w:ilvl="8">
      <w:start w:val="0"/>
      <w:numFmt w:val="bullet"/>
      <w:lvlText w:val="•"/>
      <w:lvlJc w:val="left"/>
      <w:pPr>
        <w:ind w:left="6147" w:hanging="529"/>
      </w:pPr>
      <w:rPr>
        <w:rFonts w:hint="default"/>
        <w:lang w:val="en-US" w:eastAsia="zh-CN" w:bidi="ar-SA"/>
      </w:rPr>
    </w:lvl>
  </w:abstractNum>
  <w:abstractNum w:abstractNumId="65">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6" w:hanging="529"/>
      </w:pPr>
      <w:rPr>
        <w:rFonts w:hint="default"/>
        <w:lang w:val="en-US" w:eastAsia="zh-CN" w:bidi="ar-SA"/>
      </w:rPr>
    </w:lvl>
    <w:lvl w:ilvl="2">
      <w:start w:val="0"/>
      <w:numFmt w:val="bullet"/>
      <w:lvlText w:val="•"/>
      <w:lvlJc w:val="left"/>
      <w:pPr>
        <w:ind w:left="2132" w:hanging="529"/>
      </w:pPr>
      <w:rPr>
        <w:rFonts w:hint="default"/>
        <w:lang w:val="en-US" w:eastAsia="zh-CN" w:bidi="ar-SA"/>
      </w:rPr>
    </w:lvl>
    <w:lvl w:ilvl="3">
      <w:start w:val="0"/>
      <w:numFmt w:val="bullet"/>
      <w:lvlText w:val="•"/>
      <w:lvlJc w:val="left"/>
      <w:pPr>
        <w:ind w:left="2819" w:hanging="529"/>
      </w:pPr>
      <w:rPr>
        <w:rFonts w:hint="default"/>
        <w:lang w:val="en-US" w:eastAsia="zh-CN" w:bidi="ar-SA"/>
      </w:rPr>
    </w:lvl>
    <w:lvl w:ilvl="4">
      <w:start w:val="0"/>
      <w:numFmt w:val="bullet"/>
      <w:lvlText w:val="•"/>
      <w:lvlJc w:val="left"/>
      <w:pPr>
        <w:ind w:left="3505" w:hanging="529"/>
      </w:pPr>
      <w:rPr>
        <w:rFonts w:hint="default"/>
        <w:lang w:val="en-US" w:eastAsia="zh-CN" w:bidi="ar-SA"/>
      </w:rPr>
    </w:lvl>
    <w:lvl w:ilvl="5">
      <w:start w:val="0"/>
      <w:numFmt w:val="bullet"/>
      <w:lvlText w:val="•"/>
      <w:lvlJc w:val="left"/>
      <w:pPr>
        <w:ind w:left="4191" w:hanging="529"/>
      </w:pPr>
      <w:rPr>
        <w:rFonts w:hint="default"/>
        <w:lang w:val="en-US" w:eastAsia="zh-CN" w:bidi="ar-SA"/>
      </w:rPr>
    </w:lvl>
    <w:lvl w:ilvl="6">
      <w:start w:val="0"/>
      <w:numFmt w:val="bullet"/>
      <w:lvlText w:val="•"/>
      <w:lvlJc w:val="left"/>
      <w:pPr>
        <w:ind w:left="4878" w:hanging="529"/>
      </w:pPr>
      <w:rPr>
        <w:rFonts w:hint="default"/>
        <w:lang w:val="en-US" w:eastAsia="zh-CN" w:bidi="ar-SA"/>
      </w:rPr>
    </w:lvl>
    <w:lvl w:ilvl="7">
      <w:start w:val="0"/>
      <w:numFmt w:val="bullet"/>
      <w:lvlText w:val="•"/>
      <w:lvlJc w:val="left"/>
      <w:pPr>
        <w:ind w:left="5564" w:hanging="529"/>
      </w:pPr>
      <w:rPr>
        <w:rFonts w:hint="default"/>
        <w:lang w:val="en-US" w:eastAsia="zh-CN" w:bidi="ar-SA"/>
      </w:rPr>
    </w:lvl>
    <w:lvl w:ilvl="8">
      <w:start w:val="0"/>
      <w:numFmt w:val="bullet"/>
      <w:lvlText w:val="•"/>
      <w:lvlJc w:val="left"/>
      <w:pPr>
        <w:ind w:left="6251" w:hanging="529"/>
      </w:pPr>
      <w:rPr>
        <w:rFonts w:hint="default"/>
        <w:lang w:val="en-US" w:eastAsia="zh-CN" w:bidi="ar-SA"/>
      </w:rPr>
    </w:lvl>
  </w:abstractNum>
  <w:abstractNum w:abstractNumId="64">
    <w:multiLevelType w:val="hybridMultilevel"/>
    <w:lvl w:ilvl="0">
      <w:start w:val="9"/>
      <w:numFmt w:val="decimal"/>
      <w:lvlText w:val="%1"/>
      <w:lvlJc w:val="left"/>
      <w:pPr>
        <w:ind w:left="1270" w:hanging="1038"/>
        <w:jc w:val="left"/>
      </w:pPr>
      <w:rPr>
        <w:rFonts w:hint="default"/>
        <w:lang w:val="en-US" w:eastAsia="zh-CN" w:bidi="ar-SA"/>
      </w:rPr>
    </w:lvl>
    <w:lvl w:ilvl="1">
      <w:start w:val="1"/>
      <w:numFmt w:val="decimal"/>
      <w:lvlText w:val="%1.%2"/>
      <w:lvlJc w:val="left"/>
      <w:pPr>
        <w:ind w:left="1270" w:hanging="1038"/>
        <w:jc w:val="left"/>
      </w:pPr>
      <w:rPr>
        <w:rFonts w:hint="default"/>
        <w:lang w:val="en-US" w:eastAsia="zh-CN" w:bidi="ar-SA"/>
      </w:rPr>
    </w:lvl>
    <w:lvl w:ilvl="2">
      <w:start w:val="12"/>
      <w:numFmt w:val="decimal"/>
      <w:lvlText w:val="%1.%2.%3"/>
      <w:lvlJc w:val="left"/>
      <w:pPr>
        <w:ind w:left="1270" w:hanging="1038"/>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1669" w:hanging="1038"/>
      </w:pPr>
      <w:rPr>
        <w:rFonts w:hint="default"/>
        <w:lang w:val="en-US" w:eastAsia="zh-CN" w:bidi="ar-SA"/>
      </w:rPr>
    </w:lvl>
    <w:lvl w:ilvl="4">
      <w:start w:val="0"/>
      <w:numFmt w:val="bullet"/>
      <w:lvlText w:val="•"/>
      <w:lvlJc w:val="left"/>
      <w:pPr>
        <w:ind w:left="1798" w:hanging="1038"/>
      </w:pPr>
      <w:rPr>
        <w:rFonts w:hint="default"/>
        <w:lang w:val="en-US" w:eastAsia="zh-CN" w:bidi="ar-SA"/>
      </w:rPr>
    </w:lvl>
    <w:lvl w:ilvl="5">
      <w:start w:val="0"/>
      <w:numFmt w:val="bullet"/>
      <w:lvlText w:val="•"/>
      <w:lvlJc w:val="left"/>
      <w:pPr>
        <w:ind w:left="1928" w:hanging="1038"/>
      </w:pPr>
      <w:rPr>
        <w:rFonts w:hint="default"/>
        <w:lang w:val="en-US" w:eastAsia="zh-CN" w:bidi="ar-SA"/>
      </w:rPr>
    </w:lvl>
    <w:lvl w:ilvl="6">
      <w:start w:val="0"/>
      <w:numFmt w:val="bullet"/>
      <w:lvlText w:val="•"/>
      <w:lvlJc w:val="left"/>
      <w:pPr>
        <w:ind w:left="2058" w:hanging="1038"/>
      </w:pPr>
      <w:rPr>
        <w:rFonts w:hint="default"/>
        <w:lang w:val="en-US" w:eastAsia="zh-CN" w:bidi="ar-SA"/>
      </w:rPr>
    </w:lvl>
    <w:lvl w:ilvl="7">
      <w:start w:val="0"/>
      <w:numFmt w:val="bullet"/>
      <w:lvlText w:val="•"/>
      <w:lvlJc w:val="left"/>
      <w:pPr>
        <w:ind w:left="2188" w:hanging="1038"/>
      </w:pPr>
      <w:rPr>
        <w:rFonts w:hint="default"/>
        <w:lang w:val="en-US" w:eastAsia="zh-CN" w:bidi="ar-SA"/>
      </w:rPr>
    </w:lvl>
    <w:lvl w:ilvl="8">
      <w:start w:val="0"/>
      <w:numFmt w:val="bullet"/>
      <w:lvlText w:val="•"/>
      <w:lvlJc w:val="left"/>
      <w:pPr>
        <w:ind w:left="2317" w:hanging="1038"/>
      </w:pPr>
      <w:rPr>
        <w:rFonts w:hint="default"/>
        <w:lang w:val="en-US" w:eastAsia="zh-CN" w:bidi="ar-SA"/>
      </w:rPr>
    </w:lvl>
  </w:abstractNum>
  <w:abstractNum w:abstractNumId="63">
    <w:multiLevelType w:val="hybridMultilevel"/>
    <w:lvl w:ilvl="0">
      <w:start w:val="1"/>
      <w:numFmt w:val="decimal"/>
      <w:lvlText w:val="（%1）"/>
      <w:lvlJc w:val="left"/>
      <w:pPr>
        <w:ind w:left="70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72" w:hanging="529"/>
      </w:pPr>
      <w:rPr>
        <w:rFonts w:hint="default"/>
        <w:lang w:val="en-US" w:eastAsia="zh-CN" w:bidi="ar-SA"/>
      </w:rPr>
    </w:lvl>
    <w:lvl w:ilvl="2">
      <w:start w:val="0"/>
      <w:numFmt w:val="bullet"/>
      <w:lvlText w:val="•"/>
      <w:lvlJc w:val="left"/>
      <w:pPr>
        <w:ind w:left="2045" w:hanging="529"/>
      </w:pPr>
      <w:rPr>
        <w:rFonts w:hint="default"/>
        <w:lang w:val="en-US" w:eastAsia="zh-CN" w:bidi="ar-SA"/>
      </w:rPr>
    </w:lvl>
    <w:lvl w:ilvl="3">
      <w:start w:val="0"/>
      <w:numFmt w:val="bullet"/>
      <w:lvlText w:val="•"/>
      <w:lvlJc w:val="left"/>
      <w:pPr>
        <w:ind w:left="2718" w:hanging="529"/>
      </w:pPr>
      <w:rPr>
        <w:rFonts w:hint="default"/>
        <w:lang w:val="en-US" w:eastAsia="zh-CN" w:bidi="ar-SA"/>
      </w:rPr>
    </w:lvl>
    <w:lvl w:ilvl="4">
      <w:start w:val="0"/>
      <w:numFmt w:val="bullet"/>
      <w:lvlText w:val="•"/>
      <w:lvlJc w:val="left"/>
      <w:pPr>
        <w:ind w:left="3391" w:hanging="529"/>
      </w:pPr>
      <w:rPr>
        <w:rFonts w:hint="default"/>
        <w:lang w:val="en-US" w:eastAsia="zh-CN" w:bidi="ar-SA"/>
      </w:rPr>
    </w:lvl>
    <w:lvl w:ilvl="5">
      <w:start w:val="0"/>
      <w:numFmt w:val="bullet"/>
      <w:lvlText w:val="•"/>
      <w:lvlJc w:val="left"/>
      <w:pPr>
        <w:ind w:left="4064" w:hanging="529"/>
      </w:pPr>
      <w:rPr>
        <w:rFonts w:hint="default"/>
        <w:lang w:val="en-US" w:eastAsia="zh-CN" w:bidi="ar-SA"/>
      </w:rPr>
    </w:lvl>
    <w:lvl w:ilvl="6">
      <w:start w:val="0"/>
      <w:numFmt w:val="bullet"/>
      <w:lvlText w:val="•"/>
      <w:lvlJc w:val="left"/>
      <w:pPr>
        <w:ind w:left="4736" w:hanging="529"/>
      </w:pPr>
      <w:rPr>
        <w:rFonts w:hint="default"/>
        <w:lang w:val="en-US" w:eastAsia="zh-CN" w:bidi="ar-SA"/>
      </w:rPr>
    </w:lvl>
    <w:lvl w:ilvl="7">
      <w:start w:val="0"/>
      <w:numFmt w:val="bullet"/>
      <w:lvlText w:val="•"/>
      <w:lvlJc w:val="left"/>
      <w:pPr>
        <w:ind w:left="5409" w:hanging="529"/>
      </w:pPr>
      <w:rPr>
        <w:rFonts w:hint="default"/>
        <w:lang w:val="en-US" w:eastAsia="zh-CN" w:bidi="ar-SA"/>
      </w:rPr>
    </w:lvl>
    <w:lvl w:ilvl="8">
      <w:start w:val="0"/>
      <w:numFmt w:val="bullet"/>
      <w:lvlText w:val="•"/>
      <w:lvlJc w:val="left"/>
      <w:pPr>
        <w:ind w:left="6082" w:hanging="529"/>
      </w:pPr>
      <w:rPr>
        <w:rFonts w:hint="default"/>
        <w:lang w:val="en-US" w:eastAsia="zh-CN" w:bidi="ar-SA"/>
      </w:rPr>
    </w:lvl>
  </w:abstractNum>
  <w:abstractNum w:abstractNumId="62">
    <w:multiLevelType w:val="hybridMultilevel"/>
    <w:lvl w:ilvl="0">
      <w:start w:val="1"/>
      <w:numFmt w:val="decimal"/>
      <w:lvlText w:val="（%1）"/>
      <w:lvlJc w:val="left"/>
      <w:pPr>
        <w:ind w:left="70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72" w:hanging="529"/>
      </w:pPr>
      <w:rPr>
        <w:rFonts w:hint="default"/>
        <w:lang w:val="en-US" w:eastAsia="zh-CN" w:bidi="ar-SA"/>
      </w:rPr>
    </w:lvl>
    <w:lvl w:ilvl="2">
      <w:start w:val="0"/>
      <w:numFmt w:val="bullet"/>
      <w:lvlText w:val="•"/>
      <w:lvlJc w:val="left"/>
      <w:pPr>
        <w:ind w:left="2045" w:hanging="529"/>
      </w:pPr>
      <w:rPr>
        <w:rFonts w:hint="default"/>
        <w:lang w:val="en-US" w:eastAsia="zh-CN" w:bidi="ar-SA"/>
      </w:rPr>
    </w:lvl>
    <w:lvl w:ilvl="3">
      <w:start w:val="0"/>
      <w:numFmt w:val="bullet"/>
      <w:lvlText w:val="•"/>
      <w:lvlJc w:val="left"/>
      <w:pPr>
        <w:ind w:left="2718" w:hanging="529"/>
      </w:pPr>
      <w:rPr>
        <w:rFonts w:hint="default"/>
        <w:lang w:val="en-US" w:eastAsia="zh-CN" w:bidi="ar-SA"/>
      </w:rPr>
    </w:lvl>
    <w:lvl w:ilvl="4">
      <w:start w:val="0"/>
      <w:numFmt w:val="bullet"/>
      <w:lvlText w:val="•"/>
      <w:lvlJc w:val="left"/>
      <w:pPr>
        <w:ind w:left="3391" w:hanging="529"/>
      </w:pPr>
      <w:rPr>
        <w:rFonts w:hint="default"/>
        <w:lang w:val="en-US" w:eastAsia="zh-CN" w:bidi="ar-SA"/>
      </w:rPr>
    </w:lvl>
    <w:lvl w:ilvl="5">
      <w:start w:val="0"/>
      <w:numFmt w:val="bullet"/>
      <w:lvlText w:val="•"/>
      <w:lvlJc w:val="left"/>
      <w:pPr>
        <w:ind w:left="4064" w:hanging="529"/>
      </w:pPr>
      <w:rPr>
        <w:rFonts w:hint="default"/>
        <w:lang w:val="en-US" w:eastAsia="zh-CN" w:bidi="ar-SA"/>
      </w:rPr>
    </w:lvl>
    <w:lvl w:ilvl="6">
      <w:start w:val="0"/>
      <w:numFmt w:val="bullet"/>
      <w:lvlText w:val="•"/>
      <w:lvlJc w:val="left"/>
      <w:pPr>
        <w:ind w:left="4736" w:hanging="529"/>
      </w:pPr>
      <w:rPr>
        <w:rFonts w:hint="default"/>
        <w:lang w:val="en-US" w:eastAsia="zh-CN" w:bidi="ar-SA"/>
      </w:rPr>
    </w:lvl>
    <w:lvl w:ilvl="7">
      <w:start w:val="0"/>
      <w:numFmt w:val="bullet"/>
      <w:lvlText w:val="•"/>
      <w:lvlJc w:val="left"/>
      <w:pPr>
        <w:ind w:left="5409" w:hanging="529"/>
      </w:pPr>
      <w:rPr>
        <w:rFonts w:hint="default"/>
        <w:lang w:val="en-US" w:eastAsia="zh-CN" w:bidi="ar-SA"/>
      </w:rPr>
    </w:lvl>
    <w:lvl w:ilvl="8">
      <w:start w:val="0"/>
      <w:numFmt w:val="bullet"/>
      <w:lvlText w:val="•"/>
      <w:lvlJc w:val="left"/>
      <w:pPr>
        <w:ind w:left="6082" w:hanging="529"/>
      </w:pPr>
      <w:rPr>
        <w:rFonts w:hint="default"/>
        <w:lang w:val="en-US" w:eastAsia="zh-CN" w:bidi="ar-SA"/>
      </w:rPr>
    </w:lvl>
  </w:abstractNum>
  <w:abstractNum w:abstractNumId="61">
    <w:multiLevelType w:val="hybridMultilevel"/>
    <w:lvl w:ilvl="0">
      <w:start w:val="9"/>
      <w:numFmt w:val="decimal"/>
      <w:lvlText w:val="%1"/>
      <w:lvlJc w:val="left"/>
      <w:pPr>
        <w:ind w:left="1270" w:hanging="1038"/>
        <w:jc w:val="left"/>
      </w:pPr>
      <w:rPr>
        <w:rFonts w:hint="default"/>
        <w:lang w:val="en-US" w:eastAsia="zh-CN" w:bidi="ar-SA"/>
      </w:rPr>
    </w:lvl>
    <w:lvl w:ilvl="1">
      <w:start w:val="1"/>
      <w:numFmt w:val="decimal"/>
      <w:lvlText w:val="%1.%2"/>
      <w:lvlJc w:val="left"/>
      <w:pPr>
        <w:ind w:left="1270" w:hanging="1038"/>
        <w:jc w:val="left"/>
      </w:pPr>
      <w:rPr>
        <w:rFonts w:hint="default"/>
        <w:lang w:val="en-US" w:eastAsia="zh-CN" w:bidi="ar-SA"/>
      </w:rPr>
    </w:lvl>
    <w:lvl w:ilvl="2">
      <w:start w:val="3"/>
      <w:numFmt w:val="decimal"/>
      <w:lvlText w:val="%1.%2.%3"/>
      <w:lvlJc w:val="left"/>
      <w:pPr>
        <w:ind w:left="1270" w:hanging="1038"/>
        <w:jc w:val="left"/>
      </w:pPr>
      <w:rPr>
        <w:rFonts w:hint="default" w:ascii="微软雅黑" w:hAnsi="微软雅黑" w:eastAsia="微软雅黑" w:cs="微软雅黑"/>
        <w:b/>
        <w:bCs/>
        <w:i w:val="0"/>
        <w:iCs w:val="0"/>
        <w:w w:val="103"/>
        <w:sz w:val="21"/>
        <w:szCs w:val="21"/>
        <w:lang w:val="en-US" w:eastAsia="zh-CN" w:bidi="ar-SA"/>
      </w:rPr>
    </w:lvl>
    <w:lvl w:ilvl="3">
      <w:start w:val="0"/>
      <w:numFmt w:val="bullet"/>
      <w:lvlText w:val="•"/>
      <w:lvlJc w:val="left"/>
      <w:pPr>
        <w:ind w:left="1669" w:hanging="1038"/>
      </w:pPr>
      <w:rPr>
        <w:rFonts w:hint="default"/>
        <w:lang w:val="en-US" w:eastAsia="zh-CN" w:bidi="ar-SA"/>
      </w:rPr>
    </w:lvl>
    <w:lvl w:ilvl="4">
      <w:start w:val="0"/>
      <w:numFmt w:val="bullet"/>
      <w:lvlText w:val="•"/>
      <w:lvlJc w:val="left"/>
      <w:pPr>
        <w:ind w:left="1798" w:hanging="1038"/>
      </w:pPr>
      <w:rPr>
        <w:rFonts w:hint="default"/>
        <w:lang w:val="en-US" w:eastAsia="zh-CN" w:bidi="ar-SA"/>
      </w:rPr>
    </w:lvl>
    <w:lvl w:ilvl="5">
      <w:start w:val="0"/>
      <w:numFmt w:val="bullet"/>
      <w:lvlText w:val="•"/>
      <w:lvlJc w:val="left"/>
      <w:pPr>
        <w:ind w:left="1928" w:hanging="1038"/>
      </w:pPr>
      <w:rPr>
        <w:rFonts w:hint="default"/>
        <w:lang w:val="en-US" w:eastAsia="zh-CN" w:bidi="ar-SA"/>
      </w:rPr>
    </w:lvl>
    <w:lvl w:ilvl="6">
      <w:start w:val="0"/>
      <w:numFmt w:val="bullet"/>
      <w:lvlText w:val="•"/>
      <w:lvlJc w:val="left"/>
      <w:pPr>
        <w:ind w:left="2058" w:hanging="1038"/>
      </w:pPr>
      <w:rPr>
        <w:rFonts w:hint="default"/>
        <w:lang w:val="en-US" w:eastAsia="zh-CN" w:bidi="ar-SA"/>
      </w:rPr>
    </w:lvl>
    <w:lvl w:ilvl="7">
      <w:start w:val="0"/>
      <w:numFmt w:val="bullet"/>
      <w:lvlText w:val="•"/>
      <w:lvlJc w:val="left"/>
      <w:pPr>
        <w:ind w:left="2188" w:hanging="1038"/>
      </w:pPr>
      <w:rPr>
        <w:rFonts w:hint="default"/>
        <w:lang w:val="en-US" w:eastAsia="zh-CN" w:bidi="ar-SA"/>
      </w:rPr>
    </w:lvl>
    <w:lvl w:ilvl="8">
      <w:start w:val="0"/>
      <w:numFmt w:val="bullet"/>
      <w:lvlText w:val="•"/>
      <w:lvlJc w:val="left"/>
      <w:pPr>
        <w:ind w:left="2317" w:hanging="1038"/>
      </w:pPr>
      <w:rPr>
        <w:rFonts w:hint="default"/>
        <w:lang w:val="en-US" w:eastAsia="zh-CN" w:bidi="ar-SA"/>
      </w:rPr>
    </w:lvl>
  </w:abstractNum>
  <w:abstractNum w:abstractNumId="60">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47" w:hanging="529"/>
      </w:pPr>
      <w:rPr>
        <w:rFonts w:hint="default"/>
        <w:lang w:val="en-US" w:eastAsia="zh-CN" w:bidi="ar-SA"/>
      </w:rPr>
    </w:lvl>
    <w:lvl w:ilvl="2">
      <w:start w:val="0"/>
      <w:numFmt w:val="bullet"/>
      <w:lvlText w:val="•"/>
      <w:lvlJc w:val="left"/>
      <w:pPr>
        <w:ind w:left="2135" w:hanging="529"/>
      </w:pPr>
      <w:rPr>
        <w:rFonts w:hint="default"/>
        <w:lang w:val="en-US" w:eastAsia="zh-CN" w:bidi="ar-SA"/>
      </w:rPr>
    </w:lvl>
    <w:lvl w:ilvl="3">
      <w:start w:val="0"/>
      <w:numFmt w:val="bullet"/>
      <w:lvlText w:val="•"/>
      <w:lvlJc w:val="left"/>
      <w:pPr>
        <w:ind w:left="2822" w:hanging="529"/>
      </w:pPr>
      <w:rPr>
        <w:rFonts w:hint="default"/>
        <w:lang w:val="en-US" w:eastAsia="zh-CN" w:bidi="ar-SA"/>
      </w:rPr>
    </w:lvl>
    <w:lvl w:ilvl="4">
      <w:start w:val="0"/>
      <w:numFmt w:val="bullet"/>
      <w:lvlText w:val="•"/>
      <w:lvlJc w:val="left"/>
      <w:pPr>
        <w:ind w:left="3510" w:hanging="529"/>
      </w:pPr>
      <w:rPr>
        <w:rFonts w:hint="default"/>
        <w:lang w:val="en-US" w:eastAsia="zh-CN" w:bidi="ar-SA"/>
      </w:rPr>
    </w:lvl>
    <w:lvl w:ilvl="5">
      <w:start w:val="0"/>
      <w:numFmt w:val="bullet"/>
      <w:lvlText w:val="•"/>
      <w:lvlJc w:val="left"/>
      <w:pPr>
        <w:ind w:left="4197" w:hanging="529"/>
      </w:pPr>
      <w:rPr>
        <w:rFonts w:hint="default"/>
        <w:lang w:val="en-US" w:eastAsia="zh-CN" w:bidi="ar-SA"/>
      </w:rPr>
    </w:lvl>
    <w:lvl w:ilvl="6">
      <w:start w:val="0"/>
      <w:numFmt w:val="bullet"/>
      <w:lvlText w:val="•"/>
      <w:lvlJc w:val="left"/>
      <w:pPr>
        <w:ind w:left="4885" w:hanging="529"/>
      </w:pPr>
      <w:rPr>
        <w:rFonts w:hint="default"/>
        <w:lang w:val="en-US" w:eastAsia="zh-CN" w:bidi="ar-SA"/>
      </w:rPr>
    </w:lvl>
    <w:lvl w:ilvl="7">
      <w:start w:val="0"/>
      <w:numFmt w:val="bullet"/>
      <w:lvlText w:val="•"/>
      <w:lvlJc w:val="left"/>
      <w:pPr>
        <w:ind w:left="5573" w:hanging="529"/>
      </w:pPr>
      <w:rPr>
        <w:rFonts w:hint="default"/>
        <w:lang w:val="en-US" w:eastAsia="zh-CN" w:bidi="ar-SA"/>
      </w:rPr>
    </w:lvl>
    <w:lvl w:ilvl="8">
      <w:start w:val="0"/>
      <w:numFmt w:val="bullet"/>
      <w:lvlText w:val="•"/>
      <w:lvlJc w:val="left"/>
      <w:pPr>
        <w:ind w:left="6260" w:hanging="529"/>
      </w:pPr>
      <w:rPr>
        <w:rFonts w:hint="default"/>
        <w:lang w:val="en-US" w:eastAsia="zh-CN" w:bidi="ar-SA"/>
      </w:rPr>
    </w:lvl>
  </w:abstractNum>
  <w:abstractNum w:abstractNumId="59">
    <w:multiLevelType w:val="hybridMultilevel"/>
    <w:lvl w:ilvl="0">
      <w:start w:val="1"/>
      <w:numFmt w:val="decimal"/>
      <w:lvlText w:val="（%1）"/>
      <w:lvlJc w:val="left"/>
      <w:pPr>
        <w:ind w:left="3417" w:hanging="534"/>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4106" w:hanging="534"/>
      </w:pPr>
      <w:rPr>
        <w:rFonts w:hint="default"/>
        <w:lang w:val="en-US" w:eastAsia="zh-CN" w:bidi="ar-SA"/>
      </w:rPr>
    </w:lvl>
    <w:lvl w:ilvl="2">
      <w:start w:val="0"/>
      <w:numFmt w:val="bullet"/>
      <w:lvlText w:val="•"/>
      <w:lvlJc w:val="left"/>
      <w:pPr>
        <w:ind w:left="4793" w:hanging="534"/>
      </w:pPr>
      <w:rPr>
        <w:rFonts w:hint="default"/>
        <w:lang w:val="en-US" w:eastAsia="zh-CN" w:bidi="ar-SA"/>
      </w:rPr>
    </w:lvl>
    <w:lvl w:ilvl="3">
      <w:start w:val="0"/>
      <w:numFmt w:val="bullet"/>
      <w:lvlText w:val="•"/>
      <w:lvlJc w:val="left"/>
      <w:pPr>
        <w:ind w:left="5479" w:hanging="534"/>
      </w:pPr>
      <w:rPr>
        <w:rFonts w:hint="default"/>
        <w:lang w:val="en-US" w:eastAsia="zh-CN" w:bidi="ar-SA"/>
      </w:rPr>
    </w:lvl>
    <w:lvl w:ilvl="4">
      <w:start w:val="0"/>
      <w:numFmt w:val="bullet"/>
      <w:lvlText w:val="•"/>
      <w:lvlJc w:val="left"/>
      <w:pPr>
        <w:ind w:left="6166" w:hanging="534"/>
      </w:pPr>
      <w:rPr>
        <w:rFonts w:hint="default"/>
        <w:lang w:val="en-US" w:eastAsia="zh-CN" w:bidi="ar-SA"/>
      </w:rPr>
    </w:lvl>
    <w:lvl w:ilvl="5">
      <w:start w:val="0"/>
      <w:numFmt w:val="bullet"/>
      <w:lvlText w:val="•"/>
      <w:lvlJc w:val="left"/>
      <w:pPr>
        <w:ind w:left="6853" w:hanging="534"/>
      </w:pPr>
      <w:rPr>
        <w:rFonts w:hint="default"/>
        <w:lang w:val="en-US" w:eastAsia="zh-CN" w:bidi="ar-SA"/>
      </w:rPr>
    </w:lvl>
    <w:lvl w:ilvl="6">
      <w:start w:val="0"/>
      <w:numFmt w:val="bullet"/>
      <w:lvlText w:val="•"/>
      <w:lvlJc w:val="left"/>
      <w:pPr>
        <w:ind w:left="7539" w:hanging="534"/>
      </w:pPr>
      <w:rPr>
        <w:rFonts w:hint="default"/>
        <w:lang w:val="en-US" w:eastAsia="zh-CN" w:bidi="ar-SA"/>
      </w:rPr>
    </w:lvl>
    <w:lvl w:ilvl="7">
      <w:start w:val="0"/>
      <w:numFmt w:val="bullet"/>
      <w:lvlText w:val="•"/>
      <w:lvlJc w:val="left"/>
      <w:pPr>
        <w:ind w:left="8226" w:hanging="534"/>
      </w:pPr>
      <w:rPr>
        <w:rFonts w:hint="default"/>
        <w:lang w:val="en-US" w:eastAsia="zh-CN" w:bidi="ar-SA"/>
      </w:rPr>
    </w:lvl>
    <w:lvl w:ilvl="8">
      <w:start w:val="0"/>
      <w:numFmt w:val="bullet"/>
      <w:lvlText w:val="•"/>
      <w:lvlJc w:val="left"/>
      <w:pPr>
        <w:ind w:left="8913" w:hanging="534"/>
      </w:pPr>
      <w:rPr>
        <w:rFonts w:hint="default"/>
        <w:lang w:val="en-US" w:eastAsia="zh-CN" w:bidi="ar-SA"/>
      </w:rPr>
    </w:lvl>
  </w:abstractNum>
  <w:abstractNum w:abstractNumId="58">
    <w:multiLevelType w:val="hybridMultilevel"/>
    <w:lvl w:ilvl="0">
      <w:start w:val="1"/>
      <w:numFmt w:val="decimal"/>
      <w:lvlText w:val="（%1）"/>
      <w:lvlJc w:val="left"/>
      <w:pPr>
        <w:ind w:left="766" w:hanging="534"/>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1447" w:hanging="534"/>
      </w:pPr>
      <w:rPr>
        <w:rFonts w:hint="default"/>
        <w:lang w:val="en-US" w:eastAsia="zh-CN" w:bidi="ar-SA"/>
      </w:rPr>
    </w:lvl>
    <w:lvl w:ilvl="2">
      <w:start w:val="0"/>
      <w:numFmt w:val="bullet"/>
      <w:lvlText w:val="•"/>
      <w:lvlJc w:val="left"/>
      <w:pPr>
        <w:ind w:left="2135" w:hanging="534"/>
      </w:pPr>
      <w:rPr>
        <w:rFonts w:hint="default"/>
        <w:lang w:val="en-US" w:eastAsia="zh-CN" w:bidi="ar-SA"/>
      </w:rPr>
    </w:lvl>
    <w:lvl w:ilvl="3">
      <w:start w:val="0"/>
      <w:numFmt w:val="bullet"/>
      <w:lvlText w:val="•"/>
      <w:lvlJc w:val="left"/>
      <w:pPr>
        <w:ind w:left="2822" w:hanging="534"/>
      </w:pPr>
      <w:rPr>
        <w:rFonts w:hint="default"/>
        <w:lang w:val="en-US" w:eastAsia="zh-CN" w:bidi="ar-SA"/>
      </w:rPr>
    </w:lvl>
    <w:lvl w:ilvl="4">
      <w:start w:val="0"/>
      <w:numFmt w:val="bullet"/>
      <w:lvlText w:val="•"/>
      <w:lvlJc w:val="left"/>
      <w:pPr>
        <w:ind w:left="3510" w:hanging="534"/>
      </w:pPr>
      <w:rPr>
        <w:rFonts w:hint="default"/>
        <w:lang w:val="en-US" w:eastAsia="zh-CN" w:bidi="ar-SA"/>
      </w:rPr>
    </w:lvl>
    <w:lvl w:ilvl="5">
      <w:start w:val="0"/>
      <w:numFmt w:val="bullet"/>
      <w:lvlText w:val="•"/>
      <w:lvlJc w:val="left"/>
      <w:pPr>
        <w:ind w:left="4197" w:hanging="534"/>
      </w:pPr>
      <w:rPr>
        <w:rFonts w:hint="default"/>
        <w:lang w:val="en-US" w:eastAsia="zh-CN" w:bidi="ar-SA"/>
      </w:rPr>
    </w:lvl>
    <w:lvl w:ilvl="6">
      <w:start w:val="0"/>
      <w:numFmt w:val="bullet"/>
      <w:lvlText w:val="•"/>
      <w:lvlJc w:val="left"/>
      <w:pPr>
        <w:ind w:left="4885" w:hanging="534"/>
      </w:pPr>
      <w:rPr>
        <w:rFonts w:hint="default"/>
        <w:lang w:val="en-US" w:eastAsia="zh-CN" w:bidi="ar-SA"/>
      </w:rPr>
    </w:lvl>
    <w:lvl w:ilvl="7">
      <w:start w:val="0"/>
      <w:numFmt w:val="bullet"/>
      <w:lvlText w:val="•"/>
      <w:lvlJc w:val="left"/>
      <w:pPr>
        <w:ind w:left="5573" w:hanging="534"/>
      </w:pPr>
      <w:rPr>
        <w:rFonts w:hint="default"/>
        <w:lang w:val="en-US" w:eastAsia="zh-CN" w:bidi="ar-SA"/>
      </w:rPr>
    </w:lvl>
    <w:lvl w:ilvl="8">
      <w:start w:val="0"/>
      <w:numFmt w:val="bullet"/>
      <w:lvlText w:val="•"/>
      <w:lvlJc w:val="left"/>
      <w:pPr>
        <w:ind w:left="6260" w:hanging="534"/>
      </w:pPr>
      <w:rPr>
        <w:rFonts w:hint="default"/>
        <w:lang w:val="en-US" w:eastAsia="zh-CN" w:bidi="ar-SA"/>
      </w:rPr>
    </w:lvl>
  </w:abstractNum>
  <w:abstractNum w:abstractNumId="57">
    <w:multiLevelType w:val="hybridMultilevel"/>
    <w:lvl w:ilvl="0">
      <w:start w:val="1"/>
      <w:numFmt w:val="decimal"/>
      <w:lvlText w:val="（%1）"/>
      <w:lvlJc w:val="left"/>
      <w:pPr>
        <w:ind w:left="766" w:hanging="534"/>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1447" w:hanging="534"/>
      </w:pPr>
      <w:rPr>
        <w:rFonts w:hint="default"/>
        <w:lang w:val="en-US" w:eastAsia="zh-CN" w:bidi="ar-SA"/>
      </w:rPr>
    </w:lvl>
    <w:lvl w:ilvl="2">
      <w:start w:val="0"/>
      <w:numFmt w:val="bullet"/>
      <w:lvlText w:val="•"/>
      <w:lvlJc w:val="left"/>
      <w:pPr>
        <w:ind w:left="2135" w:hanging="534"/>
      </w:pPr>
      <w:rPr>
        <w:rFonts w:hint="default"/>
        <w:lang w:val="en-US" w:eastAsia="zh-CN" w:bidi="ar-SA"/>
      </w:rPr>
    </w:lvl>
    <w:lvl w:ilvl="3">
      <w:start w:val="0"/>
      <w:numFmt w:val="bullet"/>
      <w:lvlText w:val="•"/>
      <w:lvlJc w:val="left"/>
      <w:pPr>
        <w:ind w:left="2822" w:hanging="534"/>
      </w:pPr>
      <w:rPr>
        <w:rFonts w:hint="default"/>
        <w:lang w:val="en-US" w:eastAsia="zh-CN" w:bidi="ar-SA"/>
      </w:rPr>
    </w:lvl>
    <w:lvl w:ilvl="4">
      <w:start w:val="0"/>
      <w:numFmt w:val="bullet"/>
      <w:lvlText w:val="•"/>
      <w:lvlJc w:val="left"/>
      <w:pPr>
        <w:ind w:left="3510" w:hanging="534"/>
      </w:pPr>
      <w:rPr>
        <w:rFonts w:hint="default"/>
        <w:lang w:val="en-US" w:eastAsia="zh-CN" w:bidi="ar-SA"/>
      </w:rPr>
    </w:lvl>
    <w:lvl w:ilvl="5">
      <w:start w:val="0"/>
      <w:numFmt w:val="bullet"/>
      <w:lvlText w:val="•"/>
      <w:lvlJc w:val="left"/>
      <w:pPr>
        <w:ind w:left="4197" w:hanging="534"/>
      </w:pPr>
      <w:rPr>
        <w:rFonts w:hint="default"/>
        <w:lang w:val="en-US" w:eastAsia="zh-CN" w:bidi="ar-SA"/>
      </w:rPr>
    </w:lvl>
    <w:lvl w:ilvl="6">
      <w:start w:val="0"/>
      <w:numFmt w:val="bullet"/>
      <w:lvlText w:val="•"/>
      <w:lvlJc w:val="left"/>
      <w:pPr>
        <w:ind w:left="4885" w:hanging="534"/>
      </w:pPr>
      <w:rPr>
        <w:rFonts w:hint="default"/>
        <w:lang w:val="en-US" w:eastAsia="zh-CN" w:bidi="ar-SA"/>
      </w:rPr>
    </w:lvl>
    <w:lvl w:ilvl="7">
      <w:start w:val="0"/>
      <w:numFmt w:val="bullet"/>
      <w:lvlText w:val="•"/>
      <w:lvlJc w:val="left"/>
      <w:pPr>
        <w:ind w:left="5573" w:hanging="534"/>
      </w:pPr>
      <w:rPr>
        <w:rFonts w:hint="default"/>
        <w:lang w:val="en-US" w:eastAsia="zh-CN" w:bidi="ar-SA"/>
      </w:rPr>
    </w:lvl>
    <w:lvl w:ilvl="8">
      <w:start w:val="0"/>
      <w:numFmt w:val="bullet"/>
      <w:lvlText w:val="•"/>
      <w:lvlJc w:val="left"/>
      <w:pPr>
        <w:ind w:left="6260" w:hanging="534"/>
      </w:pPr>
      <w:rPr>
        <w:rFonts w:hint="default"/>
        <w:lang w:val="en-US" w:eastAsia="zh-CN" w:bidi="ar-SA"/>
      </w:rPr>
    </w:lvl>
  </w:abstractNum>
  <w:abstractNum w:abstractNumId="56">
    <w:multiLevelType w:val="hybridMultilevel"/>
    <w:lvl w:ilvl="0">
      <w:start w:val="1"/>
      <w:numFmt w:val="decimal"/>
      <w:lvlText w:val="（%1）"/>
      <w:lvlJc w:val="left"/>
      <w:pPr>
        <w:ind w:left="3417" w:hanging="534"/>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4106" w:hanging="534"/>
      </w:pPr>
      <w:rPr>
        <w:rFonts w:hint="default"/>
        <w:lang w:val="en-US" w:eastAsia="zh-CN" w:bidi="ar-SA"/>
      </w:rPr>
    </w:lvl>
    <w:lvl w:ilvl="2">
      <w:start w:val="0"/>
      <w:numFmt w:val="bullet"/>
      <w:lvlText w:val="•"/>
      <w:lvlJc w:val="left"/>
      <w:pPr>
        <w:ind w:left="4793" w:hanging="534"/>
      </w:pPr>
      <w:rPr>
        <w:rFonts w:hint="default"/>
        <w:lang w:val="en-US" w:eastAsia="zh-CN" w:bidi="ar-SA"/>
      </w:rPr>
    </w:lvl>
    <w:lvl w:ilvl="3">
      <w:start w:val="0"/>
      <w:numFmt w:val="bullet"/>
      <w:lvlText w:val="•"/>
      <w:lvlJc w:val="left"/>
      <w:pPr>
        <w:ind w:left="5479" w:hanging="534"/>
      </w:pPr>
      <w:rPr>
        <w:rFonts w:hint="default"/>
        <w:lang w:val="en-US" w:eastAsia="zh-CN" w:bidi="ar-SA"/>
      </w:rPr>
    </w:lvl>
    <w:lvl w:ilvl="4">
      <w:start w:val="0"/>
      <w:numFmt w:val="bullet"/>
      <w:lvlText w:val="•"/>
      <w:lvlJc w:val="left"/>
      <w:pPr>
        <w:ind w:left="6166" w:hanging="534"/>
      </w:pPr>
      <w:rPr>
        <w:rFonts w:hint="default"/>
        <w:lang w:val="en-US" w:eastAsia="zh-CN" w:bidi="ar-SA"/>
      </w:rPr>
    </w:lvl>
    <w:lvl w:ilvl="5">
      <w:start w:val="0"/>
      <w:numFmt w:val="bullet"/>
      <w:lvlText w:val="•"/>
      <w:lvlJc w:val="left"/>
      <w:pPr>
        <w:ind w:left="6853" w:hanging="534"/>
      </w:pPr>
      <w:rPr>
        <w:rFonts w:hint="default"/>
        <w:lang w:val="en-US" w:eastAsia="zh-CN" w:bidi="ar-SA"/>
      </w:rPr>
    </w:lvl>
    <w:lvl w:ilvl="6">
      <w:start w:val="0"/>
      <w:numFmt w:val="bullet"/>
      <w:lvlText w:val="•"/>
      <w:lvlJc w:val="left"/>
      <w:pPr>
        <w:ind w:left="7539" w:hanging="534"/>
      </w:pPr>
      <w:rPr>
        <w:rFonts w:hint="default"/>
        <w:lang w:val="en-US" w:eastAsia="zh-CN" w:bidi="ar-SA"/>
      </w:rPr>
    </w:lvl>
    <w:lvl w:ilvl="7">
      <w:start w:val="0"/>
      <w:numFmt w:val="bullet"/>
      <w:lvlText w:val="•"/>
      <w:lvlJc w:val="left"/>
      <w:pPr>
        <w:ind w:left="8226" w:hanging="534"/>
      </w:pPr>
      <w:rPr>
        <w:rFonts w:hint="default"/>
        <w:lang w:val="en-US" w:eastAsia="zh-CN" w:bidi="ar-SA"/>
      </w:rPr>
    </w:lvl>
    <w:lvl w:ilvl="8">
      <w:start w:val="0"/>
      <w:numFmt w:val="bullet"/>
      <w:lvlText w:val="•"/>
      <w:lvlJc w:val="left"/>
      <w:pPr>
        <w:ind w:left="8913" w:hanging="534"/>
      </w:pPr>
      <w:rPr>
        <w:rFonts w:hint="default"/>
        <w:lang w:val="en-US" w:eastAsia="zh-CN" w:bidi="ar-SA"/>
      </w:rPr>
    </w:lvl>
  </w:abstractNum>
  <w:abstractNum w:abstractNumId="55">
    <w:multiLevelType w:val="hybridMultilevel"/>
    <w:lvl w:ilvl="0">
      <w:start w:val="1"/>
      <w:numFmt w:val="decimal"/>
      <w:lvlText w:val="（%1）"/>
      <w:lvlJc w:val="left"/>
      <w:pPr>
        <w:ind w:left="3417" w:hanging="534"/>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4106" w:hanging="534"/>
      </w:pPr>
      <w:rPr>
        <w:rFonts w:hint="default"/>
        <w:lang w:val="en-US" w:eastAsia="zh-CN" w:bidi="ar-SA"/>
      </w:rPr>
    </w:lvl>
    <w:lvl w:ilvl="2">
      <w:start w:val="0"/>
      <w:numFmt w:val="bullet"/>
      <w:lvlText w:val="•"/>
      <w:lvlJc w:val="left"/>
      <w:pPr>
        <w:ind w:left="4793" w:hanging="534"/>
      </w:pPr>
      <w:rPr>
        <w:rFonts w:hint="default"/>
        <w:lang w:val="en-US" w:eastAsia="zh-CN" w:bidi="ar-SA"/>
      </w:rPr>
    </w:lvl>
    <w:lvl w:ilvl="3">
      <w:start w:val="0"/>
      <w:numFmt w:val="bullet"/>
      <w:lvlText w:val="•"/>
      <w:lvlJc w:val="left"/>
      <w:pPr>
        <w:ind w:left="5479" w:hanging="534"/>
      </w:pPr>
      <w:rPr>
        <w:rFonts w:hint="default"/>
        <w:lang w:val="en-US" w:eastAsia="zh-CN" w:bidi="ar-SA"/>
      </w:rPr>
    </w:lvl>
    <w:lvl w:ilvl="4">
      <w:start w:val="0"/>
      <w:numFmt w:val="bullet"/>
      <w:lvlText w:val="•"/>
      <w:lvlJc w:val="left"/>
      <w:pPr>
        <w:ind w:left="6166" w:hanging="534"/>
      </w:pPr>
      <w:rPr>
        <w:rFonts w:hint="default"/>
        <w:lang w:val="en-US" w:eastAsia="zh-CN" w:bidi="ar-SA"/>
      </w:rPr>
    </w:lvl>
    <w:lvl w:ilvl="5">
      <w:start w:val="0"/>
      <w:numFmt w:val="bullet"/>
      <w:lvlText w:val="•"/>
      <w:lvlJc w:val="left"/>
      <w:pPr>
        <w:ind w:left="6853" w:hanging="534"/>
      </w:pPr>
      <w:rPr>
        <w:rFonts w:hint="default"/>
        <w:lang w:val="en-US" w:eastAsia="zh-CN" w:bidi="ar-SA"/>
      </w:rPr>
    </w:lvl>
    <w:lvl w:ilvl="6">
      <w:start w:val="0"/>
      <w:numFmt w:val="bullet"/>
      <w:lvlText w:val="•"/>
      <w:lvlJc w:val="left"/>
      <w:pPr>
        <w:ind w:left="7539" w:hanging="534"/>
      </w:pPr>
      <w:rPr>
        <w:rFonts w:hint="default"/>
        <w:lang w:val="en-US" w:eastAsia="zh-CN" w:bidi="ar-SA"/>
      </w:rPr>
    </w:lvl>
    <w:lvl w:ilvl="7">
      <w:start w:val="0"/>
      <w:numFmt w:val="bullet"/>
      <w:lvlText w:val="•"/>
      <w:lvlJc w:val="left"/>
      <w:pPr>
        <w:ind w:left="8226" w:hanging="534"/>
      </w:pPr>
      <w:rPr>
        <w:rFonts w:hint="default"/>
        <w:lang w:val="en-US" w:eastAsia="zh-CN" w:bidi="ar-SA"/>
      </w:rPr>
    </w:lvl>
    <w:lvl w:ilvl="8">
      <w:start w:val="0"/>
      <w:numFmt w:val="bullet"/>
      <w:lvlText w:val="•"/>
      <w:lvlJc w:val="left"/>
      <w:pPr>
        <w:ind w:left="8913" w:hanging="534"/>
      </w:pPr>
      <w:rPr>
        <w:rFonts w:hint="default"/>
        <w:lang w:val="en-US" w:eastAsia="zh-CN" w:bidi="ar-SA"/>
      </w:rPr>
    </w:lvl>
  </w:abstractNum>
  <w:abstractNum w:abstractNumId="54">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104" w:hanging="529"/>
      </w:pPr>
      <w:rPr>
        <w:rFonts w:hint="default"/>
        <w:lang w:val="en-US" w:eastAsia="zh-CN" w:bidi="ar-SA"/>
      </w:rPr>
    </w:lvl>
    <w:lvl w:ilvl="3">
      <w:start w:val="0"/>
      <w:numFmt w:val="bullet"/>
      <w:lvlText w:val="•"/>
      <w:lvlJc w:val="left"/>
      <w:pPr>
        <w:ind w:left="2776" w:hanging="529"/>
      </w:pPr>
      <w:rPr>
        <w:rFonts w:hint="default"/>
        <w:lang w:val="en-US" w:eastAsia="zh-CN" w:bidi="ar-SA"/>
      </w:rPr>
    </w:lvl>
    <w:lvl w:ilvl="4">
      <w:start w:val="0"/>
      <w:numFmt w:val="bullet"/>
      <w:lvlText w:val="•"/>
      <w:lvlJc w:val="left"/>
      <w:pPr>
        <w:ind w:left="3448" w:hanging="529"/>
      </w:pPr>
      <w:rPr>
        <w:rFonts w:hint="default"/>
        <w:lang w:val="en-US" w:eastAsia="zh-CN" w:bidi="ar-SA"/>
      </w:rPr>
    </w:lvl>
    <w:lvl w:ilvl="5">
      <w:start w:val="0"/>
      <w:numFmt w:val="bullet"/>
      <w:lvlText w:val="•"/>
      <w:lvlJc w:val="left"/>
      <w:pPr>
        <w:ind w:left="4121" w:hanging="529"/>
      </w:pPr>
      <w:rPr>
        <w:rFonts w:hint="default"/>
        <w:lang w:val="en-US" w:eastAsia="zh-CN" w:bidi="ar-SA"/>
      </w:rPr>
    </w:lvl>
    <w:lvl w:ilvl="6">
      <w:start w:val="0"/>
      <w:numFmt w:val="bullet"/>
      <w:lvlText w:val="•"/>
      <w:lvlJc w:val="left"/>
      <w:pPr>
        <w:ind w:left="4793" w:hanging="529"/>
      </w:pPr>
      <w:rPr>
        <w:rFonts w:hint="default"/>
        <w:lang w:val="en-US" w:eastAsia="zh-CN" w:bidi="ar-SA"/>
      </w:rPr>
    </w:lvl>
    <w:lvl w:ilvl="7">
      <w:start w:val="0"/>
      <w:numFmt w:val="bullet"/>
      <w:lvlText w:val="•"/>
      <w:lvlJc w:val="left"/>
      <w:pPr>
        <w:ind w:left="5465" w:hanging="529"/>
      </w:pPr>
      <w:rPr>
        <w:rFonts w:hint="default"/>
        <w:lang w:val="en-US" w:eastAsia="zh-CN" w:bidi="ar-SA"/>
      </w:rPr>
    </w:lvl>
    <w:lvl w:ilvl="8">
      <w:start w:val="0"/>
      <w:numFmt w:val="bullet"/>
      <w:lvlText w:val="•"/>
      <w:lvlJc w:val="left"/>
      <w:pPr>
        <w:ind w:left="6137" w:hanging="529"/>
      </w:pPr>
      <w:rPr>
        <w:rFonts w:hint="default"/>
        <w:lang w:val="en-US" w:eastAsia="zh-CN" w:bidi="ar-SA"/>
      </w:rPr>
    </w:lvl>
  </w:abstractNum>
  <w:abstractNum w:abstractNumId="53">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104" w:hanging="529"/>
      </w:pPr>
      <w:rPr>
        <w:rFonts w:hint="default"/>
        <w:lang w:val="en-US" w:eastAsia="zh-CN" w:bidi="ar-SA"/>
      </w:rPr>
    </w:lvl>
    <w:lvl w:ilvl="3">
      <w:start w:val="0"/>
      <w:numFmt w:val="bullet"/>
      <w:lvlText w:val="•"/>
      <w:lvlJc w:val="left"/>
      <w:pPr>
        <w:ind w:left="2776" w:hanging="529"/>
      </w:pPr>
      <w:rPr>
        <w:rFonts w:hint="default"/>
        <w:lang w:val="en-US" w:eastAsia="zh-CN" w:bidi="ar-SA"/>
      </w:rPr>
    </w:lvl>
    <w:lvl w:ilvl="4">
      <w:start w:val="0"/>
      <w:numFmt w:val="bullet"/>
      <w:lvlText w:val="•"/>
      <w:lvlJc w:val="left"/>
      <w:pPr>
        <w:ind w:left="3448" w:hanging="529"/>
      </w:pPr>
      <w:rPr>
        <w:rFonts w:hint="default"/>
        <w:lang w:val="en-US" w:eastAsia="zh-CN" w:bidi="ar-SA"/>
      </w:rPr>
    </w:lvl>
    <w:lvl w:ilvl="5">
      <w:start w:val="0"/>
      <w:numFmt w:val="bullet"/>
      <w:lvlText w:val="•"/>
      <w:lvlJc w:val="left"/>
      <w:pPr>
        <w:ind w:left="4121" w:hanging="529"/>
      </w:pPr>
      <w:rPr>
        <w:rFonts w:hint="default"/>
        <w:lang w:val="en-US" w:eastAsia="zh-CN" w:bidi="ar-SA"/>
      </w:rPr>
    </w:lvl>
    <w:lvl w:ilvl="6">
      <w:start w:val="0"/>
      <w:numFmt w:val="bullet"/>
      <w:lvlText w:val="•"/>
      <w:lvlJc w:val="left"/>
      <w:pPr>
        <w:ind w:left="4793" w:hanging="529"/>
      </w:pPr>
      <w:rPr>
        <w:rFonts w:hint="default"/>
        <w:lang w:val="en-US" w:eastAsia="zh-CN" w:bidi="ar-SA"/>
      </w:rPr>
    </w:lvl>
    <w:lvl w:ilvl="7">
      <w:start w:val="0"/>
      <w:numFmt w:val="bullet"/>
      <w:lvlText w:val="•"/>
      <w:lvlJc w:val="left"/>
      <w:pPr>
        <w:ind w:left="5465" w:hanging="529"/>
      </w:pPr>
      <w:rPr>
        <w:rFonts w:hint="default"/>
        <w:lang w:val="en-US" w:eastAsia="zh-CN" w:bidi="ar-SA"/>
      </w:rPr>
    </w:lvl>
    <w:lvl w:ilvl="8">
      <w:start w:val="0"/>
      <w:numFmt w:val="bullet"/>
      <w:lvlText w:val="•"/>
      <w:lvlJc w:val="left"/>
      <w:pPr>
        <w:ind w:left="6137" w:hanging="529"/>
      </w:pPr>
      <w:rPr>
        <w:rFonts w:hint="default"/>
        <w:lang w:val="en-US" w:eastAsia="zh-CN" w:bidi="ar-SA"/>
      </w:rPr>
    </w:lvl>
  </w:abstractNum>
  <w:abstractNum w:abstractNumId="52">
    <w:multiLevelType w:val="hybridMultilevel"/>
    <w:lvl w:ilvl="0">
      <w:start w:val="1"/>
      <w:numFmt w:val="decimal"/>
      <w:lvlText w:val="（%1）"/>
      <w:lvlJc w:val="left"/>
      <w:pPr>
        <w:ind w:left="232" w:hanging="529"/>
        <w:jc w:val="left"/>
      </w:pPr>
      <w:rPr>
        <w:rFonts w:hint="default" w:ascii="宋体" w:hAnsi="宋体" w:eastAsia="宋体" w:cs="宋体"/>
        <w:b w:val="0"/>
        <w:bCs w:val="0"/>
        <w:i w:val="0"/>
        <w:iCs w:val="0"/>
        <w:spacing w:val="-15"/>
        <w:w w:val="100"/>
        <w:sz w:val="19"/>
        <w:szCs w:val="19"/>
        <w:lang w:val="en-US" w:eastAsia="zh-CN" w:bidi="ar-SA"/>
      </w:rPr>
    </w:lvl>
    <w:lvl w:ilvl="1">
      <w:start w:val="0"/>
      <w:numFmt w:val="bullet"/>
      <w:lvlText w:val="•"/>
      <w:lvlJc w:val="left"/>
      <w:pPr>
        <w:ind w:left="964" w:hanging="529"/>
      </w:pPr>
      <w:rPr>
        <w:rFonts w:hint="default"/>
        <w:lang w:val="en-US" w:eastAsia="zh-CN" w:bidi="ar-SA"/>
      </w:rPr>
    </w:lvl>
    <w:lvl w:ilvl="2">
      <w:start w:val="0"/>
      <w:numFmt w:val="bullet"/>
      <w:lvlText w:val="•"/>
      <w:lvlJc w:val="left"/>
      <w:pPr>
        <w:ind w:left="1688" w:hanging="529"/>
      </w:pPr>
      <w:rPr>
        <w:rFonts w:hint="default"/>
        <w:lang w:val="en-US" w:eastAsia="zh-CN" w:bidi="ar-SA"/>
      </w:rPr>
    </w:lvl>
    <w:lvl w:ilvl="3">
      <w:start w:val="0"/>
      <w:numFmt w:val="bullet"/>
      <w:lvlText w:val="•"/>
      <w:lvlJc w:val="left"/>
      <w:pPr>
        <w:ind w:left="2412" w:hanging="529"/>
      </w:pPr>
      <w:rPr>
        <w:rFonts w:hint="default"/>
        <w:lang w:val="en-US" w:eastAsia="zh-CN" w:bidi="ar-SA"/>
      </w:rPr>
    </w:lvl>
    <w:lvl w:ilvl="4">
      <w:start w:val="0"/>
      <w:numFmt w:val="bullet"/>
      <w:lvlText w:val="•"/>
      <w:lvlJc w:val="left"/>
      <w:pPr>
        <w:ind w:left="3136" w:hanging="529"/>
      </w:pPr>
      <w:rPr>
        <w:rFonts w:hint="default"/>
        <w:lang w:val="en-US" w:eastAsia="zh-CN" w:bidi="ar-SA"/>
      </w:rPr>
    </w:lvl>
    <w:lvl w:ilvl="5">
      <w:start w:val="0"/>
      <w:numFmt w:val="bullet"/>
      <w:lvlText w:val="•"/>
      <w:lvlJc w:val="left"/>
      <w:pPr>
        <w:ind w:left="3861" w:hanging="529"/>
      </w:pPr>
      <w:rPr>
        <w:rFonts w:hint="default"/>
        <w:lang w:val="en-US" w:eastAsia="zh-CN" w:bidi="ar-SA"/>
      </w:rPr>
    </w:lvl>
    <w:lvl w:ilvl="6">
      <w:start w:val="0"/>
      <w:numFmt w:val="bullet"/>
      <w:lvlText w:val="•"/>
      <w:lvlJc w:val="left"/>
      <w:pPr>
        <w:ind w:left="4585" w:hanging="529"/>
      </w:pPr>
      <w:rPr>
        <w:rFonts w:hint="default"/>
        <w:lang w:val="en-US" w:eastAsia="zh-CN" w:bidi="ar-SA"/>
      </w:rPr>
    </w:lvl>
    <w:lvl w:ilvl="7">
      <w:start w:val="0"/>
      <w:numFmt w:val="bullet"/>
      <w:lvlText w:val="•"/>
      <w:lvlJc w:val="left"/>
      <w:pPr>
        <w:ind w:left="5309" w:hanging="529"/>
      </w:pPr>
      <w:rPr>
        <w:rFonts w:hint="default"/>
        <w:lang w:val="en-US" w:eastAsia="zh-CN" w:bidi="ar-SA"/>
      </w:rPr>
    </w:lvl>
    <w:lvl w:ilvl="8">
      <w:start w:val="0"/>
      <w:numFmt w:val="bullet"/>
      <w:lvlText w:val="•"/>
      <w:lvlJc w:val="left"/>
      <w:pPr>
        <w:ind w:left="6033" w:hanging="529"/>
      </w:pPr>
      <w:rPr>
        <w:rFonts w:hint="default"/>
        <w:lang w:val="en-US" w:eastAsia="zh-CN" w:bidi="ar-SA"/>
      </w:rPr>
    </w:lvl>
  </w:abstractNum>
  <w:abstractNum w:abstractNumId="51">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104" w:hanging="529"/>
      </w:pPr>
      <w:rPr>
        <w:rFonts w:hint="default"/>
        <w:lang w:val="en-US" w:eastAsia="zh-CN" w:bidi="ar-SA"/>
      </w:rPr>
    </w:lvl>
    <w:lvl w:ilvl="3">
      <w:start w:val="0"/>
      <w:numFmt w:val="bullet"/>
      <w:lvlText w:val="•"/>
      <w:lvlJc w:val="left"/>
      <w:pPr>
        <w:ind w:left="2776" w:hanging="529"/>
      </w:pPr>
      <w:rPr>
        <w:rFonts w:hint="default"/>
        <w:lang w:val="en-US" w:eastAsia="zh-CN" w:bidi="ar-SA"/>
      </w:rPr>
    </w:lvl>
    <w:lvl w:ilvl="4">
      <w:start w:val="0"/>
      <w:numFmt w:val="bullet"/>
      <w:lvlText w:val="•"/>
      <w:lvlJc w:val="left"/>
      <w:pPr>
        <w:ind w:left="3448" w:hanging="529"/>
      </w:pPr>
      <w:rPr>
        <w:rFonts w:hint="default"/>
        <w:lang w:val="en-US" w:eastAsia="zh-CN" w:bidi="ar-SA"/>
      </w:rPr>
    </w:lvl>
    <w:lvl w:ilvl="5">
      <w:start w:val="0"/>
      <w:numFmt w:val="bullet"/>
      <w:lvlText w:val="•"/>
      <w:lvlJc w:val="left"/>
      <w:pPr>
        <w:ind w:left="4121" w:hanging="529"/>
      </w:pPr>
      <w:rPr>
        <w:rFonts w:hint="default"/>
        <w:lang w:val="en-US" w:eastAsia="zh-CN" w:bidi="ar-SA"/>
      </w:rPr>
    </w:lvl>
    <w:lvl w:ilvl="6">
      <w:start w:val="0"/>
      <w:numFmt w:val="bullet"/>
      <w:lvlText w:val="•"/>
      <w:lvlJc w:val="left"/>
      <w:pPr>
        <w:ind w:left="4793" w:hanging="529"/>
      </w:pPr>
      <w:rPr>
        <w:rFonts w:hint="default"/>
        <w:lang w:val="en-US" w:eastAsia="zh-CN" w:bidi="ar-SA"/>
      </w:rPr>
    </w:lvl>
    <w:lvl w:ilvl="7">
      <w:start w:val="0"/>
      <w:numFmt w:val="bullet"/>
      <w:lvlText w:val="•"/>
      <w:lvlJc w:val="left"/>
      <w:pPr>
        <w:ind w:left="5465" w:hanging="529"/>
      </w:pPr>
      <w:rPr>
        <w:rFonts w:hint="default"/>
        <w:lang w:val="en-US" w:eastAsia="zh-CN" w:bidi="ar-SA"/>
      </w:rPr>
    </w:lvl>
    <w:lvl w:ilvl="8">
      <w:start w:val="0"/>
      <w:numFmt w:val="bullet"/>
      <w:lvlText w:val="•"/>
      <w:lvlJc w:val="left"/>
      <w:pPr>
        <w:ind w:left="6137" w:hanging="529"/>
      </w:pPr>
      <w:rPr>
        <w:rFonts w:hint="default"/>
        <w:lang w:val="en-US" w:eastAsia="zh-CN" w:bidi="ar-SA"/>
      </w:rPr>
    </w:lvl>
  </w:abstractNum>
  <w:abstractNum w:abstractNumId="50">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104" w:hanging="529"/>
      </w:pPr>
      <w:rPr>
        <w:rFonts w:hint="default"/>
        <w:lang w:val="en-US" w:eastAsia="zh-CN" w:bidi="ar-SA"/>
      </w:rPr>
    </w:lvl>
    <w:lvl w:ilvl="3">
      <w:start w:val="0"/>
      <w:numFmt w:val="bullet"/>
      <w:lvlText w:val="•"/>
      <w:lvlJc w:val="left"/>
      <w:pPr>
        <w:ind w:left="2776" w:hanging="529"/>
      </w:pPr>
      <w:rPr>
        <w:rFonts w:hint="default"/>
        <w:lang w:val="en-US" w:eastAsia="zh-CN" w:bidi="ar-SA"/>
      </w:rPr>
    </w:lvl>
    <w:lvl w:ilvl="4">
      <w:start w:val="0"/>
      <w:numFmt w:val="bullet"/>
      <w:lvlText w:val="•"/>
      <w:lvlJc w:val="left"/>
      <w:pPr>
        <w:ind w:left="3448" w:hanging="529"/>
      </w:pPr>
      <w:rPr>
        <w:rFonts w:hint="default"/>
        <w:lang w:val="en-US" w:eastAsia="zh-CN" w:bidi="ar-SA"/>
      </w:rPr>
    </w:lvl>
    <w:lvl w:ilvl="5">
      <w:start w:val="0"/>
      <w:numFmt w:val="bullet"/>
      <w:lvlText w:val="•"/>
      <w:lvlJc w:val="left"/>
      <w:pPr>
        <w:ind w:left="4121" w:hanging="529"/>
      </w:pPr>
      <w:rPr>
        <w:rFonts w:hint="default"/>
        <w:lang w:val="en-US" w:eastAsia="zh-CN" w:bidi="ar-SA"/>
      </w:rPr>
    </w:lvl>
    <w:lvl w:ilvl="6">
      <w:start w:val="0"/>
      <w:numFmt w:val="bullet"/>
      <w:lvlText w:val="•"/>
      <w:lvlJc w:val="left"/>
      <w:pPr>
        <w:ind w:left="4793" w:hanging="529"/>
      </w:pPr>
      <w:rPr>
        <w:rFonts w:hint="default"/>
        <w:lang w:val="en-US" w:eastAsia="zh-CN" w:bidi="ar-SA"/>
      </w:rPr>
    </w:lvl>
    <w:lvl w:ilvl="7">
      <w:start w:val="0"/>
      <w:numFmt w:val="bullet"/>
      <w:lvlText w:val="•"/>
      <w:lvlJc w:val="left"/>
      <w:pPr>
        <w:ind w:left="5465" w:hanging="529"/>
      </w:pPr>
      <w:rPr>
        <w:rFonts w:hint="default"/>
        <w:lang w:val="en-US" w:eastAsia="zh-CN" w:bidi="ar-SA"/>
      </w:rPr>
    </w:lvl>
    <w:lvl w:ilvl="8">
      <w:start w:val="0"/>
      <w:numFmt w:val="bullet"/>
      <w:lvlText w:val="•"/>
      <w:lvlJc w:val="left"/>
      <w:pPr>
        <w:ind w:left="6137" w:hanging="529"/>
      </w:pPr>
      <w:rPr>
        <w:rFonts w:hint="default"/>
        <w:lang w:val="en-US" w:eastAsia="zh-CN" w:bidi="ar-SA"/>
      </w:rPr>
    </w:lvl>
  </w:abstractNum>
  <w:abstractNum w:abstractNumId="49">
    <w:multiLevelType w:val="hybridMultilevel"/>
    <w:lvl w:ilvl="0">
      <w:start w:val="8"/>
      <w:numFmt w:val="decimal"/>
      <w:lvlText w:val="%1"/>
      <w:lvlJc w:val="left"/>
      <w:pPr>
        <w:ind w:left="1190" w:hanging="958"/>
        <w:jc w:val="left"/>
      </w:pPr>
      <w:rPr>
        <w:rFonts w:hint="default"/>
        <w:lang w:val="en-US" w:eastAsia="zh-CN" w:bidi="ar-SA"/>
      </w:rPr>
    </w:lvl>
    <w:lvl w:ilvl="1">
      <w:start w:val="1"/>
      <w:numFmt w:val="decimal"/>
      <w:lvlText w:val="%1.%2"/>
      <w:lvlJc w:val="left"/>
      <w:pPr>
        <w:ind w:left="1190" w:hanging="958"/>
        <w:jc w:val="left"/>
      </w:pPr>
      <w:rPr>
        <w:rFonts w:hint="default"/>
        <w:lang w:val="en-US" w:eastAsia="zh-CN" w:bidi="ar-SA"/>
      </w:rPr>
    </w:lvl>
    <w:lvl w:ilvl="2">
      <w:start w:val="88"/>
      <w:numFmt w:val="decimal"/>
      <w:lvlText w:val="%1.%2.%3"/>
      <w:lvlJc w:val="left"/>
      <w:pPr>
        <w:ind w:left="1190" w:hanging="958"/>
        <w:jc w:val="left"/>
      </w:pPr>
      <w:rPr>
        <w:rFonts w:hint="default" w:ascii="微软雅黑" w:hAnsi="微软雅黑" w:eastAsia="微软雅黑" w:cs="微软雅黑"/>
        <w:b/>
        <w:bCs/>
        <w:i w:val="0"/>
        <w:iCs w:val="0"/>
        <w:w w:val="81"/>
        <w:sz w:val="21"/>
        <w:szCs w:val="21"/>
        <w:lang w:val="en-US" w:eastAsia="zh-CN" w:bidi="ar-SA"/>
      </w:rPr>
    </w:lvl>
    <w:lvl w:ilvl="3">
      <w:start w:val="1"/>
      <w:numFmt w:val="decimal"/>
      <w:lvlText w:val="（%4）"/>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276" w:hanging="529"/>
      </w:pPr>
      <w:rPr>
        <w:rFonts w:hint="default"/>
        <w:lang w:val="en-US" w:eastAsia="zh-CN" w:bidi="ar-SA"/>
      </w:rPr>
    </w:lvl>
    <w:lvl w:ilvl="5">
      <w:start w:val="0"/>
      <w:numFmt w:val="bullet"/>
      <w:lvlText w:val="•"/>
      <w:lvlJc w:val="left"/>
      <w:pPr>
        <w:ind w:left="3181" w:hanging="529"/>
      </w:pPr>
      <w:rPr>
        <w:rFonts w:hint="default"/>
        <w:lang w:val="en-US" w:eastAsia="zh-CN" w:bidi="ar-SA"/>
      </w:rPr>
    </w:lvl>
    <w:lvl w:ilvl="6">
      <w:start w:val="0"/>
      <w:numFmt w:val="bullet"/>
      <w:lvlText w:val="•"/>
      <w:lvlJc w:val="left"/>
      <w:pPr>
        <w:ind w:left="3087" w:hanging="529"/>
      </w:pPr>
      <w:rPr>
        <w:rFonts w:hint="default"/>
        <w:lang w:val="en-US" w:eastAsia="zh-CN" w:bidi="ar-SA"/>
      </w:rPr>
    </w:lvl>
    <w:lvl w:ilvl="7">
      <w:start w:val="0"/>
      <w:numFmt w:val="bullet"/>
      <w:lvlText w:val="•"/>
      <w:lvlJc w:val="left"/>
      <w:pPr>
        <w:ind w:left="2992" w:hanging="529"/>
      </w:pPr>
      <w:rPr>
        <w:rFonts w:hint="default"/>
        <w:lang w:val="en-US" w:eastAsia="zh-CN" w:bidi="ar-SA"/>
      </w:rPr>
    </w:lvl>
    <w:lvl w:ilvl="8">
      <w:start w:val="0"/>
      <w:numFmt w:val="bullet"/>
      <w:lvlText w:val="•"/>
      <w:lvlJc w:val="left"/>
      <w:pPr>
        <w:ind w:left="2898" w:hanging="529"/>
      </w:pPr>
      <w:rPr>
        <w:rFonts w:hint="default"/>
        <w:lang w:val="en-US" w:eastAsia="zh-CN" w:bidi="ar-SA"/>
      </w:rPr>
    </w:lvl>
  </w:abstractNum>
  <w:abstractNum w:abstractNumId="48">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040" w:hanging="529"/>
      </w:pPr>
      <w:rPr>
        <w:rFonts w:hint="default"/>
        <w:lang w:val="en-US" w:eastAsia="zh-CN" w:bidi="ar-SA"/>
      </w:rPr>
    </w:lvl>
    <w:lvl w:ilvl="2">
      <w:start w:val="0"/>
      <w:numFmt w:val="bullet"/>
      <w:lvlText w:val="•"/>
      <w:lvlJc w:val="left"/>
      <w:pPr>
        <w:ind w:left="3533" w:hanging="529"/>
      </w:pPr>
      <w:rPr>
        <w:rFonts w:hint="default"/>
        <w:lang w:val="en-US" w:eastAsia="zh-CN" w:bidi="ar-SA"/>
      </w:rPr>
    </w:lvl>
    <w:lvl w:ilvl="3">
      <w:start w:val="0"/>
      <w:numFmt w:val="bullet"/>
      <w:lvlText w:val="•"/>
      <w:lvlJc w:val="left"/>
      <w:pPr>
        <w:ind w:left="4027" w:hanging="529"/>
      </w:pPr>
      <w:rPr>
        <w:rFonts w:hint="default"/>
        <w:lang w:val="en-US" w:eastAsia="zh-CN" w:bidi="ar-SA"/>
      </w:rPr>
    </w:lvl>
    <w:lvl w:ilvl="4">
      <w:start w:val="0"/>
      <w:numFmt w:val="bullet"/>
      <w:lvlText w:val="•"/>
      <w:lvlJc w:val="left"/>
      <w:pPr>
        <w:ind w:left="4520" w:hanging="529"/>
      </w:pPr>
      <w:rPr>
        <w:rFonts w:hint="default"/>
        <w:lang w:val="en-US" w:eastAsia="zh-CN" w:bidi="ar-SA"/>
      </w:rPr>
    </w:lvl>
    <w:lvl w:ilvl="5">
      <w:start w:val="0"/>
      <w:numFmt w:val="bullet"/>
      <w:lvlText w:val="•"/>
      <w:lvlJc w:val="left"/>
      <w:pPr>
        <w:ind w:left="5014" w:hanging="529"/>
      </w:pPr>
      <w:rPr>
        <w:rFonts w:hint="default"/>
        <w:lang w:val="en-US" w:eastAsia="zh-CN" w:bidi="ar-SA"/>
      </w:rPr>
    </w:lvl>
    <w:lvl w:ilvl="6">
      <w:start w:val="0"/>
      <w:numFmt w:val="bullet"/>
      <w:lvlText w:val="•"/>
      <w:lvlJc w:val="left"/>
      <w:pPr>
        <w:ind w:left="5507" w:hanging="529"/>
      </w:pPr>
      <w:rPr>
        <w:rFonts w:hint="default"/>
        <w:lang w:val="en-US" w:eastAsia="zh-CN" w:bidi="ar-SA"/>
      </w:rPr>
    </w:lvl>
    <w:lvl w:ilvl="7">
      <w:start w:val="0"/>
      <w:numFmt w:val="bullet"/>
      <w:lvlText w:val="•"/>
      <w:lvlJc w:val="left"/>
      <w:pPr>
        <w:ind w:left="6001" w:hanging="529"/>
      </w:pPr>
      <w:rPr>
        <w:rFonts w:hint="default"/>
        <w:lang w:val="en-US" w:eastAsia="zh-CN" w:bidi="ar-SA"/>
      </w:rPr>
    </w:lvl>
    <w:lvl w:ilvl="8">
      <w:start w:val="0"/>
      <w:numFmt w:val="bullet"/>
      <w:lvlText w:val="•"/>
      <w:lvlJc w:val="left"/>
      <w:pPr>
        <w:ind w:left="6495" w:hanging="529"/>
      </w:pPr>
      <w:rPr>
        <w:rFonts w:hint="default"/>
        <w:lang w:val="en-US" w:eastAsia="zh-CN" w:bidi="ar-SA"/>
      </w:rPr>
    </w:lvl>
  </w:abstractNum>
  <w:abstractNum w:abstractNumId="47">
    <w:multiLevelType w:val="hybridMultilevel"/>
    <w:lvl w:ilvl="0">
      <w:start w:val="8"/>
      <w:numFmt w:val="decimal"/>
      <w:lvlText w:val="%1"/>
      <w:lvlJc w:val="left"/>
      <w:pPr>
        <w:ind w:left="3037" w:hanging="958"/>
        <w:jc w:val="left"/>
      </w:pPr>
      <w:rPr>
        <w:rFonts w:hint="default"/>
        <w:lang w:val="en-US" w:eastAsia="zh-CN" w:bidi="ar-SA"/>
      </w:rPr>
    </w:lvl>
    <w:lvl w:ilvl="1">
      <w:start w:val="1"/>
      <w:numFmt w:val="decimal"/>
      <w:lvlText w:val="%1.%2"/>
      <w:lvlJc w:val="left"/>
      <w:pPr>
        <w:ind w:left="3037" w:hanging="958"/>
        <w:jc w:val="left"/>
      </w:pPr>
      <w:rPr>
        <w:rFonts w:hint="default"/>
        <w:lang w:val="en-US" w:eastAsia="zh-CN" w:bidi="ar-SA"/>
      </w:rPr>
    </w:lvl>
    <w:lvl w:ilvl="2">
      <w:start w:val="75"/>
      <w:numFmt w:val="decimal"/>
      <w:lvlText w:val="%1.%2.%3"/>
      <w:lvlJc w:val="left"/>
      <w:pPr>
        <w:ind w:left="3037" w:hanging="958"/>
        <w:jc w:val="left"/>
      </w:pPr>
      <w:rPr>
        <w:rFonts w:hint="default" w:ascii="微软雅黑" w:hAnsi="微软雅黑" w:eastAsia="微软雅黑" w:cs="微软雅黑"/>
        <w:b/>
        <w:bCs/>
        <w:i w:val="0"/>
        <w:iCs w:val="0"/>
        <w:w w:val="81"/>
        <w:sz w:val="21"/>
        <w:szCs w:val="21"/>
        <w:lang w:val="en-US" w:eastAsia="zh-CN" w:bidi="ar-SA"/>
      </w:rPr>
    </w:lvl>
    <w:lvl w:ilvl="3">
      <w:start w:val="1"/>
      <w:numFmt w:val="decimal"/>
      <w:lvlText w:val="（%4）"/>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5802" w:hanging="529"/>
      </w:pPr>
      <w:rPr>
        <w:rFonts w:hint="default"/>
        <w:lang w:val="en-US" w:eastAsia="zh-CN" w:bidi="ar-SA"/>
      </w:rPr>
    </w:lvl>
    <w:lvl w:ilvl="5">
      <w:start w:val="0"/>
      <w:numFmt w:val="bullet"/>
      <w:lvlText w:val="•"/>
      <w:lvlJc w:val="left"/>
      <w:pPr>
        <w:ind w:left="6549" w:hanging="529"/>
      </w:pPr>
      <w:rPr>
        <w:rFonts w:hint="default"/>
        <w:lang w:val="en-US" w:eastAsia="zh-CN" w:bidi="ar-SA"/>
      </w:rPr>
    </w:lvl>
    <w:lvl w:ilvl="6">
      <w:start w:val="0"/>
      <w:numFmt w:val="bullet"/>
      <w:lvlText w:val="•"/>
      <w:lvlJc w:val="left"/>
      <w:pPr>
        <w:ind w:left="7296"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91" w:hanging="529"/>
      </w:pPr>
      <w:rPr>
        <w:rFonts w:hint="default"/>
        <w:lang w:val="en-US" w:eastAsia="zh-CN" w:bidi="ar-SA"/>
      </w:rPr>
    </w:lvl>
  </w:abstractNum>
  <w:abstractNum w:abstractNumId="46">
    <w:multiLevelType w:val="hybridMultilevel"/>
    <w:lvl w:ilvl="0">
      <w:start w:val="2"/>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86" w:hanging="529"/>
      </w:pPr>
      <w:rPr>
        <w:rFonts w:hint="default"/>
        <w:lang w:val="en-US" w:eastAsia="zh-CN" w:bidi="ar-SA"/>
      </w:rPr>
    </w:lvl>
    <w:lvl w:ilvl="2">
      <w:start w:val="0"/>
      <w:numFmt w:val="bullet"/>
      <w:lvlText w:val="•"/>
      <w:lvlJc w:val="left"/>
      <w:pPr>
        <w:ind w:left="1932" w:hanging="529"/>
      </w:pPr>
      <w:rPr>
        <w:rFonts w:hint="default"/>
        <w:lang w:val="en-US" w:eastAsia="zh-CN" w:bidi="ar-SA"/>
      </w:rPr>
    </w:lvl>
    <w:lvl w:ilvl="3">
      <w:start w:val="0"/>
      <w:numFmt w:val="bullet"/>
      <w:lvlText w:val="•"/>
      <w:lvlJc w:val="left"/>
      <w:pPr>
        <w:ind w:left="2579" w:hanging="529"/>
      </w:pPr>
      <w:rPr>
        <w:rFonts w:hint="default"/>
        <w:lang w:val="en-US" w:eastAsia="zh-CN" w:bidi="ar-SA"/>
      </w:rPr>
    </w:lvl>
    <w:lvl w:ilvl="4">
      <w:start w:val="0"/>
      <w:numFmt w:val="bullet"/>
      <w:lvlText w:val="•"/>
      <w:lvlJc w:val="left"/>
      <w:pPr>
        <w:ind w:left="3225" w:hanging="529"/>
      </w:pPr>
      <w:rPr>
        <w:rFonts w:hint="default"/>
        <w:lang w:val="en-US" w:eastAsia="zh-CN" w:bidi="ar-SA"/>
      </w:rPr>
    </w:lvl>
    <w:lvl w:ilvl="5">
      <w:start w:val="0"/>
      <w:numFmt w:val="bullet"/>
      <w:lvlText w:val="•"/>
      <w:lvlJc w:val="left"/>
      <w:pPr>
        <w:ind w:left="3872" w:hanging="529"/>
      </w:pPr>
      <w:rPr>
        <w:rFonts w:hint="default"/>
        <w:lang w:val="en-US" w:eastAsia="zh-CN" w:bidi="ar-SA"/>
      </w:rPr>
    </w:lvl>
    <w:lvl w:ilvl="6">
      <w:start w:val="0"/>
      <w:numFmt w:val="bullet"/>
      <w:lvlText w:val="•"/>
      <w:lvlJc w:val="left"/>
      <w:pPr>
        <w:ind w:left="4518" w:hanging="529"/>
      </w:pPr>
      <w:rPr>
        <w:rFonts w:hint="default"/>
        <w:lang w:val="en-US" w:eastAsia="zh-CN" w:bidi="ar-SA"/>
      </w:rPr>
    </w:lvl>
    <w:lvl w:ilvl="7">
      <w:start w:val="0"/>
      <w:numFmt w:val="bullet"/>
      <w:lvlText w:val="•"/>
      <w:lvlJc w:val="left"/>
      <w:pPr>
        <w:ind w:left="5164" w:hanging="529"/>
      </w:pPr>
      <w:rPr>
        <w:rFonts w:hint="default"/>
        <w:lang w:val="en-US" w:eastAsia="zh-CN" w:bidi="ar-SA"/>
      </w:rPr>
    </w:lvl>
    <w:lvl w:ilvl="8">
      <w:start w:val="0"/>
      <w:numFmt w:val="bullet"/>
      <w:lvlText w:val="•"/>
      <w:lvlJc w:val="left"/>
      <w:pPr>
        <w:ind w:left="5811" w:hanging="529"/>
      </w:pPr>
      <w:rPr>
        <w:rFonts w:hint="default"/>
        <w:lang w:val="en-US" w:eastAsia="zh-CN" w:bidi="ar-SA"/>
      </w:rPr>
    </w:lvl>
  </w:abstractNum>
  <w:abstractNum w:abstractNumId="45">
    <w:multiLevelType w:val="hybridMultilevel"/>
    <w:lvl w:ilvl="0">
      <w:start w:val="1"/>
      <w:numFmt w:val="decimal"/>
      <w:lvlText w:val="（%1）"/>
      <w:lvlJc w:val="left"/>
      <w:pPr>
        <w:ind w:left="736" w:hanging="553"/>
        <w:jc w:val="left"/>
      </w:pPr>
      <w:rPr>
        <w:rFonts w:hint="default" w:ascii="微软雅黑" w:hAnsi="微软雅黑" w:eastAsia="微软雅黑" w:cs="微软雅黑"/>
        <w:b/>
        <w:bCs/>
        <w:i w:val="0"/>
        <w:iCs w:val="0"/>
        <w:w w:val="81"/>
        <w:sz w:val="20"/>
        <w:szCs w:val="20"/>
        <w:shd w:fill="D9D9D9" w:color="auto" w:val="clear"/>
        <w:lang w:val="en-US" w:eastAsia="zh-CN" w:bidi="ar-SA"/>
      </w:rPr>
    </w:lvl>
    <w:lvl w:ilvl="1">
      <w:start w:val="0"/>
      <w:numFmt w:val="bullet"/>
      <w:lvlText w:val="•"/>
      <w:lvlJc w:val="left"/>
      <w:pPr>
        <w:ind w:left="1384" w:hanging="553"/>
      </w:pPr>
      <w:rPr>
        <w:rFonts w:hint="default"/>
        <w:lang w:val="en-US" w:eastAsia="zh-CN" w:bidi="ar-SA"/>
      </w:rPr>
    </w:lvl>
    <w:lvl w:ilvl="2">
      <w:start w:val="0"/>
      <w:numFmt w:val="bullet"/>
      <w:lvlText w:val="•"/>
      <w:lvlJc w:val="left"/>
      <w:pPr>
        <w:ind w:left="2028" w:hanging="553"/>
      </w:pPr>
      <w:rPr>
        <w:rFonts w:hint="default"/>
        <w:lang w:val="en-US" w:eastAsia="zh-CN" w:bidi="ar-SA"/>
      </w:rPr>
    </w:lvl>
    <w:lvl w:ilvl="3">
      <w:start w:val="0"/>
      <w:numFmt w:val="bullet"/>
      <w:lvlText w:val="•"/>
      <w:lvlJc w:val="left"/>
      <w:pPr>
        <w:ind w:left="2672" w:hanging="553"/>
      </w:pPr>
      <w:rPr>
        <w:rFonts w:hint="default"/>
        <w:lang w:val="en-US" w:eastAsia="zh-CN" w:bidi="ar-SA"/>
      </w:rPr>
    </w:lvl>
    <w:lvl w:ilvl="4">
      <w:start w:val="0"/>
      <w:numFmt w:val="bullet"/>
      <w:lvlText w:val="•"/>
      <w:lvlJc w:val="left"/>
      <w:pPr>
        <w:ind w:left="3316" w:hanging="553"/>
      </w:pPr>
      <w:rPr>
        <w:rFonts w:hint="default"/>
        <w:lang w:val="en-US" w:eastAsia="zh-CN" w:bidi="ar-SA"/>
      </w:rPr>
    </w:lvl>
    <w:lvl w:ilvl="5">
      <w:start w:val="0"/>
      <w:numFmt w:val="bullet"/>
      <w:lvlText w:val="•"/>
      <w:lvlJc w:val="left"/>
      <w:pPr>
        <w:ind w:left="3960" w:hanging="553"/>
      </w:pPr>
      <w:rPr>
        <w:rFonts w:hint="default"/>
        <w:lang w:val="en-US" w:eastAsia="zh-CN" w:bidi="ar-SA"/>
      </w:rPr>
    </w:lvl>
    <w:lvl w:ilvl="6">
      <w:start w:val="0"/>
      <w:numFmt w:val="bullet"/>
      <w:lvlText w:val="•"/>
      <w:lvlJc w:val="left"/>
      <w:pPr>
        <w:ind w:left="4604" w:hanging="553"/>
      </w:pPr>
      <w:rPr>
        <w:rFonts w:hint="default"/>
        <w:lang w:val="en-US" w:eastAsia="zh-CN" w:bidi="ar-SA"/>
      </w:rPr>
    </w:lvl>
    <w:lvl w:ilvl="7">
      <w:start w:val="0"/>
      <w:numFmt w:val="bullet"/>
      <w:lvlText w:val="•"/>
      <w:lvlJc w:val="left"/>
      <w:pPr>
        <w:ind w:left="5248" w:hanging="553"/>
      </w:pPr>
      <w:rPr>
        <w:rFonts w:hint="default"/>
        <w:lang w:val="en-US" w:eastAsia="zh-CN" w:bidi="ar-SA"/>
      </w:rPr>
    </w:lvl>
    <w:lvl w:ilvl="8">
      <w:start w:val="0"/>
      <w:numFmt w:val="bullet"/>
      <w:lvlText w:val="•"/>
      <w:lvlJc w:val="left"/>
      <w:pPr>
        <w:ind w:left="5892" w:hanging="553"/>
      </w:pPr>
      <w:rPr>
        <w:rFonts w:hint="default"/>
        <w:lang w:val="en-US" w:eastAsia="zh-CN" w:bidi="ar-SA"/>
      </w:rPr>
    </w:lvl>
  </w:abstractNum>
  <w:abstractNum w:abstractNumId="44">
    <w:multiLevelType w:val="hybridMultilevel"/>
    <w:lvl w:ilvl="0">
      <w:start w:val="8"/>
      <w:numFmt w:val="decimal"/>
      <w:lvlText w:val="%1"/>
      <w:lvlJc w:val="left"/>
      <w:pPr>
        <w:ind w:left="3037" w:hanging="958"/>
        <w:jc w:val="left"/>
      </w:pPr>
      <w:rPr>
        <w:rFonts w:hint="default"/>
        <w:lang w:val="en-US" w:eastAsia="zh-CN" w:bidi="ar-SA"/>
      </w:rPr>
    </w:lvl>
    <w:lvl w:ilvl="1">
      <w:start w:val="1"/>
      <w:numFmt w:val="decimal"/>
      <w:lvlText w:val="%1.%2"/>
      <w:lvlJc w:val="left"/>
      <w:pPr>
        <w:ind w:left="3037" w:hanging="958"/>
        <w:jc w:val="left"/>
      </w:pPr>
      <w:rPr>
        <w:rFonts w:hint="default"/>
        <w:lang w:val="en-US" w:eastAsia="zh-CN" w:bidi="ar-SA"/>
      </w:rPr>
    </w:lvl>
    <w:lvl w:ilvl="2">
      <w:start w:val="45"/>
      <w:numFmt w:val="decimal"/>
      <w:lvlText w:val="%1.%2.%3"/>
      <w:lvlJc w:val="left"/>
      <w:pPr>
        <w:ind w:left="3037" w:hanging="958"/>
        <w:jc w:val="left"/>
      </w:pPr>
      <w:rPr>
        <w:rFonts w:hint="default" w:ascii="微软雅黑" w:hAnsi="微软雅黑" w:eastAsia="微软雅黑" w:cs="微软雅黑"/>
        <w:b/>
        <w:bCs/>
        <w:i w:val="0"/>
        <w:iCs w:val="0"/>
        <w:w w:val="81"/>
        <w:sz w:val="21"/>
        <w:szCs w:val="21"/>
        <w:lang w:val="en-US" w:eastAsia="zh-CN" w:bidi="ar-SA"/>
      </w:rPr>
    </w:lvl>
    <w:lvl w:ilvl="3">
      <w:start w:val="1"/>
      <w:numFmt w:val="decimal"/>
      <w:lvlText w:val="（%4）"/>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5802" w:hanging="529"/>
      </w:pPr>
      <w:rPr>
        <w:rFonts w:hint="default"/>
        <w:lang w:val="en-US" w:eastAsia="zh-CN" w:bidi="ar-SA"/>
      </w:rPr>
    </w:lvl>
    <w:lvl w:ilvl="5">
      <w:start w:val="0"/>
      <w:numFmt w:val="bullet"/>
      <w:lvlText w:val="•"/>
      <w:lvlJc w:val="left"/>
      <w:pPr>
        <w:ind w:left="6549" w:hanging="529"/>
      </w:pPr>
      <w:rPr>
        <w:rFonts w:hint="default"/>
        <w:lang w:val="en-US" w:eastAsia="zh-CN" w:bidi="ar-SA"/>
      </w:rPr>
    </w:lvl>
    <w:lvl w:ilvl="6">
      <w:start w:val="0"/>
      <w:numFmt w:val="bullet"/>
      <w:lvlText w:val="•"/>
      <w:lvlJc w:val="left"/>
      <w:pPr>
        <w:ind w:left="7296"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91" w:hanging="529"/>
      </w:pPr>
      <w:rPr>
        <w:rFonts w:hint="default"/>
        <w:lang w:val="en-US" w:eastAsia="zh-CN" w:bidi="ar-SA"/>
      </w:rPr>
    </w:lvl>
  </w:abstractNum>
  <w:abstractNum w:abstractNumId="43">
    <w:multiLevelType w:val="hybridMultilevel"/>
    <w:lvl w:ilvl="0">
      <w:start w:val="2"/>
      <w:numFmt w:val="decimal"/>
      <w:lvlText w:val="（%1）"/>
      <w:lvlJc w:val="left"/>
      <w:pPr>
        <w:ind w:left="52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151" w:hanging="529"/>
      </w:pPr>
      <w:rPr>
        <w:rFonts w:hint="default"/>
        <w:lang w:val="en-US" w:eastAsia="zh-CN" w:bidi="ar-SA"/>
      </w:rPr>
    </w:lvl>
    <w:lvl w:ilvl="2">
      <w:start w:val="0"/>
      <w:numFmt w:val="bullet"/>
      <w:lvlText w:val="•"/>
      <w:lvlJc w:val="left"/>
      <w:pPr>
        <w:ind w:left="1783" w:hanging="529"/>
      </w:pPr>
      <w:rPr>
        <w:rFonts w:hint="default"/>
        <w:lang w:val="en-US" w:eastAsia="zh-CN" w:bidi="ar-SA"/>
      </w:rPr>
    </w:lvl>
    <w:lvl w:ilvl="3">
      <w:start w:val="0"/>
      <w:numFmt w:val="bullet"/>
      <w:lvlText w:val="•"/>
      <w:lvlJc w:val="left"/>
      <w:pPr>
        <w:ind w:left="2415" w:hanging="529"/>
      </w:pPr>
      <w:rPr>
        <w:rFonts w:hint="default"/>
        <w:lang w:val="en-US" w:eastAsia="zh-CN" w:bidi="ar-SA"/>
      </w:rPr>
    </w:lvl>
    <w:lvl w:ilvl="4">
      <w:start w:val="0"/>
      <w:numFmt w:val="bullet"/>
      <w:lvlText w:val="•"/>
      <w:lvlJc w:val="left"/>
      <w:pPr>
        <w:ind w:left="3046" w:hanging="529"/>
      </w:pPr>
      <w:rPr>
        <w:rFonts w:hint="default"/>
        <w:lang w:val="en-US" w:eastAsia="zh-CN" w:bidi="ar-SA"/>
      </w:rPr>
    </w:lvl>
    <w:lvl w:ilvl="5">
      <w:start w:val="0"/>
      <w:numFmt w:val="bullet"/>
      <w:lvlText w:val="•"/>
      <w:lvlJc w:val="left"/>
      <w:pPr>
        <w:ind w:left="3678" w:hanging="529"/>
      </w:pPr>
      <w:rPr>
        <w:rFonts w:hint="default"/>
        <w:lang w:val="en-US" w:eastAsia="zh-CN" w:bidi="ar-SA"/>
      </w:rPr>
    </w:lvl>
    <w:lvl w:ilvl="6">
      <w:start w:val="0"/>
      <w:numFmt w:val="bullet"/>
      <w:lvlText w:val="•"/>
      <w:lvlJc w:val="left"/>
      <w:pPr>
        <w:ind w:left="4310" w:hanging="529"/>
      </w:pPr>
      <w:rPr>
        <w:rFonts w:hint="default"/>
        <w:lang w:val="en-US" w:eastAsia="zh-CN" w:bidi="ar-SA"/>
      </w:rPr>
    </w:lvl>
    <w:lvl w:ilvl="7">
      <w:start w:val="0"/>
      <w:numFmt w:val="bullet"/>
      <w:lvlText w:val="•"/>
      <w:lvlJc w:val="left"/>
      <w:pPr>
        <w:ind w:left="4941" w:hanging="529"/>
      </w:pPr>
      <w:rPr>
        <w:rFonts w:hint="default"/>
        <w:lang w:val="en-US" w:eastAsia="zh-CN" w:bidi="ar-SA"/>
      </w:rPr>
    </w:lvl>
    <w:lvl w:ilvl="8">
      <w:start w:val="0"/>
      <w:numFmt w:val="bullet"/>
      <w:lvlText w:val="•"/>
      <w:lvlJc w:val="left"/>
      <w:pPr>
        <w:ind w:left="5573" w:hanging="529"/>
      </w:pPr>
      <w:rPr>
        <w:rFonts w:hint="default"/>
        <w:lang w:val="en-US" w:eastAsia="zh-CN" w:bidi="ar-SA"/>
      </w:rPr>
    </w:lvl>
  </w:abstractNum>
  <w:abstractNum w:abstractNumId="42">
    <w:multiLevelType w:val="hybridMultilevel"/>
    <w:lvl w:ilvl="0">
      <w:start w:val="1"/>
      <w:numFmt w:val="decimal"/>
      <w:lvlText w:val="（%1）"/>
      <w:lvlJc w:val="left"/>
      <w:pPr>
        <w:ind w:left="23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964" w:hanging="529"/>
      </w:pPr>
      <w:rPr>
        <w:rFonts w:hint="default"/>
        <w:lang w:val="en-US" w:eastAsia="zh-CN" w:bidi="ar-SA"/>
      </w:rPr>
    </w:lvl>
    <w:lvl w:ilvl="2">
      <w:start w:val="0"/>
      <w:numFmt w:val="bullet"/>
      <w:lvlText w:val="•"/>
      <w:lvlJc w:val="left"/>
      <w:pPr>
        <w:ind w:left="1688" w:hanging="529"/>
      </w:pPr>
      <w:rPr>
        <w:rFonts w:hint="default"/>
        <w:lang w:val="en-US" w:eastAsia="zh-CN" w:bidi="ar-SA"/>
      </w:rPr>
    </w:lvl>
    <w:lvl w:ilvl="3">
      <w:start w:val="0"/>
      <w:numFmt w:val="bullet"/>
      <w:lvlText w:val="•"/>
      <w:lvlJc w:val="left"/>
      <w:pPr>
        <w:ind w:left="2412" w:hanging="529"/>
      </w:pPr>
      <w:rPr>
        <w:rFonts w:hint="default"/>
        <w:lang w:val="en-US" w:eastAsia="zh-CN" w:bidi="ar-SA"/>
      </w:rPr>
    </w:lvl>
    <w:lvl w:ilvl="4">
      <w:start w:val="0"/>
      <w:numFmt w:val="bullet"/>
      <w:lvlText w:val="•"/>
      <w:lvlJc w:val="left"/>
      <w:pPr>
        <w:ind w:left="3136" w:hanging="529"/>
      </w:pPr>
      <w:rPr>
        <w:rFonts w:hint="default"/>
        <w:lang w:val="en-US" w:eastAsia="zh-CN" w:bidi="ar-SA"/>
      </w:rPr>
    </w:lvl>
    <w:lvl w:ilvl="5">
      <w:start w:val="0"/>
      <w:numFmt w:val="bullet"/>
      <w:lvlText w:val="•"/>
      <w:lvlJc w:val="left"/>
      <w:pPr>
        <w:ind w:left="3861" w:hanging="529"/>
      </w:pPr>
      <w:rPr>
        <w:rFonts w:hint="default"/>
        <w:lang w:val="en-US" w:eastAsia="zh-CN" w:bidi="ar-SA"/>
      </w:rPr>
    </w:lvl>
    <w:lvl w:ilvl="6">
      <w:start w:val="0"/>
      <w:numFmt w:val="bullet"/>
      <w:lvlText w:val="•"/>
      <w:lvlJc w:val="left"/>
      <w:pPr>
        <w:ind w:left="4585" w:hanging="529"/>
      </w:pPr>
      <w:rPr>
        <w:rFonts w:hint="default"/>
        <w:lang w:val="en-US" w:eastAsia="zh-CN" w:bidi="ar-SA"/>
      </w:rPr>
    </w:lvl>
    <w:lvl w:ilvl="7">
      <w:start w:val="0"/>
      <w:numFmt w:val="bullet"/>
      <w:lvlText w:val="•"/>
      <w:lvlJc w:val="left"/>
      <w:pPr>
        <w:ind w:left="5309" w:hanging="529"/>
      </w:pPr>
      <w:rPr>
        <w:rFonts w:hint="default"/>
        <w:lang w:val="en-US" w:eastAsia="zh-CN" w:bidi="ar-SA"/>
      </w:rPr>
    </w:lvl>
    <w:lvl w:ilvl="8">
      <w:start w:val="0"/>
      <w:numFmt w:val="bullet"/>
      <w:lvlText w:val="•"/>
      <w:lvlJc w:val="left"/>
      <w:pPr>
        <w:ind w:left="6033" w:hanging="529"/>
      </w:pPr>
      <w:rPr>
        <w:rFonts w:hint="default"/>
        <w:lang w:val="en-US" w:eastAsia="zh-CN" w:bidi="ar-SA"/>
      </w:rPr>
    </w:lvl>
  </w:abstractNum>
  <w:abstractNum w:abstractNumId="41">
    <w:multiLevelType w:val="hybridMultilevel"/>
    <w:lvl w:ilvl="0">
      <w:start w:val="1"/>
      <w:numFmt w:val="decimal"/>
      <w:lvlText w:val="（%1）"/>
      <w:lvlJc w:val="left"/>
      <w:pPr>
        <w:ind w:left="76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104" w:hanging="529"/>
      </w:pPr>
      <w:rPr>
        <w:rFonts w:hint="default"/>
        <w:lang w:val="en-US" w:eastAsia="zh-CN" w:bidi="ar-SA"/>
      </w:rPr>
    </w:lvl>
    <w:lvl w:ilvl="3">
      <w:start w:val="0"/>
      <w:numFmt w:val="bullet"/>
      <w:lvlText w:val="•"/>
      <w:lvlJc w:val="left"/>
      <w:pPr>
        <w:ind w:left="2777" w:hanging="529"/>
      </w:pPr>
      <w:rPr>
        <w:rFonts w:hint="default"/>
        <w:lang w:val="en-US" w:eastAsia="zh-CN" w:bidi="ar-SA"/>
      </w:rPr>
    </w:lvl>
    <w:lvl w:ilvl="4">
      <w:start w:val="0"/>
      <w:numFmt w:val="bullet"/>
      <w:lvlText w:val="•"/>
      <w:lvlJc w:val="left"/>
      <w:pPr>
        <w:ind w:left="3449" w:hanging="529"/>
      </w:pPr>
      <w:rPr>
        <w:rFonts w:hint="default"/>
        <w:lang w:val="en-US" w:eastAsia="zh-CN" w:bidi="ar-SA"/>
      </w:rPr>
    </w:lvl>
    <w:lvl w:ilvl="5">
      <w:start w:val="0"/>
      <w:numFmt w:val="bullet"/>
      <w:lvlText w:val="•"/>
      <w:lvlJc w:val="left"/>
      <w:pPr>
        <w:ind w:left="4122" w:hanging="529"/>
      </w:pPr>
      <w:rPr>
        <w:rFonts w:hint="default"/>
        <w:lang w:val="en-US" w:eastAsia="zh-CN" w:bidi="ar-SA"/>
      </w:rPr>
    </w:lvl>
    <w:lvl w:ilvl="6">
      <w:start w:val="0"/>
      <w:numFmt w:val="bullet"/>
      <w:lvlText w:val="•"/>
      <w:lvlJc w:val="left"/>
      <w:pPr>
        <w:ind w:left="4794" w:hanging="529"/>
      </w:pPr>
      <w:rPr>
        <w:rFonts w:hint="default"/>
        <w:lang w:val="en-US" w:eastAsia="zh-CN" w:bidi="ar-SA"/>
      </w:rPr>
    </w:lvl>
    <w:lvl w:ilvl="7">
      <w:start w:val="0"/>
      <w:numFmt w:val="bullet"/>
      <w:lvlText w:val="•"/>
      <w:lvlJc w:val="left"/>
      <w:pPr>
        <w:ind w:left="5467" w:hanging="529"/>
      </w:pPr>
      <w:rPr>
        <w:rFonts w:hint="default"/>
        <w:lang w:val="en-US" w:eastAsia="zh-CN" w:bidi="ar-SA"/>
      </w:rPr>
    </w:lvl>
    <w:lvl w:ilvl="8">
      <w:start w:val="0"/>
      <w:numFmt w:val="bullet"/>
      <w:lvlText w:val="•"/>
      <w:lvlJc w:val="left"/>
      <w:pPr>
        <w:ind w:left="6139" w:hanging="529"/>
      </w:pPr>
      <w:rPr>
        <w:rFonts w:hint="default"/>
        <w:lang w:val="en-US" w:eastAsia="zh-CN" w:bidi="ar-SA"/>
      </w:rPr>
    </w:lvl>
  </w:abstractNum>
  <w:abstractNum w:abstractNumId="40">
    <w:multiLevelType w:val="hybridMultilevel"/>
    <w:lvl w:ilvl="0">
      <w:start w:val="1"/>
      <w:numFmt w:val="decimal"/>
      <w:lvlText w:val="（%1）"/>
      <w:lvlJc w:val="left"/>
      <w:pPr>
        <w:ind w:left="303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764" w:hanging="529"/>
      </w:pPr>
      <w:rPr>
        <w:rFonts w:hint="default"/>
        <w:lang w:val="en-US" w:eastAsia="zh-CN" w:bidi="ar-SA"/>
      </w:rPr>
    </w:lvl>
    <w:lvl w:ilvl="2">
      <w:start w:val="0"/>
      <w:numFmt w:val="bullet"/>
      <w:lvlText w:val="•"/>
      <w:lvlJc w:val="left"/>
      <w:pPr>
        <w:ind w:left="4489" w:hanging="529"/>
      </w:pPr>
      <w:rPr>
        <w:rFonts w:hint="default"/>
        <w:lang w:val="en-US" w:eastAsia="zh-CN" w:bidi="ar-SA"/>
      </w:rPr>
    </w:lvl>
    <w:lvl w:ilvl="3">
      <w:start w:val="0"/>
      <w:numFmt w:val="bullet"/>
      <w:lvlText w:val="•"/>
      <w:lvlJc w:val="left"/>
      <w:pPr>
        <w:ind w:left="5213" w:hanging="529"/>
      </w:pPr>
      <w:rPr>
        <w:rFonts w:hint="default"/>
        <w:lang w:val="en-US" w:eastAsia="zh-CN" w:bidi="ar-SA"/>
      </w:rPr>
    </w:lvl>
    <w:lvl w:ilvl="4">
      <w:start w:val="0"/>
      <w:numFmt w:val="bullet"/>
      <w:lvlText w:val="•"/>
      <w:lvlJc w:val="left"/>
      <w:pPr>
        <w:ind w:left="5938" w:hanging="529"/>
      </w:pPr>
      <w:rPr>
        <w:rFonts w:hint="default"/>
        <w:lang w:val="en-US" w:eastAsia="zh-CN" w:bidi="ar-SA"/>
      </w:rPr>
    </w:lvl>
    <w:lvl w:ilvl="5">
      <w:start w:val="0"/>
      <w:numFmt w:val="bullet"/>
      <w:lvlText w:val="•"/>
      <w:lvlJc w:val="left"/>
      <w:pPr>
        <w:ind w:left="6663" w:hanging="529"/>
      </w:pPr>
      <w:rPr>
        <w:rFonts w:hint="default"/>
        <w:lang w:val="en-US" w:eastAsia="zh-CN" w:bidi="ar-SA"/>
      </w:rPr>
    </w:lvl>
    <w:lvl w:ilvl="6">
      <w:start w:val="0"/>
      <w:numFmt w:val="bullet"/>
      <w:lvlText w:val="•"/>
      <w:lvlJc w:val="left"/>
      <w:pPr>
        <w:ind w:left="7387" w:hanging="529"/>
      </w:pPr>
      <w:rPr>
        <w:rFonts w:hint="default"/>
        <w:lang w:val="en-US" w:eastAsia="zh-CN" w:bidi="ar-SA"/>
      </w:rPr>
    </w:lvl>
    <w:lvl w:ilvl="7">
      <w:start w:val="0"/>
      <w:numFmt w:val="bullet"/>
      <w:lvlText w:val="•"/>
      <w:lvlJc w:val="left"/>
      <w:pPr>
        <w:ind w:left="8112" w:hanging="529"/>
      </w:pPr>
      <w:rPr>
        <w:rFonts w:hint="default"/>
        <w:lang w:val="en-US" w:eastAsia="zh-CN" w:bidi="ar-SA"/>
      </w:rPr>
    </w:lvl>
    <w:lvl w:ilvl="8">
      <w:start w:val="0"/>
      <w:numFmt w:val="bullet"/>
      <w:lvlText w:val="•"/>
      <w:lvlJc w:val="left"/>
      <w:pPr>
        <w:ind w:left="8837" w:hanging="529"/>
      </w:pPr>
      <w:rPr>
        <w:rFonts w:hint="default"/>
        <w:lang w:val="en-US" w:eastAsia="zh-CN" w:bidi="ar-SA"/>
      </w:rPr>
    </w:lvl>
  </w:abstractNum>
  <w:abstractNum w:abstractNumId="39">
    <w:multiLevelType w:val="hybridMultilevel"/>
    <w:lvl w:ilvl="0">
      <w:start w:val="1"/>
      <w:numFmt w:val="decimal"/>
      <w:lvlText w:val="（%1）"/>
      <w:lvlJc w:val="left"/>
      <w:pPr>
        <w:ind w:left="76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104" w:hanging="529"/>
      </w:pPr>
      <w:rPr>
        <w:rFonts w:hint="default"/>
        <w:lang w:val="en-US" w:eastAsia="zh-CN" w:bidi="ar-SA"/>
      </w:rPr>
    </w:lvl>
    <w:lvl w:ilvl="3">
      <w:start w:val="0"/>
      <w:numFmt w:val="bullet"/>
      <w:lvlText w:val="•"/>
      <w:lvlJc w:val="left"/>
      <w:pPr>
        <w:ind w:left="2777" w:hanging="529"/>
      </w:pPr>
      <w:rPr>
        <w:rFonts w:hint="default"/>
        <w:lang w:val="en-US" w:eastAsia="zh-CN" w:bidi="ar-SA"/>
      </w:rPr>
    </w:lvl>
    <w:lvl w:ilvl="4">
      <w:start w:val="0"/>
      <w:numFmt w:val="bullet"/>
      <w:lvlText w:val="•"/>
      <w:lvlJc w:val="left"/>
      <w:pPr>
        <w:ind w:left="3449" w:hanging="529"/>
      </w:pPr>
      <w:rPr>
        <w:rFonts w:hint="default"/>
        <w:lang w:val="en-US" w:eastAsia="zh-CN" w:bidi="ar-SA"/>
      </w:rPr>
    </w:lvl>
    <w:lvl w:ilvl="5">
      <w:start w:val="0"/>
      <w:numFmt w:val="bullet"/>
      <w:lvlText w:val="•"/>
      <w:lvlJc w:val="left"/>
      <w:pPr>
        <w:ind w:left="4122" w:hanging="529"/>
      </w:pPr>
      <w:rPr>
        <w:rFonts w:hint="default"/>
        <w:lang w:val="en-US" w:eastAsia="zh-CN" w:bidi="ar-SA"/>
      </w:rPr>
    </w:lvl>
    <w:lvl w:ilvl="6">
      <w:start w:val="0"/>
      <w:numFmt w:val="bullet"/>
      <w:lvlText w:val="•"/>
      <w:lvlJc w:val="left"/>
      <w:pPr>
        <w:ind w:left="4794" w:hanging="529"/>
      </w:pPr>
      <w:rPr>
        <w:rFonts w:hint="default"/>
        <w:lang w:val="en-US" w:eastAsia="zh-CN" w:bidi="ar-SA"/>
      </w:rPr>
    </w:lvl>
    <w:lvl w:ilvl="7">
      <w:start w:val="0"/>
      <w:numFmt w:val="bullet"/>
      <w:lvlText w:val="•"/>
      <w:lvlJc w:val="left"/>
      <w:pPr>
        <w:ind w:left="5467" w:hanging="529"/>
      </w:pPr>
      <w:rPr>
        <w:rFonts w:hint="default"/>
        <w:lang w:val="en-US" w:eastAsia="zh-CN" w:bidi="ar-SA"/>
      </w:rPr>
    </w:lvl>
    <w:lvl w:ilvl="8">
      <w:start w:val="0"/>
      <w:numFmt w:val="bullet"/>
      <w:lvlText w:val="•"/>
      <w:lvlJc w:val="left"/>
      <w:pPr>
        <w:ind w:left="6139" w:hanging="529"/>
      </w:pPr>
      <w:rPr>
        <w:rFonts w:hint="default"/>
        <w:lang w:val="en-US" w:eastAsia="zh-CN" w:bidi="ar-SA"/>
      </w:rPr>
    </w:lvl>
  </w:abstractNum>
  <w:abstractNum w:abstractNumId="38">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3"/>
      <w:numFmt w:val="decimal"/>
      <w:lvlText w:val="（%2）"/>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995" w:hanging="529"/>
      </w:pPr>
      <w:rPr>
        <w:rFonts w:hint="default"/>
        <w:lang w:val="en-US" w:eastAsia="zh-CN" w:bidi="ar-SA"/>
      </w:rPr>
    </w:lvl>
    <w:lvl w:ilvl="3">
      <w:start w:val="0"/>
      <w:numFmt w:val="bullet"/>
      <w:lvlText w:val="•"/>
      <w:lvlJc w:val="left"/>
      <w:pPr>
        <w:ind w:left="4431" w:hanging="529"/>
      </w:pPr>
      <w:rPr>
        <w:rFonts w:hint="default"/>
        <w:lang w:val="en-US" w:eastAsia="zh-CN" w:bidi="ar-SA"/>
      </w:rPr>
    </w:lvl>
    <w:lvl w:ilvl="4">
      <w:start w:val="0"/>
      <w:numFmt w:val="bullet"/>
      <w:lvlText w:val="•"/>
      <w:lvlJc w:val="left"/>
      <w:pPr>
        <w:ind w:left="4867" w:hanging="529"/>
      </w:pPr>
      <w:rPr>
        <w:rFonts w:hint="default"/>
        <w:lang w:val="en-US" w:eastAsia="zh-CN" w:bidi="ar-SA"/>
      </w:rPr>
    </w:lvl>
    <w:lvl w:ilvl="5">
      <w:start w:val="0"/>
      <w:numFmt w:val="bullet"/>
      <w:lvlText w:val="•"/>
      <w:lvlJc w:val="left"/>
      <w:pPr>
        <w:ind w:left="5303" w:hanging="529"/>
      </w:pPr>
      <w:rPr>
        <w:rFonts w:hint="default"/>
        <w:lang w:val="en-US" w:eastAsia="zh-CN" w:bidi="ar-SA"/>
      </w:rPr>
    </w:lvl>
    <w:lvl w:ilvl="6">
      <w:start w:val="0"/>
      <w:numFmt w:val="bullet"/>
      <w:lvlText w:val="•"/>
      <w:lvlJc w:val="left"/>
      <w:pPr>
        <w:ind w:left="5739" w:hanging="529"/>
      </w:pPr>
      <w:rPr>
        <w:rFonts w:hint="default"/>
        <w:lang w:val="en-US" w:eastAsia="zh-CN" w:bidi="ar-SA"/>
      </w:rPr>
    </w:lvl>
    <w:lvl w:ilvl="7">
      <w:start w:val="0"/>
      <w:numFmt w:val="bullet"/>
      <w:lvlText w:val="•"/>
      <w:lvlJc w:val="left"/>
      <w:pPr>
        <w:ind w:left="6174" w:hanging="529"/>
      </w:pPr>
      <w:rPr>
        <w:rFonts w:hint="default"/>
        <w:lang w:val="en-US" w:eastAsia="zh-CN" w:bidi="ar-SA"/>
      </w:rPr>
    </w:lvl>
    <w:lvl w:ilvl="8">
      <w:start w:val="0"/>
      <w:numFmt w:val="bullet"/>
      <w:lvlText w:val="•"/>
      <w:lvlJc w:val="left"/>
      <w:pPr>
        <w:ind w:left="6610" w:hanging="529"/>
      </w:pPr>
      <w:rPr>
        <w:rFonts w:hint="default"/>
        <w:lang w:val="en-US" w:eastAsia="zh-CN" w:bidi="ar-SA"/>
      </w:rPr>
    </w:lvl>
  </w:abstractNum>
  <w:abstractNum w:abstractNumId="37">
    <w:multiLevelType w:val="hybridMultilevel"/>
    <w:lvl w:ilvl="0">
      <w:start w:val="8"/>
      <w:numFmt w:val="decimal"/>
      <w:lvlText w:val="%1"/>
      <w:lvlJc w:val="left"/>
      <w:pPr>
        <w:ind w:left="3037" w:hanging="958"/>
        <w:jc w:val="left"/>
      </w:pPr>
      <w:rPr>
        <w:rFonts w:hint="default"/>
        <w:lang w:val="en-US" w:eastAsia="zh-CN" w:bidi="ar-SA"/>
      </w:rPr>
    </w:lvl>
    <w:lvl w:ilvl="1">
      <w:start w:val="1"/>
      <w:numFmt w:val="decimal"/>
      <w:lvlText w:val="%1.%2"/>
      <w:lvlJc w:val="left"/>
      <w:pPr>
        <w:ind w:left="3037" w:hanging="958"/>
        <w:jc w:val="left"/>
      </w:pPr>
      <w:rPr>
        <w:rFonts w:hint="default"/>
        <w:lang w:val="en-US" w:eastAsia="zh-CN" w:bidi="ar-SA"/>
      </w:rPr>
    </w:lvl>
    <w:lvl w:ilvl="2">
      <w:start w:val="27"/>
      <w:numFmt w:val="decimal"/>
      <w:lvlText w:val="%1.%2.%3"/>
      <w:lvlJc w:val="left"/>
      <w:pPr>
        <w:ind w:left="3037" w:hanging="958"/>
        <w:jc w:val="left"/>
      </w:pPr>
      <w:rPr>
        <w:rFonts w:hint="default" w:ascii="微软雅黑" w:hAnsi="微软雅黑" w:eastAsia="微软雅黑" w:cs="微软雅黑"/>
        <w:b/>
        <w:bCs/>
        <w:i w:val="0"/>
        <w:iCs w:val="0"/>
        <w:w w:val="81"/>
        <w:sz w:val="21"/>
        <w:szCs w:val="21"/>
        <w:lang w:val="en-US" w:eastAsia="zh-CN" w:bidi="ar-SA"/>
      </w:rPr>
    </w:lvl>
    <w:lvl w:ilvl="3">
      <w:start w:val="1"/>
      <w:numFmt w:val="decimal"/>
      <w:lvlText w:val="（%4）"/>
      <w:lvlJc w:val="left"/>
      <w:pPr>
        <w:ind w:left="3037"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5938" w:hanging="529"/>
      </w:pPr>
      <w:rPr>
        <w:rFonts w:hint="default"/>
        <w:lang w:val="en-US" w:eastAsia="zh-CN" w:bidi="ar-SA"/>
      </w:rPr>
    </w:lvl>
    <w:lvl w:ilvl="5">
      <w:start w:val="0"/>
      <w:numFmt w:val="bullet"/>
      <w:lvlText w:val="•"/>
      <w:lvlJc w:val="left"/>
      <w:pPr>
        <w:ind w:left="6663" w:hanging="529"/>
      </w:pPr>
      <w:rPr>
        <w:rFonts w:hint="default"/>
        <w:lang w:val="en-US" w:eastAsia="zh-CN" w:bidi="ar-SA"/>
      </w:rPr>
    </w:lvl>
    <w:lvl w:ilvl="6">
      <w:start w:val="0"/>
      <w:numFmt w:val="bullet"/>
      <w:lvlText w:val="•"/>
      <w:lvlJc w:val="left"/>
      <w:pPr>
        <w:ind w:left="7387" w:hanging="529"/>
      </w:pPr>
      <w:rPr>
        <w:rFonts w:hint="default"/>
        <w:lang w:val="en-US" w:eastAsia="zh-CN" w:bidi="ar-SA"/>
      </w:rPr>
    </w:lvl>
    <w:lvl w:ilvl="7">
      <w:start w:val="0"/>
      <w:numFmt w:val="bullet"/>
      <w:lvlText w:val="•"/>
      <w:lvlJc w:val="left"/>
      <w:pPr>
        <w:ind w:left="8112" w:hanging="529"/>
      </w:pPr>
      <w:rPr>
        <w:rFonts w:hint="default"/>
        <w:lang w:val="en-US" w:eastAsia="zh-CN" w:bidi="ar-SA"/>
      </w:rPr>
    </w:lvl>
    <w:lvl w:ilvl="8">
      <w:start w:val="0"/>
      <w:numFmt w:val="bullet"/>
      <w:lvlText w:val="•"/>
      <w:lvlJc w:val="left"/>
      <w:pPr>
        <w:ind w:left="8837" w:hanging="529"/>
      </w:pPr>
      <w:rPr>
        <w:rFonts w:hint="default"/>
        <w:lang w:val="en-US" w:eastAsia="zh-CN" w:bidi="ar-SA"/>
      </w:rPr>
    </w:lvl>
  </w:abstractNum>
  <w:abstractNum w:abstractNumId="36">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560" w:hanging="529"/>
      </w:pPr>
      <w:rPr>
        <w:rFonts w:hint="default"/>
        <w:lang w:val="en-US" w:eastAsia="zh-CN" w:bidi="ar-SA"/>
      </w:rPr>
    </w:lvl>
    <w:lvl w:ilvl="2">
      <w:start w:val="0"/>
      <w:numFmt w:val="bullet"/>
      <w:lvlText w:val="•"/>
      <w:lvlJc w:val="left"/>
      <w:pPr>
        <w:ind w:left="3995" w:hanging="529"/>
      </w:pPr>
      <w:rPr>
        <w:rFonts w:hint="default"/>
        <w:lang w:val="en-US" w:eastAsia="zh-CN" w:bidi="ar-SA"/>
      </w:rPr>
    </w:lvl>
    <w:lvl w:ilvl="3">
      <w:start w:val="0"/>
      <w:numFmt w:val="bullet"/>
      <w:lvlText w:val="•"/>
      <w:lvlJc w:val="left"/>
      <w:pPr>
        <w:ind w:left="4431" w:hanging="529"/>
      </w:pPr>
      <w:rPr>
        <w:rFonts w:hint="default"/>
        <w:lang w:val="en-US" w:eastAsia="zh-CN" w:bidi="ar-SA"/>
      </w:rPr>
    </w:lvl>
    <w:lvl w:ilvl="4">
      <w:start w:val="0"/>
      <w:numFmt w:val="bullet"/>
      <w:lvlText w:val="•"/>
      <w:lvlJc w:val="left"/>
      <w:pPr>
        <w:ind w:left="4867" w:hanging="529"/>
      </w:pPr>
      <w:rPr>
        <w:rFonts w:hint="default"/>
        <w:lang w:val="en-US" w:eastAsia="zh-CN" w:bidi="ar-SA"/>
      </w:rPr>
    </w:lvl>
    <w:lvl w:ilvl="5">
      <w:start w:val="0"/>
      <w:numFmt w:val="bullet"/>
      <w:lvlText w:val="•"/>
      <w:lvlJc w:val="left"/>
      <w:pPr>
        <w:ind w:left="5303" w:hanging="529"/>
      </w:pPr>
      <w:rPr>
        <w:rFonts w:hint="default"/>
        <w:lang w:val="en-US" w:eastAsia="zh-CN" w:bidi="ar-SA"/>
      </w:rPr>
    </w:lvl>
    <w:lvl w:ilvl="6">
      <w:start w:val="0"/>
      <w:numFmt w:val="bullet"/>
      <w:lvlText w:val="•"/>
      <w:lvlJc w:val="left"/>
      <w:pPr>
        <w:ind w:left="5739" w:hanging="529"/>
      </w:pPr>
      <w:rPr>
        <w:rFonts w:hint="default"/>
        <w:lang w:val="en-US" w:eastAsia="zh-CN" w:bidi="ar-SA"/>
      </w:rPr>
    </w:lvl>
    <w:lvl w:ilvl="7">
      <w:start w:val="0"/>
      <w:numFmt w:val="bullet"/>
      <w:lvlText w:val="•"/>
      <w:lvlJc w:val="left"/>
      <w:pPr>
        <w:ind w:left="6174" w:hanging="529"/>
      </w:pPr>
      <w:rPr>
        <w:rFonts w:hint="default"/>
        <w:lang w:val="en-US" w:eastAsia="zh-CN" w:bidi="ar-SA"/>
      </w:rPr>
    </w:lvl>
    <w:lvl w:ilvl="8">
      <w:start w:val="0"/>
      <w:numFmt w:val="bullet"/>
      <w:lvlText w:val="•"/>
      <w:lvlJc w:val="left"/>
      <w:pPr>
        <w:ind w:left="6610" w:hanging="529"/>
      </w:pPr>
      <w:rPr>
        <w:rFonts w:hint="default"/>
        <w:lang w:val="en-US" w:eastAsia="zh-CN" w:bidi="ar-SA"/>
      </w:rPr>
    </w:lvl>
  </w:abstractNum>
  <w:abstractNum w:abstractNumId="35">
    <w:multiLevelType w:val="hybridMultilevel"/>
    <w:lvl w:ilvl="0">
      <w:start w:val="3"/>
      <w:numFmt w:val="decimal"/>
      <w:lvlText w:val="（%1）"/>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2" w:hanging="529"/>
      </w:pPr>
      <w:rPr>
        <w:rFonts w:hint="default"/>
        <w:lang w:val="en-US" w:eastAsia="zh-CN" w:bidi="ar-SA"/>
      </w:rPr>
    </w:lvl>
    <w:lvl w:ilvl="2">
      <w:start w:val="0"/>
      <w:numFmt w:val="bullet"/>
      <w:lvlText w:val="•"/>
      <w:lvlJc w:val="left"/>
      <w:pPr>
        <w:ind w:left="4905" w:hanging="529"/>
      </w:pPr>
      <w:rPr>
        <w:rFonts w:hint="default"/>
        <w:lang w:val="en-US" w:eastAsia="zh-CN" w:bidi="ar-SA"/>
      </w:rPr>
    </w:lvl>
    <w:lvl w:ilvl="3">
      <w:start w:val="0"/>
      <w:numFmt w:val="bullet"/>
      <w:lvlText w:val="•"/>
      <w:lvlJc w:val="left"/>
      <w:pPr>
        <w:ind w:left="5577" w:hanging="529"/>
      </w:pPr>
      <w:rPr>
        <w:rFonts w:hint="default"/>
        <w:lang w:val="en-US" w:eastAsia="zh-CN" w:bidi="ar-SA"/>
      </w:rPr>
    </w:lvl>
    <w:lvl w:ilvl="4">
      <w:start w:val="0"/>
      <w:numFmt w:val="bullet"/>
      <w:lvlText w:val="•"/>
      <w:lvlJc w:val="left"/>
      <w:pPr>
        <w:ind w:left="6250" w:hanging="529"/>
      </w:pPr>
      <w:rPr>
        <w:rFonts w:hint="default"/>
        <w:lang w:val="en-US" w:eastAsia="zh-CN" w:bidi="ar-SA"/>
      </w:rPr>
    </w:lvl>
    <w:lvl w:ilvl="5">
      <w:start w:val="0"/>
      <w:numFmt w:val="bullet"/>
      <w:lvlText w:val="•"/>
      <w:lvlJc w:val="left"/>
      <w:pPr>
        <w:ind w:left="6923" w:hanging="529"/>
      </w:pPr>
      <w:rPr>
        <w:rFonts w:hint="default"/>
        <w:lang w:val="en-US" w:eastAsia="zh-CN" w:bidi="ar-SA"/>
      </w:rPr>
    </w:lvl>
    <w:lvl w:ilvl="6">
      <w:start w:val="0"/>
      <w:numFmt w:val="bullet"/>
      <w:lvlText w:val="•"/>
      <w:lvlJc w:val="left"/>
      <w:pPr>
        <w:ind w:left="7595" w:hanging="529"/>
      </w:pPr>
      <w:rPr>
        <w:rFonts w:hint="default"/>
        <w:lang w:val="en-US" w:eastAsia="zh-CN" w:bidi="ar-SA"/>
      </w:rPr>
    </w:lvl>
    <w:lvl w:ilvl="7">
      <w:start w:val="0"/>
      <w:numFmt w:val="bullet"/>
      <w:lvlText w:val="•"/>
      <w:lvlJc w:val="left"/>
      <w:pPr>
        <w:ind w:left="8268" w:hanging="529"/>
      </w:pPr>
      <w:rPr>
        <w:rFonts w:hint="default"/>
        <w:lang w:val="en-US" w:eastAsia="zh-CN" w:bidi="ar-SA"/>
      </w:rPr>
    </w:lvl>
    <w:lvl w:ilvl="8">
      <w:start w:val="0"/>
      <w:numFmt w:val="bullet"/>
      <w:lvlText w:val="•"/>
      <w:lvlJc w:val="left"/>
      <w:pPr>
        <w:ind w:left="8941" w:hanging="529"/>
      </w:pPr>
      <w:rPr>
        <w:rFonts w:hint="default"/>
        <w:lang w:val="en-US" w:eastAsia="zh-CN" w:bidi="ar-SA"/>
      </w:rPr>
    </w:lvl>
  </w:abstractNum>
  <w:abstractNum w:abstractNumId="34">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104" w:hanging="529"/>
      </w:pPr>
      <w:rPr>
        <w:rFonts w:hint="default"/>
        <w:lang w:val="en-US" w:eastAsia="zh-CN" w:bidi="ar-SA"/>
      </w:rPr>
    </w:lvl>
    <w:lvl w:ilvl="3">
      <w:start w:val="0"/>
      <w:numFmt w:val="bullet"/>
      <w:lvlText w:val="•"/>
      <w:lvlJc w:val="left"/>
      <w:pPr>
        <w:ind w:left="2776" w:hanging="529"/>
      </w:pPr>
      <w:rPr>
        <w:rFonts w:hint="default"/>
        <w:lang w:val="en-US" w:eastAsia="zh-CN" w:bidi="ar-SA"/>
      </w:rPr>
    </w:lvl>
    <w:lvl w:ilvl="4">
      <w:start w:val="0"/>
      <w:numFmt w:val="bullet"/>
      <w:lvlText w:val="•"/>
      <w:lvlJc w:val="left"/>
      <w:pPr>
        <w:ind w:left="3448" w:hanging="529"/>
      </w:pPr>
      <w:rPr>
        <w:rFonts w:hint="default"/>
        <w:lang w:val="en-US" w:eastAsia="zh-CN" w:bidi="ar-SA"/>
      </w:rPr>
    </w:lvl>
    <w:lvl w:ilvl="5">
      <w:start w:val="0"/>
      <w:numFmt w:val="bullet"/>
      <w:lvlText w:val="•"/>
      <w:lvlJc w:val="left"/>
      <w:pPr>
        <w:ind w:left="4121" w:hanging="529"/>
      </w:pPr>
      <w:rPr>
        <w:rFonts w:hint="default"/>
        <w:lang w:val="en-US" w:eastAsia="zh-CN" w:bidi="ar-SA"/>
      </w:rPr>
    </w:lvl>
    <w:lvl w:ilvl="6">
      <w:start w:val="0"/>
      <w:numFmt w:val="bullet"/>
      <w:lvlText w:val="•"/>
      <w:lvlJc w:val="left"/>
      <w:pPr>
        <w:ind w:left="4793" w:hanging="529"/>
      </w:pPr>
      <w:rPr>
        <w:rFonts w:hint="default"/>
        <w:lang w:val="en-US" w:eastAsia="zh-CN" w:bidi="ar-SA"/>
      </w:rPr>
    </w:lvl>
    <w:lvl w:ilvl="7">
      <w:start w:val="0"/>
      <w:numFmt w:val="bullet"/>
      <w:lvlText w:val="•"/>
      <w:lvlJc w:val="left"/>
      <w:pPr>
        <w:ind w:left="5465" w:hanging="529"/>
      </w:pPr>
      <w:rPr>
        <w:rFonts w:hint="default"/>
        <w:lang w:val="en-US" w:eastAsia="zh-CN" w:bidi="ar-SA"/>
      </w:rPr>
    </w:lvl>
    <w:lvl w:ilvl="8">
      <w:start w:val="0"/>
      <w:numFmt w:val="bullet"/>
      <w:lvlText w:val="•"/>
      <w:lvlJc w:val="left"/>
      <w:pPr>
        <w:ind w:left="6137" w:hanging="529"/>
      </w:pPr>
      <w:rPr>
        <w:rFonts w:hint="default"/>
        <w:lang w:val="en-US" w:eastAsia="zh-CN" w:bidi="ar-SA"/>
      </w:rPr>
    </w:lvl>
  </w:abstractNum>
  <w:abstractNum w:abstractNumId="33">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104" w:hanging="529"/>
      </w:pPr>
      <w:rPr>
        <w:rFonts w:hint="default"/>
        <w:lang w:val="en-US" w:eastAsia="zh-CN" w:bidi="ar-SA"/>
      </w:rPr>
    </w:lvl>
    <w:lvl w:ilvl="3">
      <w:start w:val="0"/>
      <w:numFmt w:val="bullet"/>
      <w:lvlText w:val="•"/>
      <w:lvlJc w:val="left"/>
      <w:pPr>
        <w:ind w:left="2776" w:hanging="529"/>
      </w:pPr>
      <w:rPr>
        <w:rFonts w:hint="default"/>
        <w:lang w:val="en-US" w:eastAsia="zh-CN" w:bidi="ar-SA"/>
      </w:rPr>
    </w:lvl>
    <w:lvl w:ilvl="4">
      <w:start w:val="0"/>
      <w:numFmt w:val="bullet"/>
      <w:lvlText w:val="•"/>
      <w:lvlJc w:val="left"/>
      <w:pPr>
        <w:ind w:left="3448" w:hanging="529"/>
      </w:pPr>
      <w:rPr>
        <w:rFonts w:hint="default"/>
        <w:lang w:val="en-US" w:eastAsia="zh-CN" w:bidi="ar-SA"/>
      </w:rPr>
    </w:lvl>
    <w:lvl w:ilvl="5">
      <w:start w:val="0"/>
      <w:numFmt w:val="bullet"/>
      <w:lvlText w:val="•"/>
      <w:lvlJc w:val="left"/>
      <w:pPr>
        <w:ind w:left="4121" w:hanging="529"/>
      </w:pPr>
      <w:rPr>
        <w:rFonts w:hint="default"/>
        <w:lang w:val="en-US" w:eastAsia="zh-CN" w:bidi="ar-SA"/>
      </w:rPr>
    </w:lvl>
    <w:lvl w:ilvl="6">
      <w:start w:val="0"/>
      <w:numFmt w:val="bullet"/>
      <w:lvlText w:val="•"/>
      <w:lvlJc w:val="left"/>
      <w:pPr>
        <w:ind w:left="4793" w:hanging="529"/>
      </w:pPr>
      <w:rPr>
        <w:rFonts w:hint="default"/>
        <w:lang w:val="en-US" w:eastAsia="zh-CN" w:bidi="ar-SA"/>
      </w:rPr>
    </w:lvl>
    <w:lvl w:ilvl="7">
      <w:start w:val="0"/>
      <w:numFmt w:val="bullet"/>
      <w:lvlText w:val="•"/>
      <w:lvlJc w:val="left"/>
      <w:pPr>
        <w:ind w:left="5465" w:hanging="529"/>
      </w:pPr>
      <w:rPr>
        <w:rFonts w:hint="default"/>
        <w:lang w:val="en-US" w:eastAsia="zh-CN" w:bidi="ar-SA"/>
      </w:rPr>
    </w:lvl>
    <w:lvl w:ilvl="8">
      <w:start w:val="0"/>
      <w:numFmt w:val="bullet"/>
      <w:lvlText w:val="•"/>
      <w:lvlJc w:val="left"/>
      <w:pPr>
        <w:ind w:left="6137" w:hanging="529"/>
      </w:pPr>
      <w:rPr>
        <w:rFonts w:hint="default"/>
        <w:lang w:val="en-US" w:eastAsia="zh-CN" w:bidi="ar-SA"/>
      </w:rPr>
    </w:lvl>
  </w:abstractNum>
  <w:abstractNum w:abstractNumId="32">
    <w:multiLevelType w:val="hybridMultilevel"/>
    <w:lvl w:ilvl="0">
      <w:start w:val="8"/>
      <w:numFmt w:val="decimal"/>
      <w:lvlText w:val="%1"/>
      <w:lvlJc w:val="left"/>
      <w:pPr>
        <w:ind w:left="3037" w:hanging="958"/>
        <w:jc w:val="left"/>
      </w:pPr>
      <w:rPr>
        <w:rFonts w:hint="default"/>
        <w:lang w:val="en-US" w:eastAsia="zh-CN" w:bidi="ar-SA"/>
      </w:rPr>
    </w:lvl>
    <w:lvl w:ilvl="1">
      <w:start w:val="1"/>
      <w:numFmt w:val="decimal"/>
      <w:lvlText w:val="%1.%2"/>
      <w:lvlJc w:val="left"/>
      <w:pPr>
        <w:ind w:left="3037" w:hanging="958"/>
        <w:jc w:val="left"/>
      </w:pPr>
      <w:rPr>
        <w:rFonts w:hint="default"/>
        <w:lang w:val="en-US" w:eastAsia="zh-CN" w:bidi="ar-SA"/>
      </w:rPr>
    </w:lvl>
    <w:lvl w:ilvl="2">
      <w:start w:val="7"/>
      <w:numFmt w:val="decimal"/>
      <w:lvlText w:val="%1.%2.%3"/>
      <w:lvlJc w:val="left"/>
      <w:pPr>
        <w:ind w:left="3037" w:hanging="958"/>
        <w:jc w:val="left"/>
      </w:pPr>
      <w:rPr>
        <w:rFonts w:hint="default" w:ascii="微软雅黑" w:hAnsi="微软雅黑" w:eastAsia="微软雅黑" w:cs="微软雅黑"/>
        <w:b/>
        <w:bCs/>
        <w:i w:val="0"/>
        <w:iCs w:val="0"/>
        <w:w w:val="103"/>
        <w:sz w:val="21"/>
        <w:szCs w:val="21"/>
        <w:lang w:val="en-US" w:eastAsia="zh-CN" w:bidi="ar-SA"/>
      </w:rPr>
    </w:lvl>
    <w:lvl w:ilvl="3">
      <w:start w:val="0"/>
      <w:numFmt w:val="bullet"/>
      <w:lvlText w:val="•"/>
      <w:lvlJc w:val="left"/>
      <w:pPr>
        <w:ind w:left="5054" w:hanging="958"/>
      </w:pPr>
      <w:rPr>
        <w:rFonts w:hint="default"/>
        <w:lang w:val="en-US" w:eastAsia="zh-CN" w:bidi="ar-SA"/>
      </w:rPr>
    </w:lvl>
    <w:lvl w:ilvl="4">
      <w:start w:val="0"/>
      <w:numFmt w:val="bullet"/>
      <w:lvlText w:val="•"/>
      <w:lvlJc w:val="left"/>
      <w:pPr>
        <w:ind w:left="5802" w:hanging="958"/>
      </w:pPr>
      <w:rPr>
        <w:rFonts w:hint="default"/>
        <w:lang w:val="en-US" w:eastAsia="zh-CN" w:bidi="ar-SA"/>
      </w:rPr>
    </w:lvl>
    <w:lvl w:ilvl="5">
      <w:start w:val="0"/>
      <w:numFmt w:val="bullet"/>
      <w:lvlText w:val="•"/>
      <w:lvlJc w:val="left"/>
      <w:pPr>
        <w:ind w:left="6549" w:hanging="958"/>
      </w:pPr>
      <w:rPr>
        <w:rFonts w:hint="default"/>
        <w:lang w:val="en-US" w:eastAsia="zh-CN" w:bidi="ar-SA"/>
      </w:rPr>
    </w:lvl>
    <w:lvl w:ilvl="6">
      <w:start w:val="0"/>
      <w:numFmt w:val="bullet"/>
      <w:lvlText w:val="•"/>
      <w:lvlJc w:val="left"/>
      <w:pPr>
        <w:ind w:left="7296" w:hanging="958"/>
      </w:pPr>
      <w:rPr>
        <w:rFonts w:hint="default"/>
        <w:lang w:val="en-US" w:eastAsia="zh-CN" w:bidi="ar-SA"/>
      </w:rPr>
    </w:lvl>
    <w:lvl w:ilvl="7">
      <w:start w:val="0"/>
      <w:numFmt w:val="bullet"/>
      <w:lvlText w:val="•"/>
      <w:lvlJc w:val="left"/>
      <w:pPr>
        <w:ind w:left="8044" w:hanging="958"/>
      </w:pPr>
      <w:rPr>
        <w:rFonts w:hint="default"/>
        <w:lang w:val="en-US" w:eastAsia="zh-CN" w:bidi="ar-SA"/>
      </w:rPr>
    </w:lvl>
    <w:lvl w:ilvl="8">
      <w:start w:val="0"/>
      <w:numFmt w:val="bullet"/>
      <w:lvlText w:val="•"/>
      <w:lvlJc w:val="left"/>
      <w:pPr>
        <w:ind w:left="8791" w:hanging="958"/>
      </w:pPr>
      <w:rPr>
        <w:rFonts w:hint="default"/>
        <w:lang w:val="en-US" w:eastAsia="zh-CN" w:bidi="ar-SA"/>
      </w:rPr>
    </w:lvl>
  </w:abstractNum>
  <w:abstractNum w:abstractNumId="31">
    <w:multiLevelType w:val="hybridMultilevel"/>
    <w:lvl w:ilvl="0">
      <w:start w:val="1"/>
      <w:numFmt w:val="decimal"/>
      <w:lvlText w:val="（%1）"/>
      <w:lvlJc w:val="left"/>
      <w:pPr>
        <w:ind w:left="733" w:hanging="501"/>
        <w:jc w:val="left"/>
      </w:pPr>
      <w:rPr>
        <w:rFonts w:hint="default" w:ascii="宋体" w:hAnsi="宋体" w:eastAsia="宋体" w:cs="宋体"/>
        <w:b w:val="0"/>
        <w:bCs w:val="0"/>
        <w:i w:val="0"/>
        <w:iCs w:val="0"/>
        <w:w w:val="99"/>
        <w:sz w:val="18"/>
        <w:szCs w:val="18"/>
        <w:lang w:val="en-US" w:eastAsia="zh-CN" w:bidi="ar-SA"/>
      </w:rPr>
    </w:lvl>
    <w:lvl w:ilvl="1">
      <w:start w:val="0"/>
      <w:numFmt w:val="bullet"/>
      <w:lvlText w:val="•"/>
      <w:lvlJc w:val="left"/>
      <w:pPr>
        <w:ind w:left="1694" w:hanging="501"/>
      </w:pPr>
      <w:rPr>
        <w:rFonts w:hint="default"/>
        <w:lang w:val="en-US" w:eastAsia="zh-CN" w:bidi="ar-SA"/>
      </w:rPr>
    </w:lvl>
    <w:lvl w:ilvl="2">
      <w:start w:val="0"/>
      <w:numFmt w:val="bullet"/>
      <w:lvlText w:val="•"/>
      <w:lvlJc w:val="left"/>
      <w:pPr>
        <w:ind w:left="2649" w:hanging="501"/>
      </w:pPr>
      <w:rPr>
        <w:rFonts w:hint="default"/>
        <w:lang w:val="en-US" w:eastAsia="zh-CN" w:bidi="ar-SA"/>
      </w:rPr>
    </w:lvl>
    <w:lvl w:ilvl="3">
      <w:start w:val="0"/>
      <w:numFmt w:val="bullet"/>
      <w:lvlText w:val="•"/>
      <w:lvlJc w:val="left"/>
      <w:pPr>
        <w:ind w:left="3603" w:hanging="501"/>
      </w:pPr>
      <w:rPr>
        <w:rFonts w:hint="default"/>
        <w:lang w:val="en-US" w:eastAsia="zh-CN" w:bidi="ar-SA"/>
      </w:rPr>
    </w:lvl>
    <w:lvl w:ilvl="4">
      <w:start w:val="0"/>
      <w:numFmt w:val="bullet"/>
      <w:lvlText w:val="•"/>
      <w:lvlJc w:val="left"/>
      <w:pPr>
        <w:ind w:left="4558" w:hanging="501"/>
      </w:pPr>
      <w:rPr>
        <w:rFonts w:hint="default"/>
        <w:lang w:val="en-US" w:eastAsia="zh-CN" w:bidi="ar-SA"/>
      </w:rPr>
    </w:lvl>
    <w:lvl w:ilvl="5">
      <w:start w:val="0"/>
      <w:numFmt w:val="bullet"/>
      <w:lvlText w:val="•"/>
      <w:lvlJc w:val="left"/>
      <w:pPr>
        <w:ind w:left="5513" w:hanging="501"/>
      </w:pPr>
      <w:rPr>
        <w:rFonts w:hint="default"/>
        <w:lang w:val="en-US" w:eastAsia="zh-CN" w:bidi="ar-SA"/>
      </w:rPr>
    </w:lvl>
    <w:lvl w:ilvl="6">
      <w:start w:val="0"/>
      <w:numFmt w:val="bullet"/>
      <w:lvlText w:val="•"/>
      <w:lvlJc w:val="left"/>
      <w:pPr>
        <w:ind w:left="6467" w:hanging="501"/>
      </w:pPr>
      <w:rPr>
        <w:rFonts w:hint="default"/>
        <w:lang w:val="en-US" w:eastAsia="zh-CN" w:bidi="ar-SA"/>
      </w:rPr>
    </w:lvl>
    <w:lvl w:ilvl="7">
      <w:start w:val="0"/>
      <w:numFmt w:val="bullet"/>
      <w:lvlText w:val="•"/>
      <w:lvlJc w:val="left"/>
      <w:pPr>
        <w:ind w:left="7422" w:hanging="501"/>
      </w:pPr>
      <w:rPr>
        <w:rFonts w:hint="default"/>
        <w:lang w:val="en-US" w:eastAsia="zh-CN" w:bidi="ar-SA"/>
      </w:rPr>
    </w:lvl>
    <w:lvl w:ilvl="8">
      <w:start w:val="0"/>
      <w:numFmt w:val="bullet"/>
      <w:lvlText w:val="•"/>
      <w:lvlJc w:val="left"/>
      <w:pPr>
        <w:ind w:left="8377" w:hanging="501"/>
      </w:pPr>
      <w:rPr>
        <w:rFonts w:hint="default"/>
        <w:lang w:val="en-US" w:eastAsia="zh-CN" w:bidi="ar-SA"/>
      </w:rPr>
    </w:lvl>
  </w:abstractNum>
  <w:abstractNum w:abstractNumId="30">
    <w:multiLevelType w:val="hybridMultilevel"/>
    <w:lvl w:ilvl="0">
      <w:start w:val="1"/>
      <w:numFmt w:val="decimal"/>
      <w:lvlText w:val="（%1）"/>
      <w:lvlJc w:val="left"/>
      <w:pPr>
        <w:ind w:left="71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66" w:hanging="529"/>
      </w:pPr>
      <w:rPr>
        <w:rFonts w:hint="default"/>
        <w:lang w:val="en-US" w:eastAsia="zh-CN" w:bidi="ar-SA"/>
      </w:rPr>
    </w:lvl>
    <w:lvl w:ilvl="2">
      <w:start w:val="0"/>
      <w:numFmt w:val="bullet"/>
      <w:lvlText w:val="•"/>
      <w:lvlJc w:val="left"/>
      <w:pPr>
        <w:ind w:left="2012" w:hanging="529"/>
      </w:pPr>
      <w:rPr>
        <w:rFonts w:hint="default"/>
        <w:lang w:val="en-US" w:eastAsia="zh-CN" w:bidi="ar-SA"/>
      </w:rPr>
    </w:lvl>
    <w:lvl w:ilvl="3">
      <w:start w:val="0"/>
      <w:numFmt w:val="bullet"/>
      <w:lvlText w:val="•"/>
      <w:lvlJc w:val="left"/>
      <w:pPr>
        <w:ind w:left="2658" w:hanging="529"/>
      </w:pPr>
      <w:rPr>
        <w:rFonts w:hint="default"/>
        <w:lang w:val="en-US" w:eastAsia="zh-CN" w:bidi="ar-SA"/>
      </w:rPr>
    </w:lvl>
    <w:lvl w:ilvl="4">
      <w:start w:val="0"/>
      <w:numFmt w:val="bullet"/>
      <w:lvlText w:val="•"/>
      <w:lvlJc w:val="left"/>
      <w:pPr>
        <w:ind w:left="3304" w:hanging="529"/>
      </w:pPr>
      <w:rPr>
        <w:rFonts w:hint="default"/>
        <w:lang w:val="en-US" w:eastAsia="zh-CN" w:bidi="ar-SA"/>
      </w:rPr>
    </w:lvl>
    <w:lvl w:ilvl="5">
      <w:start w:val="0"/>
      <w:numFmt w:val="bullet"/>
      <w:lvlText w:val="•"/>
      <w:lvlJc w:val="left"/>
      <w:pPr>
        <w:ind w:left="3950" w:hanging="529"/>
      </w:pPr>
      <w:rPr>
        <w:rFonts w:hint="default"/>
        <w:lang w:val="en-US" w:eastAsia="zh-CN" w:bidi="ar-SA"/>
      </w:rPr>
    </w:lvl>
    <w:lvl w:ilvl="6">
      <w:start w:val="0"/>
      <w:numFmt w:val="bullet"/>
      <w:lvlText w:val="•"/>
      <w:lvlJc w:val="left"/>
      <w:pPr>
        <w:ind w:left="4596" w:hanging="529"/>
      </w:pPr>
      <w:rPr>
        <w:rFonts w:hint="default"/>
        <w:lang w:val="en-US" w:eastAsia="zh-CN" w:bidi="ar-SA"/>
      </w:rPr>
    </w:lvl>
    <w:lvl w:ilvl="7">
      <w:start w:val="0"/>
      <w:numFmt w:val="bullet"/>
      <w:lvlText w:val="•"/>
      <w:lvlJc w:val="left"/>
      <w:pPr>
        <w:ind w:left="5242" w:hanging="529"/>
      </w:pPr>
      <w:rPr>
        <w:rFonts w:hint="default"/>
        <w:lang w:val="en-US" w:eastAsia="zh-CN" w:bidi="ar-SA"/>
      </w:rPr>
    </w:lvl>
    <w:lvl w:ilvl="8">
      <w:start w:val="0"/>
      <w:numFmt w:val="bullet"/>
      <w:lvlText w:val="•"/>
      <w:lvlJc w:val="left"/>
      <w:pPr>
        <w:ind w:left="5888" w:hanging="529"/>
      </w:pPr>
      <w:rPr>
        <w:rFonts w:hint="default"/>
        <w:lang w:val="en-US" w:eastAsia="zh-CN" w:bidi="ar-SA"/>
      </w:rPr>
    </w:lvl>
  </w:abstractNum>
  <w:abstractNum w:abstractNumId="29">
    <w:multiLevelType w:val="hybridMultilevel"/>
    <w:lvl w:ilvl="0">
      <w:start w:val="1"/>
      <w:numFmt w:val="decimal"/>
      <w:lvlText w:val="（%1）"/>
      <w:lvlJc w:val="left"/>
      <w:pPr>
        <w:ind w:left="232" w:hanging="529"/>
        <w:jc w:val="left"/>
      </w:pPr>
      <w:rPr>
        <w:rFonts w:hint="default" w:ascii="宋体" w:hAnsi="宋体" w:eastAsia="宋体" w:cs="宋体"/>
        <w:b w:val="0"/>
        <w:bCs w:val="0"/>
        <w:i w:val="0"/>
        <w:iCs w:val="0"/>
        <w:spacing w:val="-27"/>
        <w:w w:val="100"/>
        <w:sz w:val="19"/>
        <w:szCs w:val="19"/>
        <w:lang w:val="en-US" w:eastAsia="zh-CN" w:bidi="ar-SA"/>
      </w:rPr>
    </w:lvl>
    <w:lvl w:ilvl="1">
      <w:start w:val="0"/>
      <w:numFmt w:val="decimal"/>
      <w:lvlText w:val="%2"/>
      <w:lvlJc w:val="left"/>
      <w:pPr>
        <w:ind w:left="526" w:hanging="152"/>
        <w:jc w:val="left"/>
      </w:pPr>
      <w:rPr>
        <w:rFonts w:hint="default" w:ascii="宋体" w:hAnsi="宋体" w:eastAsia="宋体" w:cs="宋体"/>
        <w:b w:val="0"/>
        <w:bCs w:val="0"/>
        <w:i w:val="0"/>
        <w:iCs w:val="0"/>
        <w:w w:val="99"/>
        <w:sz w:val="20"/>
        <w:szCs w:val="20"/>
        <w:lang w:val="en-US" w:eastAsia="zh-CN" w:bidi="ar-SA"/>
      </w:rPr>
    </w:lvl>
    <w:lvl w:ilvl="2">
      <w:start w:val="0"/>
      <w:numFmt w:val="bullet"/>
      <w:lvlText w:val="•"/>
      <w:lvlJc w:val="left"/>
      <w:pPr>
        <w:ind w:left="1293" w:hanging="152"/>
      </w:pPr>
      <w:rPr>
        <w:rFonts w:hint="default"/>
        <w:lang w:val="en-US" w:eastAsia="zh-CN" w:bidi="ar-SA"/>
      </w:rPr>
    </w:lvl>
    <w:lvl w:ilvl="3">
      <w:start w:val="0"/>
      <w:numFmt w:val="bullet"/>
      <w:lvlText w:val="•"/>
      <w:lvlJc w:val="left"/>
      <w:pPr>
        <w:ind w:left="2067" w:hanging="152"/>
      </w:pPr>
      <w:rPr>
        <w:rFonts w:hint="default"/>
        <w:lang w:val="en-US" w:eastAsia="zh-CN" w:bidi="ar-SA"/>
      </w:rPr>
    </w:lvl>
    <w:lvl w:ilvl="4">
      <w:start w:val="0"/>
      <w:numFmt w:val="bullet"/>
      <w:lvlText w:val="•"/>
      <w:lvlJc w:val="left"/>
      <w:pPr>
        <w:ind w:left="2840" w:hanging="152"/>
      </w:pPr>
      <w:rPr>
        <w:rFonts w:hint="default"/>
        <w:lang w:val="en-US" w:eastAsia="zh-CN" w:bidi="ar-SA"/>
      </w:rPr>
    </w:lvl>
    <w:lvl w:ilvl="5">
      <w:start w:val="0"/>
      <w:numFmt w:val="bullet"/>
      <w:lvlText w:val="•"/>
      <w:lvlJc w:val="left"/>
      <w:pPr>
        <w:ind w:left="3614" w:hanging="152"/>
      </w:pPr>
      <w:rPr>
        <w:rFonts w:hint="default"/>
        <w:lang w:val="en-US" w:eastAsia="zh-CN" w:bidi="ar-SA"/>
      </w:rPr>
    </w:lvl>
    <w:lvl w:ilvl="6">
      <w:start w:val="0"/>
      <w:numFmt w:val="bullet"/>
      <w:lvlText w:val="•"/>
      <w:lvlJc w:val="left"/>
      <w:pPr>
        <w:ind w:left="4387" w:hanging="152"/>
      </w:pPr>
      <w:rPr>
        <w:rFonts w:hint="default"/>
        <w:lang w:val="en-US" w:eastAsia="zh-CN" w:bidi="ar-SA"/>
      </w:rPr>
    </w:lvl>
    <w:lvl w:ilvl="7">
      <w:start w:val="0"/>
      <w:numFmt w:val="bullet"/>
      <w:lvlText w:val="•"/>
      <w:lvlJc w:val="left"/>
      <w:pPr>
        <w:ind w:left="5161" w:hanging="152"/>
      </w:pPr>
      <w:rPr>
        <w:rFonts w:hint="default"/>
        <w:lang w:val="en-US" w:eastAsia="zh-CN" w:bidi="ar-SA"/>
      </w:rPr>
    </w:lvl>
    <w:lvl w:ilvl="8">
      <w:start w:val="0"/>
      <w:numFmt w:val="bullet"/>
      <w:lvlText w:val="•"/>
      <w:lvlJc w:val="left"/>
      <w:pPr>
        <w:ind w:left="5935" w:hanging="152"/>
      </w:pPr>
      <w:rPr>
        <w:rFonts w:hint="default"/>
        <w:lang w:val="en-US" w:eastAsia="zh-CN" w:bidi="ar-SA"/>
      </w:rPr>
    </w:lvl>
  </w:abstractNum>
  <w:abstractNum w:abstractNumId="28">
    <w:multiLevelType w:val="hybridMultilevel"/>
    <w:lvl w:ilvl="0">
      <w:start w:val="1"/>
      <w:numFmt w:val="decimal"/>
      <w:lvlText w:val="（%1）"/>
      <w:lvlJc w:val="left"/>
      <w:pPr>
        <w:ind w:left="733" w:hanging="501"/>
        <w:jc w:val="left"/>
      </w:pPr>
      <w:rPr>
        <w:rFonts w:hint="default" w:ascii="宋体" w:hAnsi="宋体" w:eastAsia="宋体" w:cs="宋体"/>
        <w:b w:val="0"/>
        <w:bCs w:val="0"/>
        <w:i w:val="0"/>
        <w:iCs w:val="0"/>
        <w:w w:val="99"/>
        <w:sz w:val="18"/>
        <w:szCs w:val="18"/>
        <w:lang w:val="en-US" w:eastAsia="zh-CN" w:bidi="ar-SA"/>
      </w:rPr>
    </w:lvl>
    <w:lvl w:ilvl="1">
      <w:start w:val="2"/>
      <w:numFmt w:val="decimal"/>
      <w:lvlText w:val="（%2）"/>
      <w:lvlJc w:val="left"/>
      <w:pPr>
        <w:ind w:left="3037" w:hanging="553"/>
        <w:jc w:val="left"/>
      </w:pPr>
      <w:rPr>
        <w:rFonts w:hint="default" w:ascii="微软雅黑" w:hAnsi="微软雅黑" w:eastAsia="微软雅黑" w:cs="微软雅黑"/>
        <w:b/>
        <w:bCs/>
        <w:i w:val="0"/>
        <w:iCs w:val="0"/>
        <w:spacing w:val="-8"/>
        <w:w w:val="81"/>
        <w:sz w:val="20"/>
        <w:szCs w:val="20"/>
        <w:shd w:fill="D9D9D9" w:color="auto" w:val="clear"/>
        <w:lang w:val="en-US" w:eastAsia="zh-CN" w:bidi="ar-SA"/>
      </w:rPr>
    </w:lvl>
    <w:lvl w:ilvl="2">
      <w:start w:val="0"/>
      <w:numFmt w:val="bullet"/>
      <w:lvlText w:val="•"/>
      <w:lvlJc w:val="left"/>
      <w:pPr>
        <w:ind w:left="3845" w:hanging="553"/>
      </w:pPr>
      <w:rPr>
        <w:rFonts w:hint="default"/>
        <w:lang w:val="en-US" w:eastAsia="zh-CN" w:bidi="ar-SA"/>
      </w:rPr>
    </w:lvl>
    <w:lvl w:ilvl="3">
      <w:start w:val="0"/>
      <w:numFmt w:val="bullet"/>
      <w:lvlText w:val="•"/>
      <w:lvlJc w:val="left"/>
      <w:pPr>
        <w:ind w:left="4650" w:hanging="553"/>
      </w:pPr>
      <w:rPr>
        <w:rFonts w:hint="default"/>
        <w:lang w:val="en-US" w:eastAsia="zh-CN" w:bidi="ar-SA"/>
      </w:rPr>
    </w:lvl>
    <w:lvl w:ilvl="4">
      <w:start w:val="0"/>
      <w:numFmt w:val="bullet"/>
      <w:lvlText w:val="•"/>
      <w:lvlJc w:val="left"/>
      <w:pPr>
        <w:ind w:left="5455" w:hanging="553"/>
      </w:pPr>
      <w:rPr>
        <w:rFonts w:hint="default"/>
        <w:lang w:val="en-US" w:eastAsia="zh-CN" w:bidi="ar-SA"/>
      </w:rPr>
    </w:lvl>
    <w:lvl w:ilvl="5">
      <w:start w:val="0"/>
      <w:numFmt w:val="bullet"/>
      <w:lvlText w:val="•"/>
      <w:lvlJc w:val="left"/>
      <w:pPr>
        <w:ind w:left="6260" w:hanging="553"/>
      </w:pPr>
      <w:rPr>
        <w:rFonts w:hint="default"/>
        <w:lang w:val="en-US" w:eastAsia="zh-CN" w:bidi="ar-SA"/>
      </w:rPr>
    </w:lvl>
    <w:lvl w:ilvl="6">
      <w:start w:val="0"/>
      <w:numFmt w:val="bullet"/>
      <w:lvlText w:val="•"/>
      <w:lvlJc w:val="left"/>
      <w:pPr>
        <w:ind w:left="7065" w:hanging="553"/>
      </w:pPr>
      <w:rPr>
        <w:rFonts w:hint="default"/>
        <w:lang w:val="en-US" w:eastAsia="zh-CN" w:bidi="ar-SA"/>
      </w:rPr>
    </w:lvl>
    <w:lvl w:ilvl="7">
      <w:start w:val="0"/>
      <w:numFmt w:val="bullet"/>
      <w:lvlText w:val="•"/>
      <w:lvlJc w:val="left"/>
      <w:pPr>
        <w:ind w:left="7870" w:hanging="553"/>
      </w:pPr>
      <w:rPr>
        <w:rFonts w:hint="default"/>
        <w:lang w:val="en-US" w:eastAsia="zh-CN" w:bidi="ar-SA"/>
      </w:rPr>
    </w:lvl>
    <w:lvl w:ilvl="8">
      <w:start w:val="0"/>
      <w:numFmt w:val="bullet"/>
      <w:lvlText w:val="•"/>
      <w:lvlJc w:val="left"/>
      <w:pPr>
        <w:ind w:left="8676" w:hanging="553"/>
      </w:pPr>
      <w:rPr>
        <w:rFonts w:hint="default"/>
        <w:lang w:val="en-US" w:eastAsia="zh-CN" w:bidi="ar-SA"/>
      </w:rPr>
    </w:lvl>
  </w:abstractNum>
  <w:abstractNum w:abstractNumId="27">
    <w:multiLevelType w:val="hybridMultilevel"/>
    <w:lvl w:ilvl="0">
      <w:start w:val="8"/>
      <w:numFmt w:val="decimal"/>
      <w:lvlText w:val="%1"/>
      <w:lvlJc w:val="left"/>
      <w:pPr>
        <w:ind w:left="3037" w:hanging="1038"/>
        <w:jc w:val="left"/>
      </w:pPr>
      <w:rPr>
        <w:rFonts w:hint="default"/>
        <w:lang w:val="en-US" w:eastAsia="zh-CN" w:bidi="ar-SA"/>
      </w:rPr>
    </w:lvl>
    <w:lvl w:ilvl="1">
      <w:start w:val="1"/>
      <w:numFmt w:val="decimal"/>
      <w:lvlText w:val="%1.%2"/>
      <w:lvlJc w:val="left"/>
      <w:pPr>
        <w:ind w:left="3037" w:hanging="1038"/>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1.%2.%3"/>
      <w:lvlJc w:val="left"/>
      <w:pPr>
        <w:ind w:left="1190" w:hanging="958"/>
        <w:jc w:val="left"/>
      </w:pPr>
      <w:rPr>
        <w:rFonts w:hint="default" w:ascii="微软雅黑" w:hAnsi="微软雅黑" w:eastAsia="微软雅黑" w:cs="微软雅黑"/>
        <w:b/>
        <w:bCs/>
        <w:i w:val="0"/>
        <w:iCs w:val="0"/>
        <w:w w:val="103"/>
        <w:sz w:val="21"/>
        <w:szCs w:val="21"/>
        <w:lang w:val="en-US" w:eastAsia="zh-CN" w:bidi="ar-SA"/>
      </w:rPr>
    </w:lvl>
    <w:lvl w:ilvl="3">
      <w:start w:val="0"/>
      <w:numFmt w:val="bullet"/>
      <w:lvlText w:val="•"/>
      <w:lvlJc w:val="left"/>
      <w:pPr>
        <w:ind w:left="2966" w:hanging="958"/>
      </w:pPr>
      <w:rPr>
        <w:rFonts w:hint="default"/>
        <w:lang w:val="en-US" w:eastAsia="zh-CN" w:bidi="ar-SA"/>
      </w:rPr>
    </w:lvl>
    <w:lvl w:ilvl="4">
      <w:start w:val="0"/>
      <w:numFmt w:val="bullet"/>
      <w:lvlText w:val="•"/>
      <w:lvlJc w:val="left"/>
      <w:pPr>
        <w:ind w:left="2929" w:hanging="958"/>
      </w:pPr>
      <w:rPr>
        <w:rFonts w:hint="default"/>
        <w:lang w:val="en-US" w:eastAsia="zh-CN" w:bidi="ar-SA"/>
      </w:rPr>
    </w:lvl>
    <w:lvl w:ilvl="5">
      <w:start w:val="0"/>
      <w:numFmt w:val="bullet"/>
      <w:lvlText w:val="•"/>
      <w:lvlJc w:val="left"/>
      <w:pPr>
        <w:ind w:left="2892" w:hanging="958"/>
      </w:pPr>
      <w:rPr>
        <w:rFonts w:hint="default"/>
        <w:lang w:val="en-US" w:eastAsia="zh-CN" w:bidi="ar-SA"/>
      </w:rPr>
    </w:lvl>
    <w:lvl w:ilvl="6">
      <w:start w:val="0"/>
      <w:numFmt w:val="bullet"/>
      <w:lvlText w:val="•"/>
      <w:lvlJc w:val="left"/>
      <w:pPr>
        <w:ind w:left="2856" w:hanging="958"/>
      </w:pPr>
      <w:rPr>
        <w:rFonts w:hint="default"/>
        <w:lang w:val="en-US" w:eastAsia="zh-CN" w:bidi="ar-SA"/>
      </w:rPr>
    </w:lvl>
    <w:lvl w:ilvl="7">
      <w:start w:val="0"/>
      <w:numFmt w:val="bullet"/>
      <w:lvlText w:val="•"/>
      <w:lvlJc w:val="left"/>
      <w:pPr>
        <w:ind w:left="2819" w:hanging="958"/>
      </w:pPr>
      <w:rPr>
        <w:rFonts w:hint="default"/>
        <w:lang w:val="en-US" w:eastAsia="zh-CN" w:bidi="ar-SA"/>
      </w:rPr>
    </w:lvl>
    <w:lvl w:ilvl="8">
      <w:start w:val="0"/>
      <w:numFmt w:val="bullet"/>
      <w:lvlText w:val="•"/>
      <w:lvlJc w:val="left"/>
      <w:pPr>
        <w:ind w:left="2782" w:hanging="958"/>
      </w:pPr>
      <w:rPr>
        <w:rFonts w:hint="default"/>
        <w:lang w:val="en-US" w:eastAsia="zh-CN" w:bidi="ar-SA"/>
      </w:rPr>
    </w:lvl>
  </w:abstractNum>
  <w:abstractNum w:abstractNumId="26">
    <w:multiLevelType w:val="hybridMultilevel"/>
    <w:lvl w:ilvl="0">
      <w:start w:val="1"/>
      <w:numFmt w:val="decimal"/>
      <w:lvlText w:val="（%1）"/>
      <w:lvlJc w:val="left"/>
      <w:pPr>
        <w:ind w:left="232" w:hanging="553"/>
        <w:jc w:val="left"/>
      </w:pPr>
      <w:rPr>
        <w:rFonts w:hint="default"/>
        <w:spacing w:val="-8"/>
        <w:w w:val="81"/>
        <w:lang w:val="en-US" w:eastAsia="zh-CN" w:bidi="ar-SA"/>
      </w:rPr>
    </w:lvl>
    <w:lvl w:ilvl="1">
      <w:start w:val="0"/>
      <w:numFmt w:val="bullet"/>
      <w:lvlText w:val="•"/>
      <w:lvlJc w:val="left"/>
      <w:pPr>
        <w:ind w:left="963" w:hanging="553"/>
      </w:pPr>
      <w:rPr>
        <w:rFonts w:hint="default"/>
        <w:lang w:val="en-US" w:eastAsia="zh-CN" w:bidi="ar-SA"/>
      </w:rPr>
    </w:lvl>
    <w:lvl w:ilvl="2">
      <w:start w:val="0"/>
      <w:numFmt w:val="bullet"/>
      <w:lvlText w:val="•"/>
      <w:lvlJc w:val="left"/>
      <w:pPr>
        <w:ind w:left="1687" w:hanging="553"/>
      </w:pPr>
      <w:rPr>
        <w:rFonts w:hint="default"/>
        <w:lang w:val="en-US" w:eastAsia="zh-CN" w:bidi="ar-SA"/>
      </w:rPr>
    </w:lvl>
    <w:lvl w:ilvl="3">
      <w:start w:val="0"/>
      <w:numFmt w:val="bullet"/>
      <w:lvlText w:val="•"/>
      <w:lvlJc w:val="left"/>
      <w:pPr>
        <w:ind w:left="2411" w:hanging="553"/>
      </w:pPr>
      <w:rPr>
        <w:rFonts w:hint="default"/>
        <w:lang w:val="en-US" w:eastAsia="zh-CN" w:bidi="ar-SA"/>
      </w:rPr>
    </w:lvl>
    <w:lvl w:ilvl="4">
      <w:start w:val="0"/>
      <w:numFmt w:val="bullet"/>
      <w:lvlText w:val="•"/>
      <w:lvlJc w:val="left"/>
      <w:pPr>
        <w:ind w:left="3135" w:hanging="553"/>
      </w:pPr>
      <w:rPr>
        <w:rFonts w:hint="default"/>
        <w:lang w:val="en-US" w:eastAsia="zh-CN" w:bidi="ar-SA"/>
      </w:rPr>
    </w:lvl>
    <w:lvl w:ilvl="5">
      <w:start w:val="0"/>
      <w:numFmt w:val="bullet"/>
      <w:lvlText w:val="•"/>
      <w:lvlJc w:val="left"/>
      <w:pPr>
        <w:ind w:left="3859" w:hanging="553"/>
      </w:pPr>
      <w:rPr>
        <w:rFonts w:hint="default"/>
        <w:lang w:val="en-US" w:eastAsia="zh-CN" w:bidi="ar-SA"/>
      </w:rPr>
    </w:lvl>
    <w:lvl w:ilvl="6">
      <w:start w:val="0"/>
      <w:numFmt w:val="bullet"/>
      <w:lvlText w:val="•"/>
      <w:lvlJc w:val="left"/>
      <w:pPr>
        <w:ind w:left="4583" w:hanging="553"/>
      </w:pPr>
      <w:rPr>
        <w:rFonts w:hint="default"/>
        <w:lang w:val="en-US" w:eastAsia="zh-CN" w:bidi="ar-SA"/>
      </w:rPr>
    </w:lvl>
    <w:lvl w:ilvl="7">
      <w:start w:val="0"/>
      <w:numFmt w:val="bullet"/>
      <w:lvlText w:val="•"/>
      <w:lvlJc w:val="left"/>
      <w:pPr>
        <w:ind w:left="5307" w:hanging="553"/>
      </w:pPr>
      <w:rPr>
        <w:rFonts w:hint="default"/>
        <w:lang w:val="en-US" w:eastAsia="zh-CN" w:bidi="ar-SA"/>
      </w:rPr>
    </w:lvl>
    <w:lvl w:ilvl="8">
      <w:start w:val="0"/>
      <w:numFmt w:val="bullet"/>
      <w:lvlText w:val="•"/>
      <w:lvlJc w:val="left"/>
      <w:pPr>
        <w:ind w:left="6031" w:hanging="553"/>
      </w:pPr>
      <w:rPr>
        <w:rFonts w:hint="default"/>
        <w:lang w:val="en-US" w:eastAsia="zh-CN" w:bidi="ar-SA"/>
      </w:rPr>
    </w:lvl>
  </w:abstractNum>
  <w:abstractNum w:abstractNumId="25">
    <w:multiLevelType w:val="hybridMultilevel"/>
    <w:lvl w:ilvl="0">
      <w:start w:val="7"/>
      <w:numFmt w:val="decimal"/>
      <w:lvlText w:val="%1"/>
      <w:lvlJc w:val="left"/>
      <w:pPr>
        <w:ind w:left="3037" w:hanging="1038"/>
        <w:jc w:val="left"/>
      </w:pPr>
      <w:rPr>
        <w:rFonts w:hint="default"/>
        <w:lang w:val="en-US" w:eastAsia="zh-CN" w:bidi="ar-SA"/>
      </w:rPr>
    </w:lvl>
    <w:lvl w:ilvl="1">
      <w:start w:val="1"/>
      <w:numFmt w:val="decimal"/>
      <w:lvlText w:val="%1.%2"/>
      <w:lvlJc w:val="left"/>
      <w:pPr>
        <w:ind w:left="3037" w:hanging="1038"/>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54" w:hanging="529"/>
      </w:pPr>
      <w:rPr>
        <w:rFonts w:hint="default"/>
        <w:lang w:val="en-US" w:eastAsia="zh-CN" w:bidi="ar-SA"/>
      </w:rPr>
    </w:lvl>
    <w:lvl w:ilvl="4">
      <w:start w:val="0"/>
      <w:numFmt w:val="bullet"/>
      <w:lvlText w:val="•"/>
      <w:lvlJc w:val="left"/>
      <w:pPr>
        <w:ind w:left="5802" w:hanging="529"/>
      </w:pPr>
      <w:rPr>
        <w:rFonts w:hint="default"/>
        <w:lang w:val="en-US" w:eastAsia="zh-CN" w:bidi="ar-SA"/>
      </w:rPr>
    </w:lvl>
    <w:lvl w:ilvl="5">
      <w:start w:val="0"/>
      <w:numFmt w:val="bullet"/>
      <w:lvlText w:val="•"/>
      <w:lvlJc w:val="left"/>
      <w:pPr>
        <w:ind w:left="6549" w:hanging="529"/>
      </w:pPr>
      <w:rPr>
        <w:rFonts w:hint="default"/>
        <w:lang w:val="en-US" w:eastAsia="zh-CN" w:bidi="ar-SA"/>
      </w:rPr>
    </w:lvl>
    <w:lvl w:ilvl="6">
      <w:start w:val="0"/>
      <w:numFmt w:val="bullet"/>
      <w:lvlText w:val="•"/>
      <w:lvlJc w:val="left"/>
      <w:pPr>
        <w:ind w:left="7296"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91" w:hanging="529"/>
      </w:pPr>
      <w:rPr>
        <w:rFonts w:hint="default"/>
        <w:lang w:val="en-US" w:eastAsia="zh-CN" w:bidi="ar-SA"/>
      </w:rPr>
    </w:lvl>
  </w:abstractNum>
  <w:abstractNum w:abstractNumId="24">
    <w:multiLevelType w:val="hybridMultilevel"/>
    <w:lvl w:ilvl="0">
      <w:start w:val="6"/>
      <w:numFmt w:val="decimal"/>
      <w:lvlText w:val="%1"/>
      <w:lvlJc w:val="left"/>
      <w:pPr>
        <w:ind w:left="3037" w:hanging="1038"/>
        <w:jc w:val="left"/>
      </w:pPr>
      <w:rPr>
        <w:rFonts w:hint="default"/>
        <w:lang w:val="en-US" w:eastAsia="zh-CN" w:bidi="ar-SA"/>
      </w:rPr>
    </w:lvl>
    <w:lvl w:ilvl="1">
      <w:start w:val="1"/>
      <w:numFmt w:val="decimal"/>
      <w:lvlText w:val="%1.%2"/>
      <w:lvlJc w:val="left"/>
      <w:pPr>
        <w:ind w:left="3037" w:hanging="1038"/>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489" w:hanging="1038"/>
      </w:pPr>
      <w:rPr>
        <w:rFonts w:hint="default"/>
        <w:lang w:val="en-US" w:eastAsia="zh-CN" w:bidi="ar-SA"/>
      </w:rPr>
    </w:lvl>
    <w:lvl w:ilvl="3">
      <w:start w:val="0"/>
      <w:numFmt w:val="bullet"/>
      <w:lvlText w:val="•"/>
      <w:lvlJc w:val="left"/>
      <w:pPr>
        <w:ind w:left="5213" w:hanging="1038"/>
      </w:pPr>
      <w:rPr>
        <w:rFonts w:hint="default"/>
        <w:lang w:val="en-US" w:eastAsia="zh-CN" w:bidi="ar-SA"/>
      </w:rPr>
    </w:lvl>
    <w:lvl w:ilvl="4">
      <w:start w:val="0"/>
      <w:numFmt w:val="bullet"/>
      <w:lvlText w:val="•"/>
      <w:lvlJc w:val="left"/>
      <w:pPr>
        <w:ind w:left="5938" w:hanging="1038"/>
      </w:pPr>
      <w:rPr>
        <w:rFonts w:hint="default"/>
        <w:lang w:val="en-US" w:eastAsia="zh-CN" w:bidi="ar-SA"/>
      </w:rPr>
    </w:lvl>
    <w:lvl w:ilvl="5">
      <w:start w:val="0"/>
      <w:numFmt w:val="bullet"/>
      <w:lvlText w:val="•"/>
      <w:lvlJc w:val="left"/>
      <w:pPr>
        <w:ind w:left="6663" w:hanging="1038"/>
      </w:pPr>
      <w:rPr>
        <w:rFonts w:hint="default"/>
        <w:lang w:val="en-US" w:eastAsia="zh-CN" w:bidi="ar-SA"/>
      </w:rPr>
    </w:lvl>
    <w:lvl w:ilvl="6">
      <w:start w:val="0"/>
      <w:numFmt w:val="bullet"/>
      <w:lvlText w:val="•"/>
      <w:lvlJc w:val="left"/>
      <w:pPr>
        <w:ind w:left="7387" w:hanging="1038"/>
      </w:pPr>
      <w:rPr>
        <w:rFonts w:hint="default"/>
        <w:lang w:val="en-US" w:eastAsia="zh-CN" w:bidi="ar-SA"/>
      </w:rPr>
    </w:lvl>
    <w:lvl w:ilvl="7">
      <w:start w:val="0"/>
      <w:numFmt w:val="bullet"/>
      <w:lvlText w:val="•"/>
      <w:lvlJc w:val="left"/>
      <w:pPr>
        <w:ind w:left="8112" w:hanging="1038"/>
      </w:pPr>
      <w:rPr>
        <w:rFonts w:hint="default"/>
        <w:lang w:val="en-US" w:eastAsia="zh-CN" w:bidi="ar-SA"/>
      </w:rPr>
    </w:lvl>
    <w:lvl w:ilvl="8">
      <w:start w:val="0"/>
      <w:numFmt w:val="bullet"/>
      <w:lvlText w:val="•"/>
      <w:lvlJc w:val="left"/>
      <w:pPr>
        <w:ind w:left="8837" w:hanging="1038"/>
      </w:pPr>
      <w:rPr>
        <w:rFonts w:hint="default"/>
        <w:lang w:val="en-US" w:eastAsia="zh-CN" w:bidi="ar-SA"/>
      </w:rPr>
    </w:lvl>
  </w:abstractNum>
  <w:abstractNum w:abstractNumId="23">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104" w:hanging="529"/>
      </w:pPr>
      <w:rPr>
        <w:rFonts w:hint="default"/>
        <w:lang w:val="en-US" w:eastAsia="zh-CN" w:bidi="ar-SA"/>
      </w:rPr>
    </w:lvl>
    <w:lvl w:ilvl="3">
      <w:start w:val="0"/>
      <w:numFmt w:val="bullet"/>
      <w:lvlText w:val="•"/>
      <w:lvlJc w:val="left"/>
      <w:pPr>
        <w:ind w:left="2776" w:hanging="529"/>
      </w:pPr>
      <w:rPr>
        <w:rFonts w:hint="default"/>
        <w:lang w:val="en-US" w:eastAsia="zh-CN" w:bidi="ar-SA"/>
      </w:rPr>
    </w:lvl>
    <w:lvl w:ilvl="4">
      <w:start w:val="0"/>
      <w:numFmt w:val="bullet"/>
      <w:lvlText w:val="•"/>
      <w:lvlJc w:val="left"/>
      <w:pPr>
        <w:ind w:left="3448" w:hanging="529"/>
      </w:pPr>
      <w:rPr>
        <w:rFonts w:hint="default"/>
        <w:lang w:val="en-US" w:eastAsia="zh-CN" w:bidi="ar-SA"/>
      </w:rPr>
    </w:lvl>
    <w:lvl w:ilvl="5">
      <w:start w:val="0"/>
      <w:numFmt w:val="bullet"/>
      <w:lvlText w:val="•"/>
      <w:lvlJc w:val="left"/>
      <w:pPr>
        <w:ind w:left="4121" w:hanging="529"/>
      </w:pPr>
      <w:rPr>
        <w:rFonts w:hint="default"/>
        <w:lang w:val="en-US" w:eastAsia="zh-CN" w:bidi="ar-SA"/>
      </w:rPr>
    </w:lvl>
    <w:lvl w:ilvl="6">
      <w:start w:val="0"/>
      <w:numFmt w:val="bullet"/>
      <w:lvlText w:val="•"/>
      <w:lvlJc w:val="left"/>
      <w:pPr>
        <w:ind w:left="4793" w:hanging="529"/>
      </w:pPr>
      <w:rPr>
        <w:rFonts w:hint="default"/>
        <w:lang w:val="en-US" w:eastAsia="zh-CN" w:bidi="ar-SA"/>
      </w:rPr>
    </w:lvl>
    <w:lvl w:ilvl="7">
      <w:start w:val="0"/>
      <w:numFmt w:val="bullet"/>
      <w:lvlText w:val="•"/>
      <w:lvlJc w:val="left"/>
      <w:pPr>
        <w:ind w:left="5465" w:hanging="529"/>
      </w:pPr>
      <w:rPr>
        <w:rFonts w:hint="default"/>
        <w:lang w:val="en-US" w:eastAsia="zh-CN" w:bidi="ar-SA"/>
      </w:rPr>
    </w:lvl>
    <w:lvl w:ilvl="8">
      <w:start w:val="0"/>
      <w:numFmt w:val="bullet"/>
      <w:lvlText w:val="•"/>
      <w:lvlJc w:val="left"/>
      <w:pPr>
        <w:ind w:left="6137" w:hanging="529"/>
      </w:pPr>
      <w:rPr>
        <w:rFonts w:hint="default"/>
        <w:lang w:val="en-US" w:eastAsia="zh-CN" w:bidi="ar-SA"/>
      </w:rPr>
    </w:lvl>
  </w:abstractNum>
  <w:abstractNum w:abstractNumId="22">
    <w:multiLevelType w:val="hybridMultilevel"/>
    <w:lvl w:ilvl="0">
      <w:start w:val="5"/>
      <w:numFmt w:val="decimal"/>
      <w:lvlText w:val="%1"/>
      <w:lvlJc w:val="left"/>
      <w:pPr>
        <w:ind w:left="3037" w:hanging="1038"/>
        <w:jc w:val="left"/>
      </w:pPr>
      <w:rPr>
        <w:rFonts w:hint="default"/>
        <w:lang w:val="en-US" w:eastAsia="zh-CN" w:bidi="ar-SA"/>
      </w:rPr>
    </w:lvl>
    <w:lvl w:ilvl="1">
      <w:start w:val="1"/>
      <w:numFmt w:val="decimal"/>
      <w:lvlText w:val="%1.%2"/>
      <w:lvlJc w:val="left"/>
      <w:pPr>
        <w:ind w:left="3037" w:hanging="1038"/>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489" w:hanging="1038"/>
      </w:pPr>
      <w:rPr>
        <w:rFonts w:hint="default"/>
        <w:lang w:val="en-US" w:eastAsia="zh-CN" w:bidi="ar-SA"/>
      </w:rPr>
    </w:lvl>
    <w:lvl w:ilvl="3">
      <w:start w:val="0"/>
      <w:numFmt w:val="bullet"/>
      <w:lvlText w:val="•"/>
      <w:lvlJc w:val="left"/>
      <w:pPr>
        <w:ind w:left="5213" w:hanging="1038"/>
      </w:pPr>
      <w:rPr>
        <w:rFonts w:hint="default"/>
        <w:lang w:val="en-US" w:eastAsia="zh-CN" w:bidi="ar-SA"/>
      </w:rPr>
    </w:lvl>
    <w:lvl w:ilvl="4">
      <w:start w:val="0"/>
      <w:numFmt w:val="bullet"/>
      <w:lvlText w:val="•"/>
      <w:lvlJc w:val="left"/>
      <w:pPr>
        <w:ind w:left="5938" w:hanging="1038"/>
      </w:pPr>
      <w:rPr>
        <w:rFonts w:hint="default"/>
        <w:lang w:val="en-US" w:eastAsia="zh-CN" w:bidi="ar-SA"/>
      </w:rPr>
    </w:lvl>
    <w:lvl w:ilvl="5">
      <w:start w:val="0"/>
      <w:numFmt w:val="bullet"/>
      <w:lvlText w:val="•"/>
      <w:lvlJc w:val="left"/>
      <w:pPr>
        <w:ind w:left="6663" w:hanging="1038"/>
      </w:pPr>
      <w:rPr>
        <w:rFonts w:hint="default"/>
        <w:lang w:val="en-US" w:eastAsia="zh-CN" w:bidi="ar-SA"/>
      </w:rPr>
    </w:lvl>
    <w:lvl w:ilvl="6">
      <w:start w:val="0"/>
      <w:numFmt w:val="bullet"/>
      <w:lvlText w:val="•"/>
      <w:lvlJc w:val="left"/>
      <w:pPr>
        <w:ind w:left="7387" w:hanging="1038"/>
      </w:pPr>
      <w:rPr>
        <w:rFonts w:hint="default"/>
        <w:lang w:val="en-US" w:eastAsia="zh-CN" w:bidi="ar-SA"/>
      </w:rPr>
    </w:lvl>
    <w:lvl w:ilvl="7">
      <w:start w:val="0"/>
      <w:numFmt w:val="bullet"/>
      <w:lvlText w:val="•"/>
      <w:lvlJc w:val="left"/>
      <w:pPr>
        <w:ind w:left="8112" w:hanging="1038"/>
      </w:pPr>
      <w:rPr>
        <w:rFonts w:hint="default"/>
        <w:lang w:val="en-US" w:eastAsia="zh-CN" w:bidi="ar-SA"/>
      </w:rPr>
    </w:lvl>
    <w:lvl w:ilvl="8">
      <w:start w:val="0"/>
      <w:numFmt w:val="bullet"/>
      <w:lvlText w:val="•"/>
      <w:lvlJc w:val="left"/>
      <w:pPr>
        <w:ind w:left="8837" w:hanging="1038"/>
      </w:pPr>
      <w:rPr>
        <w:rFonts w:hint="default"/>
        <w:lang w:val="en-US" w:eastAsia="zh-CN" w:bidi="ar-SA"/>
      </w:rPr>
    </w:lvl>
  </w:abstractNum>
  <w:abstractNum w:abstractNumId="21">
    <w:multiLevelType w:val="hybridMultilevel"/>
    <w:lvl w:ilvl="0">
      <w:start w:val="2"/>
      <w:numFmt w:val="decimal"/>
      <w:lvlText w:val="（%1）"/>
      <w:lvlJc w:val="left"/>
      <w:pPr>
        <w:ind w:left="30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764" w:hanging="529"/>
      </w:pPr>
      <w:rPr>
        <w:rFonts w:hint="default"/>
        <w:lang w:val="en-US" w:eastAsia="zh-CN" w:bidi="ar-SA"/>
      </w:rPr>
    </w:lvl>
    <w:lvl w:ilvl="2">
      <w:start w:val="0"/>
      <w:numFmt w:val="bullet"/>
      <w:lvlText w:val="•"/>
      <w:lvlJc w:val="left"/>
      <w:pPr>
        <w:ind w:left="4489" w:hanging="529"/>
      </w:pPr>
      <w:rPr>
        <w:rFonts w:hint="default"/>
        <w:lang w:val="en-US" w:eastAsia="zh-CN" w:bidi="ar-SA"/>
      </w:rPr>
    </w:lvl>
    <w:lvl w:ilvl="3">
      <w:start w:val="0"/>
      <w:numFmt w:val="bullet"/>
      <w:lvlText w:val="•"/>
      <w:lvlJc w:val="left"/>
      <w:pPr>
        <w:ind w:left="5213" w:hanging="529"/>
      </w:pPr>
      <w:rPr>
        <w:rFonts w:hint="default"/>
        <w:lang w:val="en-US" w:eastAsia="zh-CN" w:bidi="ar-SA"/>
      </w:rPr>
    </w:lvl>
    <w:lvl w:ilvl="4">
      <w:start w:val="0"/>
      <w:numFmt w:val="bullet"/>
      <w:lvlText w:val="•"/>
      <w:lvlJc w:val="left"/>
      <w:pPr>
        <w:ind w:left="5938" w:hanging="529"/>
      </w:pPr>
      <w:rPr>
        <w:rFonts w:hint="default"/>
        <w:lang w:val="en-US" w:eastAsia="zh-CN" w:bidi="ar-SA"/>
      </w:rPr>
    </w:lvl>
    <w:lvl w:ilvl="5">
      <w:start w:val="0"/>
      <w:numFmt w:val="bullet"/>
      <w:lvlText w:val="•"/>
      <w:lvlJc w:val="left"/>
      <w:pPr>
        <w:ind w:left="6663" w:hanging="529"/>
      </w:pPr>
      <w:rPr>
        <w:rFonts w:hint="default"/>
        <w:lang w:val="en-US" w:eastAsia="zh-CN" w:bidi="ar-SA"/>
      </w:rPr>
    </w:lvl>
    <w:lvl w:ilvl="6">
      <w:start w:val="0"/>
      <w:numFmt w:val="bullet"/>
      <w:lvlText w:val="•"/>
      <w:lvlJc w:val="left"/>
      <w:pPr>
        <w:ind w:left="7387" w:hanging="529"/>
      </w:pPr>
      <w:rPr>
        <w:rFonts w:hint="default"/>
        <w:lang w:val="en-US" w:eastAsia="zh-CN" w:bidi="ar-SA"/>
      </w:rPr>
    </w:lvl>
    <w:lvl w:ilvl="7">
      <w:start w:val="0"/>
      <w:numFmt w:val="bullet"/>
      <w:lvlText w:val="•"/>
      <w:lvlJc w:val="left"/>
      <w:pPr>
        <w:ind w:left="8112" w:hanging="529"/>
      </w:pPr>
      <w:rPr>
        <w:rFonts w:hint="default"/>
        <w:lang w:val="en-US" w:eastAsia="zh-CN" w:bidi="ar-SA"/>
      </w:rPr>
    </w:lvl>
    <w:lvl w:ilvl="8">
      <w:start w:val="0"/>
      <w:numFmt w:val="bullet"/>
      <w:lvlText w:val="•"/>
      <w:lvlJc w:val="left"/>
      <w:pPr>
        <w:ind w:left="8837" w:hanging="529"/>
      </w:pPr>
      <w:rPr>
        <w:rFonts w:hint="default"/>
        <w:lang w:val="en-US" w:eastAsia="zh-CN" w:bidi="ar-SA"/>
      </w:rPr>
    </w:lvl>
  </w:abstractNum>
  <w:abstractNum w:abstractNumId="20">
    <w:multiLevelType w:val="hybridMultilevel"/>
    <w:lvl w:ilvl="0">
      <w:start w:val="2"/>
      <w:numFmt w:val="decimal"/>
      <w:lvlText w:val="（%1）"/>
      <w:lvlJc w:val="left"/>
      <w:pPr>
        <w:ind w:left="3037" w:hanging="527"/>
        <w:jc w:val="left"/>
      </w:pPr>
      <w:rPr>
        <w:rFonts w:hint="default" w:ascii="宋体" w:hAnsi="宋体" w:eastAsia="宋体" w:cs="宋体"/>
        <w:b w:val="0"/>
        <w:bCs w:val="0"/>
        <w:i w:val="0"/>
        <w:iCs w:val="0"/>
        <w:spacing w:val="-29"/>
        <w:w w:val="100"/>
        <w:sz w:val="19"/>
        <w:szCs w:val="19"/>
        <w:lang w:val="en-US" w:eastAsia="zh-CN" w:bidi="ar-SA"/>
      </w:rPr>
    </w:lvl>
    <w:lvl w:ilvl="1">
      <w:start w:val="0"/>
      <w:numFmt w:val="bullet"/>
      <w:lvlText w:val="•"/>
      <w:lvlJc w:val="left"/>
      <w:pPr>
        <w:ind w:left="3764" w:hanging="527"/>
      </w:pPr>
      <w:rPr>
        <w:rFonts w:hint="default"/>
        <w:lang w:val="en-US" w:eastAsia="zh-CN" w:bidi="ar-SA"/>
      </w:rPr>
    </w:lvl>
    <w:lvl w:ilvl="2">
      <w:start w:val="0"/>
      <w:numFmt w:val="bullet"/>
      <w:lvlText w:val="•"/>
      <w:lvlJc w:val="left"/>
      <w:pPr>
        <w:ind w:left="4489" w:hanging="527"/>
      </w:pPr>
      <w:rPr>
        <w:rFonts w:hint="default"/>
        <w:lang w:val="en-US" w:eastAsia="zh-CN" w:bidi="ar-SA"/>
      </w:rPr>
    </w:lvl>
    <w:lvl w:ilvl="3">
      <w:start w:val="0"/>
      <w:numFmt w:val="bullet"/>
      <w:lvlText w:val="•"/>
      <w:lvlJc w:val="left"/>
      <w:pPr>
        <w:ind w:left="5213" w:hanging="527"/>
      </w:pPr>
      <w:rPr>
        <w:rFonts w:hint="default"/>
        <w:lang w:val="en-US" w:eastAsia="zh-CN" w:bidi="ar-SA"/>
      </w:rPr>
    </w:lvl>
    <w:lvl w:ilvl="4">
      <w:start w:val="0"/>
      <w:numFmt w:val="bullet"/>
      <w:lvlText w:val="•"/>
      <w:lvlJc w:val="left"/>
      <w:pPr>
        <w:ind w:left="5938" w:hanging="527"/>
      </w:pPr>
      <w:rPr>
        <w:rFonts w:hint="default"/>
        <w:lang w:val="en-US" w:eastAsia="zh-CN" w:bidi="ar-SA"/>
      </w:rPr>
    </w:lvl>
    <w:lvl w:ilvl="5">
      <w:start w:val="0"/>
      <w:numFmt w:val="bullet"/>
      <w:lvlText w:val="•"/>
      <w:lvlJc w:val="left"/>
      <w:pPr>
        <w:ind w:left="6663" w:hanging="527"/>
      </w:pPr>
      <w:rPr>
        <w:rFonts w:hint="default"/>
        <w:lang w:val="en-US" w:eastAsia="zh-CN" w:bidi="ar-SA"/>
      </w:rPr>
    </w:lvl>
    <w:lvl w:ilvl="6">
      <w:start w:val="0"/>
      <w:numFmt w:val="bullet"/>
      <w:lvlText w:val="•"/>
      <w:lvlJc w:val="left"/>
      <w:pPr>
        <w:ind w:left="7387" w:hanging="527"/>
      </w:pPr>
      <w:rPr>
        <w:rFonts w:hint="default"/>
        <w:lang w:val="en-US" w:eastAsia="zh-CN" w:bidi="ar-SA"/>
      </w:rPr>
    </w:lvl>
    <w:lvl w:ilvl="7">
      <w:start w:val="0"/>
      <w:numFmt w:val="bullet"/>
      <w:lvlText w:val="•"/>
      <w:lvlJc w:val="left"/>
      <w:pPr>
        <w:ind w:left="8112" w:hanging="527"/>
      </w:pPr>
      <w:rPr>
        <w:rFonts w:hint="default"/>
        <w:lang w:val="en-US" w:eastAsia="zh-CN" w:bidi="ar-SA"/>
      </w:rPr>
    </w:lvl>
    <w:lvl w:ilvl="8">
      <w:start w:val="0"/>
      <w:numFmt w:val="bullet"/>
      <w:lvlText w:val="•"/>
      <w:lvlJc w:val="left"/>
      <w:pPr>
        <w:ind w:left="8837" w:hanging="527"/>
      </w:pPr>
      <w:rPr>
        <w:rFonts w:hint="default"/>
        <w:lang w:val="en-US" w:eastAsia="zh-CN" w:bidi="ar-SA"/>
      </w:rPr>
    </w:lvl>
  </w:abstractNum>
  <w:abstractNum w:abstractNumId="19">
    <w:multiLevelType w:val="hybridMultilevel"/>
    <w:lvl w:ilvl="0">
      <w:start w:val="1"/>
      <w:numFmt w:val="decimal"/>
      <w:lvlText w:val="（%1）"/>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232" w:hanging="529"/>
      </w:pPr>
      <w:rPr>
        <w:rFonts w:hint="default"/>
        <w:lang w:val="en-US" w:eastAsia="zh-CN" w:bidi="ar-SA"/>
      </w:rPr>
    </w:lvl>
    <w:lvl w:ilvl="2">
      <w:start w:val="0"/>
      <w:numFmt w:val="bullet"/>
      <w:lvlText w:val="•"/>
      <w:lvlJc w:val="left"/>
      <w:pPr>
        <w:ind w:left="4905" w:hanging="529"/>
      </w:pPr>
      <w:rPr>
        <w:rFonts w:hint="default"/>
        <w:lang w:val="en-US" w:eastAsia="zh-CN" w:bidi="ar-SA"/>
      </w:rPr>
    </w:lvl>
    <w:lvl w:ilvl="3">
      <w:start w:val="0"/>
      <w:numFmt w:val="bullet"/>
      <w:lvlText w:val="•"/>
      <w:lvlJc w:val="left"/>
      <w:pPr>
        <w:ind w:left="5577" w:hanging="529"/>
      </w:pPr>
      <w:rPr>
        <w:rFonts w:hint="default"/>
        <w:lang w:val="en-US" w:eastAsia="zh-CN" w:bidi="ar-SA"/>
      </w:rPr>
    </w:lvl>
    <w:lvl w:ilvl="4">
      <w:start w:val="0"/>
      <w:numFmt w:val="bullet"/>
      <w:lvlText w:val="•"/>
      <w:lvlJc w:val="left"/>
      <w:pPr>
        <w:ind w:left="6250" w:hanging="529"/>
      </w:pPr>
      <w:rPr>
        <w:rFonts w:hint="default"/>
        <w:lang w:val="en-US" w:eastAsia="zh-CN" w:bidi="ar-SA"/>
      </w:rPr>
    </w:lvl>
    <w:lvl w:ilvl="5">
      <w:start w:val="0"/>
      <w:numFmt w:val="bullet"/>
      <w:lvlText w:val="•"/>
      <w:lvlJc w:val="left"/>
      <w:pPr>
        <w:ind w:left="6923" w:hanging="529"/>
      </w:pPr>
      <w:rPr>
        <w:rFonts w:hint="default"/>
        <w:lang w:val="en-US" w:eastAsia="zh-CN" w:bidi="ar-SA"/>
      </w:rPr>
    </w:lvl>
    <w:lvl w:ilvl="6">
      <w:start w:val="0"/>
      <w:numFmt w:val="bullet"/>
      <w:lvlText w:val="•"/>
      <w:lvlJc w:val="left"/>
      <w:pPr>
        <w:ind w:left="7595" w:hanging="529"/>
      </w:pPr>
      <w:rPr>
        <w:rFonts w:hint="default"/>
        <w:lang w:val="en-US" w:eastAsia="zh-CN" w:bidi="ar-SA"/>
      </w:rPr>
    </w:lvl>
    <w:lvl w:ilvl="7">
      <w:start w:val="0"/>
      <w:numFmt w:val="bullet"/>
      <w:lvlText w:val="•"/>
      <w:lvlJc w:val="left"/>
      <w:pPr>
        <w:ind w:left="8268" w:hanging="529"/>
      </w:pPr>
      <w:rPr>
        <w:rFonts w:hint="default"/>
        <w:lang w:val="en-US" w:eastAsia="zh-CN" w:bidi="ar-SA"/>
      </w:rPr>
    </w:lvl>
    <w:lvl w:ilvl="8">
      <w:start w:val="0"/>
      <w:numFmt w:val="bullet"/>
      <w:lvlText w:val="•"/>
      <w:lvlJc w:val="left"/>
      <w:pPr>
        <w:ind w:left="8941" w:hanging="529"/>
      </w:pPr>
      <w:rPr>
        <w:rFonts w:hint="default"/>
        <w:lang w:val="en-US" w:eastAsia="zh-CN" w:bidi="ar-SA"/>
      </w:rPr>
    </w:lvl>
  </w:abstractNum>
  <w:abstractNum w:abstractNumId="18">
    <w:multiLevelType w:val="hybridMultilevel"/>
    <w:lvl w:ilvl="0">
      <w:start w:val="1"/>
      <w:numFmt w:val="decimal"/>
      <w:lvlText w:val="（%1）"/>
      <w:lvlJc w:val="left"/>
      <w:pPr>
        <w:ind w:left="76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104" w:hanging="529"/>
      </w:pPr>
      <w:rPr>
        <w:rFonts w:hint="default"/>
        <w:lang w:val="en-US" w:eastAsia="zh-CN" w:bidi="ar-SA"/>
      </w:rPr>
    </w:lvl>
    <w:lvl w:ilvl="3">
      <w:start w:val="0"/>
      <w:numFmt w:val="bullet"/>
      <w:lvlText w:val="•"/>
      <w:lvlJc w:val="left"/>
      <w:pPr>
        <w:ind w:left="2776" w:hanging="529"/>
      </w:pPr>
      <w:rPr>
        <w:rFonts w:hint="default"/>
        <w:lang w:val="en-US" w:eastAsia="zh-CN" w:bidi="ar-SA"/>
      </w:rPr>
    </w:lvl>
    <w:lvl w:ilvl="4">
      <w:start w:val="0"/>
      <w:numFmt w:val="bullet"/>
      <w:lvlText w:val="•"/>
      <w:lvlJc w:val="left"/>
      <w:pPr>
        <w:ind w:left="3448" w:hanging="529"/>
      </w:pPr>
      <w:rPr>
        <w:rFonts w:hint="default"/>
        <w:lang w:val="en-US" w:eastAsia="zh-CN" w:bidi="ar-SA"/>
      </w:rPr>
    </w:lvl>
    <w:lvl w:ilvl="5">
      <w:start w:val="0"/>
      <w:numFmt w:val="bullet"/>
      <w:lvlText w:val="•"/>
      <w:lvlJc w:val="left"/>
      <w:pPr>
        <w:ind w:left="4121" w:hanging="529"/>
      </w:pPr>
      <w:rPr>
        <w:rFonts w:hint="default"/>
        <w:lang w:val="en-US" w:eastAsia="zh-CN" w:bidi="ar-SA"/>
      </w:rPr>
    </w:lvl>
    <w:lvl w:ilvl="6">
      <w:start w:val="0"/>
      <w:numFmt w:val="bullet"/>
      <w:lvlText w:val="•"/>
      <w:lvlJc w:val="left"/>
      <w:pPr>
        <w:ind w:left="4793" w:hanging="529"/>
      </w:pPr>
      <w:rPr>
        <w:rFonts w:hint="default"/>
        <w:lang w:val="en-US" w:eastAsia="zh-CN" w:bidi="ar-SA"/>
      </w:rPr>
    </w:lvl>
    <w:lvl w:ilvl="7">
      <w:start w:val="0"/>
      <w:numFmt w:val="bullet"/>
      <w:lvlText w:val="•"/>
      <w:lvlJc w:val="left"/>
      <w:pPr>
        <w:ind w:left="5465" w:hanging="529"/>
      </w:pPr>
      <w:rPr>
        <w:rFonts w:hint="default"/>
        <w:lang w:val="en-US" w:eastAsia="zh-CN" w:bidi="ar-SA"/>
      </w:rPr>
    </w:lvl>
    <w:lvl w:ilvl="8">
      <w:start w:val="0"/>
      <w:numFmt w:val="bullet"/>
      <w:lvlText w:val="•"/>
      <w:lvlJc w:val="left"/>
      <w:pPr>
        <w:ind w:left="6137" w:hanging="529"/>
      </w:pPr>
      <w:rPr>
        <w:rFonts w:hint="default"/>
        <w:lang w:val="en-US" w:eastAsia="zh-CN" w:bidi="ar-SA"/>
      </w:rPr>
    </w:lvl>
  </w:abstractNum>
  <w:abstractNum w:abstractNumId="17">
    <w:multiLevelType w:val="hybridMultilevel"/>
    <w:lvl w:ilvl="0">
      <w:start w:val="4"/>
      <w:numFmt w:val="decimal"/>
      <w:lvlText w:val="%1"/>
      <w:lvlJc w:val="left"/>
      <w:pPr>
        <w:ind w:left="1270" w:hanging="1038"/>
        <w:jc w:val="left"/>
      </w:pPr>
      <w:rPr>
        <w:rFonts w:hint="default"/>
        <w:lang w:val="en-US" w:eastAsia="zh-CN" w:bidi="ar-SA"/>
      </w:rPr>
    </w:lvl>
    <w:lvl w:ilvl="1">
      <w:start w:val="3"/>
      <w:numFmt w:val="decimal"/>
      <w:lvlText w:val="%1.%2"/>
      <w:lvlJc w:val="left"/>
      <w:pPr>
        <w:ind w:left="1270" w:hanging="1038"/>
        <w:jc w:val="left"/>
      </w:pPr>
      <w:rPr>
        <w:rFonts w:hint="default"/>
        <w:lang w:val="en-US" w:eastAsia="zh-CN" w:bidi="ar-SA"/>
      </w:rPr>
    </w:lvl>
    <w:lvl w:ilvl="2">
      <w:start w:val="1"/>
      <w:numFmt w:val="decimal"/>
      <w:lvlText w:val="%1.%2.%3"/>
      <w:lvlJc w:val="left"/>
      <w:pPr>
        <w:ind w:left="1270" w:hanging="1038"/>
        <w:jc w:val="left"/>
      </w:pPr>
      <w:rPr>
        <w:rFonts w:hint="default" w:ascii="微软雅黑" w:hAnsi="微软雅黑" w:eastAsia="微软雅黑" w:cs="微软雅黑"/>
        <w:b/>
        <w:bCs/>
        <w:i w:val="0"/>
        <w:iCs w:val="0"/>
        <w:w w:val="103"/>
        <w:position w:val="-1"/>
        <w:sz w:val="21"/>
        <w:szCs w:val="21"/>
        <w:lang w:val="en-US" w:eastAsia="zh-CN" w:bidi="ar-SA"/>
      </w:rPr>
    </w:lvl>
    <w:lvl w:ilvl="3">
      <w:start w:val="1"/>
      <w:numFmt w:val="decimal"/>
      <w:lvlText w:val="（%4）"/>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5802" w:hanging="529"/>
      </w:pPr>
      <w:rPr>
        <w:rFonts w:hint="default"/>
        <w:lang w:val="en-US" w:eastAsia="zh-CN" w:bidi="ar-SA"/>
      </w:rPr>
    </w:lvl>
    <w:lvl w:ilvl="5">
      <w:start w:val="0"/>
      <w:numFmt w:val="bullet"/>
      <w:lvlText w:val="•"/>
      <w:lvlJc w:val="left"/>
      <w:pPr>
        <w:ind w:left="6549" w:hanging="529"/>
      </w:pPr>
      <w:rPr>
        <w:rFonts w:hint="default"/>
        <w:lang w:val="en-US" w:eastAsia="zh-CN" w:bidi="ar-SA"/>
      </w:rPr>
    </w:lvl>
    <w:lvl w:ilvl="6">
      <w:start w:val="0"/>
      <w:numFmt w:val="bullet"/>
      <w:lvlText w:val="•"/>
      <w:lvlJc w:val="left"/>
      <w:pPr>
        <w:ind w:left="7296"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91" w:hanging="529"/>
      </w:pPr>
      <w:rPr>
        <w:rFonts w:hint="default"/>
        <w:lang w:val="en-US" w:eastAsia="zh-CN" w:bidi="ar-SA"/>
      </w:rPr>
    </w:lvl>
  </w:abstractNum>
  <w:abstractNum w:abstractNumId="16">
    <w:multiLevelType w:val="hybridMultilevel"/>
    <w:lvl w:ilvl="0">
      <w:start w:val="4"/>
      <w:numFmt w:val="decimal"/>
      <w:lvlText w:val="%1"/>
      <w:lvlJc w:val="left"/>
      <w:pPr>
        <w:ind w:left="1270" w:hanging="1038"/>
        <w:jc w:val="left"/>
      </w:pPr>
      <w:rPr>
        <w:rFonts w:hint="default"/>
        <w:lang w:val="en-US" w:eastAsia="zh-CN" w:bidi="ar-SA"/>
      </w:rPr>
    </w:lvl>
    <w:lvl w:ilvl="1">
      <w:start w:val="1"/>
      <w:numFmt w:val="decimal"/>
      <w:lvlText w:val="%1.%2"/>
      <w:lvlJc w:val="left"/>
      <w:pPr>
        <w:ind w:left="1270" w:hanging="1038"/>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54" w:hanging="529"/>
      </w:pPr>
      <w:rPr>
        <w:rFonts w:hint="default"/>
        <w:lang w:val="en-US" w:eastAsia="zh-CN" w:bidi="ar-SA"/>
      </w:rPr>
    </w:lvl>
    <w:lvl w:ilvl="4">
      <w:start w:val="0"/>
      <w:numFmt w:val="bullet"/>
      <w:lvlText w:val="•"/>
      <w:lvlJc w:val="left"/>
      <w:pPr>
        <w:ind w:left="5802" w:hanging="529"/>
      </w:pPr>
      <w:rPr>
        <w:rFonts w:hint="default"/>
        <w:lang w:val="en-US" w:eastAsia="zh-CN" w:bidi="ar-SA"/>
      </w:rPr>
    </w:lvl>
    <w:lvl w:ilvl="5">
      <w:start w:val="0"/>
      <w:numFmt w:val="bullet"/>
      <w:lvlText w:val="•"/>
      <w:lvlJc w:val="left"/>
      <w:pPr>
        <w:ind w:left="6549" w:hanging="529"/>
      </w:pPr>
      <w:rPr>
        <w:rFonts w:hint="default"/>
        <w:lang w:val="en-US" w:eastAsia="zh-CN" w:bidi="ar-SA"/>
      </w:rPr>
    </w:lvl>
    <w:lvl w:ilvl="6">
      <w:start w:val="0"/>
      <w:numFmt w:val="bullet"/>
      <w:lvlText w:val="•"/>
      <w:lvlJc w:val="left"/>
      <w:pPr>
        <w:ind w:left="7296"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91" w:hanging="529"/>
      </w:pPr>
      <w:rPr>
        <w:rFonts w:hint="default"/>
        <w:lang w:val="en-US" w:eastAsia="zh-CN" w:bidi="ar-SA"/>
      </w:rPr>
    </w:lvl>
  </w:abstractNum>
  <w:abstractNum w:abstractNumId="15">
    <w:multiLevelType w:val="hybridMultilevel"/>
    <w:lvl w:ilvl="0">
      <w:start w:val="3"/>
      <w:numFmt w:val="decimal"/>
      <w:lvlText w:val="%1"/>
      <w:lvlJc w:val="left"/>
      <w:pPr>
        <w:ind w:left="3037" w:hanging="1038"/>
        <w:jc w:val="left"/>
      </w:pPr>
      <w:rPr>
        <w:rFonts w:hint="default"/>
        <w:lang w:val="en-US" w:eastAsia="zh-CN" w:bidi="ar-SA"/>
      </w:rPr>
    </w:lvl>
    <w:lvl w:ilvl="1">
      <w:start w:val="1"/>
      <w:numFmt w:val="decimal"/>
      <w:lvlText w:val="%1.%2"/>
      <w:lvlJc w:val="left"/>
      <w:pPr>
        <w:ind w:left="3037" w:hanging="1038"/>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4489" w:hanging="1038"/>
      </w:pPr>
      <w:rPr>
        <w:rFonts w:hint="default"/>
        <w:lang w:val="en-US" w:eastAsia="zh-CN" w:bidi="ar-SA"/>
      </w:rPr>
    </w:lvl>
    <w:lvl w:ilvl="3">
      <w:start w:val="0"/>
      <w:numFmt w:val="bullet"/>
      <w:lvlText w:val="•"/>
      <w:lvlJc w:val="left"/>
      <w:pPr>
        <w:ind w:left="5213" w:hanging="1038"/>
      </w:pPr>
      <w:rPr>
        <w:rFonts w:hint="default"/>
        <w:lang w:val="en-US" w:eastAsia="zh-CN" w:bidi="ar-SA"/>
      </w:rPr>
    </w:lvl>
    <w:lvl w:ilvl="4">
      <w:start w:val="0"/>
      <w:numFmt w:val="bullet"/>
      <w:lvlText w:val="•"/>
      <w:lvlJc w:val="left"/>
      <w:pPr>
        <w:ind w:left="5938" w:hanging="1038"/>
      </w:pPr>
      <w:rPr>
        <w:rFonts w:hint="default"/>
        <w:lang w:val="en-US" w:eastAsia="zh-CN" w:bidi="ar-SA"/>
      </w:rPr>
    </w:lvl>
    <w:lvl w:ilvl="5">
      <w:start w:val="0"/>
      <w:numFmt w:val="bullet"/>
      <w:lvlText w:val="•"/>
      <w:lvlJc w:val="left"/>
      <w:pPr>
        <w:ind w:left="6663" w:hanging="1038"/>
      </w:pPr>
      <w:rPr>
        <w:rFonts w:hint="default"/>
        <w:lang w:val="en-US" w:eastAsia="zh-CN" w:bidi="ar-SA"/>
      </w:rPr>
    </w:lvl>
    <w:lvl w:ilvl="6">
      <w:start w:val="0"/>
      <w:numFmt w:val="bullet"/>
      <w:lvlText w:val="•"/>
      <w:lvlJc w:val="left"/>
      <w:pPr>
        <w:ind w:left="7387" w:hanging="1038"/>
      </w:pPr>
      <w:rPr>
        <w:rFonts w:hint="default"/>
        <w:lang w:val="en-US" w:eastAsia="zh-CN" w:bidi="ar-SA"/>
      </w:rPr>
    </w:lvl>
    <w:lvl w:ilvl="7">
      <w:start w:val="0"/>
      <w:numFmt w:val="bullet"/>
      <w:lvlText w:val="•"/>
      <w:lvlJc w:val="left"/>
      <w:pPr>
        <w:ind w:left="8112" w:hanging="1038"/>
      </w:pPr>
      <w:rPr>
        <w:rFonts w:hint="default"/>
        <w:lang w:val="en-US" w:eastAsia="zh-CN" w:bidi="ar-SA"/>
      </w:rPr>
    </w:lvl>
    <w:lvl w:ilvl="8">
      <w:start w:val="0"/>
      <w:numFmt w:val="bullet"/>
      <w:lvlText w:val="•"/>
      <w:lvlJc w:val="left"/>
      <w:pPr>
        <w:ind w:left="8837" w:hanging="1038"/>
      </w:pPr>
      <w:rPr>
        <w:rFonts w:hint="default"/>
        <w:lang w:val="en-US" w:eastAsia="zh-CN" w:bidi="ar-SA"/>
      </w:rPr>
    </w:lvl>
  </w:abstractNum>
  <w:abstractNum w:abstractNumId="14">
    <w:multiLevelType w:val="hybridMultilevel"/>
    <w:lvl w:ilvl="0">
      <w:start w:val="1"/>
      <w:numFmt w:val="decimal"/>
      <w:lvlText w:val="（%1）"/>
      <w:lvlJc w:val="left"/>
      <w:pPr>
        <w:ind w:left="733" w:hanging="501"/>
        <w:jc w:val="left"/>
      </w:pPr>
      <w:rPr>
        <w:rFonts w:hint="default" w:ascii="宋体" w:hAnsi="宋体" w:eastAsia="宋体" w:cs="宋体"/>
        <w:b w:val="0"/>
        <w:bCs w:val="0"/>
        <w:i w:val="0"/>
        <w:iCs w:val="0"/>
        <w:w w:val="99"/>
        <w:sz w:val="18"/>
        <w:szCs w:val="18"/>
        <w:lang w:val="en-US" w:eastAsia="zh-CN" w:bidi="ar-SA"/>
      </w:rPr>
    </w:lvl>
    <w:lvl w:ilvl="1">
      <w:start w:val="6"/>
      <w:numFmt w:val="decimal"/>
      <w:lvlText w:val="（%2）"/>
      <w:lvlJc w:val="left"/>
      <w:pPr>
        <w:ind w:left="3037" w:hanging="553"/>
        <w:jc w:val="left"/>
      </w:pPr>
      <w:rPr>
        <w:rFonts w:hint="default" w:ascii="微软雅黑" w:hAnsi="微软雅黑" w:eastAsia="微软雅黑" w:cs="微软雅黑"/>
        <w:b/>
        <w:bCs/>
        <w:i w:val="0"/>
        <w:iCs w:val="0"/>
        <w:w w:val="81"/>
        <w:sz w:val="20"/>
        <w:szCs w:val="20"/>
        <w:shd w:fill="D9D9D9" w:color="auto" w:val="clear"/>
        <w:lang w:val="en-US" w:eastAsia="zh-CN" w:bidi="ar-SA"/>
      </w:rPr>
    </w:lvl>
    <w:lvl w:ilvl="2">
      <w:start w:val="0"/>
      <w:numFmt w:val="bullet"/>
      <w:lvlText w:val="•"/>
      <w:lvlJc w:val="left"/>
      <w:pPr>
        <w:ind w:left="3845" w:hanging="553"/>
      </w:pPr>
      <w:rPr>
        <w:rFonts w:hint="default"/>
        <w:lang w:val="en-US" w:eastAsia="zh-CN" w:bidi="ar-SA"/>
      </w:rPr>
    </w:lvl>
    <w:lvl w:ilvl="3">
      <w:start w:val="0"/>
      <w:numFmt w:val="bullet"/>
      <w:lvlText w:val="•"/>
      <w:lvlJc w:val="left"/>
      <w:pPr>
        <w:ind w:left="4650" w:hanging="553"/>
      </w:pPr>
      <w:rPr>
        <w:rFonts w:hint="default"/>
        <w:lang w:val="en-US" w:eastAsia="zh-CN" w:bidi="ar-SA"/>
      </w:rPr>
    </w:lvl>
    <w:lvl w:ilvl="4">
      <w:start w:val="0"/>
      <w:numFmt w:val="bullet"/>
      <w:lvlText w:val="•"/>
      <w:lvlJc w:val="left"/>
      <w:pPr>
        <w:ind w:left="5455" w:hanging="553"/>
      </w:pPr>
      <w:rPr>
        <w:rFonts w:hint="default"/>
        <w:lang w:val="en-US" w:eastAsia="zh-CN" w:bidi="ar-SA"/>
      </w:rPr>
    </w:lvl>
    <w:lvl w:ilvl="5">
      <w:start w:val="0"/>
      <w:numFmt w:val="bullet"/>
      <w:lvlText w:val="•"/>
      <w:lvlJc w:val="left"/>
      <w:pPr>
        <w:ind w:left="6260" w:hanging="553"/>
      </w:pPr>
      <w:rPr>
        <w:rFonts w:hint="default"/>
        <w:lang w:val="en-US" w:eastAsia="zh-CN" w:bidi="ar-SA"/>
      </w:rPr>
    </w:lvl>
    <w:lvl w:ilvl="6">
      <w:start w:val="0"/>
      <w:numFmt w:val="bullet"/>
      <w:lvlText w:val="•"/>
      <w:lvlJc w:val="left"/>
      <w:pPr>
        <w:ind w:left="7065" w:hanging="553"/>
      </w:pPr>
      <w:rPr>
        <w:rFonts w:hint="default"/>
        <w:lang w:val="en-US" w:eastAsia="zh-CN" w:bidi="ar-SA"/>
      </w:rPr>
    </w:lvl>
    <w:lvl w:ilvl="7">
      <w:start w:val="0"/>
      <w:numFmt w:val="bullet"/>
      <w:lvlText w:val="•"/>
      <w:lvlJc w:val="left"/>
      <w:pPr>
        <w:ind w:left="7870" w:hanging="553"/>
      </w:pPr>
      <w:rPr>
        <w:rFonts w:hint="default"/>
        <w:lang w:val="en-US" w:eastAsia="zh-CN" w:bidi="ar-SA"/>
      </w:rPr>
    </w:lvl>
    <w:lvl w:ilvl="8">
      <w:start w:val="0"/>
      <w:numFmt w:val="bullet"/>
      <w:lvlText w:val="•"/>
      <w:lvlJc w:val="left"/>
      <w:pPr>
        <w:ind w:left="8676" w:hanging="553"/>
      </w:pPr>
      <w:rPr>
        <w:rFonts w:hint="default"/>
        <w:lang w:val="en-US" w:eastAsia="zh-CN" w:bidi="ar-SA"/>
      </w:rPr>
    </w:lvl>
  </w:abstractNum>
  <w:abstractNum w:abstractNumId="13">
    <w:multiLevelType w:val="hybridMultilevel"/>
    <w:lvl w:ilvl="0">
      <w:start w:val="1"/>
      <w:numFmt w:val="decimal"/>
      <w:lvlText w:val="（%1）"/>
      <w:lvlJc w:val="left"/>
      <w:pPr>
        <w:ind w:left="733" w:hanging="501"/>
        <w:jc w:val="left"/>
      </w:pPr>
      <w:rPr>
        <w:rFonts w:hint="default" w:ascii="宋体" w:hAnsi="宋体" w:eastAsia="宋体" w:cs="宋体"/>
        <w:b w:val="0"/>
        <w:bCs w:val="0"/>
        <w:i w:val="0"/>
        <w:iCs w:val="0"/>
        <w:w w:val="99"/>
        <w:sz w:val="18"/>
        <w:szCs w:val="18"/>
        <w:lang w:val="en-US" w:eastAsia="zh-CN" w:bidi="ar-SA"/>
      </w:rPr>
    </w:lvl>
    <w:lvl w:ilvl="1">
      <w:start w:val="0"/>
      <w:numFmt w:val="bullet"/>
      <w:lvlText w:val="•"/>
      <w:lvlJc w:val="left"/>
      <w:pPr>
        <w:ind w:left="1694" w:hanging="501"/>
      </w:pPr>
      <w:rPr>
        <w:rFonts w:hint="default"/>
        <w:lang w:val="en-US" w:eastAsia="zh-CN" w:bidi="ar-SA"/>
      </w:rPr>
    </w:lvl>
    <w:lvl w:ilvl="2">
      <w:start w:val="0"/>
      <w:numFmt w:val="bullet"/>
      <w:lvlText w:val="•"/>
      <w:lvlJc w:val="left"/>
      <w:pPr>
        <w:ind w:left="2649" w:hanging="501"/>
      </w:pPr>
      <w:rPr>
        <w:rFonts w:hint="default"/>
        <w:lang w:val="en-US" w:eastAsia="zh-CN" w:bidi="ar-SA"/>
      </w:rPr>
    </w:lvl>
    <w:lvl w:ilvl="3">
      <w:start w:val="0"/>
      <w:numFmt w:val="bullet"/>
      <w:lvlText w:val="•"/>
      <w:lvlJc w:val="left"/>
      <w:pPr>
        <w:ind w:left="3603" w:hanging="501"/>
      </w:pPr>
      <w:rPr>
        <w:rFonts w:hint="default"/>
        <w:lang w:val="en-US" w:eastAsia="zh-CN" w:bidi="ar-SA"/>
      </w:rPr>
    </w:lvl>
    <w:lvl w:ilvl="4">
      <w:start w:val="0"/>
      <w:numFmt w:val="bullet"/>
      <w:lvlText w:val="•"/>
      <w:lvlJc w:val="left"/>
      <w:pPr>
        <w:ind w:left="4558" w:hanging="501"/>
      </w:pPr>
      <w:rPr>
        <w:rFonts w:hint="default"/>
        <w:lang w:val="en-US" w:eastAsia="zh-CN" w:bidi="ar-SA"/>
      </w:rPr>
    </w:lvl>
    <w:lvl w:ilvl="5">
      <w:start w:val="0"/>
      <w:numFmt w:val="bullet"/>
      <w:lvlText w:val="•"/>
      <w:lvlJc w:val="left"/>
      <w:pPr>
        <w:ind w:left="5513" w:hanging="501"/>
      </w:pPr>
      <w:rPr>
        <w:rFonts w:hint="default"/>
        <w:lang w:val="en-US" w:eastAsia="zh-CN" w:bidi="ar-SA"/>
      </w:rPr>
    </w:lvl>
    <w:lvl w:ilvl="6">
      <w:start w:val="0"/>
      <w:numFmt w:val="bullet"/>
      <w:lvlText w:val="•"/>
      <w:lvlJc w:val="left"/>
      <w:pPr>
        <w:ind w:left="6467" w:hanging="501"/>
      </w:pPr>
      <w:rPr>
        <w:rFonts w:hint="default"/>
        <w:lang w:val="en-US" w:eastAsia="zh-CN" w:bidi="ar-SA"/>
      </w:rPr>
    </w:lvl>
    <w:lvl w:ilvl="7">
      <w:start w:val="0"/>
      <w:numFmt w:val="bullet"/>
      <w:lvlText w:val="•"/>
      <w:lvlJc w:val="left"/>
      <w:pPr>
        <w:ind w:left="7422" w:hanging="501"/>
      </w:pPr>
      <w:rPr>
        <w:rFonts w:hint="default"/>
        <w:lang w:val="en-US" w:eastAsia="zh-CN" w:bidi="ar-SA"/>
      </w:rPr>
    </w:lvl>
    <w:lvl w:ilvl="8">
      <w:start w:val="0"/>
      <w:numFmt w:val="bullet"/>
      <w:lvlText w:val="•"/>
      <w:lvlJc w:val="left"/>
      <w:pPr>
        <w:ind w:left="8377" w:hanging="501"/>
      </w:pPr>
      <w:rPr>
        <w:rFonts w:hint="default"/>
        <w:lang w:val="en-US" w:eastAsia="zh-CN" w:bidi="ar-SA"/>
      </w:rPr>
    </w:lvl>
  </w:abstractNum>
  <w:abstractNum w:abstractNumId="12">
    <w:multiLevelType w:val="hybridMultilevel"/>
    <w:lvl w:ilvl="0">
      <w:start w:val="2"/>
      <w:numFmt w:val="decimal"/>
      <w:lvlText w:val="%1"/>
      <w:lvlJc w:val="left"/>
      <w:pPr>
        <w:ind w:left="1270" w:hanging="1038"/>
        <w:jc w:val="left"/>
      </w:pPr>
      <w:rPr>
        <w:rFonts w:hint="default"/>
        <w:lang w:val="en-US" w:eastAsia="zh-CN" w:bidi="ar-SA"/>
      </w:rPr>
    </w:lvl>
    <w:lvl w:ilvl="1">
      <w:start w:val="1"/>
      <w:numFmt w:val="decimal"/>
      <w:lvlText w:val="%1.%2"/>
      <w:lvlJc w:val="left"/>
      <w:pPr>
        <w:ind w:left="1270" w:hanging="1038"/>
        <w:jc w:val="left"/>
      </w:pPr>
      <w:rPr>
        <w:rFonts w:hint="default" w:ascii="微软雅黑" w:hAnsi="微软雅黑" w:eastAsia="微软雅黑" w:cs="微软雅黑"/>
        <w:b/>
        <w:bCs/>
        <w:i w:val="0"/>
        <w:iCs w:val="0"/>
        <w:w w:val="99"/>
        <w:sz w:val="21"/>
        <w:szCs w:val="21"/>
        <w:lang w:val="en-US" w:eastAsia="zh-CN" w:bidi="ar-SA"/>
      </w:rPr>
    </w:lvl>
    <w:lvl w:ilvl="2">
      <w:start w:val="4"/>
      <w:numFmt w:val="decimal"/>
      <w:lvlText w:val="（%3）"/>
      <w:lvlJc w:val="left"/>
      <w:pPr>
        <w:ind w:left="3590" w:hanging="553"/>
        <w:jc w:val="left"/>
      </w:pPr>
      <w:rPr>
        <w:rFonts w:hint="default" w:ascii="微软雅黑" w:hAnsi="微软雅黑" w:eastAsia="微软雅黑" w:cs="微软雅黑"/>
        <w:b/>
        <w:bCs/>
        <w:i w:val="0"/>
        <w:iCs w:val="0"/>
        <w:w w:val="81"/>
        <w:sz w:val="20"/>
        <w:szCs w:val="20"/>
        <w:shd w:fill="D9D9D9" w:color="auto" w:val="clear"/>
        <w:lang w:val="en-US" w:eastAsia="zh-CN" w:bidi="ar-SA"/>
      </w:rPr>
    </w:lvl>
    <w:lvl w:ilvl="3">
      <w:start w:val="0"/>
      <w:numFmt w:val="bullet"/>
      <w:lvlText w:val="•"/>
      <w:lvlJc w:val="left"/>
      <w:pPr>
        <w:ind w:left="5085" w:hanging="553"/>
      </w:pPr>
      <w:rPr>
        <w:rFonts w:hint="default"/>
        <w:lang w:val="en-US" w:eastAsia="zh-CN" w:bidi="ar-SA"/>
      </w:rPr>
    </w:lvl>
    <w:lvl w:ilvl="4">
      <w:start w:val="0"/>
      <w:numFmt w:val="bullet"/>
      <w:lvlText w:val="•"/>
      <w:lvlJc w:val="left"/>
      <w:pPr>
        <w:ind w:left="5828" w:hanging="553"/>
      </w:pPr>
      <w:rPr>
        <w:rFonts w:hint="default"/>
        <w:lang w:val="en-US" w:eastAsia="zh-CN" w:bidi="ar-SA"/>
      </w:rPr>
    </w:lvl>
    <w:lvl w:ilvl="5">
      <w:start w:val="0"/>
      <w:numFmt w:val="bullet"/>
      <w:lvlText w:val="•"/>
      <w:lvlJc w:val="left"/>
      <w:pPr>
        <w:ind w:left="6571" w:hanging="553"/>
      </w:pPr>
      <w:rPr>
        <w:rFonts w:hint="default"/>
        <w:lang w:val="en-US" w:eastAsia="zh-CN" w:bidi="ar-SA"/>
      </w:rPr>
    </w:lvl>
    <w:lvl w:ilvl="6">
      <w:start w:val="0"/>
      <w:numFmt w:val="bullet"/>
      <w:lvlText w:val="•"/>
      <w:lvlJc w:val="left"/>
      <w:pPr>
        <w:ind w:left="7314" w:hanging="553"/>
      </w:pPr>
      <w:rPr>
        <w:rFonts w:hint="default"/>
        <w:lang w:val="en-US" w:eastAsia="zh-CN" w:bidi="ar-SA"/>
      </w:rPr>
    </w:lvl>
    <w:lvl w:ilvl="7">
      <w:start w:val="0"/>
      <w:numFmt w:val="bullet"/>
      <w:lvlText w:val="•"/>
      <w:lvlJc w:val="left"/>
      <w:pPr>
        <w:ind w:left="8057" w:hanging="553"/>
      </w:pPr>
      <w:rPr>
        <w:rFonts w:hint="default"/>
        <w:lang w:val="en-US" w:eastAsia="zh-CN" w:bidi="ar-SA"/>
      </w:rPr>
    </w:lvl>
    <w:lvl w:ilvl="8">
      <w:start w:val="0"/>
      <w:numFmt w:val="bullet"/>
      <w:lvlText w:val="•"/>
      <w:lvlJc w:val="left"/>
      <w:pPr>
        <w:ind w:left="8800" w:hanging="553"/>
      </w:pPr>
      <w:rPr>
        <w:rFonts w:hint="default"/>
        <w:lang w:val="en-US" w:eastAsia="zh-CN" w:bidi="ar-SA"/>
      </w:rPr>
    </w:lvl>
  </w:abstractNum>
  <w:abstractNum w:abstractNumId="11">
    <w:multiLevelType w:val="hybridMultilevel"/>
    <w:lvl w:ilvl="0">
      <w:start w:val="1"/>
      <w:numFmt w:val="decimal"/>
      <w:lvlText w:val="%1"/>
      <w:lvlJc w:val="left"/>
      <w:pPr>
        <w:ind w:left="1270" w:hanging="1038"/>
        <w:jc w:val="left"/>
      </w:pPr>
      <w:rPr>
        <w:rFonts w:hint="default"/>
        <w:lang w:val="en-US" w:eastAsia="zh-CN" w:bidi="ar-SA"/>
      </w:rPr>
    </w:lvl>
    <w:lvl w:ilvl="1">
      <w:start w:val="3"/>
      <w:numFmt w:val="decimal"/>
      <w:lvlText w:val="%1.%2"/>
      <w:lvlJc w:val="left"/>
      <w:pPr>
        <w:ind w:left="1270" w:hanging="1038"/>
        <w:jc w:val="left"/>
      </w:pPr>
      <w:rPr>
        <w:rFonts w:hint="default"/>
        <w:lang w:val="en-US" w:eastAsia="zh-CN" w:bidi="ar-SA"/>
      </w:rPr>
    </w:lvl>
    <w:lvl w:ilvl="2">
      <w:start w:val="3"/>
      <w:numFmt w:val="decimal"/>
      <w:lvlText w:val="%1.%2.%3"/>
      <w:lvlJc w:val="left"/>
      <w:pPr>
        <w:ind w:left="1270" w:hanging="1038"/>
        <w:jc w:val="left"/>
      </w:pPr>
      <w:rPr>
        <w:rFonts w:hint="default"/>
        <w:lang w:val="en-US" w:eastAsia="zh-CN" w:bidi="ar-SA"/>
      </w:rPr>
    </w:lvl>
    <w:lvl w:ilvl="3">
      <w:start w:val="1"/>
      <w:numFmt w:val="decimal"/>
      <w:lvlText w:val="%1.%2.%3.%4"/>
      <w:lvlJc w:val="left"/>
      <w:pPr>
        <w:ind w:left="1270" w:hanging="1038"/>
        <w:jc w:val="left"/>
      </w:pPr>
      <w:rPr>
        <w:rFonts w:hint="default" w:ascii="微软雅黑" w:hAnsi="微软雅黑" w:eastAsia="微软雅黑" w:cs="微软雅黑"/>
        <w:b/>
        <w:bCs/>
        <w:i w:val="0"/>
        <w:iCs w:val="0"/>
        <w:w w:val="81"/>
        <w:sz w:val="21"/>
        <w:szCs w:val="21"/>
        <w:lang w:val="en-US" w:eastAsia="zh-CN" w:bidi="ar-SA"/>
      </w:rPr>
    </w:lvl>
    <w:lvl w:ilvl="4">
      <w:start w:val="0"/>
      <w:numFmt w:val="bullet"/>
      <w:lvlText w:val="•"/>
      <w:lvlJc w:val="left"/>
      <w:pPr>
        <w:ind w:left="1867" w:hanging="1038"/>
      </w:pPr>
      <w:rPr>
        <w:rFonts w:hint="default"/>
        <w:lang w:val="en-US" w:eastAsia="zh-CN" w:bidi="ar-SA"/>
      </w:rPr>
    </w:lvl>
    <w:lvl w:ilvl="5">
      <w:start w:val="0"/>
      <w:numFmt w:val="bullet"/>
      <w:lvlText w:val="•"/>
      <w:lvlJc w:val="left"/>
      <w:pPr>
        <w:ind w:left="2014" w:hanging="1038"/>
      </w:pPr>
      <w:rPr>
        <w:rFonts w:hint="default"/>
        <w:lang w:val="en-US" w:eastAsia="zh-CN" w:bidi="ar-SA"/>
      </w:rPr>
    </w:lvl>
    <w:lvl w:ilvl="6">
      <w:start w:val="0"/>
      <w:numFmt w:val="bullet"/>
      <w:lvlText w:val="•"/>
      <w:lvlJc w:val="left"/>
      <w:pPr>
        <w:ind w:left="2161" w:hanging="1038"/>
      </w:pPr>
      <w:rPr>
        <w:rFonts w:hint="default"/>
        <w:lang w:val="en-US" w:eastAsia="zh-CN" w:bidi="ar-SA"/>
      </w:rPr>
    </w:lvl>
    <w:lvl w:ilvl="7">
      <w:start w:val="0"/>
      <w:numFmt w:val="bullet"/>
      <w:lvlText w:val="•"/>
      <w:lvlJc w:val="left"/>
      <w:pPr>
        <w:ind w:left="2307" w:hanging="1038"/>
      </w:pPr>
      <w:rPr>
        <w:rFonts w:hint="default"/>
        <w:lang w:val="en-US" w:eastAsia="zh-CN" w:bidi="ar-SA"/>
      </w:rPr>
    </w:lvl>
    <w:lvl w:ilvl="8">
      <w:start w:val="0"/>
      <w:numFmt w:val="bullet"/>
      <w:lvlText w:val="•"/>
      <w:lvlJc w:val="left"/>
      <w:pPr>
        <w:ind w:left="2454" w:hanging="1038"/>
      </w:pPr>
      <w:rPr>
        <w:rFonts w:hint="default"/>
        <w:lang w:val="en-US" w:eastAsia="zh-CN" w:bidi="ar-SA"/>
      </w:rPr>
    </w:lvl>
  </w:abstractNum>
  <w:abstractNum w:abstractNumId="10">
    <w:multiLevelType w:val="hybridMultilevel"/>
    <w:lvl w:ilvl="0">
      <w:start w:val="1"/>
      <w:numFmt w:val="decimal"/>
      <w:lvlText w:val="%1"/>
      <w:lvlJc w:val="left"/>
      <w:pPr>
        <w:ind w:left="1270" w:hanging="1038"/>
        <w:jc w:val="left"/>
      </w:pPr>
      <w:rPr>
        <w:rFonts w:hint="default"/>
        <w:lang w:val="en-US" w:eastAsia="zh-CN" w:bidi="ar-SA"/>
      </w:rPr>
    </w:lvl>
    <w:lvl w:ilvl="1">
      <w:start w:val="3"/>
      <w:numFmt w:val="decimal"/>
      <w:lvlText w:val="%1.%2"/>
      <w:lvlJc w:val="left"/>
      <w:pPr>
        <w:ind w:left="1270" w:hanging="1038"/>
        <w:jc w:val="left"/>
      </w:pPr>
      <w:rPr>
        <w:rFonts w:hint="default"/>
        <w:lang w:val="en-US" w:eastAsia="zh-CN" w:bidi="ar-SA"/>
      </w:rPr>
    </w:lvl>
    <w:lvl w:ilvl="2">
      <w:start w:val="2"/>
      <w:numFmt w:val="decimal"/>
      <w:lvlText w:val="%1.%2.%3"/>
      <w:lvlJc w:val="left"/>
      <w:pPr>
        <w:ind w:left="1270" w:hanging="1038"/>
        <w:jc w:val="left"/>
      </w:pPr>
      <w:rPr>
        <w:rFonts w:hint="default"/>
        <w:lang w:val="en-US" w:eastAsia="zh-CN" w:bidi="ar-SA"/>
      </w:rPr>
    </w:lvl>
    <w:lvl w:ilvl="3">
      <w:start w:val="1"/>
      <w:numFmt w:val="decimal"/>
      <w:lvlText w:val="%1.%2.%3.%4"/>
      <w:lvlJc w:val="left"/>
      <w:pPr>
        <w:ind w:left="1270" w:hanging="1038"/>
        <w:jc w:val="left"/>
      </w:pPr>
      <w:rPr>
        <w:rFonts w:hint="default" w:ascii="微软雅黑" w:hAnsi="微软雅黑" w:eastAsia="微软雅黑" w:cs="微软雅黑"/>
        <w:b/>
        <w:bCs/>
        <w:i w:val="0"/>
        <w:iCs w:val="0"/>
        <w:w w:val="81"/>
        <w:sz w:val="21"/>
        <w:szCs w:val="21"/>
        <w:lang w:val="en-US" w:eastAsia="zh-CN" w:bidi="ar-SA"/>
      </w:rPr>
    </w:lvl>
    <w:lvl w:ilvl="4">
      <w:start w:val="1"/>
      <w:numFmt w:val="decimal"/>
      <w:lvlText w:val="（%5）"/>
      <w:lvlJc w:val="left"/>
      <w:pPr>
        <w:ind w:left="3566" w:hanging="529"/>
        <w:jc w:val="left"/>
      </w:pPr>
      <w:rPr>
        <w:rFonts w:hint="default" w:ascii="微软雅黑" w:hAnsi="微软雅黑" w:eastAsia="微软雅黑" w:cs="微软雅黑"/>
        <w:b/>
        <w:bCs/>
        <w:i w:val="0"/>
        <w:iCs w:val="0"/>
        <w:w w:val="81"/>
        <w:sz w:val="19"/>
        <w:szCs w:val="19"/>
        <w:lang w:val="en-US" w:eastAsia="zh-CN" w:bidi="ar-SA"/>
      </w:rPr>
    </w:lvl>
    <w:lvl w:ilvl="5">
      <w:start w:val="0"/>
      <w:numFmt w:val="bullet"/>
      <w:lvlText w:val="•"/>
      <w:lvlJc w:val="left"/>
      <w:pPr>
        <w:ind w:left="6549" w:hanging="529"/>
      </w:pPr>
      <w:rPr>
        <w:rFonts w:hint="default"/>
        <w:lang w:val="en-US" w:eastAsia="zh-CN" w:bidi="ar-SA"/>
      </w:rPr>
    </w:lvl>
    <w:lvl w:ilvl="6">
      <w:start w:val="0"/>
      <w:numFmt w:val="bullet"/>
      <w:lvlText w:val="•"/>
      <w:lvlJc w:val="left"/>
      <w:pPr>
        <w:ind w:left="7296"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791" w:hanging="529"/>
      </w:pPr>
      <w:rPr>
        <w:rFonts w:hint="default"/>
        <w:lang w:val="en-US" w:eastAsia="zh-CN" w:bidi="ar-SA"/>
      </w:rPr>
    </w:lvl>
  </w:abstractNum>
  <w:abstractNum w:abstractNumId="9">
    <w:multiLevelType w:val="hybridMultilevel"/>
    <w:lvl w:ilvl="0">
      <w:start w:val="1"/>
      <w:numFmt w:val="decimal"/>
      <w:lvlText w:val="%1"/>
      <w:lvlJc w:val="left"/>
      <w:pPr>
        <w:ind w:left="1270" w:hanging="1038"/>
        <w:jc w:val="left"/>
      </w:pPr>
      <w:rPr>
        <w:rFonts w:hint="default"/>
        <w:lang w:val="en-US" w:eastAsia="zh-CN" w:bidi="ar-SA"/>
      </w:rPr>
    </w:lvl>
    <w:lvl w:ilvl="1">
      <w:start w:val="1"/>
      <w:numFmt w:val="decimal"/>
      <w:lvlText w:val="%1.%2"/>
      <w:lvlJc w:val="left"/>
      <w:pPr>
        <w:ind w:left="1270" w:hanging="1038"/>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1.%2.%3"/>
      <w:lvlJc w:val="left"/>
      <w:pPr>
        <w:ind w:left="1270" w:hanging="1038"/>
        <w:jc w:val="left"/>
      </w:pPr>
      <w:rPr>
        <w:rFonts w:hint="default" w:ascii="微软雅黑" w:hAnsi="微软雅黑" w:eastAsia="微软雅黑" w:cs="微软雅黑"/>
        <w:b/>
        <w:bCs/>
        <w:i w:val="0"/>
        <w:iCs w:val="0"/>
        <w:w w:val="103"/>
        <w:sz w:val="21"/>
        <w:szCs w:val="21"/>
        <w:lang w:val="en-US" w:eastAsia="zh-CN" w:bidi="ar-SA"/>
      </w:rPr>
    </w:lvl>
    <w:lvl w:ilvl="3">
      <w:start w:val="2"/>
      <w:numFmt w:val="decimal"/>
      <w:lvlText w:val="（%4）"/>
      <w:lvlJc w:val="left"/>
      <w:pPr>
        <w:ind w:left="3037" w:hanging="553"/>
        <w:jc w:val="left"/>
      </w:pPr>
      <w:rPr>
        <w:rFonts w:hint="default" w:ascii="微软雅黑" w:hAnsi="微软雅黑" w:eastAsia="微软雅黑" w:cs="微软雅黑"/>
        <w:b/>
        <w:bCs/>
        <w:i w:val="0"/>
        <w:iCs w:val="0"/>
        <w:spacing w:val="-68"/>
        <w:w w:val="81"/>
        <w:sz w:val="20"/>
        <w:szCs w:val="20"/>
        <w:shd w:fill="D9D9D9" w:color="auto" w:val="clear"/>
        <w:lang w:val="en-US" w:eastAsia="zh-CN" w:bidi="ar-SA"/>
      </w:rPr>
    </w:lvl>
    <w:lvl w:ilvl="4">
      <w:start w:val="0"/>
      <w:numFmt w:val="bullet"/>
      <w:lvlText w:val="•"/>
      <w:lvlJc w:val="left"/>
      <w:pPr>
        <w:ind w:left="4528" w:hanging="553"/>
      </w:pPr>
      <w:rPr>
        <w:rFonts w:hint="default"/>
        <w:lang w:val="en-US" w:eastAsia="zh-CN" w:bidi="ar-SA"/>
      </w:rPr>
    </w:lvl>
    <w:lvl w:ilvl="5">
      <w:start w:val="0"/>
      <w:numFmt w:val="bullet"/>
      <w:lvlText w:val="•"/>
      <w:lvlJc w:val="left"/>
      <w:pPr>
        <w:ind w:left="5024" w:hanging="553"/>
      </w:pPr>
      <w:rPr>
        <w:rFonts w:hint="default"/>
        <w:lang w:val="en-US" w:eastAsia="zh-CN" w:bidi="ar-SA"/>
      </w:rPr>
    </w:lvl>
    <w:lvl w:ilvl="6">
      <w:start w:val="0"/>
      <w:numFmt w:val="bullet"/>
      <w:lvlText w:val="•"/>
      <w:lvlJc w:val="left"/>
      <w:pPr>
        <w:ind w:left="5521" w:hanging="553"/>
      </w:pPr>
      <w:rPr>
        <w:rFonts w:hint="default"/>
        <w:lang w:val="en-US" w:eastAsia="zh-CN" w:bidi="ar-SA"/>
      </w:rPr>
    </w:lvl>
    <w:lvl w:ilvl="7">
      <w:start w:val="0"/>
      <w:numFmt w:val="bullet"/>
      <w:lvlText w:val="•"/>
      <w:lvlJc w:val="left"/>
      <w:pPr>
        <w:ind w:left="6017" w:hanging="553"/>
      </w:pPr>
      <w:rPr>
        <w:rFonts w:hint="default"/>
        <w:lang w:val="en-US" w:eastAsia="zh-CN" w:bidi="ar-SA"/>
      </w:rPr>
    </w:lvl>
    <w:lvl w:ilvl="8">
      <w:start w:val="0"/>
      <w:numFmt w:val="bullet"/>
      <w:lvlText w:val="•"/>
      <w:lvlJc w:val="left"/>
      <w:pPr>
        <w:ind w:left="6513" w:hanging="553"/>
      </w:pPr>
      <w:rPr>
        <w:rFonts w:hint="default"/>
        <w:lang w:val="en-US" w:eastAsia="zh-CN" w:bidi="ar-SA"/>
      </w:rPr>
    </w:lvl>
  </w:abstractNum>
  <w:abstractNum w:abstractNumId="8">
    <w:multiLevelType w:val="hybridMultilevel"/>
    <w:lvl w:ilvl="0">
      <w:start w:val="7"/>
      <w:numFmt w:val="decimal"/>
      <w:lvlText w:val="%1"/>
      <w:lvlJc w:val="left"/>
      <w:pPr>
        <w:ind w:left="933" w:hanging="423"/>
        <w:jc w:val="left"/>
      </w:pPr>
      <w:rPr>
        <w:rFonts w:hint="default"/>
        <w:lang w:val="en-US" w:eastAsia="zh-CN" w:bidi="ar-SA"/>
      </w:rPr>
    </w:lvl>
    <w:lvl w:ilvl="1">
      <w:start w:val="9"/>
      <w:numFmt w:val="decimal"/>
      <w:lvlText w:val="%1.%2"/>
      <w:lvlJc w:val="left"/>
      <w:pPr>
        <w:ind w:left="933"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51" w:hanging="423"/>
      </w:pPr>
      <w:rPr>
        <w:rFonts w:hint="default"/>
        <w:lang w:val="en-US" w:eastAsia="zh-CN" w:bidi="ar-SA"/>
      </w:rPr>
    </w:lvl>
    <w:lvl w:ilvl="3">
      <w:start w:val="0"/>
      <w:numFmt w:val="bullet"/>
      <w:lvlText w:val="•"/>
      <w:lvlJc w:val="left"/>
      <w:pPr>
        <w:ind w:left="1557" w:hanging="423"/>
      </w:pPr>
      <w:rPr>
        <w:rFonts w:hint="default"/>
        <w:lang w:val="en-US" w:eastAsia="zh-CN" w:bidi="ar-SA"/>
      </w:rPr>
    </w:lvl>
    <w:lvl w:ilvl="4">
      <w:start w:val="0"/>
      <w:numFmt w:val="bullet"/>
      <w:lvlText w:val="•"/>
      <w:lvlJc w:val="left"/>
      <w:pPr>
        <w:ind w:left="1763" w:hanging="423"/>
      </w:pPr>
      <w:rPr>
        <w:rFonts w:hint="default"/>
        <w:lang w:val="en-US" w:eastAsia="zh-CN" w:bidi="ar-SA"/>
      </w:rPr>
    </w:lvl>
    <w:lvl w:ilvl="5">
      <w:start w:val="0"/>
      <w:numFmt w:val="bullet"/>
      <w:lvlText w:val="•"/>
      <w:lvlJc w:val="left"/>
      <w:pPr>
        <w:ind w:left="1969" w:hanging="423"/>
      </w:pPr>
      <w:rPr>
        <w:rFonts w:hint="default"/>
        <w:lang w:val="en-US" w:eastAsia="zh-CN" w:bidi="ar-SA"/>
      </w:rPr>
    </w:lvl>
    <w:lvl w:ilvl="6">
      <w:start w:val="0"/>
      <w:numFmt w:val="bullet"/>
      <w:lvlText w:val="•"/>
      <w:lvlJc w:val="left"/>
      <w:pPr>
        <w:ind w:left="2174" w:hanging="423"/>
      </w:pPr>
      <w:rPr>
        <w:rFonts w:hint="default"/>
        <w:lang w:val="en-US" w:eastAsia="zh-CN" w:bidi="ar-SA"/>
      </w:rPr>
    </w:lvl>
    <w:lvl w:ilvl="7">
      <w:start w:val="0"/>
      <w:numFmt w:val="bullet"/>
      <w:lvlText w:val="•"/>
      <w:lvlJc w:val="left"/>
      <w:pPr>
        <w:ind w:left="2380" w:hanging="423"/>
      </w:pPr>
      <w:rPr>
        <w:rFonts w:hint="default"/>
        <w:lang w:val="en-US" w:eastAsia="zh-CN" w:bidi="ar-SA"/>
      </w:rPr>
    </w:lvl>
    <w:lvl w:ilvl="8">
      <w:start w:val="0"/>
      <w:numFmt w:val="bullet"/>
      <w:lvlText w:val="•"/>
      <w:lvlJc w:val="left"/>
      <w:pPr>
        <w:ind w:left="2586" w:hanging="423"/>
      </w:pPr>
      <w:rPr>
        <w:rFonts w:hint="default"/>
        <w:lang w:val="en-US" w:eastAsia="zh-CN" w:bidi="ar-SA"/>
      </w:rPr>
    </w:lvl>
  </w:abstractNum>
  <w:abstractNum w:abstractNumId="7">
    <w:multiLevelType w:val="hybridMultilevel"/>
    <w:lvl w:ilvl="0">
      <w:start w:val="7"/>
      <w:numFmt w:val="decimal"/>
      <w:lvlText w:val="%1"/>
      <w:lvlJc w:val="left"/>
      <w:pPr>
        <w:ind w:left="933" w:hanging="423"/>
        <w:jc w:val="left"/>
      </w:pPr>
      <w:rPr>
        <w:rFonts w:hint="default"/>
        <w:lang w:val="en-US" w:eastAsia="zh-CN" w:bidi="ar-SA"/>
      </w:rPr>
    </w:lvl>
    <w:lvl w:ilvl="1">
      <w:start w:val="1"/>
      <w:numFmt w:val="decimal"/>
      <w:lvlText w:val="%1.%2"/>
      <w:lvlJc w:val="left"/>
      <w:pPr>
        <w:ind w:left="933"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72" w:hanging="423"/>
      </w:pPr>
      <w:rPr>
        <w:rFonts w:hint="default"/>
        <w:lang w:val="en-US" w:eastAsia="zh-CN" w:bidi="ar-SA"/>
      </w:rPr>
    </w:lvl>
    <w:lvl w:ilvl="3">
      <w:start w:val="0"/>
      <w:numFmt w:val="bullet"/>
      <w:lvlText w:val="•"/>
      <w:lvlJc w:val="left"/>
      <w:pPr>
        <w:ind w:left="1588" w:hanging="423"/>
      </w:pPr>
      <w:rPr>
        <w:rFonts w:hint="default"/>
        <w:lang w:val="en-US" w:eastAsia="zh-CN" w:bidi="ar-SA"/>
      </w:rPr>
    </w:lvl>
    <w:lvl w:ilvl="4">
      <w:start w:val="0"/>
      <w:numFmt w:val="bullet"/>
      <w:lvlText w:val="•"/>
      <w:lvlJc w:val="left"/>
      <w:pPr>
        <w:ind w:left="1805" w:hanging="423"/>
      </w:pPr>
      <w:rPr>
        <w:rFonts w:hint="default"/>
        <w:lang w:val="en-US" w:eastAsia="zh-CN" w:bidi="ar-SA"/>
      </w:rPr>
    </w:lvl>
    <w:lvl w:ilvl="5">
      <w:start w:val="0"/>
      <w:numFmt w:val="bullet"/>
      <w:lvlText w:val="•"/>
      <w:lvlJc w:val="left"/>
      <w:pPr>
        <w:ind w:left="2021" w:hanging="423"/>
      </w:pPr>
      <w:rPr>
        <w:rFonts w:hint="default"/>
        <w:lang w:val="en-US" w:eastAsia="zh-CN" w:bidi="ar-SA"/>
      </w:rPr>
    </w:lvl>
    <w:lvl w:ilvl="6">
      <w:start w:val="0"/>
      <w:numFmt w:val="bullet"/>
      <w:lvlText w:val="•"/>
      <w:lvlJc w:val="left"/>
      <w:pPr>
        <w:ind w:left="2237" w:hanging="423"/>
      </w:pPr>
      <w:rPr>
        <w:rFonts w:hint="default"/>
        <w:lang w:val="en-US" w:eastAsia="zh-CN" w:bidi="ar-SA"/>
      </w:rPr>
    </w:lvl>
    <w:lvl w:ilvl="7">
      <w:start w:val="0"/>
      <w:numFmt w:val="bullet"/>
      <w:lvlText w:val="•"/>
      <w:lvlJc w:val="left"/>
      <w:pPr>
        <w:ind w:left="2454" w:hanging="423"/>
      </w:pPr>
      <w:rPr>
        <w:rFonts w:hint="default"/>
        <w:lang w:val="en-US" w:eastAsia="zh-CN" w:bidi="ar-SA"/>
      </w:rPr>
    </w:lvl>
    <w:lvl w:ilvl="8">
      <w:start w:val="0"/>
      <w:numFmt w:val="bullet"/>
      <w:lvlText w:val="•"/>
      <w:lvlJc w:val="left"/>
      <w:pPr>
        <w:ind w:left="2670" w:hanging="423"/>
      </w:pPr>
      <w:rPr>
        <w:rFonts w:hint="default"/>
        <w:lang w:val="en-US" w:eastAsia="zh-CN" w:bidi="ar-SA"/>
      </w:rPr>
    </w:lvl>
  </w:abstractNum>
  <w:abstractNum w:abstractNumId="6">
    <w:multiLevelType w:val="hybridMultilevel"/>
    <w:lvl w:ilvl="0">
      <w:start w:val="6"/>
      <w:numFmt w:val="decimal"/>
      <w:lvlText w:val="%1"/>
      <w:lvlJc w:val="left"/>
      <w:pPr>
        <w:ind w:left="933" w:hanging="423"/>
        <w:jc w:val="left"/>
      </w:pPr>
      <w:rPr>
        <w:rFonts w:hint="default"/>
        <w:lang w:val="en-US" w:eastAsia="zh-CN" w:bidi="ar-SA"/>
      </w:rPr>
    </w:lvl>
    <w:lvl w:ilvl="1">
      <w:start w:val="1"/>
      <w:numFmt w:val="decimal"/>
      <w:lvlText w:val="%1.%2"/>
      <w:lvlJc w:val="left"/>
      <w:pPr>
        <w:ind w:left="933"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72" w:hanging="423"/>
      </w:pPr>
      <w:rPr>
        <w:rFonts w:hint="default"/>
        <w:lang w:val="en-US" w:eastAsia="zh-CN" w:bidi="ar-SA"/>
      </w:rPr>
    </w:lvl>
    <w:lvl w:ilvl="3">
      <w:start w:val="0"/>
      <w:numFmt w:val="bullet"/>
      <w:lvlText w:val="•"/>
      <w:lvlJc w:val="left"/>
      <w:pPr>
        <w:ind w:left="1588" w:hanging="423"/>
      </w:pPr>
      <w:rPr>
        <w:rFonts w:hint="default"/>
        <w:lang w:val="en-US" w:eastAsia="zh-CN" w:bidi="ar-SA"/>
      </w:rPr>
    </w:lvl>
    <w:lvl w:ilvl="4">
      <w:start w:val="0"/>
      <w:numFmt w:val="bullet"/>
      <w:lvlText w:val="•"/>
      <w:lvlJc w:val="left"/>
      <w:pPr>
        <w:ind w:left="1805" w:hanging="423"/>
      </w:pPr>
      <w:rPr>
        <w:rFonts w:hint="default"/>
        <w:lang w:val="en-US" w:eastAsia="zh-CN" w:bidi="ar-SA"/>
      </w:rPr>
    </w:lvl>
    <w:lvl w:ilvl="5">
      <w:start w:val="0"/>
      <w:numFmt w:val="bullet"/>
      <w:lvlText w:val="•"/>
      <w:lvlJc w:val="left"/>
      <w:pPr>
        <w:ind w:left="2021" w:hanging="423"/>
      </w:pPr>
      <w:rPr>
        <w:rFonts w:hint="default"/>
        <w:lang w:val="en-US" w:eastAsia="zh-CN" w:bidi="ar-SA"/>
      </w:rPr>
    </w:lvl>
    <w:lvl w:ilvl="6">
      <w:start w:val="0"/>
      <w:numFmt w:val="bullet"/>
      <w:lvlText w:val="•"/>
      <w:lvlJc w:val="left"/>
      <w:pPr>
        <w:ind w:left="2237" w:hanging="423"/>
      </w:pPr>
      <w:rPr>
        <w:rFonts w:hint="default"/>
        <w:lang w:val="en-US" w:eastAsia="zh-CN" w:bidi="ar-SA"/>
      </w:rPr>
    </w:lvl>
    <w:lvl w:ilvl="7">
      <w:start w:val="0"/>
      <w:numFmt w:val="bullet"/>
      <w:lvlText w:val="•"/>
      <w:lvlJc w:val="left"/>
      <w:pPr>
        <w:ind w:left="2454" w:hanging="423"/>
      </w:pPr>
      <w:rPr>
        <w:rFonts w:hint="default"/>
        <w:lang w:val="en-US" w:eastAsia="zh-CN" w:bidi="ar-SA"/>
      </w:rPr>
    </w:lvl>
    <w:lvl w:ilvl="8">
      <w:start w:val="0"/>
      <w:numFmt w:val="bullet"/>
      <w:lvlText w:val="•"/>
      <w:lvlJc w:val="left"/>
      <w:pPr>
        <w:ind w:left="2670" w:hanging="423"/>
      </w:pPr>
      <w:rPr>
        <w:rFonts w:hint="default"/>
        <w:lang w:val="en-US" w:eastAsia="zh-CN" w:bidi="ar-SA"/>
      </w:rPr>
    </w:lvl>
  </w:abstractNum>
  <w:abstractNum w:abstractNumId="5">
    <w:multiLevelType w:val="hybridMultilevel"/>
    <w:lvl w:ilvl="0">
      <w:start w:val="5"/>
      <w:numFmt w:val="decimal"/>
      <w:lvlText w:val="%1"/>
      <w:lvlJc w:val="left"/>
      <w:pPr>
        <w:ind w:left="933" w:hanging="423"/>
        <w:jc w:val="left"/>
      </w:pPr>
      <w:rPr>
        <w:rFonts w:hint="default"/>
        <w:lang w:val="en-US" w:eastAsia="zh-CN" w:bidi="ar-SA"/>
      </w:rPr>
    </w:lvl>
    <w:lvl w:ilvl="1">
      <w:start w:val="1"/>
      <w:numFmt w:val="decimal"/>
      <w:lvlText w:val="%1.%2"/>
      <w:lvlJc w:val="left"/>
      <w:pPr>
        <w:ind w:left="933"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72" w:hanging="423"/>
      </w:pPr>
      <w:rPr>
        <w:rFonts w:hint="default"/>
        <w:lang w:val="en-US" w:eastAsia="zh-CN" w:bidi="ar-SA"/>
      </w:rPr>
    </w:lvl>
    <w:lvl w:ilvl="3">
      <w:start w:val="0"/>
      <w:numFmt w:val="bullet"/>
      <w:lvlText w:val="•"/>
      <w:lvlJc w:val="left"/>
      <w:pPr>
        <w:ind w:left="1588" w:hanging="423"/>
      </w:pPr>
      <w:rPr>
        <w:rFonts w:hint="default"/>
        <w:lang w:val="en-US" w:eastAsia="zh-CN" w:bidi="ar-SA"/>
      </w:rPr>
    </w:lvl>
    <w:lvl w:ilvl="4">
      <w:start w:val="0"/>
      <w:numFmt w:val="bullet"/>
      <w:lvlText w:val="•"/>
      <w:lvlJc w:val="left"/>
      <w:pPr>
        <w:ind w:left="1805" w:hanging="423"/>
      </w:pPr>
      <w:rPr>
        <w:rFonts w:hint="default"/>
        <w:lang w:val="en-US" w:eastAsia="zh-CN" w:bidi="ar-SA"/>
      </w:rPr>
    </w:lvl>
    <w:lvl w:ilvl="5">
      <w:start w:val="0"/>
      <w:numFmt w:val="bullet"/>
      <w:lvlText w:val="•"/>
      <w:lvlJc w:val="left"/>
      <w:pPr>
        <w:ind w:left="2021" w:hanging="423"/>
      </w:pPr>
      <w:rPr>
        <w:rFonts w:hint="default"/>
        <w:lang w:val="en-US" w:eastAsia="zh-CN" w:bidi="ar-SA"/>
      </w:rPr>
    </w:lvl>
    <w:lvl w:ilvl="6">
      <w:start w:val="0"/>
      <w:numFmt w:val="bullet"/>
      <w:lvlText w:val="•"/>
      <w:lvlJc w:val="left"/>
      <w:pPr>
        <w:ind w:left="2237" w:hanging="423"/>
      </w:pPr>
      <w:rPr>
        <w:rFonts w:hint="default"/>
        <w:lang w:val="en-US" w:eastAsia="zh-CN" w:bidi="ar-SA"/>
      </w:rPr>
    </w:lvl>
    <w:lvl w:ilvl="7">
      <w:start w:val="0"/>
      <w:numFmt w:val="bullet"/>
      <w:lvlText w:val="•"/>
      <w:lvlJc w:val="left"/>
      <w:pPr>
        <w:ind w:left="2454" w:hanging="423"/>
      </w:pPr>
      <w:rPr>
        <w:rFonts w:hint="default"/>
        <w:lang w:val="en-US" w:eastAsia="zh-CN" w:bidi="ar-SA"/>
      </w:rPr>
    </w:lvl>
    <w:lvl w:ilvl="8">
      <w:start w:val="0"/>
      <w:numFmt w:val="bullet"/>
      <w:lvlText w:val="•"/>
      <w:lvlJc w:val="left"/>
      <w:pPr>
        <w:ind w:left="2670" w:hanging="423"/>
      </w:pPr>
      <w:rPr>
        <w:rFonts w:hint="default"/>
        <w:lang w:val="en-US" w:eastAsia="zh-CN" w:bidi="ar-SA"/>
      </w:rPr>
    </w:lvl>
  </w:abstractNum>
  <w:abstractNum w:abstractNumId="4">
    <w:multiLevelType w:val="hybridMultilevel"/>
    <w:lvl w:ilvl="0">
      <w:start w:val="4"/>
      <w:numFmt w:val="decimal"/>
      <w:lvlText w:val="%1."/>
      <w:lvlJc w:val="left"/>
      <w:pPr>
        <w:ind w:left="463" w:hanging="317"/>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1.%2"/>
      <w:lvlJc w:val="left"/>
      <w:pPr>
        <w:ind w:left="928"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67" w:hanging="423"/>
      </w:pPr>
      <w:rPr>
        <w:rFonts w:hint="default"/>
        <w:lang w:val="en-US" w:eastAsia="zh-CN" w:bidi="ar-SA"/>
      </w:rPr>
    </w:lvl>
    <w:lvl w:ilvl="3">
      <w:start w:val="0"/>
      <w:numFmt w:val="bullet"/>
      <w:lvlText w:val="•"/>
      <w:lvlJc w:val="left"/>
      <w:pPr>
        <w:ind w:left="1414" w:hanging="423"/>
      </w:pPr>
      <w:rPr>
        <w:rFonts w:hint="default"/>
        <w:lang w:val="en-US" w:eastAsia="zh-CN" w:bidi="ar-SA"/>
      </w:rPr>
    </w:lvl>
    <w:lvl w:ilvl="4">
      <w:start w:val="0"/>
      <w:numFmt w:val="bullet"/>
      <w:lvlText w:val="•"/>
      <w:lvlJc w:val="left"/>
      <w:pPr>
        <w:ind w:left="1662" w:hanging="423"/>
      </w:pPr>
      <w:rPr>
        <w:rFonts w:hint="default"/>
        <w:lang w:val="en-US" w:eastAsia="zh-CN" w:bidi="ar-SA"/>
      </w:rPr>
    </w:lvl>
    <w:lvl w:ilvl="5">
      <w:start w:val="0"/>
      <w:numFmt w:val="bullet"/>
      <w:lvlText w:val="•"/>
      <w:lvlJc w:val="left"/>
      <w:pPr>
        <w:ind w:left="1909" w:hanging="423"/>
      </w:pPr>
      <w:rPr>
        <w:rFonts w:hint="default"/>
        <w:lang w:val="en-US" w:eastAsia="zh-CN" w:bidi="ar-SA"/>
      </w:rPr>
    </w:lvl>
    <w:lvl w:ilvl="6">
      <w:start w:val="0"/>
      <w:numFmt w:val="bullet"/>
      <w:lvlText w:val="•"/>
      <w:lvlJc w:val="left"/>
      <w:pPr>
        <w:ind w:left="2156" w:hanging="423"/>
      </w:pPr>
      <w:rPr>
        <w:rFonts w:hint="default"/>
        <w:lang w:val="en-US" w:eastAsia="zh-CN" w:bidi="ar-SA"/>
      </w:rPr>
    </w:lvl>
    <w:lvl w:ilvl="7">
      <w:start w:val="0"/>
      <w:numFmt w:val="bullet"/>
      <w:lvlText w:val="•"/>
      <w:lvlJc w:val="left"/>
      <w:pPr>
        <w:ind w:left="2404" w:hanging="423"/>
      </w:pPr>
      <w:rPr>
        <w:rFonts w:hint="default"/>
        <w:lang w:val="en-US" w:eastAsia="zh-CN" w:bidi="ar-SA"/>
      </w:rPr>
    </w:lvl>
    <w:lvl w:ilvl="8">
      <w:start w:val="0"/>
      <w:numFmt w:val="bullet"/>
      <w:lvlText w:val="•"/>
      <w:lvlJc w:val="left"/>
      <w:pPr>
        <w:ind w:left="2651" w:hanging="423"/>
      </w:pPr>
      <w:rPr>
        <w:rFonts w:hint="default"/>
        <w:lang w:val="en-US" w:eastAsia="zh-CN" w:bidi="ar-SA"/>
      </w:rPr>
    </w:lvl>
  </w:abstractNum>
  <w:abstractNum w:abstractNumId="3">
    <w:multiLevelType w:val="hybridMultilevel"/>
    <w:lvl w:ilvl="0">
      <w:start w:val="3"/>
      <w:numFmt w:val="decimal"/>
      <w:lvlText w:val="%1"/>
      <w:lvlJc w:val="left"/>
      <w:pPr>
        <w:ind w:left="928" w:hanging="423"/>
        <w:jc w:val="left"/>
      </w:pPr>
      <w:rPr>
        <w:rFonts w:hint="default"/>
        <w:lang w:val="en-US" w:eastAsia="zh-CN" w:bidi="ar-SA"/>
      </w:rPr>
    </w:lvl>
    <w:lvl w:ilvl="1">
      <w:start w:val="1"/>
      <w:numFmt w:val="decimal"/>
      <w:lvlText w:val="%1.%2"/>
      <w:lvlJc w:val="left"/>
      <w:pPr>
        <w:ind w:left="928"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65" w:hanging="423"/>
      </w:pPr>
      <w:rPr>
        <w:rFonts w:hint="default"/>
        <w:lang w:val="en-US" w:eastAsia="zh-CN" w:bidi="ar-SA"/>
      </w:rPr>
    </w:lvl>
    <w:lvl w:ilvl="3">
      <w:start w:val="0"/>
      <w:numFmt w:val="bullet"/>
      <w:lvlText w:val="•"/>
      <w:lvlJc w:val="left"/>
      <w:pPr>
        <w:ind w:left="1587" w:hanging="423"/>
      </w:pPr>
      <w:rPr>
        <w:rFonts w:hint="default"/>
        <w:lang w:val="en-US" w:eastAsia="zh-CN" w:bidi="ar-SA"/>
      </w:rPr>
    </w:lvl>
    <w:lvl w:ilvl="4">
      <w:start w:val="0"/>
      <w:numFmt w:val="bullet"/>
      <w:lvlText w:val="•"/>
      <w:lvlJc w:val="left"/>
      <w:pPr>
        <w:ind w:left="1810" w:hanging="423"/>
      </w:pPr>
      <w:rPr>
        <w:rFonts w:hint="default"/>
        <w:lang w:val="en-US" w:eastAsia="zh-CN" w:bidi="ar-SA"/>
      </w:rPr>
    </w:lvl>
    <w:lvl w:ilvl="5">
      <w:start w:val="0"/>
      <w:numFmt w:val="bullet"/>
      <w:lvlText w:val="•"/>
      <w:lvlJc w:val="left"/>
      <w:pPr>
        <w:ind w:left="2033" w:hanging="423"/>
      </w:pPr>
      <w:rPr>
        <w:rFonts w:hint="default"/>
        <w:lang w:val="en-US" w:eastAsia="zh-CN" w:bidi="ar-SA"/>
      </w:rPr>
    </w:lvl>
    <w:lvl w:ilvl="6">
      <w:start w:val="0"/>
      <w:numFmt w:val="bullet"/>
      <w:lvlText w:val="•"/>
      <w:lvlJc w:val="left"/>
      <w:pPr>
        <w:ind w:left="2255" w:hanging="423"/>
      </w:pPr>
      <w:rPr>
        <w:rFonts w:hint="default"/>
        <w:lang w:val="en-US" w:eastAsia="zh-CN" w:bidi="ar-SA"/>
      </w:rPr>
    </w:lvl>
    <w:lvl w:ilvl="7">
      <w:start w:val="0"/>
      <w:numFmt w:val="bullet"/>
      <w:lvlText w:val="•"/>
      <w:lvlJc w:val="left"/>
      <w:pPr>
        <w:ind w:left="2478" w:hanging="423"/>
      </w:pPr>
      <w:rPr>
        <w:rFonts w:hint="default"/>
        <w:lang w:val="en-US" w:eastAsia="zh-CN" w:bidi="ar-SA"/>
      </w:rPr>
    </w:lvl>
    <w:lvl w:ilvl="8">
      <w:start w:val="0"/>
      <w:numFmt w:val="bullet"/>
      <w:lvlText w:val="•"/>
      <w:lvlJc w:val="left"/>
      <w:pPr>
        <w:ind w:left="2700" w:hanging="423"/>
      </w:pPr>
      <w:rPr>
        <w:rFonts w:hint="default"/>
        <w:lang w:val="en-US" w:eastAsia="zh-CN" w:bidi="ar-SA"/>
      </w:rPr>
    </w:lvl>
  </w:abstractNum>
  <w:abstractNum w:abstractNumId="2">
    <w:multiLevelType w:val="hybridMultilevel"/>
    <w:lvl w:ilvl="0">
      <w:start w:val="1"/>
      <w:numFmt w:val="decimal"/>
      <w:lvlText w:val="%1."/>
      <w:lvlJc w:val="left"/>
      <w:pPr>
        <w:ind w:left="506" w:hanging="360"/>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1.%2"/>
      <w:lvlJc w:val="left"/>
      <w:pPr>
        <w:ind w:left="912" w:hanging="40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67" w:hanging="406"/>
      </w:pPr>
      <w:rPr>
        <w:rFonts w:hint="default"/>
        <w:lang w:val="en-US" w:eastAsia="zh-CN" w:bidi="ar-SA"/>
      </w:rPr>
    </w:lvl>
    <w:lvl w:ilvl="3">
      <w:start w:val="0"/>
      <w:numFmt w:val="bullet"/>
      <w:lvlText w:val="•"/>
      <w:lvlJc w:val="left"/>
      <w:pPr>
        <w:ind w:left="1414" w:hanging="406"/>
      </w:pPr>
      <w:rPr>
        <w:rFonts w:hint="default"/>
        <w:lang w:val="en-US" w:eastAsia="zh-CN" w:bidi="ar-SA"/>
      </w:rPr>
    </w:lvl>
    <w:lvl w:ilvl="4">
      <w:start w:val="0"/>
      <w:numFmt w:val="bullet"/>
      <w:lvlText w:val="•"/>
      <w:lvlJc w:val="left"/>
      <w:pPr>
        <w:ind w:left="1662" w:hanging="406"/>
      </w:pPr>
      <w:rPr>
        <w:rFonts w:hint="default"/>
        <w:lang w:val="en-US" w:eastAsia="zh-CN" w:bidi="ar-SA"/>
      </w:rPr>
    </w:lvl>
    <w:lvl w:ilvl="5">
      <w:start w:val="0"/>
      <w:numFmt w:val="bullet"/>
      <w:lvlText w:val="•"/>
      <w:lvlJc w:val="left"/>
      <w:pPr>
        <w:ind w:left="1909" w:hanging="406"/>
      </w:pPr>
      <w:rPr>
        <w:rFonts w:hint="default"/>
        <w:lang w:val="en-US" w:eastAsia="zh-CN" w:bidi="ar-SA"/>
      </w:rPr>
    </w:lvl>
    <w:lvl w:ilvl="6">
      <w:start w:val="0"/>
      <w:numFmt w:val="bullet"/>
      <w:lvlText w:val="•"/>
      <w:lvlJc w:val="left"/>
      <w:pPr>
        <w:ind w:left="2156" w:hanging="406"/>
      </w:pPr>
      <w:rPr>
        <w:rFonts w:hint="default"/>
        <w:lang w:val="en-US" w:eastAsia="zh-CN" w:bidi="ar-SA"/>
      </w:rPr>
    </w:lvl>
    <w:lvl w:ilvl="7">
      <w:start w:val="0"/>
      <w:numFmt w:val="bullet"/>
      <w:lvlText w:val="•"/>
      <w:lvlJc w:val="left"/>
      <w:pPr>
        <w:ind w:left="2404" w:hanging="406"/>
      </w:pPr>
      <w:rPr>
        <w:rFonts w:hint="default"/>
        <w:lang w:val="en-US" w:eastAsia="zh-CN" w:bidi="ar-SA"/>
      </w:rPr>
    </w:lvl>
    <w:lvl w:ilvl="8">
      <w:start w:val="0"/>
      <w:numFmt w:val="bullet"/>
      <w:lvlText w:val="•"/>
      <w:lvlJc w:val="left"/>
      <w:pPr>
        <w:ind w:left="2651" w:hanging="406"/>
      </w:pPr>
      <w:rPr>
        <w:rFonts w:hint="default"/>
        <w:lang w:val="en-US" w:eastAsia="zh-CN" w:bidi="ar-SA"/>
      </w:rPr>
    </w:lvl>
  </w:abstractNum>
  <w:abstractNum w:abstractNumId="1">
    <w:multiLevelType w:val="hybridMultilevel"/>
    <w:lvl w:ilvl="0">
      <w:start w:val="0"/>
      <w:numFmt w:val="bullet"/>
      <w:lvlText w:val=""/>
      <w:lvlJc w:val="left"/>
      <w:pPr>
        <w:ind w:left="1073" w:hanging="413"/>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073" w:hanging="276"/>
      </w:pPr>
      <w:rPr>
        <w:rFonts w:hint="default" w:ascii="Wingdings" w:hAnsi="Wingdings" w:eastAsia="Wingdings" w:cs="Wingdings"/>
        <w:b w:val="0"/>
        <w:bCs w:val="0"/>
        <w:i w:val="0"/>
        <w:iCs w:val="0"/>
        <w:w w:val="100"/>
        <w:sz w:val="21"/>
        <w:szCs w:val="21"/>
        <w:lang w:val="en-US" w:eastAsia="zh-CN" w:bidi="ar-SA"/>
      </w:rPr>
    </w:lvl>
    <w:lvl w:ilvl="2">
      <w:start w:val="0"/>
      <w:numFmt w:val="bullet"/>
      <w:lvlText w:val="•"/>
      <w:lvlJc w:val="left"/>
      <w:pPr>
        <w:ind w:left="2921" w:hanging="276"/>
      </w:pPr>
      <w:rPr>
        <w:rFonts w:hint="default"/>
        <w:lang w:val="en-US" w:eastAsia="zh-CN" w:bidi="ar-SA"/>
      </w:rPr>
    </w:lvl>
    <w:lvl w:ilvl="3">
      <w:start w:val="0"/>
      <w:numFmt w:val="bullet"/>
      <w:lvlText w:val="•"/>
      <w:lvlJc w:val="left"/>
      <w:pPr>
        <w:ind w:left="3841" w:hanging="276"/>
      </w:pPr>
      <w:rPr>
        <w:rFonts w:hint="default"/>
        <w:lang w:val="en-US" w:eastAsia="zh-CN" w:bidi="ar-SA"/>
      </w:rPr>
    </w:lvl>
    <w:lvl w:ilvl="4">
      <w:start w:val="0"/>
      <w:numFmt w:val="bullet"/>
      <w:lvlText w:val="•"/>
      <w:lvlJc w:val="left"/>
      <w:pPr>
        <w:ind w:left="4762" w:hanging="276"/>
      </w:pPr>
      <w:rPr>
        <w:rFonts w:hint="default"/>
        <w:lang w:val="en-US" w:eastAsia="zh-CN" w:bidi="ar-SA"/>
      </w:rPr>
    </w:lvl>
    <w:lvl w:ilvl="5">
      <w:start w:val="0"/>
      <w:numFmt w:val="bullet"/>
      <w:lvlText w:val="•"/>
      <w:lvlJc w:val="left"/>
      <w:pPr>
        <w:ind w:left="5683" w:hanging="276"/>
      </w:pPr>
      <w:rPr>
        <w:rFonts w:hint="default"/>
        <w:lang w:val="en-US" w:eastAsia="zh-CN" w:bidi="ar-SA"/>
      </w:rPr>
    </w:lvl>
    <w:lvl w:ilvl="6">
      <w:start w:val="0"/>
      <w:numFmt w:val="bullet"/>
      <w:lvlText w:val="•"/>
      <w:lvlJc w:val="left"/>
      <w:pPr>
        <w:ind w:left="6603" w:hanging="276"/>
      </w:pPr>
      <w:rPr>
        <w:rFonts w:hint="default"/>
        <w:lang w:val="en-US" w:eastAsia="zh-CN" w:bidi="ar-SA"/>
      </w:rPr>
    </w:lvl>
    <w:lvl w:ilvl="7">
      <w:start w:val="0"/>
      <w:numFmt w:val="bullet"/>
      <w:lvlText w:val="•"/>
      <w:lvlJc w:val="left"/>
      <w:pPr>
        <w:ind w:left="7524" w:hanging="276"/>
      </w:pPr>
      <w:rPr>
        <w:rFonts w:hint="default"/>
        <w:lang w:val="en-US" w:eastAsia="zh-CN" w:bidi="ar-SA"/>
      </w:rPr>
    </w:lvl>
    <w:lvl w:ilvl="8">
      <w:start w:val="0"/>
      <w:numFmt w:val="bullet"/>
      <w:lvlText w:val="•"/>
      <w:lvlJc w:val="left"/>
      <w:pPr>
        <w:ind w:left="8445" w:hanging="276"/>
      </w:pPr>
      <w:rPr>
        <w:rFonts w:hint="default"/>
        <w:lang w:val="en-US" w:eastAsia="zh-CN" w:bidi="ar-SA"/>
      </w:rPr>
    </w:lvl>
  </w:abstractNum>
  <w:abstractNum w:abstractNumId="0">
    <w:multiLevelType w:val="hybridMultilevel"/>
    <w:lvl w:ilvl="0">
      <w:start w:val="0"/>
      <w:numFmt w:val="bullet"/>
      <w:lvlText w:val=""/>
      <w:lvlJc w:val="left"/>
      <w:pPr>
        <w:ind w:left="1073" w:hanging="413"/>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000" w:hanging="413"/>
      </w:pPr>
      <w:rPr>
        <w:rFonts w:hint="default"/>
        <w:lang w:val="en-US" w:eastAsia="zh-CN" w:bidi="ar-SA"/>
      </w:rPr>
    </w:lvl>
    <w:lvl w:ilvl="2">
      <w:start w:val="0"/>
      <w:numFmt w:val="bullet"/>
      <w:lvlText w:val="•"/>
      <w:lvlJc w:val="left"/>
      <w:pPr>
        <w:ind w:left="2921" w:hanging="413"/>
      </w:pPr>
      <w:rPr>
        <w:rFonts w:hint="default"/>
        <w:lang w:val="en-US" w:eastAsia="zh-CN" w:bidi="ar-SA"/>
      </w:rPr>
    </w:lvl>
    <w:lvl w:ilvl="3">
      <w:start w:val="0"/>
      <w:numFmt w:val="bullet"/>
      <w:lvlText w:val="•"/>
      <w:lvlJc w:val="left"/>
      <w:pPr>
        <w:ind w:left="3841" w:hanging="413"/>
      </w:pPr>
      <w:rPr>
        <w:rFonts w:hint="default"/>
        <w:lang w:val="en-US" w:eastAsia="zh-CN" w:bidi="ar-SA"/>
      </w:rPr>
    </w:lvl>
    <w:lvl w:ilvl="4">
      <w:start w:val="0"/>
      <w:numFmt w:val="bullet"/>
      <w:lvlText w:val="•"/>
      <w:lvlJc w:val="left"/>
      <w:pPr>
        <w:ind w:left="4762" w:hanging="413"/>
      </w:pPr>
      <w:rPr>
        <w:rFonts w:hint="default"/>
        <w:lang w:val="en-US" w:eastAsia="zh-CN" w:bidi="ar-SA"/>
      </w:rPr>
    </w:lvl>
    <w:lvl w:ilvl="5">
      <w:start w:val="0"/>
      <w:numFmt w:val="bullet"/>
      <w:lvlText w:val="•"/>
      <w:lvlJc w:val="left"/>
      <w:pPr>
        <w:ind w:left="5683" w:hanging="413"/>
      </w:pPr>
      <w:rPr>
        <w:rFonts w:hint="default"/>
        <w:lang w:val="en-US" w:eastAsia="zh-CN" w:bidi="ar-SA"/>
      </w:rPr>
    </w:lvl>
    <w:lvl w:ilvl="6">
      <w:start w:val="0"/>
      <w:numFmt w:val="bullet"/>
      <w:lvlText w:val="•"/>
      <w:lvlJc w:val="left"/>
      <w:pPr>
        <w:ind w:left="6603" w:hanging="413"/>
      </w:pPr>
      <w:rPr>
        <w:rFonts w:hint="default"/>
        <w:lang w:val="en-US" w:eastAsia="zh-CN" w:bidi="ar-SA"/>
      </w:rPr>
    </w:lvl>
    <w:lvl w:ilvl="7">
      <w:start w:val="0"/>
      <w:numFmt w:val="bullet"/>
      <w:lvlText w:val="•"/>
      <w:lvlJc w:val="left"/>
      <w:pPr>
        <w:ind w:left="7524" w:hanging="413"/>
      </w:pPr>
      <w:rPr>
        <w:rFonts w:hint="default"/>
        <w:lang w:val="en-US" w:eastAsia="zh-CN" w:bidi="ar-SA"/>
      </w:rPr>
    </w:lvl>
    <w:lvl w:ilvl="8">
      <w:start w:val="0"/>
      <w:numFmt w:val="bullet"/>
      <w:lvlText w:val="•"/>
      <w:lvlJc w:val="left"/>
      <w:pPr>
        <w:ind w:left="8445" w:hanging="413"/>
      </w:pPr>
      <w:rPr>
        <w:rFonts w:hint="default"/>
        <w:lang w:val="en-US" w:eastAsia="zh-CN" w:bidi="ar-SA"/>
      </w:rPr>
    </w:lvl>
  </w:abstract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line="288" w:lineRule="exact"/>
      <w:outlineLvl w:val="1"/>
    </w:pPr>
    <w:rPr>
      <w:rFonts w:ascii="微软雅黑" w:hAnsi="微软雅黑" w:eastAsia="微软雅黑" w:cs="微软雅黑"/>
      <w:b/>
      <w:bCs/>
      <w:sz w:val="22"/>
      <w:szCs w:val="22"/>
      <w:lang w:val="en-US" w:eastAsia="zh-CN" w:bidi="ar-SA"/>
    </w:rPr>
  </w:style>
  <w:style w:styleId="Title" w:type="paragraph">
    <w:name w:val="Title"/>
    <w:basedOn w:val="Normal"/>
    <w:uiPriority w:val="1"/>
    <w:qFormat/>
    <w:pPr>
      <w:ind w:left="232"/>
    </w:pPr>
    <w:rPr>
      <w:rFonts w:ascii="微软雅黑" w:hAnsi="微软雅黑" w:eastAsia="微软雅黑" w:cs="微软雅黑"/>
      <w:b/>
      <w:bCs/>
      <w:sz w:val="32"/>
      <w:szCs w:val="32"/>
      <w:lang w:val="en-US" w:eastAsia="zh-CN" w:bidi="ar-SA"/>
    </w:rPr>
  </w:style>
  <w:style w:styleId="ListParagraph" w:type="paragraph">
    <w:name w:val="List Paragraph"/>
    <w:basedOn w:val="Normal"/>
    <w:uiPriority w:val="1"/>
    <w:qFormat/>
    <w:pPr>
      <w:ind w:left="1270" w:hanging="53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header" Target="header2.xml"/><Relationship Id="rId20" Type="http://schemas.openxmlformats.org/officeDocument/2006/relationships/footer" Target="footer2.xml"/><Relationship Id="rId21" Type="http://schemas.openxmlformats.org/officeDocument/2006/relationships/header" Target="header3.xml"/><Relationship Id="rId22" Type="http://schemas.openxmlformats.org/officeDocument/2006/relationships/footer" Target="footer3.xml"/><Relationship Id="rId23" Type="http://schemas.openxmlformats.org/officeDocument/2006/relationships/header" Target="header4.xml"/><Relationship Id="rId24" Type="http://schemas.openxmlformats.org/officeDocument/2006/relationships/footer" Target="footer4.xml"/><Relationship Id="rId25" Type="http://schemas.openxmlformats.org/officeDocument/2006/relationships/image" Target="media/image14.png"/><Relationship Id="rId26" Type="http://schemas.openxmlformats.org/officeDocument/2006/relationships/image" Target="media/image15.png"/><Relationship Id="rId27" Type="http://schemas.openxmlformats.org/officeDocument/2006/relationships/image" Target="media/image16.png"/><Relationship Id="rId28" Type="http://schemas.openxmlformats.org/officeDocument/2006/relationships/header" Target="header5.xml"/><Relationship Id="rId29" Type="http://schemas.openxmlformats.org/officeDocument/2006/relationships/footer" Target="footer5.xml"/><Relationship Id="rId30" Type="http://schemas.openxmlformats.org/officeDocument/2006/relationships/header" Target="header6.xml"/><Relationship Id="rId31" Type="http://schemas.openxmlformats.org/officeDocument/2006/relationships/footer" Target="footer6.xml"/><Relationship Id="rId32" Type="http://schemas.openxmlformats.org/officeDocument/2006/relationships/image" Target="media/image17.png"/><Relationship Id="rId33" Type="http://schemas.openxmlformats.org/officeDocument/2006/relationships/header" Target="header7.xml"/><Relationship Id="rId34" Type="http://schemas.openxmlformats.org/officeDocument/2006/relationships/footer" Target="footer7.xml"/><Relationship Id="rId35" Type="http://schemas.openxmlformats.org/officeDocument/2006/relationships/header" Target="header8.xml"/><Relationship Id="rId36" Type="http://schemas.openxmlformats.org/officeDocument/2006/relationships/footer" Target="footer8.xml"/><Relationship Id="rId37" Type="http://schemas.openxmlformats.org/officeDocument/2006/relationships/image" Target="media/image18.png"/><Relationship Id="rId38" Type="http://schemas.openxmlformats.org/officeDocument/2006/relationships/image" Target="media/image19.png"/><Relationship Id="rId39" Type="http://schemas.openxmlformats.org/officeDocument/2006/relationships/image" Target="media/image20.png"/><Relationship Id="rId40" Type="http://schemas.openxmlformats.org/officeDocument/2006/relationships/image" Target="media/image21.png"/><Relationship Id="rId41" Type="http://schemas.openxmlformats.org/officeDocument/2006/relationships/image" Target="media/image22.png"/><Relationship Id="rId42" Type="http://schemas.openxmlformats.org/officeDocument/2006/relationships/image" Target="media/image23.png"/><Relationship Id="rId43" Type="http://schemas.openxmlformats.org/officeDocument/2006/relationships/header" Target="header9.xml"/><Relationship Id="rId44" Type="http://schemas.openxmlformats.org/officeDocument/2006/relationships/footer" Target="footer9.xml"/><Relationship Id="rId45" Type="http://schemas.openxmlformats.org/officeDocument/2006/relationships/header" Target="header10.xml"/><Relationship Id="rId46" Type="http://schemas.openxmlformats.org/officeDocument/2006/relationships/footer" Target="footer10.xml"/><Relationship Id="rId47" Type="http://schemas.openxmlformats.org/officeDocument/2006/relationships/image" Target="media/image24.png"/><Relationship Id="rId48"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_rels/header9.xml.rels><?xml version="1.0" encoding="UTF-8" standalone="yes"?>
<Relationships xmlns="http://schemas.openxmlformats.org/package/2006/relationships"><Relationship Id="rId1" Type="http://schemas.openxmlformats.org/officeDocument/2006/relationships/image" Target="media/image1.jpeg"/></Relationships>

</file>

<file path=word/_rels/header10.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2023-06-05T08:02:56Z</dcterms:created>
  <dcterms:modified xsi:type="dcterms:W3CDTF">2023-06-05T08:02:56Z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